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57282" w14:textId="314929B2" w:rsidR="00911C0C" w:rsidRPr="000B71E0" w:rsidRDefault="000B4575" w:rsidP="00911C0C">
      <w:pPr>
        <w:pStyle w:val="Title"/>
        <w:jc w:val="center"/>
        <w:rPr>
          <w:color w:val="FF0000"/>
        </w:rPr>
      </w:pPr>
      <w:r w:rsidRPr="000B71E0">
        <w:rPr>
          <w:color w:val="FF0000"/>
        </w:rPr>
        <w:t>AGREED</w:t>
      </w:r>
      <w:r w:rsidR="006A2B32" w:rsidRPr="000B71E0">
        <w:rPr>
          <w:color w:val="FF0000"/>
        </w:rPr>
        <w:t xml:space="preserve"> </w:t>
      </w:r>
      <w:r w:rsidR="00911C0C" w:rsidRPr="000B71E0">
        <w:rPr>
          <w:color w:val="FF0000"/>
        </w:rPr>
        <w:t>VARIATION</w:t>
      </w:r>
    </w:p>
    <w:p w14:paraId="4446AA16" w14:textId="77777777" w:rsidR="00C91B5F" w:rsidRPr="000B71E0" w:rsidRDefault="00F8242C" w:rsidP="00C91B5F">
      <w:pPr>
        <w:pStyle w:val="Title"/>
      </w:pPr>
      <w:r w:rsidRPr="000B71E0">
        <w:t xml:space="preserve">The Provision of COVID-19 Quarantine Arrangements at the </w:t>
      </w:r>
      <w:r w:rsidR="00E82F0C" w:rsidRPr="000B71E0">
        <w:t xml:space="preserve">Northern Territory </w:t>
      </w:r>
      <w:r w:rsidR="007259FE" w:rsidRPr="000B71E0">
        <w:t>Centre for National Resilience</w:t>
      </w:r>
      <w:r w:rsidRPr="000B71E0">
        <w:t xml:space="preserve"> for Organised N</w:t>
      </w:r>
      <w:r w:rsidR="000A2842" w:rsidRPr="000B71E0">
        <w:t>ational Repatriation of Australians</w:t>
      </w:r>
    </w:p>
    <w:p w14:paraId="65F7E50F" w14:textId="77777777" w:rsidR="00C91B5F" w:rsidRPr="000B71E0" w:rsidRDefault="00590B10" w:rsidP="00C91B5F">
      <w:pPr>
        <w:pStyle w:val="Subtitle"/>
      </w:pPr>
      <w:r w:rsidRPr="000B71E0">
        <w:t>FEDERATION FUNDING AGREEMENT - HEALTH</w:t>
      </w:r>
    </w:p>
    <w:tbl>
      <w:tblPr>
        <w:tblW w:w="97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75"/>
        <w:gridCol w:w="7796"/>
        <w:gridCol w:w="6"/>
      </w:tblGrid>
      <w:tr w:rsidR="00C91B5F" w:rsidRPr="000B71E0" w14:paraId="1C5F8629" w14:textId="77777777" w:rsidTr="00B10F60">
        <w:tc>
          <w:tcPr>
            <w:tcW w:w="9777" w:type="dxa"/>
            <w:gridSpan w:val="3"/>
            <w:shd w:val="clear" w:color="auto" w:fill="DEEAF6" w:themeFill="accent1" w:themeFillTint="33"/>
          </w:tcPr>
          <w:p w14:paraId="721B4CD5" w14:textId="77777777" w:rsidR="00C91B5F" w:rsidRPr="000B71E0" w:rsidRDefault="00C91B5F" w:rsidP="003A7E0E">
            <w:pPr>
              <w:pStyle w:val="Tableformat"/>
              <w:rPr>
                <w:b/>
                <w:color w:val="auto"/>
              </w:rPr>
            </w:pPr>
            <w:r w:rsidRPr="000B71E0">
              <w:rPr>
                <w:b/>
                <w:color w:val="auto"/>
              </w:rPr>
              <w:t>Table 1: Formalities and operation of schedule</w:t>
            </w:r>
          </w:p>
        </w:tc>
      </w:tr>
      <w:tr w:rsidR="00D2082D" w:rsidRPr="00D2082D" w14:paraId="710EF654" w14:textId="77777777" w:rsidTr="00B10F60">
        <w:trPr>
          <w:gridAfter w:val="1"/>
          <w:wAfter w:w="6" w:type="dxa"/>
        </w:trPr>
        <w:tc>
          <w:tcPr>
            <w:tcW w:w="1975" w:type="dxa"/>
            <w:shd w:val="clear" w:color="auto" w:fill="auto"/>
          </w:tcPr>
          <w:p w14:paraId="17AA9343" w14:textId="77777777" w:rsidR="00C91B5F" w:rsidRPr="00D2082D" w:rsidRDefault="00C91B5F" w:rsidP="003A7E0E">
            <w:pPr>
              <w:pStyle w:val="Tableformat"/>
              <w:rPr>
                <w:color w:val="auto"/>
              </w:rPr>
            </w:pPr>
            <w:r w:rsidRPr="00D2082D">
              <w:rPr>
                <w:color w:val="auto"/>
              </w:rPr>
              <w:t>Parties</w:t>
            </w:r>
          </w:p>
        </w:tc>
        <w:tc>
          <w:tcPr>
            <w:tcW w:w="7796" w:type="dxa"/>
            <w:shd w:val="clear" w:color="auto" w:fill="auto"/>
          </w:tcPr>
          <w:p w14:paraId="05E025F2" w14:textId="77777777" w:rsidR="00C91B5F" w:rsidRPr="00D2082D" w:rsidRDefault="00C91B5F" w:rsidP="003A7E0E">
            <w:pPr>
              <w:pStyle w:val="Tableformat"/>
              <w:rPr>
                <w:color w:val="auto"/>
              </w:rPr>
            </w:pPr>
            <w:r w:rsidRPr="00D2082D">
              <w:rPr>
                <w:color w:val="auto"/>
              </w:rPr>
              <w:t>Commonwealth</w:t>
            </w:r>
            <w:r w:rsidR="000716D5" w:rsidRPr="00D2082D">
              <w:rPr>
                <w:color w:val="auto"/>
              </w:rPr>
              <w:t xml:space="preserve"> of Australia</w:t>
            </w:r>
          </w:p>
          <w:p w14:paraId="031C55A9" w14:textId="77777777" w:rsidR="00C91B5F" w:rsidRPr="00D2082D" w:rsidRDefault="00EE4E67" w:rsidP="003A7E0E">
            <w:pPr>
              <w:pStyle w:val="Tableformat"/>
              <w:rPr>
                <w:color w:val="auto"/>
              </w:rPr>
            </w:pPr>
            <w:r w:rsidRPr="00D2082D">
              <w:rPr>
                <w:color w:val="auto"/>
              </w:rPr>
              <w:t>Northern Territory Government</w:t>
            </w:r>
            <w:r w:rsidR="00C91B5F" w:rsidRPr="00D2082D">
              <w:rPr>
                <w:color w:val="auto"/>
              </w:rPr>
              <w:t xml:space="preserve"> </w:t>
            </w:r>
          </w:p>
        </w:tc>
      </w:tr>
      <w:tr w:rsidR="00D2082D" w:rsidRPr="00D2082D" w14:paraId="7DDDAF67" w14:textId="77777777" w:rsidTr="00B10F60">
        <w:trPr>
          <w:gridAfter w:val="1"/>
          <w:wAfter w:w="6" w:type="dxa"/>
        </w:trPr>
        <w:tc>
          <w:tcPr>
            <w:tcW w:w="1975" w:type="dxa"/>
            <w:shd w:val="clear" w:color="auto" w:fill="auto"/>
          </w:tcPr>
          <w:p w14:paraId="660CEEB9" w14:textId="77777777" w:rsidR="00C91B5F" w:rsidRPr="00D2082D" w:rsidRDefault="00C91B5F" w:rsidP="003A7E0E">
            <w:pPr>
              <w:pStyle w:val="Tableformat"/>
              <w:rPr>
                <w:color w:val="auto"/>
              </w:rPr>
            </w:pPr>
            <w:r w:rsidRPr="00D2082D">
              <w:rPr>
                <w:color w:val="auto"/>
              </w:rPr>
              <w:t>Duration</w:t>
            </w:r>
          </w:p>
        </w:tc>
        <w:tc>
          <w:tcPr>
            <w:tcW w:w="7796" w:type="dxa"/>
            <w:shd w:val="clear" w:color="auto" w:fill="auto"/>
          </w:tcPr>
          <w:p w14:paraId="192F29DE" w14:textId="2EA623AA" w:rsidR="00C91B5F" w:rsidRPr="00D2082D" w:rsidRDefault="00C91B5F" w:rsidP="00C93F44">
            <w:pPr>
              <w:pStyle w:val="Tableformat"/>
              <w:rPr>
                <w:color w:val="auto"/>
              </w:rPr>
            </w:pPr>
            <w:r w:rsidRPr="00D2082D">
              <w:rPr>
                <w:color w:val="auto"/>
              </w:rPr>
              <w:t>This Schedule is expected to expire on</w:t>
            </w:r>
            <w:r w:rsidR="00285433" w:rsidRPr="00D2082D">
              <w:rPr>
                <w:color w:val="auto"/>
              </w:rPr>
              <w:t xml:space="preserve"> </w:t>
            </w:r>
            <w:r w:rsidR="00717C1D" w:rsidRPr="00DB2166">
              <w:rPr>
                <w:color w:val="auto"/>
              </w:rPr>
              <w:t>30</w:t>
            </w:r>
            <w:r w:rsidR="00285433" w:rsidRPr="00DB2166">
              <w:rPr>
                <w:color w:val="auto"/>
              </w:rPr>
              <w:t xml:space="preserve"> </w:t>
            </w:r>
            <w:r w:rsidR="00717C1D" w:rsidRPr="00DB2166">
              <w:rPr>
                <w:color w:val="auto"/>
              </w:rPr>
              <w:t>June</w:t>
            </w:r>
            <w:r w:rsidR="00285433" w:rsidRPr="00DB2166">
              <w:rPr>
                <w:color w:val="auto"/>
              </w:rPr>
              <w:t xml:space="preserve"> 2022</w:t>
            </w:r>
            <w:r w:rsidR="00BA50A4" w:rsidRPr="00D2082D">
              <w:rPr>
                <w:color w:val="auto"/>
              </w:rPr>
              <w:t xml:space="preserve">, and then for sufficient additional time to allow for the final reconciliation of any payments made under this </w:t>
            </w:r>
            <w:r w:rsidR="00514465" w:rsidRPr="00D2082D">
              <w:rPr>
                <w:color w:val="auto"/>
              </w:rPr>
              <w:t>Schedule</w:t>
            </w:r>
            <w:r w:rsidR="00BA50A4" w:rsidRPr="00D2082D">
              <w:rPr>
                <w:color w:val="auto"/>
              </w:rPr>
              <w:t>.</w:t>
            </w:r>
          </w:p>
          <w:p w14:paraId="4165EA63" w14:textId="101737DD" w:rsidR="00605804" w:rsidRPr="00D2082D" w:rsidRDefault="00756C53" w:rsidP="0068740E">
            <w:pPr>
              <w:pStyle w:val="Tableformat"/>
              <w:rPr>
                <w:color w:val="auto"/>
              </w:rPr>
            </w:pPr>
            <w:r w:rsidRPr="00D2082D">
              <w:rPr>
                <w:color w:val="auto"/>
              </w:rPr>
              <w:t>This Schedule may be extended by agreement in writing between the parties. The Schedule may also be terminated as agreed in writing by the parties.</w:t>
            </w:r>
          </w:p>
        </w:tc>
      </w:tr>
      <w:tr w:rsidR="00D2082D" w:rsidRPr="00D2082D" w14:paraId="49B05DE0" w14:textId="77777777" w:rsidTr="00B10F60">
        <w:trPr>
          <w:gridAfter w:val="1"/>
          <w:wAfter w:w="6" w:type="dxa"/>
        </w:trPr>
        <w:tc>
          <w:tcPr>
            <w:tcW w:w="1975" w:type="dxa"/>
            <w:shd w:val="clear" w:color="auto" w:fill="auto"/>
          </w:tcPr>
          <w:p w14:paraId="3C9F01A6" w14:textId="77777777" w:rsidR="003545A7" w:rsidRPr="00D2082D" w:rsidRDefault="003545A7" w:rsidP="003545A7">
            <w:pPr>
              <w:pStyle w:val="Tableformat"/>
              <w:rPr>
                <w:color w:val="auto"/>
              </w:rPr>
            </w:pPr>
            <w:r w:rsidRPr="00D2082D">
              <w:rPr>
                <w:color w:val="auto"/>
              </w:rPr>
              <w:t>Purpose</w:t>
            </w:r>
          </w:p>
        </w:tc>
        <w:tc>
          <w:tcPr>
            <w:tcW w:w="7796" w:type="dxa"/>
            <w:shd w:val="clear" w:color="auto" w:fill="auto"/>
          </w:tcPr>
          <w:p w14:paraId="3B0F0144" w14:textId="53FAA827" w:rsidR="009F3398" w:rsidRPr="00D2082D" w:rsidRDefault="003545A7" w:rsidP="009F3398">
            <w:pPr>
              <w:pStyle w:val="Tableformat"/>
              <w:rPr>
                <w:color w:val="auto"/>
              </w:rPr>
            </w:pPr>
            <w:r w:rsidRPr="00D2082D">
              <w:rPr>
                <w:color w:val="auto"/>
              </w:rPr>
              <w:t xml:space="preserve">This Schedule will support </w:t>
            </w:r>
            <w:r w:rsidR="0094585D" w:rsidRPr="00DB2166">
              <w:rPr>
                <w:color w:val="auto"/>
              </w:rPr>
              <w:t xml:space="preserve">an extension to </w:t>
            </w:r>
            <w:r w:rsidRPr="00D2082D">
              <w:rPr>
                <w:color w:val="auto"/>
              </w:rPr>
              <w:t xml:space="preserve">the delivery of </w:t>
            </w:r>
            <w:r w:rsidR="007259FE" w:rsidRPr="00D2082D">
              <w:rPr>
                <w:color w:val="auto"/>
              </w:rPr>
              <w:t>quarantine capacity at the Centre for National Resilience</w:t>
            </w:r>
            <w:r w:rsidR="00434C6D" w:rsidRPr="00D2082D">
              <w:rPr>
                <w:color w:val="auto"/>
              </w:rPr>
              <w:t>, including the capital expenditure, health services and facility operations costs</w:t>
            </w:r>
            <w:r w:rsidRPr="00D2082D">
              <w:rPr>
                <w:color w:val="auto"/>
              </w:rPr>
              <w:t xml:space="preserve"> to accept Australian repatriations</w:t>
            </w:r>
            <w:r w:rsidR="00254F0E" w:rsidRPr="00D2082D">
              <w:rPr>
                <w:color w:val="auto"/>
              </w:rPr>
              <w:t xml:space="preserve"> </w:t>
            </w:r>
            <w:r w:rsidR="00254F0E" w:rsidRPr="00DB2166">
              <w:rPr>
                <w:color w:val="auto"/>
              </w:rPr>
              <w:t>and other international arrivals</w:t>
            </w:r>
            <w:r w:rsidR="0023336F" w:rsidRPr="00DB2166">
              <w:rPr>
                <w:color w:val="auto"/>
              </w:rPr>
              <w:t xml:space="preserve"> as agreed by both parties</w:t>
            </w:r>
            <w:r w:rsidRPr="00DB2166">
              <w:rPr>
                <w:color w:val="auto"/>
              </w:rPr>
              <w:t xml:space="preserve">. </w:t>
            </w:r>
          </w:p>
        </w:tc>
      </w:tr>
      <w:tr w:rsidR="00D2082D" w:rsidRPr="00D2082D" w14:paraId="2ADC5EED" w14:textId="77777777" w:rsidTr="00B10F60">
        <w:trPr>
          <w:gridAfter w:val="1"/>
          <w:wAfter w:w="6" w:type="dxa"/>
        </w:trPr>
        <w:tc>
          <w:tcPr>
            <w:tcW w:w="1975" w:type="dxa"/>
            <w:shd w:val="clear" w:color="auto" w:fill="auto"/>
          </w:tcPr>
          <w:p w14:paraId="0E0E41DB" w14:textId="77777777" w:rsidR="003545A7" w:rsidRPr="00D2082D" w:rsidRDefault="003545A7" w:rsidP="003545A7">
            <w:pPr>
              <w:pStyle w:val="Tableformat"/>
              <w:rPr>
                <w:color w:val="auto"/>
              </w:rPr>
            </w:pPr>
            <w:r w:rsidRPr="00D2082D">
              <w:rPr>
                <w:color w:val="auto"/>
              </w:rPr>
              <w:t>Scope</w:t>
            </w:r>
          </w:p>
        </w:tc>
        <w:tc>
          <w:tcPr>
            <w:tcW w:w="7796" w:type="dxa"/>
            <w:shd w:val="clear" w:color="auto" w:fill="auto"/>
          </w:tcPr>
          <w:p w14:paraId="54011C1D" w14:textId="76294109" w:rsidR="003545A7" w:rsidRPr="00DB2166" w:rsidRDefault="003545A7" w:rsidP="003545A7">
            <w:pPr>
              <w:pStyle w:val="Tableformat"/>
              <w:rPr>
                <w:color w:val="auto"/>
              </w:rPr>
            </w:pPr>
            <w:r w:rsidRPr="00D2082D">
              <w:rPr>
                <w:color w:val="auto"/>
              </w:rPr>
              <w:t>This Schedule covers</w:t>
            </w:r>
            <w:r w:rsidR="00DC6EC1" w:rsidRPr="00D2082D">
              <w:rPr>
                <w:color w:val="auto"/>
              </w:rPr>
              <w:t xml:space="preserve"> </w:t>
            </w:r>
            <w:r w:rsidR="00F169C0" w:rsidRPr="00D2082D">
              <w:rPr>
                <w:color w:val="auto"/>
              </w:rPr>
              <w:t xml:space="preserve">all activities </w:t>
            </w:r>
            <w:r w:rsidR="00D8093F" w:rsidRPr="00D2082D">
              <w:rPr>
                <w:color w:val="auto"/>
              </w:rPr>
              <w:t xml:space="preserve">outlined in </w:t>
            </w:r>
            <w:r w:rsidR="00D8093F" w:rsidRPr="00D2082D">
              <w:rPr>
                <w:color w:val="auto"/>
                <w:u w:val="single"/>
              </w:rPr>
              <w:t>Appendix A</w:t>
            </w:r>
            <w:r w:rsidR="00D8093F" w:rsidRPr="00D2082D">
              <w:rPr>
                <w:color w:val="auto"/>
              </w:rPr>
              <w:t xml:space="preserve"> for </w:t>
            </w:r>
            <w:r w:rsidR="00D75816" w:rsidRPr="00D2082D">
              <w:rPr>
                <w:color w:val="auto"/>
              </w:rPr>
              <w:t xml:space="preserve">Australian residents, </w:t>
            </w:r>
            <w:r w:rsidRPr="00D2082D">
              <w:rPr>
                <w:color w:val="auto"/>
              </w:rPr>
              <w:t xml:space="preserve">permanent Australian </w:t>
            </w:r>
            <w:proofErr w:type="gramStart"/>
            <w:r w:rsidRPr="00D2082D">
              <w:rPr>
                <w:color w:val="auto"/>
              </w:rPr>
              <w:t>residents</w:t>
            </w:r>
            <w:proofErr w:type="gramEnd"/>
            <w:r w:rsidRPr="00D2082D">
              <w:rPr>
                <w:color w:val="auto"/>
              </w:rPr>
              <w:t xml:space="preserve"> or visa holders with immediate family in Australia whose return from International locations has been facilitated by the Commonwealth.</w:t>
            </w:r>
            <w:r w:rsidR="0094585D" w:rsidRPr="00D2082D">
              <w:rPr>
                <w:color w:val="auto"/>
              </w:rPr>
              <w:t xml:space="preserve"> </w:t>
            </w:r>
            <w:r w:rsidR="00BE4192" w:rsidRPr="00DB2166">
              <w:rPr>
                <w:color w:val="auto"/>
              </w:rPr>
              <w:t>Other</w:t>
            </w:r>
            <w:r w:rsidR="0094585D" w:rsidRPr="00DB2166">
              <w:rPr>
                <w:color w:val="auto"/>
              </w:rPr>
              <w:t xml:space="preserve"> </w:t>
            </w:r>
            <w:r w:rsidR="00277EF2" w:rsidRPr="00DB2166">
              <w:rPr>
                <w:color w:val="auto"/>
              </w:rPr>
              <w:t>cohorts</w:t>
            </w:r>
            <w:r w:rsidR="0094585D" w:rsidRPr="00DB2166">
              <w:rPr>
                <w:color w:val="auto"/>
              </w:rPr>
              <w:t xml:space="preserve"> </w:t>
            </w:r>
            <w:r w:rsidR="00BE4192" w:rsidRPr="00DB2166">
              <w:rPr>
                <w:color w:val="auto"/>
              </w:rPr>
              <w:t xml:space="preserve">of international arrivals may also be included </w:t>
            </w:r>
            <w:r w:rsidR="0023336F" w:rsidRPr="00DB2166">
              <w:rPr>
                <w:color w:val="auto"/>
              </w:rPr>
              <w:t>following</w:t>
            </w:r>
            <w:r w:rsidR="00BE4192" w:rsidRPr="00DB2166">
              <w:rPr>
                <w:color w:val="auto"/>
              </w:rPr>
              <w:t xml:space="preserve"> written agreement between both parties. </w:t>
            </w:r>
          </w:p>
          <w:p w14:paraId="2AD53D94" w14:textId="0E04EA3F" w:rsidR="00794A8A" w:rsidRPr="00DB2166" w:rsidRDefault="00717C1D" w:rsidP="003545A7">
            <w:pPr>
              <w:pStyle w:val="Tableformat"/>
              <w:rPr>
                <w:color w:val="auto"/>
              </w:rPr>
            </w:pPr>
            <w:r w:rsidRPr="00DB2166">
              <w:rPr>
                <w:color w:val="auto"/>
              </w:rPr>
              <w:t>From 1 January 2022, the capacity at the Centre will support up to 1,</w:t>
            </w:r>
            <w:r w:rsidR="00613778" w:rsidRPr="00DB2166">
              <w:rPr>
                <w:color w:val="auto"/>
              </w:rPr>
              <w:t>6</w:t>
            </w:r>
            <w:r w:rsidRPr="00DB2166">
              <w:rPr>
                <w:color w:val="auto"/>
              </w:rPr>
              <w:t xml:space="preserve">00 individuals to quarantine per fortnight through to 30 June 2022. </w:t>
            </w:r>
          </w:p>
          <w:p w14:paraId="51A82DC2" w14:textId="77777777" w:rsidR="003545A7" w:rsidRPr="00D2082D" w:rsidRDefault="003545A7" w:rsidP="003545A7">
            <w:pPr>
              <w:pStyle w:val="Tableformat"/>
              <w:rPr>
                <w:color w:val="auto"/>
              </w:rPr>
            </w:pPr>
            <w:r w:rsidRPr="00D2082D">
              <w:rPr>
                <w:color w:val="auto"/>
              </w:rPr>
              <w:t>The Northern Territory will maintain primary responsibility</w:t>
            </w:r>
            <w:r w:rsidR="000F363E" w:rsidRPr="00D2082D">
              <w:rPr>
                <w:color w:val="auto"/>
              </w:rPr>
              <w:t xml:space="preserve"> and authority</w:t>
            </w:r>
            <w:r w:rsidRPr="00D2082D">
              <w:rPr>
                <w:color w:val="auto"/>
              </w:rPr>
              <w:t xml:space="preserve"> for the delivery of this Schedule to support COVID-19 quarantine for </w:t>
            </w:r>
            <w:proofErr w:type="spellStart"/>
            <w:r w:rsidRPr="00D2082D">
              <w:rPr>
                <w:color w:val="auto"/>
              </w:rPr>
              <w:t>Organised</w:t>
            </w:r>
            <w:proofErr w:type="spellEnd"/>
            <w:r w:rsidRPr="00D2082D">
              <w:rPr>
                <w:color w:val="auto"/>
              </w:rPr>
              <w:t xml:space="preserve"> National Repatriation of Australians entering the Northern Territory</w:t>
            </w:r>
            <w:r w:rsidR="00434C6D" w:rsidRPr="00D2082D">
              <w:rPr>
                <w:color w:val="auto"/>
              </w:rPr>
              <w:t xml:space="preserve"> as outlined in the section on Responsibilities</w:t>
            </w:r>
            <w:r w:rsidRPr="00D2082D">
              <w:rPr>
                <w:color w:val="auto"/>
              </w:rPr>
              <w:t>.  The Commonwealth will assist the Northern Territory by undertaking the activities outlined in the section on Responsibilities.</w:t>
            </w:r>
          </w:p>
          <w:p w14:paraId="0AF66DBB" w14:textId="08143356" w:rsidR="009B11E3" w:rsidRPr="00D2082D" w:rsidRDefault="00C04313" w:rsidP="00515F19">
            <w:pPr>
              <w:pStyle w:val="Tableformat"/>
              <w:rPr>
                <w:color w:val="auto"/>
              </w:rPr>
            </w:pPr>
            <w:r w:rsidRPr="00D2082D">
              <w:rPr>
                <w:color w:val="auto"/>
              </w:rPr>
              <w:t>Northern Territory obligations under this agreement cease</w:t>
            </w:r>
            <w:r w:rsidR="007259FE" w:rsidRPr="00D2082D">
              <w:rPr>
                <w:color w:val="auto"/>
              </w:rPr>
              <w:t>s</w:t>
            </w:r>
            <w:r w:rsidRPr="00D2082D">
              <w:rPr>
                <w:color w:val="auto"/>
              </w:rPr>
              <w:t xml:space="preserve"> </w:t>
            </w:r>
            <w:r w:rsidR="007259FE" w:rsidRPr="00D2082D">
              <w:rPr>
                <w:color w:val="auto"/>
              </w:rPr>
              <w:t xml:space="preserve">once the period of </w:t>
            </w:r>
            <w:r w:rsidRPr="00D2082D">
              <w:rPr>
                <w:color w:val="auto"/>
              </w:rPr>
              <w:t>quarantin</w:t>
            </w:r>
            <w:r w:rsidR="007259FE" w:rsidRPr="00D2082D">
              <w:rPr>
                <w:color w:val="auto"/>
              </w:rPr>
              <w:t>ing of the individual has ended</w:t>
            </w:r>
            <w:r w:rsidRPr="00D2082D">
              <w:rPr>
                <w:color w:val="auto"/>
              </w:rPr>
              <w:t xml:space="preserve">. </w:t>
            </w:r>
          </w:p>
        </w:tc>
      </w:tr>
      <w:tr w:rsidR="00D2082D" w:rsidRPr="00D2082D" w14:paraId="4C303183" w14:textId="77777777" w:rsidTr="00B10F60">
        <w:trPr>
          <w:gridAfter w:val="1"/>
          <w:wAfter w:w="6" w:type="dxa"/>
        </w:trPr>
        <w:tc>
          <w:tcPr>
            <w:tcW w:w="1975" w:type="dxa"/>
            <w:shd w:val="clear" w:color="auto" w:fill="auto"/>
          </w:tcPr>
          <w:p w14:paraId="63326238" w14:textId="32FFEAB4" w:rsidR="00C91B5F" w:rsidRPr="00DB2166" w:rsidRDefault="00C91B5F" w:rsidP="003A7E0E">
            <w:pPr>
              <w:pStyle w:val="Tableformat"/>
              <w:rPr>
                <w:strike/>
                <w:color w:val="auto"/>
              </w:rPr>
            </w:pPr>
            <w:r w:rsidRPr="00D2082D">
              <w:rPr>
                <w:color w:val="auto"/>
              </w:rPr>
              <w:t>Estimated financial contributions</w:t>
            </w:r>
          </w:p>
        </w:tc>
        <w:tc>
          <w:tcPr>
            <w:tcW w:w="7796" w:type="dxa"/>
            <w:shd w:val="clear" w:color="auto" w:fill="auto"/>
          </w:tcPr>
          <w:p w14:paraId="1EEEDA0F" w14:textId="78017D29" w:rsidR="00704099" w:rsidRPr="00D2082D" w:rsidRDefault="00C91B5F" w:rsidP="00ED1AA6">
            <w:pPr>
              <w:pStyle w:val="Tableformat"/>
              <w:rPr>
                <w:color w:val="auto"/>
              </w:rPr>
            </w:pPr>
            <w:r w:rsidRPr="00D2082D">
              <w:rPr>
                <w:color w:val="auto"/>
              </w:rPr>
              <w:t>The Commonwealth will provide an estimated total financial contribution to the</w:t>
            </w:r>
            <w:r w:rsidR="00C016FF" w:rsidRPr="00D2082D">
              <w:rPr>
                <w:color w:val="auto"/>
              </w:rPr>
              <w:t xml:space="preserve"> </w:t>
            </w:r>
            <w:r w:rsidR="009C3A1D" w:rsidRPr="00D2082D">
              <w:rPr>
                <w:color w:val="auto"/>
              </w:rPr>
              <w:t xml:space="preserve">Northern Territory </w:t>
            </w:r>
            <w:r w:rsidR="00E072DA" w:rsidRPr="00D2082D">
              <w:rPr>
                <w:color w:val="auto"/>
              </w:rPr>
              <w:t xml:space="preserve">of </w:t>
            </w:r>
            <w:r w:rsidR="00C44BCF" w:rsidRPr="00D2082D">
              <w:rPr>
                <w:color w:val="auto"/>
              </w:rPr>
              <w:t>$</w:t>
            </w:r>
            <w:r w:rsidR="008116B2" w:rsidRPr="00D2082D">
              <w:rPr>
                <w:color w:val="auto"/>
              </w:rPr>
              <w:t>5</w:t>
            </w:r>
            <w:r w:rsidR="00ED1AA6" w:rsidRPr="00D2082D">
              <w:rPr>
                <w:color w:val="auto"/>
              </w:rPr>
              <w:t>13.5</w:t>
            </w:r>
            <w:r w:rsidR="008116B2" w:rsidRPr="00D2082D">
              <w:rPr>
                <w:color w:val="auto"/>
              </w:rPr>
              <w:t>million</w:t>
            </w:r>
            <w:r w:rsidRPr="00D2082D">
              <w:rPr>
                <w:color w:val="auto"/>
              </w:rPr>
              <w:t xml:space="preserve"> in respect of </w:t>
            </w:r>
            <w:r w:rsidRPr="00D2082D">
              <w:rPr>
                <w:color w:val="auto"/>
              </w:rPr>
              <w:lastRenderedPageBreak/>
              <w:t>this Schedule.</w:t>
            </w:r>
            <w:r w:rsidR="00E80CF9" w:rsidRPr="00D2082D">
              <w:rPr>
                <w:color w:val="auto"/>
              </w:rPr>
              <w:t xml:space="preserve"> </w:t>
            </w:r>
            <w:r w:rsidR="004A3B96" w:rsidRPr="00DB2166">
              <w:rPr>
                <w:color w:val="auto"/>
              </w:rPr>
              <w:t>Monthly payments will be based on actual invoiced expenditure.</w:t>
            </w:r>
          </w:p>
        </w:tc>
      </w:tr>
      <w:tr w:rsidR="00D2082D" w:rsidRPr="00D2082D" w14:paraId="08F9B515" w14:textId="77777777" w:rsidTr="00B10F60">
        <w:trPr>
          <w:gridAfter w:val="1"/>
          <w:wAfter w:w="6" w:type="dxa"/>
        </w:trPr>
        <w:tc>
          <w:tcPr>
            <w:tcW w:w="1975" w:type="dxa"/>
            <w:shd w:val="clear" w:color="auto" w:fill="auto"/>
          </w:tcPr>
          <w:p w14:paraId="6FE8540A" w14:textId="77777777" w:rsidR="00C91B5F" w:rsidRPr="00D2082D" w:rsidRDefault="000A2842" w:rsidP="003A7E0E">
            <w:pPr>
              <w:pStyle w:val="Tableformat"/>
              <w:rPr>
                <w:color w:val="auto"/>
              </w:rPr>
            </w:pPr>
            <w:r w:rsidRPr="00D2082D">
              <w:rPr>
                <w:color w:val="auto"/>
              </w:rPr>
              <w:lastRenderedPageBreak/>
              <w:t>Context</w:t>
            </w:r>
            <w:r w:rsidR="00C91B5F" w:rsidRPr="00D2082D">
              <w:rPr>
                <w:color w:val="auto"/>
              </w:rPr>
              <w:t xml:space="preserve"> </w:t>
            </w:r>
          </w:p>
        </w:tc>
        <w:tc>
          <w:tcPr>
            <w:tcW w:w="7796" w:type="dxa"/>
            <w:shd w:val="clear" w:color="auto" w:fill="auto"/>
          </w:tcPr>
          <w:p w14:paraId="3EED0196" w14:textId="77777777" w:rsidR="000A2842" w:rsidRPr="00D2082D" w:rsidRDefault="00156870" w:rsidP="000A2842">
            <w:pPr>
              <w:pStyle w:val="Tableformat"/>
              <w:rPr>
                <w:color w:val="auto"/>
              </w:rPr>
            </w:pPr>
            <w:r w:rsidRPr="00D2082D">
              <w:rPr>
                <w:color w:val="auto"/>
              </w:rPr>
              <w:t>International t</w:t>
            </w:r>
            <w:r w:rsidR="000A2842" w:rsidRPr="00D2082D">
              <w:rPr>
                <w:color w:val="auto"/>
              </w:rPr>
              <w:t>ravel restrictions and quarantine requirements have been implemented to reduce the risk of imported cases of COVID-19.</w:t>
            </w:r>
          </w:p>
          <w:p w14:paraId="582E050C" w14:textId="6AB2DFBB" w:rsidR="000A2842" w:rsidRPr="00DB2166" w:rsidRDefault="000A2842" w:rsidP="000A2842">
            <w:pPr>
              <w:pStyle w:val="Tableformat"/>
              <w:rPr>
                <w:strike/>
                <w:color w:val="auto"/>
              </w:rPr>
            </w:pPr>
            <w:r w:rsidRPr="00D2082D">
              <w:rPr>
                <w:color w:val="auto"/>
              </w:rPr>
              <w:t xml:space="preserve">Restrictions to international travel, as well as individual Australian state and territory quotas for international flight arrivals, mean that a dedicated national response is required to facilitate </w:t>
            </w:r>
            <w:r w:rsidR="00277EF2" w:rsidRPr="00DB2166">
              <w:rPr>
                <w:color w:val="auto"/>
              </w:rPr>
              <w:t xml:space="preserve">international arrivals. </w:t>
            </w:r>
          </w:p>
          <w:p w14:paraId="4BE0D46A" w14:textId="054AD221" w:rsidR="003F273A" w:rsidRPr="00DB2166" w:rsidRDefault="004E2151" w:rsidP="000A2842">
            <w:pPr>
              <w:pStyle w:val="Tableformat"/>
              <w:rPr>
                <w:color w:val="auto"/>
              </w:rPr>
            </w:pPr>
            <w:r w:rsidRPr="00DB2166">
              <w:rPr>
                <w:color w:val="auto"/>
              </w:rPr>
              <w:t>Decisions on quarantine requirements are the responsibility of each jurisdiction under their respective Public Health Orders.</w:t>
            </w:r>
            <w:r w:rsidR="00BE4192" w:rsidRPr="00DB2166">
              <w:rPr>
                <w:color w:val="auto"/>
              </w:rPr>
              <w:t xml:space="preserve"> </w:t>
            </w:r>
          </w:p>
          <w:p w14:paraId="2F193F2E" w14:textId="6BF04B46" w:rsidR="00090065" w:rsidRPr="00DB2166" w:rsidRDefault="003F273A" w:rsidP="000A2842">
            <w:pPr>
              <w:pStyle w:val="Tableformat"/>
              <w:rPr>
                <w:color w:val="auto"/>
              </w:rPr>
            </w:pPr>
            <w:r w:rsidRPr="00DB2166">
              <w:rPr>
                <w:color w:val="auto"/>
              </w:rPr>
              <w:t xml:space="preserve">The Centre for National Resilience was established </w:t>
            </w:r>
            <w:r w:rsidR="00090065" w:rsidRPr="00DB2166">
              <w:rPr>
                <w:color w:val="auto"/>
              </w:rPr>
              <w:t xml:space="preserve">in October 2020 </w:t>
            </w:r>
            <w:r w:rsidRPr="00DB2166">
              <w:rPr>
                <w:color w:val="auto"/>
              </w:rPr>
              <w:t xml:space="preserve">to </w:t>
            </w:r>
            <w:proofErr w:type="spellStart"/>
            <w:r w:rsidRPr="00DB2166">
              <w:rPr>
                <w:color w:val="auto"/>
              </w:rPr>
              <w:t>prioritise</w:t>
            </w:r>
            <w:proofErr w:type="spellEnd"/>
            <w:r w:rsidRPr="00DB2166">
              <w:rPr>
                <w:color w:val="auto"/>
              </w:rPr>
              <w:t xml:space="preserve"> the return of stranded Australians, many of which have identified as vulnerable. This includes those with medical conditions, families with a variety of needs and those requiring financial assistance to return. </w:t>
            </w:r>
          </w:p>
          <w:p w14:paraId="719EABDF" w14:textId="24CD06C6" w:rsidR="00BE4192" w:rsidRPr="00DB2166" w:rsidRDefault="003F273A" w:rsidP="000A2842">
            <w:pPr>
              <w:pStyle w:val="Tableformat"/>
              <w:rPr>
                <w:color w:val="auto"/>
              </w:rPr>
            </w:pPr>
            <w:r w:rsidRPr="00DB2166">
              <w:rPr>
                <w:color w:val="auto"/>
              </w:rPr>
              <w:t xml:space="preserve">The </w:t>
            </w:r>
            <w:r w:rsidR="00090065" w:rsidRPr="00DB2166">
              <w:rPr>
                <w:color w:val="auto"/>
              </w:rPr>
              <w:t xml:space="preserve">parties agree that the </w:t>
            </w:r>
            <w:r w:rsidRPr="00DB2166">
              <w:rPr>
                <w:color w:val="auto"/>
              </w:rPr>
              <w:t>Centre</w:t>
            </w:r>
            <w:r w:rsidR="00090065" w:rsidRPr="00DB2166">
              <w:rPr>
                <w:color w:val="auto"/>
              </w:rPr>
              <w:t xml:space="preserve"> for National Resilience</w:t>
            </w:r>
            <w:r w:rsidRPr="00DB2166">
              <w:rPr>
                <w:color w:val="auto"/>
              </w:rPr>
              <w:t xml:space="preserve"> will continue </w:t>
            </w:r>
            <w:r w:rsidR="00090065" w:rsidRPr="00DB2166">
              <w:rPr>
                <w:color w:val="auto"/>
              </w:rPr>
              <w:t xml:space="preserve">until the Schedule end date </w:t>
            </w:r>
            <w:r w:rsidRPr="00DB2166">
              <w:rPr>
                <w:color w:val="auto"/>
              </w:rPr>
              <w:t>to support Australians to return</w:t>
            </w:r>
            <w:r w:rsidR="00090065" w:rsidRPr="00DB2166">
              <w:rPr>
                <w:color w:val="auto"/>
              </w:rPr>
              <w:t xml:space="preserve"> and undertake quarantine</w:t>
            </w:r>
            <w:r w:rsidRPr="00DB2166">
              <w:rPr>
                <w:color w:val="auto"/>
              </w:rPr>
              <w:t xml:space="preserve"> as the COVID-19 pandemic evolves.</w:t>
            </w:r>
            <w:r w:rsidR="00090065" w:rsidRPr="00DB2166">
              <w:rPr>
                <w:color w:val="auto"/>
              </w:rPr>
              <w:t xml:space="preserve"> The Centre may also be used to quarantine other international arrivals as, such as humanitarian and economic cohorts, as agreed by both parties. </w:t>
            </w:r>
            <w:r w:rsidRPr="00DB2166">
              <w:rPr>
                <w:color w:val="auto"/>
              </w:rPr>
              <w:t xml:space="preserve"> </w:t>
            </w:r>
          </w:p>
          <w:p w14:paraId="78848296" w14:textId="7BE7A2ED" w:rsidR="000A2842" w:rsidRPr="00D2082D" w:rsidRDefault="000A2842" w:rsidP="000A2842">
            <w:pPr>
              <w:pStyle w:val="Tableformat"/>
              <w:rPr>
                <w:color w:val="auto"/>
              </w:rPr>
            </w:pPr>
            <w:r w:rsidRPr="00D2082D">
              <w:rPr>
                <w:color w:val="auto"/>
              </w:rPr>
              <w:t>The</w:t>
            </w:r>
            <w:r w:rsidRPr="00DB2166">
              <w:rPr>
                <w:color w:val="auto"/>
              </w:rPr>
              <w:t xml:space="preserve"> </w:t>
            </w:r>
            <w:r w:rsidR="00090065" w:rsidRPr="00DB2166">
              <w:rPr>
                <w:color w:val="auto"/>
              </w:rPr>
              <w:t>operations of the</w:t>
            </w:r>
            <w:r w:rsidRPr="00DB2166">
              <w:rPr>
                <w:color w:val="auto"/>
              </w:rPr>
              <w:t xml:space="preserve"> </w:t>
            </w:r>
            <w:r w:rsidRPr="00D2082D">
              <w:rPr>
                <w:color w:val="auto"/>
              </w:rPr>
              <w:t>Centre for National Resilience to quarantine Australian repatriations</w:t>
            </w:r>
            <w:r w:rsidR="0094585D" w:rsidRPr="00D2082D">
              <w:rPr>
                <w:color w:val="auto"/>
              </w:rPr>
              <w:t xml:space="preserve"> </w:t>
            </w:r>
            <w:r w:rsidR="00254F0E" w:rsidRPr="00DB2166">
              <w:rPr>
                <w:color w:val="auto"/>
              </w:rPr>
              <w:t>and other international arrivals</w:t>
            </w:r>
            <w:r w:rsidRPr="00DB2166">
              <w:rPr>
                <w:color w:val="auto"/>
              </w:rPr>
              <w:t xml:space="preserve"> </w:t>
            </w:r>
            <w:r w:rsidR="00090065" w:rsidRPr="00DB2166">
              <w:rPr>
                <w:color w:val="auto"/>
              </w:rPr>
              <w:t>will</w:t>
            </w:r>
            <w:r w:rsidRPr="00DB2166">
              <w:rPr>
                <w:color w:val="auto"/>
              </w:rPr>
              <w:t>:</w:t>
            </w:r>
          </w:p>
          <w:p w14:paraId="0E929D8C" w14:textId="77777777" w:rsidR="000A2842" w:rsidRPr="00D2082D" w:rsidRDefault="000A2842" w:rsidP="003E3B5B">
            <w:pPr>
              <w:pStyle w:val="Tableformat"/>
              <w:numPr>
                <w:ilvl w:val="0"/>
                <w:numId w:val="3"/>
              </w:numPr>
              <w:ind w:left="360"/>
              <w:rPr>
                <w:color w:val="auto"/>
              </w:rPr>
            </w:pPr>
            <w:r w:rsidRPr="00D2082D">
              <w:rPr>
                <w:color w:val="auto"/>
              </w:rPr>
              <w:t xml:space="preserve">Allow Australians to return home </w:t>
            </w:r>
            <w:proofErr w:type="gramStart"/>
            <w:r w:rsidRPr="00D2082D">
              <w:rPr>
                <w:color w:val="auto"/>
              </w:rPr>
              <w:t>as soon as possible;</w:t>
            </w:r>
            <w:proofErr w:type="gramEnd"/>
          </w:p>
          <w:p w14:paraId="0623E674" w14:textId="4E6A3F13" w:rsidR="007D191B" w:rsidRPr="00DB2166" w:rsidRDefault="00A55841" w:rsidP="003E3B5B">
            <w:pPr>
              <w:pStyle w:val="Tableformat"/>
              <w:numPr>
                <w:ilvl w:val="0"/>
                <w:numId w:val="3"/>
              </w:numPr>
              <w:ind w:left="360"/>
              <w:rPr>
                <w:color w:val="auto"/>
              </w:rPr>
            </w:pPr>
            <w:r w:rsidRPr="00DB2166">
              <w:rPr>
                <w:color w:val="auto"/>
              </w:rPr>
              <w:t>Support Australia's human rights efforts by accepting</w:t>
            </w:r>
            <w:r w:rsidR="007D191B" w:rsidRPr="00DB2166">
              <w:rPr>
                <w:color w:val="auto"/>
              </w:rPr>
              <w:t xml:space="preserve"> humanitarian </w:t>
            </w:r>
            <w:proofErr w:type="gramStart"/>
            <w:r w:rsidR="007D191B" w:rsidRPr="00DB2166">
              <w:rPr>
                <w:color w:val="auto"/>
              </w:rPr>
              <w:t>entrants;</w:t>
            </w:r>
            <w:proofErr w:type="gramEnd"/>
          </w:p>
          <w:p w14:paraId="29B2AA73" w14:textId="15A2159D" w:rsidR="000A2842" w:rsidRPr="00D2082D" w:rsidRDefault="000A2842" w:rsidP="003E3B5B">
            <w:pPr>
              <w:pStyle w:val="Tableformat"/>
              <w:numPr>
                <w:ilvl w:val="0"/>
                <w:numId w:val="3"/>
              </w:numPr>
              <w:ind w:left="360"/>
              <w:rPr>
                <w:color w:val="auto"/>
              </w:rPr>
            </w:pPr>
            <w:r w:rsidRPr="00D2082D">
              <w:rPr>
                <w:color w:val="auto"/>
              </w:rPr>
              <w:t>Rebuild our economy through increased economic opportunities; and</w:t>
            </w:r>
          </w:p>
          <w:p w14:paraId="4641C628" w14:textId="56C03934" w:rsidR="00624C37" w:rsidRPr="00D2082D" w:rsidRDefault="000A2842" w:rsidP="003E3B5B">
            <w:pPr>
              <w:pStyle w:val="Tableformat"/>
              <w:numPr>
                <w:ilvl w:val="0"/>
                <w:numId w:val="3"/>
              </w:numPr>
              <w:ind w:left="360"/>
              <w:rPr>
                <w:color w:val="auto"/>
              </w:rPr>
            </w:pPr>
            <w:r w:rsidRPr="00D2082D">
              <w:rPr>
                <w:color w:val="auto"/>
              </w:rPr>
              <w:t xml:space="preserve">Continue to protect Australians from any transmission of COVID-19 from </w:t>
            </w:r>
            <w:r w:rsidR="00B77159" w:rsidRPr="00DB2166">
              <w:rPr>
                <w:color w:val="auto"/>
              </w:rPr>
              <w:t>international arrivals</w:t>
            </w:r>
            <w:r w:rsidR="0094585D" w:rsidRPr="00DB2166">
              <w:rPr>
                <w:color w:val="auto"/>
              </w:rPr>
              <w:t>.</w:t>
            </w:r>
          </w:p>
          <w:p w14:paraId="645BD834" w14:textId="54B22EA2" w:rsidR="000A2842" w:rsidRPr="00D2082D" w:rsidRDefault="006B2FF6" w:rsidP="000A2842">
            <w:pPr>
              <w:pStyle w:val="Tableformat"/>
              <w:rPr>
                <w:color w:val="auto"/>
              </w:rPr>
            </w:pPr>
            <w:r w:rsidRPr="00D2082D">
              <w:rPr>
                <w:color w:val="auto"/>
              </w:rPr>
              <w:t xml:space="preserve">The Centre falls under the Emergency Management legislated structure for all emergencies in the Northern Territory, accordingly the Centre reports through the Incident Controller of the Emergency Operations Centre reporting to the Territory Controller. </w:t>
            </w:r>
            <w:r w:rsidR="000A2842" w:rsidRPr="00D2082D">
              <w:rPr>
                <w:color w:val="auto"/>
              </w:rPr>
              <w:t>The Northern Territory</w:t>
            </w:r>
            <w:r w:rsidR="00767844" w:rsidRPr="00D2082D">
              <w:rPr>
                <w:color w:val="auto"/>
              </w:rPr>
              <w:t xml:space="preserve"> Government</w:t>
            </w:r>
            <w:r w:rsidR="00985FCC" w:rsidRPr="00D2082D">
              <w:rPr>
                <w:color w:val="auto"/>
              </w:rPr>
              <w:t xml:space="preserve"> will administer a single governance and operational model for the entire Centre for National Resilience at Howard Springs</w:t>
            </w:r>
            <w:r w:rsidR="00381EAF" w:rsidRPr="00D2082D">
              <w:rPr>
                <w:color w:val="auto"/>
              </w:rPr>
              <w:t xml:space="preserve"> </w:t>
            </w:r>
            <w:r w:rsidR="00295C10" w:rsidRPr="00DB2166">
              <w:rPr>
                <w:color w:val="auto"/>
              </w:rPr>
              <w:t>through the Northern Territory Public Health System and Emergency Operations Centre with an operating model that maintains strong clinical governance.</w:t>
            </w:r>
            <w:r w:rsidR="0094585D" w:rsidRPr="00D2082D">
              <w:rPr>
                <w:color w:val="auto"/>
              </w:rPr>
              <w:t xml:space="preserve"> </w:t>
            </w:r>
          </w:p>
          <w:p w14:paraId="32821D68" w14:textId="407EF5DE" w:rsidR="000A2842" w:rsidRPr="00D2082D" w:rsidRDefault="000A2842" w:rsidP="000A2842">
            <w:pPr>
              <w:pStyle w:val="Tableformat"/>
              <w:rPr>
                <w:color w:val="auto"/>
              </w:rPr>
            </w:pPr>
            <w:r w:rsidRPr="00D2082D">
              <w:rPr>
                <w:color w:val="auto"/>
              </w:rPr>
              <w:t xml:space="preserve">It is expected that </w:t>
            </w:r>
            <w:r w:rsidR="00B77159" w:rsidRPr="00DB2166">
              <w:rPr>
                <w:color w:val="auto"/>
              </w:rPr>
              <w:t>internat</w:t>
            </w:r>
            <w:r w:rsidR="005A0553" w:rsidRPr="00DB2166">
              <w:rPr>
                <w:color w:val="auto"/>
              </w:rPr>
              <w:t xml:space="preserve">ional arrivals </w:t>
            </w:r>
            <w:r w:rsidRPr="00D2082D">
              <w:rPr>
                <w:color w:val="auto"/>
              </w:rPr>
              <w:t xml:space="preserve">will need to be quarantined for 14 days to cover the incubation period for COVID-19. </w:t>
            </w:r>
            <w:r w:rsidR="004E2151" w:rsidRPr="00DB2166">
              <w:rPr>
                <w:color w:val="auto"/>
              </w:rPr>
              <w:t xml:space="preserve">A different period of quarantine for certain individuals may be specified in future by the Northern Territory Chief Health Officer informed by Australian Health </w:t>
            </w:r>
            <w:r w:rsidR="004E2151" w:rsidRPr="00DB2166">
              <w:rPr>
                <w:color w:val="auto"/>
              </w:rPr>
              <w:lastRenderedPageBreak/>
              <w:t xml:space="preserve">Protection Principal Committee (AHPPC) advice, for example for people who are fully vaccinated with a vaccine that is </w:t>
            </w:r>
            <w:proofErr w:type="spellStart"/>
            <w:r w:rsidR="004E2151" w:rsidRPr="00DB2166">
              <w:rPr>
                <w:color w:val="auto"/>
              </w:rPr>
              <w:t>recognised</w:t>
            </w:r>
            <w:proofErr w:type="spellEnd"/>
            <w:r w:rsidR="004E2151" w:rsidRPr="00DB2166">
              <w:rPr>
                <w:color w:val="auto"/>
              </w:rPr>
              <w:t xml:space="preserve"> by the Therapeutic Goods Administration</w:t>
            </w:r>
            <w:r w:rsidR="00E80CF9" w:rsidRPr="00DB2166">
              <w:rPr>
                <w:color w:val="auto"/>
              </w:rPr>
              <w:t xml:space="preserve">. </w:t>
            </w:r>
            <w:r w:rsidRPr="00D2082D">
              <w:rPr>
                <w:color w:val="auto"/>
              </w:rPr>
              <w:t xml:space="preserve">It is </w:t>
            </w:r>
            <w:proofErr w:type="spellStart"/>
            <w:r w:rsidRPr="00D2082D">
              <w:rPr>
                <w:color w:val="auto"/>
              </w:rPr>
              <w:t>recognised</w:t>
            </w:r>
            <w:proofErr w:type="spellEnd"/>
            <w:r w:rsidRPr="00D2082D">
              <w:rPr>
                <w:color w:val="auto"/>
              </w:rPr>
              <w:t xml:space="preserve"> that for some individuals quarantine arrangements may need to continue beyond</w:t>
            </w:r>
            <w:r w:rsidR="0043368C" w:rsidRPr="00D2082D">
              <w:rPr>
                <w:color w:val="auto"/>
              </w:rPr>
              <w:t xml:space="preserve"> </w:t>
            </w:r>
            <w:r w:rsidR="0043368C" w:rsidRPr="00DB2166">
              <w:rPr>
                <w:color w:val="auto"/>
              </w:rPr>
              <w:t>14 days</w:t>
            </w:r>
            <w:r w:rsidR="00E80CF9" w:rsidRPr="00DB2166">
              <w:rPr>
                <w:color w:val="auto"/>
              </w:rPr>
              <w:t>.</w:t>
            </w:r>
          </w:p>
          <w:p w14:paraId="44AEE271" w14:textId="083E6C8D" w:rsidR="000A2842" w:rsidRPr="00D2082D" w:rsidRDefault="000A2842" w:rsidP="000A2842">
            <w:pPr>
              <w:pStyle w:val="Tableformat"/>
              <w:rPr>
                <w:color w:val="auto"/>
              </w:rPr>
            </w:pPr>
            <w:r w:rsidRPr="00D2082D">
              <w:rPr>
                <w:color w:val="auto"/>
              </w:rPr>
              <w:t xml:space="preserve">The parties agree that capacity at </w:t>
            </w:r>
            <w:r w:rsidR="00E82F0C" w:rsidRPr="00D2082D">
              <w:rPr>
                <w:color w:val="auto"/>
              </w:rPr>
              <w:t xml:space="preserve">the </w:t>
            </w:r>
            <w:r w:rsidR="007259FE" w:rsidRPr="00D2082D">
              <w:rPr>
                <w:color w:val="auto"/>
              </w:rPr>
              <w:t xml:space="preserve">Centre for National Resilience </w:t>
            </w:r>
            <w:r w:rsidR="005A0553" w:rsidRPr="00DB2166">
              <w:rPr>
                <w:color w:val="auto"/>
              </w:rPr>
              <w:t>may</w:t>
            </w:r>
            <w:r w:rsidR="0043368C" w:rsidRPr="00D2082D">
              <w:rPr>
                <w:color w:val="auto"/>
              </w:rPr>
              <w:t xml:space="preserve"> </w:t>
            </w:r>
            <w:r w:rsidRPr="00D2082D">
              <w:rPr>
                <w:color w:val="auto"/>
              </w:rPr>
              <w:t xml:space="preserve">also be required for other programs outside of this </w:t>
            </w:r>
            <w:r w:rsidR="00B66AC8" w:rsidRPr="00D2082D">
              <w:rPr>
                <w:color w:val="auto"/>
              </w:rPr>
              <w:t>Schedule</w:t>
            </w:r>
            <w:r w:rsidRPr="00D2082D">
              <w:rPr>
                <w:color w:val="auto"/>
              </w:rPr>
              <w:t>,</w:t>
            </w:r>
            <w:r w:rsidR="005A0553" w:rsidRPr="00D2082D">
              <w:rPr>
                <w:color w:val="auto"/>
              </w:rPr>
              <w:t xml:space="preserve"> </w:t>
            </w:r>
            <w:r w:rsidR="005A0553" w:rsidRPr="00DB2166">
              <w:rPr>
                <w:color w:val="auto"/>
              </w:rPr>
              <w:t>particularly if surge quarantine capacity is required by the Northern Territory.</w:t>
            </w:r>
            <w:r w:rsidR="006C1367" w:rsidRPr="00D2082D">
              <w:rPr>
                <w:color w:val="auto"/>
              </w:rPr>
              <w:t xml:space="preserve"> </w:t>
            </w:r>
            <w:r w:rsidR="006B2FF6" w:rsidRPr="00D2082D">
              <w:rPr>
                <w:color w:val="auto"/>
              </w:rPr>
              <w:t>The parties must agree in writing</w:t>
            </w:r>
            <w:r w:rsidR="0043368C" w:rsidRPr="00D2082D">
              <w:rPr>
                <w:color w:val="auto"/>
              </w:rPr>
              <w:t xml:space="preserve"> </w:t>
            </w:r>
            <w:r w:rsidR="0043368C" w:rsidRPr="00DB2166">
              <w:rPr>
                <w:color w:val="auto"/>
              </w:rPr>
              <w:t>on</w:t>
            </w:r>
            <w:r w:rsidR="007E0A92" w:rsidRPr="00DB2166">
              <w:rPr>
                <w:color w:val="auto"/>
              </w:rPr>
              <w:t xml:space="preserve"> </w:t>
            </w:r>
            <w:r w:rsidR="006C1367" w:rsidRPr="00D2082D">
              <w:rPr>
                <w:color w:val="auto"/>
              </w:rPr>
              <w:t>pro</w:t>
            </w:r>
            <w:r w:rsidR="00CC3869" w:rsidRPr="00D2082D">
              <w:rPr>
                <w:color w:val="auto"/>
              </w:rPr>
              <w:t>grams</w:t>
            </w:r>
            <w:r w:rsidR="00D51FBB" w:rsidRPr="00D2082D">
              <w:rPr>
                <w:color w:val="auto"/>
              </w:rPr>
              <w:t xml:space="preserve"> that may impact the capacity to </w:t>
            </w:r>
            <w:r w:rsidR="00CC3869" w:rsidRPr="00D2082D">
              <w:rPr>
                <w:color w:val="auto"/>
              </w:rPr>
              <w:t xml:space="preserve">quarantine </w:t>
            </w:r>
            <w:r w:rsidR="00D51FBB" w:rsidRPr="00D2082D">
              <w:rPr>
                <w:color w:val="auto"/>
              </w:rPr>
              <w:t>repatriated Australians</w:t>
            </w:r>
            <w:r w:rsidR="0043368C" w:rsidRPr="00D2082D">
              <w:rPr>
                <w:color w:val="auto"/>
              </w:rPr>
              <w:t xml:space="preserve"> </w:t>
            </w:r>
            <w:r w:rsidR="0043368C" w:rsidRPr="00DB2166">
              <w:rPr>
                <w:color w:val="auto"/>
              </w:rPr>
              <w:t xml:space="preserve">and other international arrivals </w:t>
            </w:r>
            <w:r w:rsidR="006C1367" w:rsidRPr="00D2082D">
              <w:rPr>
                <w:color w:val="auto"/>
              </w:rPr>
              <w:t xml:space="preserve">under </w:t>
            </w:r>
            <w:r w:rsidR="00CC3869" w:rsidRPr="00D2082D">
              <w:rPr>
                <w:color w:val="auto"/>
              </w:rPr>
              <w:t>arrangements</w:t>
            </w:r>
            <w:r w:rsidR="006C1367" w:rsidRPr="00D2082D">
              <w:rPr>
                <w:color w:val="auto"/>
              </w:rPr>
              <w:t xml:space="preserve"> other than the </w:t>
            </w:r>
            <w:proofErr w:type="spellStart"/>
            <w:r w:rsidR="006C1367" w:rsidRPr="00D2082D">
              <w:rPr>
                <w:color w:val="auto"/>
              </w:rPr>
              <w:t>Organised</w:t>
            </w:r>
            <w:proofErr w:type="spellEnd"/>
            <w:r w:rsidR="006C1367" w:rsidRPr="00D2082D">
              <w:rPr>
                <w:color w:val="auto"/>
              </w:rPr>
              <w:t xml:space="preserve"> National Repatriation of Australians.</w:t>
            </w:r>
          </w:p>
          <w:p w14:paraId="0431E3B8" w14:textId="77777777" w:rsidR="000A2842" w:rsidRPr="00D2082D" w:rsidRDefault="000A2842" w:rsidP="003A7E0E">
            <w:pPr>
              <w:pStyle w:val="Tableformat"/>
              <w:rPr>
                <w:color w:val="auto"/>
              </w:rPr>
            </w:pPr>
            <w:r w:rsidRPr="00D2082D">
              <w:rPr>
                <w:color w:val="auto"/>
              </w:rPr>
              <w:t>This arrangement does not replace other state and territory commercial international arrival or interstate quarantine arrangements.</w:t>
            </w:r>
          </w:p>
        </w:tc>
      </w:tr>
      <w:tr w:rsidR="00D2082D" w:rsidRPr="00D2082D" w14:paraId="198A31ED" w14:textId="77777777" w:rsidTr="00B10F60">
        <w:trPr>
          <w:gridAfter w:val="1"/>
          <w:wAfter w:w="6" w:type="dxa"/>
        </w:trPr>
        <w:tc>
          <w:tcPr>
            <w:tcW w:w="1975" w:type="dxa"/>
            <w:shd w:val="clear" w:color="auto" w:fill="auto"/>
          </w:tcPr>
          <w:p w14:paraId="6EA492AF" w14:textId="77777777" w:rsidR="000A2842" w:rsidRPr="00D2082D" w:rsidRDefault="006D570E" w:rsidP="003A7E0E">
            <w:pPr>
              <w:pStyle w:val="Tableformat"/>
              <w:rPr>
                <w:color w:val="auto"/>
              </w:rPr>
            </w:pPr>
            <w:r w:rsidRPr="00D2082D">
              <w:rPr>
                <w:color w:val="auto"/>
              </w:rPr>
              <w:lastRenderedPageBreak/>
              <w:t>Objective</w:t>
            </w:r>
          </w:p>
        </w:tc>
        <w:tc>
          <w:tcPr>
            <w:tcW w:w="7796" w:type="dxa"/>
            <w:shd w:val="clear" w:color="auto" w:fill="auto"/>
          </w:tcPr>
          <w:p w14:paraId="16C187FA" w14:textId="7E6ABE7D" w:rsidR="00F47A5D" w:rsidRPr="00DB2166" w:rsidRDefault="000A2842" w:rsidP="002623B2">
            <w:pPr>
              <w:pStyle w:val="Tableformat"/>
              <w:rPr>
                <w:color w:val="auto"/>
              </w:rPr>
            </w:pPr>
            <w:r w:rsidRPr="00D2082D">
              <w:rPr>
                <w:color w:val="auto"/>
              </w:rPr>
              <w:t xml:space="preserve">The objective of this </w:t>
            </w:r>
            <w:r w:rsidR="00156870" w:rsidRPr="00D2082D">
              <w:rPr>
                <w:color w:val="auto"/>
              </w:rPr>
              <w:t>Schedule</w:t>
            </w:r>
            <w:r w:rsidRPr="00D2082D">
              <w:rPr>
                <w:color w:val="auto"/>
              </w:rPr>
              <w:t xml:space="preserve"> is to provide financial assistance from the Commonwealth to the Northern Territory for</w:t>
            </w:r>
            <w:r w:rsidR="00E0618F" w:rsidRPr="00D2082D">
              <w:rPr>
                <w:color w:val="auto"/>
              </w:rPr>
              <w:t xml:space="preserve"> </w:t>
            </w:r>
            <w:r w:rsidRPr="00D2082D">
              <w:rPr>
                <w:color w:val="auto"/>
              </w:rPr>
              <w:t>the costs incurred in providing quarantine accommodation and</w:t>
            </w:r>
            <w:r w:rsidR="00652FD5" w:rsidRPr="00D2082D">
              <w:rPr>
                <w:color w:val="auto"/>
              </w:rPr>
              <w:t xml:space="preserve"> other</w:t>
            </w:r>
            <w:r w:rsidRPr="00D2082D">
              <w:rPr>
                <w:color w:val="auto"/>
              </w:rPr>
              <w:t xml:space="preserve"> services</w:t>
            </w:r>
            <w:r w:rsidR="00652FD5" w:rsidRPr="00D2082D">
              <w:rPr>
                <w:color w:val="auto"/>
              </w:rPr>
              <w:t>, including necessary hospital services,</w:t>
            </w:r>
            <w:r w:rsidRPr="00D2082D">
              <w:rPr>
                <w:color w:val="auto"/>
              </w:rPr>
              <w:t xml:space="preserve"> to </w:t>
            </w:r>
            <w:r w:rsidR="00F47A5D" w:rsidRPr="00D2082D">
              <w:rPr>
                <w:color w:val="auto"/>
              </w:rPr>
              <w:t xml:space="preserve">repatriated </w:t>
            </w:r>
            <w:r w:rsidRPr="00D2082D">
              <w:rPr>
                <w:color w:val="auto"/>
              </w:rPr>
              <w:t>Australians</w:t>
            </w:r>
            <w:r w:rsidR="00B77159" w:rsidRPr="00D2082D">
              <w:rPr>
                <w:color w:val="auto"/>
              </w:rPr>
              <w:t xml:space="preserve"> </w:t>
            </w:r>
            <w:r w:rsidR="00B77159" w:rsidRPr="00DB2166">
              <w:rPr>
                <w:color w:val="auto"/>
              </w:rPr>
              <w:t xml:space="preserve">and other international </w:t>
            </w:r>
            <w:r w:rsidR="00254F0E" w:rsidRPr="00DB2166">
              <w:rPr>
                <w:color w:val="auto"/>
              </w:rPr>
              <w:t>arrivals</w:t>
            </w:r>
            <w:r w:rsidR="00A66C02" w:rsidRPr="00DB2166">
              <w:rPr>
                <w:color w:val="auto"/>
              </w:rPr>
              <w:t xml:space="preserve"> as agreed by the parties</w:t>
            </w:r>
            <w:r w:rsidR="00F47A5D" w:rsidRPr="00DB2166">
              <w:rPr>
                <w:color w:val="auto"/>
              </w:rPr>
              <w:t>.</w:t>
            </w:r>
          </w:p>
        </w:tc>
      </w:tr>
      <w:tr w:rsidR="00D2082D" w:rsidRPr="00D2082D" w14:paraId="0E060452" w14:textId="77777777" w:rsidTr="00B10F60">
        <w:trPr>
          <w:gridAfter w:val="1"/>
          <w:wAfter w:w="6" w:type="dxa"/>
        </w:trPr>
        <w:tc>
          <w:tcPr>
            <w:tcW w:w="1975" w:type="dxa"/>
            <w:shd w:val="clear" w:color="auto" w:fill="auto"/>
          </w:tcPr>
          <w:p w14:paraId="65AA1C19" w14:textId="77777777" w:rsidR="000A2842" w:rsidRPr="00D2082D" w:rsidRDefault="006D570E" w:rsidP="000A2842">
            <w:pPr>
              <w:pStyle w:val="Tableformat"/>
              <w:rPr>
                <w:color w:val="auto"/>
              </w:rPr>
            </w:pPr>
            <w:r w:rsidRPr="00D2082D">
              <w:rPr>
                <w:color w:val="auto"/>
              </w:rPr>
              <w:t>Principles</w:t>
            </w:r>
          </w:p>
          <w:p w14:paraId="4A04E477" w14:textId="77777777" w:rsidR="000A2842" w:rsidRPr="00D2082D" w:rsidRDefault="000A2842" w:rsidP="003A7E0E">
            <w:pPr>
              <w:pStyle w:val="Tableformat"/>
              <w:rPr>
                <w:color w:val="auto"/>
              </w:rPr>
            </w:pPr>
          </w:p>
        </w:tc>
        <w:tc>
          <w:tcPr>
            <w:tcW w:w="7796" w:type="dxa"/>
            <w:shd w:val="clear" w:color="auto" w:fill="auto"/>
          </w:tcPr>
          <w:p w14:paraId="38BD8CF6" w14:textId="7C77DCE4" w:rsidR="00C016FF" w:rsidRPr="00D2082D" w:rsidRDefault="000A2842" w:rsidP="000A2842">
            <w:pPr>
              <w:pStyle w:val="Tableformat"/>
              <w:rPr>
                <w:color w:val="auto"/>
              </w:rPr>
            </w:pPr>
            <w:r w:rsidRPr="00D2082D">
              <w:rPr>
                <w:color w:val="auto"/>
              </w:rPr>
              <w:t xml:space="preserve">Quarantine arrangements at </w:t>
            </w:r>
            <w:r w:rsidR="00E82F0C" w:rsidRPr="00D2082D">
              <w:rPr>
                <w:color w:val="auto"/>
              </w:rPr>
              <w:t xml:space="preserve">the </w:t>
            </w:r>
            <w:r w:rsidR="007259FE" w:rsidRPr="00D2082D">
              <w:rPr>
                <w:color w:val="auto"/>
              </w:rPr>
              <w:t>Centre for National Resilience</w:t>
            </w:r>
            <w:r w:rsidRPr="00D2082D">
              <w:rPr>
                <w:color w:val="auto"/>
              </w:rPr>
              <w:t xml:space="preserve"> will </w:t>
            </w:r>
            <w:r w:rsidR="00C016FF" w:rsidRPr="00D2082D">
              <w:rPr>
                <w:color w:val="auto"/>
              </w:rPr>
              <w:t>operate under Northern Territory law and emergency management arrangements, together with relevant Commonwealth legislation</w:t>
            </w:r>
            <w:r w:rsidR="0043368C" w:rsidRPr="00D2082D">
              <w:rPr>
                <w:color w:val="auto"/>
              </w:rPr>
              <w:t xml:space="preserve">. </w:t>
            </w:r>
          </w:p>
          <w:p w14:paraId="5AD58A23" w14:textId="25390D7D" w:rsidR="009F3398" w:rsidRPr="00D2082D" w:rsidRDefault="009F3398" w:rsidP="000A2842">
            <w:pPr>
              <w:pStyle w:val="Tableformat"/>
              <w:rPr>
                <w:color w:val="auto"/>
              </w:rPr>
            </w:pPr>
            <w:r w:rsidRPr="00D2082D">
              <w:rPr>
                <w:color w:val="auto"/>
              </w:rPr>
              <w:t xml:space="preserve">Further, quarantine arrangements at the Centre will align with </w:t>
            </w:r>
            <w:hyperlink r:id="rId11" w:history="1">
              <w:r w:rsidRPr="00DB2166">
                <w:rPr>
                  <w:rStyle w:val="Hyperlink"/>
                  <w:color w:val="4472C4" w:themeColor="accent5"/>
                </w:rPr>
                <w:t>AHPPC statement</w:t>
              </w:r>
              <w:r w:rsidR="004E2151" w:rsidRPr="00DB2166">
                <w:rPr>
                  <w:rStyle w:val="Hyperlink"/>
                  <w:color w:val="4472C4" w:themeColor="accent5"/>
                </w:rPr>
                <w:t>s</w:t>
              </w:r>
            </w:hyperlink>
            <w:r w:rsidR="0068142A" w:rsidRPr="00DB2166">
              <w:rPr>
                <w:color w:val="auto"/>
              </w:rPr>
              <w:t xml:space="preserve"> and principles</w:t>
            </w:r>
            <w:r w:rsidR="004E2151" w:rsidRPr="00DB2166">
              <w:rPr>
                <w:color w:val="auto"/>
              </w:rPr>
              <w:t xml:space="preserve"> relating to quarantine standards</w:t>
            </w:r>
            <w:r w:rsidRPr="00DB2166">
              <w:rPr>
                <w:color w:val="auto"/>
              </w:rPr>
              <w:t xml:space="preserve"> </w:t>
            </w:r>
            <w:r w:rsidR="007262F2" w:rsidRPr="00D2082D">
              <w:rPr>
                <w:color w:val="auto"/>
              </w:rPr>
              <w:t>(noting these will be reviewed on an ongoing basis)</w:t>
            </w:r>
            <w:r w:rsidRPr="00D2082D">
              <w:rPr>
                <w:color w:val="auto"/>
              </w:rPr>
              <w:t>. The</w:t>
            </w:r>
            <w:r w:rsidR="0068142A" w:rsidRPr="00DB2166">
              <w:rPr>
                <w:color w:val="auto"/>
              </w:rPr>
              <w:t xml:space="preserve"> AHPPC National</w:t>
            </w:r>
            <w:r w:rsidR="007A501A" w:rsidRPr="00DB2166">
              <w:rPr>
                <w:color w:val="auto"/>
              </w:rPr>
              <w:t xml:space="preserve"> Principles for Managed </w:t>
            </w:r>
            <w:r w:rsidR="0068142A" w:rsidRPr="00DB2166">
              <w:rPr>
                <w:color w:val="auto"/>
              </w:rPr>
              <w:t xml:space="preserve">Quarantine </w:t>
            </w:r>
            <w:r w:rsidRPr="00D2082D">
              <w:rPr>
                <w:color w:val="auto"/>
              </w:rPr>
              <w:t>support the implementation of recommendations from</w:t>
            </w:r>
            <w:r w:rsidR="00A66C02" w:rsidRPr="00DB2166">
              <w:rPr>
                <w:color w:val="auto"/>
              </w:rPr>
              <w:t xml:space="preserve"> various reviews of hotel quarantine, such as the Halton Review.</w:t>
            </w:r>
            <w:r w:rsidRPr="00DB2166">
              <w:rPr>
                <w:color w:val="auto"/>
              </w:rPr>
              <w:t xml:space="preserve"> </w:t>
            </w:r>
            <w:r w:rsidRPr="00D2082D">
              <w:rPr>
                <w:color w:val="auto"/>
              </w:rPr>
              <w:t xml:space="preserve"> </w:t>
            </w:r>
          </w:p>
          <w:p w14:paraId="38F79B1A" w14:textId="5DD71CAF" w:rsidR="00EF5658" w:rsidRPr="00D2082D" w:rsidRDefault="00C016FF" w:rsidP="007E0A92">
            <w:pPr>
              <w:pStyle w:val="Tableformat"/>
              <w:rPr>
                <w:color w:val="auto"/>
              </w:rPr>
            </w:pPr>
            <w:r w:rsidRPr="00D2082D">
              <w:rPr>
                <w:color w:val="auto"/>
              </w:rPr>
              <w:t xml:space="preserve">Arrangements will </w:t>
            </w:r>
            <w:r w:rsidR="000A2842" w:rsidRPr="00D2082D">
              <w:rPr>
                <w:color w:val="auto"/>
              </w:rPr>
              <w:t xml:space="preserve">ensure consistency with Australia’s </w:t>
            </w:r>
            <w:r w:rsidR="00D71036" w:rsidRPr="00DB2166">
              <w:rPr>
                <w:color w:val="auto"/>
              </w:rPr>
              <w:t>National Plan to transition Australia’s National COVID-19 Response</w:t>
            </w:r>
            <w:r w:rsidR="0043368C" w:rsidRPr="00DB2166">
              <w:rPr>
                <w:color w:val="auto"/>
              </w:rPr>
              <w:t xml:space="preserve"> </w:t>
            </w:r>
            <w:r w:rsidR="00D71036" w:rsidRPr="00DB2166">
              <w:rPr>
                <w:color w:val="auto"/>
              </w:rPr>
              <w:t>and will</w:t>
            </w:r>
            <w:r w:rsidR="00E80CF9" w:rsidRPr="00DB2166">
              <w:rPr>
                <w:color w:val="auto"/>
              </w:rPr>
              <w:t xml:space="preserve"> </w:t>
            </w:r>
            <w:r w:rsidR="00B26EBC" w:rsidRPr="00D2082D">
              <w:rPr>
                <w:color w:val="auto"/>
              </w:rPr>
              <w:t xml:space="preserve">ensure good health outcomes (including mental health) for quarantine residents, </w:t>
            </w:r>
            <w:proofErr w:type="gramStart"/>
            <w:r w:rsidR="00B26EBC" w:rsidRPr="00D2082D">
              <w:rPr>
                <w:color w:val="auto"/>
              </w:rPr>
              <w:t>workforce</w:t>
            </w:r>
            <w:proofErr w:type="gramEnd"/>
            <w:r w:rsidR="00B26EBC" w:rsidRPr="00D2082D">
              <w:rPr>
                <w:color w:val="auto"/>
              </w:rPr>
              <w:t xml:space="preserve"> and the community.</w:t>
            </w:r>
          </w:p>
        </w:tc>
      </w:tr>
      <w:tr w:rsidR="00D2082D" w:rsidRPr="00D2082D" w14:paraId="6CD44A6C" w14:textId="77777777" w:rsidTr="00B10F60">
        <w:trPr>
          <w:gridAfter w:val="1"/>
          <w:wAfter w:w="6" w:type="dxa"/>
        </w:trPr>
        <w:tc>
          <w:tcPr>
            <w:tcW w:w="1975" w:type="dxa"/>
            <w:shd w:val="clear" w:color="auto" w:fill="auto"/>
          </w:tcPr>
          <w:p w14:paraId="17E08965" w14:textId="77777777" w:rsidR="000A2842" w:rsidRPr="00D2082D" w:rsidRDefault="006D570E" w:rsidP="000A2842">
            <w:pPr>
              <w:pStyle w:val="Tableformat"/>
              <w:rPr>
                <w:color w:val="auto"/>
              </w:rPr>
            </w:pPr>
            <w:r w:rsidRPr="00D2082D">
              <w:rPr>
                <w:color w:val="auto"/>
              </w:rPr>
              <w:t>Responsibilities</w:t>
            </w:r>
          </w:p>
        </w:tc>
        <w:tc>
          <w:tcPr>
            <w:tcW w:w="7796" w:type="dxa"/>
            <w:shd w:val="clear" w:color="auto" w:fill="auto"/>
          </w:tcPr>
          <w:p w14:paraId="1C03A5BC" w14:textId="77777777" w:rsidR="000A2842" w:rsidRPr="00D2082D" w:rsidRDefault="00F9754E" w:rsidP="000A2842">
            <w:pPr>
              <w:pStyle w:val="Tableformat"/>
              <w:rPr>
                <w:color w:val="auto"/>
              </w:rPr>
            </w:pPr>
            <w:r w:rsidRPr="00D2082D">
              <w:rPr>
                <w:color w:val="auto"/>
              </w:rPr>
              <w:t xml:space="preserve">To support the Northern Territory to deliver the COVID-19 quarantine for </w:t>
            </w:r>
            <w:proofErr w:type="spellStart"/>
            <w:r w:rsidRPr="00D2082D">
              <w:rPr>
                <w:color w:val="auto"/>
              </w:rPr>
              <w:t>Organised</w:t>
            </w:r>
            <w:proofErr w:type="spellEnd"/>
            <w:r w:rsidRPr="00D2082D">
              <w:rPr>
                <w:color w:val="auto"/>
              </w:rPr>
              <w:t xml:space="preserve"> National Repatriation of Australians entering the Northern Territory, t</w:t>
            </w:r>
            <w:r w:rsidR="000A2842" w:rsidRPr="00D2082D">
              <w:rPr>
                <w:color w:val="auto"/>
              </w:rPr>
              <w:t>he Commonwealth will be responsible for:</w:t>
            </w:r>
          </w:p>
          <w:p w14:paraId="52F9E00F" w14:textId="77777777" w:rsidR="000A2842" w:rsidRPr="00D2082D" w:rsidRDefault="00156870" w:rsidP="003E3B5B">
            <w:pPr>
              <w:pStyle w:val="Tableformat"/>
              <w:numPr>
                <w:ilvl w:val="0"/>
                <w:numId w:val="5"/>
              </w:numPr>
              <w:ind w:left="360"/>
              <w:rPr>
                <w:color w:val="auto"/>
              </w:rPr>
            </w:pPr>
            <w:r w:rsidRPr="00D2082D">
              <w:rPr>
                <w:color w:val="auto"/>
              </w:rPr>
              <w:t>Providing f</w:t>
            </w:r>
            <w:r w:rsidR="000A2842" w:rsidRPr="00D2082D">
              <w:rPr>
                <w:color w:val="auto"/>
              </w:rPr>
              <w:t xml:space="preserve">unding to the Northern Territory to meet the requirements of this </w:t>
            </w:r>
            <w:r w:rsidRPr="00D2082D">
              <w:rPr>
                <w:color w:val="auto"/>
              </w:rPr>
              <w:t>Schedule</w:t>
            </w:r>
            <w:r w:rsidR="000A2842" w:rsidRPr="00D2082D">
              <w:rPr>
                <w:color w:val="auto"/>
              </w:rPr>
              <w:t>.</w:t>
            </w:r>
          </w:p>
          <w:p w14:paraId="57157338" w14:textId="37354042" w:rsidR="000A2842" w:rsidRPr="00D2082D" w:rsidRDefault="000A2842" w:rsidP="003E3B5B">
            <w:pPr>
              <w:pStyle w:val="Tableformat"/>
              <w:numPr>
                <w:ilvl w:val="0"/>
                <w:numId w:val="5"/>
              </w:numPr>
              <w:ind w:left="360"/>
              <w:rPr>
                <w:color w:val="auto"/>
              </w:rPr>
            </w:pPr>
            <w:r w:rsidRPr="00D2082D">
              <w:rPr>
                <w:color w:val="auto"/>
              </w:rPr>
              <w:t>Ensuring logistical information</w:t>
            </w:r>
            <w:r w:rsidR="00DF0514" w:rsidRPr="00D2082D">
              <w:rPr>
                <w:color w:val="auto"/>
              </w:rPr>
              <w:t xml:space="preserve"> on Australian Government arranged flights</w:t>
            </w:r>
            <w:r w:rsidRPr="00D2082D">
              <w:rPr>
                <w:color w:val="auto"/>
              </w:rPr>
              <w:t xml:space="preserve"> regarding returning Australians </w:t>
            </w:r>
            <w:r w:rsidR="00576E7E" w:rsidRPr="00DB2166">
              <w:rPr>
                <w:color w:val="auto"/>
              </w:rPr>
              <w:t xml:space="preserve">and </w:t>
            </w:r>
            <w:proofErr w:type="spellStart"/>
            <w:r w:rsidR="00576E7E" w:rsidRPr="00DB2166">
              <w:rPr>
                <w:color w:val="auto"/>
              </w:rPr>
              <w:t>organised</w:t>
            </w:r>
            <w:proofErr w:type="spellEnd"/>
            <w:r w:rsidR="00576E7E" w:rsidRPr="00DB2166">
              <w:rPr>
                <w:color w:val="auto"/>
              </w:rPr>
              <w:t xml:space="preserve"> international arrivals </w:t>
            </w:r>
            <w:r w:rsidRPr="00D2082D">
              <w:rPr>
                <w:color w:val="auto"/>
              </w:rPr>
              <w:t>is available to the Northern Territory Government</w:t>
            </w:r>
            <w:r w:rsidR="00DF0514" w:rsidRPr="00D2082D">
              <w:rPr>
                <w:color w:val="auto"/>
              </w:rPr>
              <w:t>.</w:t>
            </w:r>
          </w:p>
          <w:p w14:paraId="6CF20807" w14:textId="77777777" w:rsidR="00F169C0" w:rsidRPr="00D2082D" w:rsidRDefault="006B6D26" w:rsidP="003E3B5B">
            <w:pPr>
              <w:pStyle w:val="Tableformat"/>
              <w:numPr>
                <w:ilvl w:val="1"/>
                <w:numId w:val="7"/>
              </w:numPr>
              <w:ind w:left="1080"/>
              <w:rPr>
                <w:color w:val="auto"/>
              </w:rPr>
            </w:pPr>
            <w:r w:rsidRPr="00D2082D">
              <w:rPr>
                <w:color w:val="auto"/>
              </w:rPr>
              <w:lastRenderedPageBreak/>
              <w:t>Best endeavors will be made to provide i</w:t>
            </w:r>
            <w:r w:rsidR="00552916" w:rsidRPr="00D2082D">
              <w:rPr>
                <w:color w:val="auto"/>
              </w:rPr>
              <w:t xml:space="preserve">nformation </w:t>
            </w:r>
            <w:r w:rsidRPr="00D2082D">
              <w:rPr>
                <w:color w:val="auto"/>
              </w:rPr>
              <w:t xml:space="preserve">on </w:t>
            </w:r>
            <w:r w:rsidR="00552916" w:rsidRPr="00D2082D">
              <w:rPr>
                <w:color w:val="auto"/>
              </w:rPr>
              <w:t>any health-specific information such as COVID-19 infection status or other relevant conditions or needs</w:t>
            </w:r>
            <w:r w:rsidR="00652FD5" w:rsidRPr="00D2082D">
              <w:rPr>
                <w:color w:val="auto"/>
              </w:rPr>
              <w:t xml:space="preserve">, </w:t>
            </w:r>
          </w:p>
          <w:p w14:paraId="1C2AE8D6" w14:textId="77777777" w:rsidR="00552916" w:rsidRPr="00D2082D" w:rsidRDefault="00F169C0" w:rsidP="003E3B5B">
            <w:pPr>
              <w:pStyle w:val="Tableformat"/>
              <w:numPr>
                <w:ilvl w:val="1"/>
                <w:numId w:val="7"/>
              </w:numPr>
              <w:ind w:left="1080"/>
              <w:rPr>
                <w:color w:val="auto"/>
              </w:rPr>
            </w:pPr>
            <w:r w:rsidRPr="00D2082D">
              <w:rPr>
                <w:color w:val="auto"/>
              </w:rPr>
              <w:t>Information in advance to be provided on</w:t>
            </w:r>
            <w:r w:rsidR="00652FD5" w:rsidRPr="00D2082D">
              <w:rPr>
                <w:color w:val="auto"/>
              </w:rPr>
              <w:t xml:space="preserve"> intended place of residence post </w:t>
            </w:r>
            <w:r w:rsidR="003545A7" w:rsidRPr="00D2082D">
              <w:rPr>
                <w:color w:val="auto"/>
              </w:rPr>
              <w:t>quarantine</w:t>
            </w:r>
            <w:r w:rsidR="00552916" w:rsidRPr="00D2082D">
              <w:rPr>
                <w:color w:val="auto"/>
              </w:rPr>
              <w:t>.</w:t>
            </w:r>
          </w:p>
          <w:p w14:paraId="3533099F" w14:textId="1D226529" w:rsidR="003545A7" w:rsidRPr="00D2082D" w:rsidRDefault="003545A7" w:rsidP="00E1238D">
            <w:pPr>
              <w:pStyle w:val="Tableformat"/>
              <w:numPr>
                <w:ilvl w:val="0"/>
                <w:numId w:val="5"/>
              </w:numPr>
              <w:ind w:left="360"/>
              <w:rPr>
                <w:color w:val="auto"/>
              </w:rPr>
            </w:pPr>
            <w:r w:rsidRPr="00D2082D">
              <w:rPr>
                <w:color w:val="auto"/>
              </w:rPr>
              <w:t>Supporting the Northern Territory</w:t>
            </w:r>
            <w:r w:rsidR="006B2FF6" w:rsidRPr="00D2082D">
              <w:rPr>
                <w:color w:val="auto"/>
              </w:rPr>
              <w:t xml:space="preserve"> at point of arrival, and</w:t>
            </w:r>
            <w:r w:rsidRPr="00D2082D">
              <w:rPr>
                <w:color w:val="auto"/>
              </w:rPr>
              <w:t xml:space="preserve"> in the security and patrol of </w:t>
            </w:r>
            <w:r w:rsidR="0090797F" w:rsidRPr="00D2082D">
              <w:rPr>
                <w:color w:val="auto"/>
              </w:rPr>
              <w:t xml:space="preserve">the </w:t>
            </w:r>
            <w:r w:rsidR="007259FE" w:rsidRPr="00D2082D">
              <w:rPr>
                <w:color w:val="auto"/>
              </w:rPr>
              <w:t>Centre for National Resilience</w:t>
            </w:r>
            <w:r w:rsidRPr="00D2082D">
              <w:rPr>
                <w:color w:val="auto"/>
              </w:rPr>
              <w:t>, with resources from the Australian Federal Police</w:t>
            </w:r>
            <w:r w:rsidR="00EF131B" w:rsidRPr="00D2082D">
              <w:rPr>
                <w:color w:val="auto"/>
              </w:rPr>
              <w:t xml:space="preserve"> and Australian </w:t>
            </w:r>
            <w:proofErr w:type="spellStart"/>
            <w:r w:rsidR="004F600A" w:rsidRPr="00D2082D">
              <w:rPr>
                <w:color w:val="auto"/>
              </w:rPr>
              <w:t>Defence</w:t>
            </w:r>
            <w:proofErr w:type="spellEnd"/>
            <w:r w:rsidR="004F600A" w:rsidRPr="00D2082D">
              <w:rPr>
                <w:color w:val="auto"/>
              </w:rPr>
              <w:t xml:space="preserve"> </w:t>
            </w:r>
            <w:r w:rsidR="00EF131B" w:rsidRPr="00D2082D">
              <w:rPr>
                <w:color w:val="auto"/>
              </w:rPr>
              <w:t>Force</w:t>
            </w:r>
            <w:r w:rsidRPr="00D2082D">
              <w:rPr>
                <w:color w:val="auto"/>
              </w:rPr>
              <w:t>.</w:t>
            </w:r>
          </w:p>
          <w:p w14:paraId="0204F53A" w14:textId="1AA864FC" w:rsidR="003545A7" w:rsidRPr="00D2082D" w:rsidRDefault="003545A7" w:rsidP="003E3B5B">
            <w:pPr>
              <w:pStyle w:val="Tableformat"/>
              <w:numPr>
                <w:ilvl w:val="0"/>
                <w:numId w:val="18"/>
              </w:numPr>
              <w:ind w:left="1080"/>
              <w:rPr>
                <w:color w:val="auto"/>
              </w:rPr>
            </w:pPr>
            <w:r w:rsidRPr="00D2082D">
              <w:rPr>
                <w:color w:val="auto"/>
              </w:rPr>
              <w:t>The Northern Territory will retain operational lead.</w:t>
            </w:r>
          </w:p>
          <w:p w14:paraId="13406B18" w14:textId="3D7A1B51" w:rsidR="003545A7" w:rsidRPr="00D2082D" w:rsidRDefault="003545A7" w:rsidP="003E3B5B">
            <w:pPr>
              <w:pStyle w:val="Tableformat"/>
              <w:numPr>
                <w:ilvl w:val="0"/>
                <w:numId w:val="18"/>
              </w:numPr>
              <w:ind w:left="1080"/>
              <w:rPr>
                <w:color w:val="auto"/>
              </w:rPr>
            </w:pPr>
            <w:r w:rsidRPr="00D2082D">
              <w:rPr>
                <w:color w:val="auto"/>
              </w:rPr>
              <w:t>The Australian Federal Police will assist the Northern Territory Police Force with uniform patrol and law enforcement resources.</w:t>
            </w:r>
          </w:p>
          <w:p w14:paraId="295933F7" w14:textId="283523A4" w:rsidR="00EF131B" w:rsidRPr="00D2082D" w:rsidRDefault="00985FCC" w:rsidP="003E3B5B">
            <w:pPr>
              <w:pStyle w:val="Tableformat"/>
              <w:numPr>
                <w:ilvl w:val="0"/>
                <w:numId w:val="18"/>
              </w:numPr>
              <w:ind w:left="1080"/>
              <w:rPr>
                <w:color w:val="auto"/>
              </w:rPr>
            </w:pPr>
            <w:r w:rsidRPr="00D2082D">
              <w:rPr>
                <w:color w:val="auto"/>
              </w:rPr>
              <w:t xml:space="preserve">The Australian </w:t>
            </w:r>
            <w:proofErr w:type="spellStart"/>
            <w:r w:rsidRPr="00D2082D">
              <w:rPr>
                <w:color w:val="auto"/>
              </w:rPr>
              <w:t>Defence</w:t>
            </w:r>
            <w:proofErr w:type="spellEnd"/>
            <w:r w:rsidRPr="00D2082D">
              <w:rPr>
                <w:color w:val="auto"/>
              </w:rPr>
              <w:t xml:space="preserve"> Force</w:t>
            </w:r>
            <w:r w:rsidR="000579BF" w:rsidRPr="00D2082D">
              <w:rPr>
                <w:color w:val="auto"/>
              </w:rPr>
              <w:t xml:space="preserve"> </w:t>
            </w:r>
            <w:r w:rsidRPr="00D2082D">
              <w:rPr>
                <w:color w:val="auto"/>
              </w:rPr>
              <w:t xml:space="preserve">will assist the Northern Territory with </w:t>
            </w:r>
            <w:r w:rsidR="00AB0F9B" w:rsidRPr="00D2082D">
              <w:rPr>
                <w:color w:val="auto"/>
              </w:rPr>
              <w:t>quarantine compliance</w:t>
            </w:r>
            <w:r w:rsidRPr="00D2082D">
              <w:rPr>
                <w:color w:val="auto"/>
              </w:rPr>
              <w:t xml:space="preserve"> and safety</w:t>
            </w:r>
            <w:r w:rsidR="005D27D0" w:rsidRPr="00D2082D">
              <w:rPr>
                <w:color w:val="auto"/>
              </w:rPr>
              <w:t>.</w:t>
            </w:r>
          </w:p>
          <w:p w14:paraId="3FAA3EA3" w14:textId="77777777" w:rsidR="000A2842" w:rsidRPr="00D2082D" w:rsidRDefault="0083746C" w:rsidP="003E3B5B">
            <w:pPr>
              <w:pStyle w:val="Tableformat"/>
              <w:numPr>
                <w:ilvl w:val="0"/>
                <w:numId w:val="5"/>
              </w:numPr>
              <w:ind w:left="360"/>
              <w:rPr>
                <w:color w:val="auto"/>
              </w:rPr>
            </w:pPr>
            <w:r w:rsidRPr="00D2082D">
              <w:rPr>
                <w:color w:val="auto"/>
              </w:rPr>
              <w:t>S</w:t>
            </w:r>
            <w:r w:rsidR="000A2842" w:rsidRPr="00D2082D">
              <w:rPr>
                <w:color w:val="auto"/>
              </w:rPr>
              <w:t>upporting the Northern Territory Government in accessing personal protective equipment (PPE) through the National Medical Stockpile.</w:t>
            </w:r>
            <w:r w:rsidR="00F9754E" w:rsidRPr="00D2082D">
              <w:rPr>
                <w:color w:val="auto"/>
              </w:rPr>
              <w:t xml:space="preserve"> This assistance will be provided in instances where the Norther</w:t>
            </w:r>
            <w:r w:rsidR="004A4821" w:rsidRPr="00D2082D">
              <w:rPr>
                <w:color w:val="auto"/>
              </w:rPr>
              <w:t>n</w:t>
            </w:r>
            <w:r w:rsidR="00F9754E" w:rsidRPr="00D2082D">
              <w:rPr>
                <w:color w:val="auto"/>
              </w:rPr>
              <w:t xml:space="preserve"> Territory is </w:t>
            </w:r>
            <w:r w:rsidR="006A424B" w:rsidRPr="00D2082D">
              <w:rPr>
                <w:color w:val="auto"/>
              </w:rPr>
              <w:t>experienc</w:t>
            </w:r>
            <w:r w:rsidR="00B66AC8" w:rsidRPr="00D2082D">
              <w:rPr>
                <w:color w:val="auto"/>
              </w:rPr>
              <w:t>ing</w:t>
            </w:r>
            <w:r w:rsidR="00F9754E" w:rsidRPr="00D2082D">
              <w:rPr>
                <w:color w:val="auto"/>
              </w:rPr>
              <w:t xml:space="preserve"> immediate shortages or significant difficulties in acquiring their own PPE. </w:t>
            </w:r>
          </w:p>
          <w:p w14:paraId="0131C7BD" w14:textId="15644AEA" w:rsidR="0006472E" w:rsidRPr="00D2082D" w:rsidRDefault="000A2842" w:rsidP="003E3B5B">
            <w:pPr>
              <w:pStyle w:val="Tableformat"/>
              <w:numPr>
                <w:ilvl w:val="0"/>
                <w:numId w:val="5"/>
              </w:numPr>
              <w:ind w:left="360"/>
              <w:rPr>
                <w:color w:val="auto"/>
              </w:rPr>
            </w:pPr>
            <w:r w:rsidRPr="00D2082D">
              <w:rPr>
                <w:color w:val="auto"/>
              </w:rPr>
              <w:t>Facilitat</w:t>
            </w:r>
            <w:r w:rsidR="00991FDC" w:rsidRPr="00D2082D">
              <w:rPr>
                <w:color w:val="auto"/>
              </w:rPr>
              <w:t>ing</w:t>
            </w:r>
            <w:r w:rsidRPr="00D2082D">
              <w:rPr>
                <w:color w:val="auto"/>
              </w:rPr>
              <w:t xml:space="preserve"> additional</w:t>
            </w:r>
            <w:r w:rsidR="00D650C0" w:rsidRPr="00D2082D">
              <w:rPr>
                <w:color w:val="auto"/>
              </w:rPr>
              <w:t xml:space="preserve"> surge</w:t>
            </w:r>
            <w:r w:rsidRPr="00D2082D">
              <w:rPr>
                <w:color w:val="auto"/>
              </w:rPr>
              <w:t xml:space="preserve"> health workf</w:t>
            </w:r>
            <w:r w:rsidR="00A3683D" w:rsidRPr="00D2082D">
              <w:rPr>
                <w:color w:val="auto"/>
              </w:rPr>
              <w:t xml:space="preserve">orce support if required at </w:t>
            </w:r>
            <w:r w:rsidR="00E82F0C" w:rsidRPr="00D2082D">
              <w:rPr>
                <w:color w:val="auto"/>
              </w:rPr>
              <w:t xml:space="preserve">the </w:t>
            </w:r>
            <w:r w:rsidR="007259FE" w:rsidRPr="00D2082D">
              <w:rPr>
                <w:color w:val="auto"/>
              </w:rPr>
              <w:t>Centre for National Resilience</w:t>
            </w:r>
            <w:r w:rsidRPr="00D2082D">
              <w:rPr>
                <w:color w:val="auto"/>
              </w:rPr>
              <w:t xml:space="preserve"> </w:t>
            </w:r>
            <w:r w:rsidR="006B2FF6" w:rsidRPr="00D2082D">
              <w:rPr>
                <w:color w:val="auto"/>
              </w:rPr>
              <w:t xml:space="preserve">including </w:t>
            </w:r>
            <w:r w:rsidRPr="00D2082D">
              <w:rPr>
                <w:color w:val="auto"/>
              </w:rPr>
              <w:t>through the deployment of AUSMAT</w:t>
            </w:r>
            <w:r w:rsidR="006B2FF6" w:rsidRPr="00D2082D">
              <w:rPr>
                <w:color w:val="auto"/>
              </w:rPr>
              <w:t xml:space="preserve"> and other workforce strategies</w:t>
            </w:r>
            <w:r w:rsidRPr="00D2082D">
              <w:rPr>
                <w:color w:val="auto"/>
              </w:rPr>
              <w:t>.</w:t>
            </w:r>
          </w:p>
          <w:p w14:paraId="7D3216A7" w14:textId="77777777" w:rsidR="00B10F60" w:rsidRPr="00D2082D" w:rsidRDefault="00042896" w:rsidP="00B10F60">
            <w:pPr>
              <w:pStyle w:val="Tableformat"/>
              <w:numPr>
                <w:ilvl w:val="0"/>
                <w:numId w:val="5"/>
              </w:numPr>
              <w:ind w:left="360"/>
              <w:rPr>
                <w:color w:val="auto"/>
              </w:rPr>
            </w:pPr>
            <w:r w:rsidRPr="00D2082D">
              <w:rPr>
                <w:color w:val="auto"/>
              </w:rPr>
              <w:t>Provid</w:t>
            </w:r>
            <w:r w:rsidR="00BF0193" w:rsidRPr="00D2082D">
              <w:rPr>
                <w:color w:val="auto"/>
              </w:rPr>
              <w:t>e support to individuals</w:t>
            </w:r>
            <w:r w:rsidR="00427055" w:rsidRPr="00D2082D">
              <w:rPr>
                <w:color w:val="auto"/>
              </w:rPr>
              <w:t xml:space="preserve"> to access </w:t>
            </w:r>
            <w:r w:rsidR="008577B6" w:rsidRPr="00D2082D">
              <w:rPr>
                <w:color w:val="auto"/>
              </w:rPr>
              <w:t>Australian Government</w:t>
            </w:r>
            <w:r w:rsidR="00DB7BAE" w:rsidRPr="00D2082D">
              <w:rPr>
                <w:color w:val="auto"/>
              </w:rPr>
              <w:t xml:space="preserve"> </w:t>
            </w:r>
            <w:r w:rsidR="002A551F" w:rsidRPr="00D2082D">
              <w:rPr>
                <w:color w:val="auto"/>
              </w:rPr>
              <w:t>s</w:t>
            </w:r>
            <w:r w:rsidRPr="00D2082D">
              <w:rPr>
                <w:color w:val="auto"/>
              </w:rPr>
              <w:t xml:space="preserve">upport </w:t>
            </w:r>
            <w:r w:rsidR="002A551F" w:rsidRPr="00D2082D">
              <w:rPr>
                <w:color w:val="auto"/>
              </w:rPr>
              <w:t>payments and service</w:t>
            </w:r>
            <w:r w:rsidR="00DB7BAE" w:rsidRPr="00D2082D">
              <w:rPr>
                <w:color w:val="auto"/>
              </w:rPr>
              <w:t>s</w:t>
            </w:r>
            <w:r w:rsidR="00427055" w:rsidRPr="00D2082D">
              <w:rPr>
                <w:color w:val="auto"/>
              </w:rPr>
              <w:t xml:space="preserve"> where they are eligible to receive them, </w:t>
            </w:r>
            <w:r w:rsidRPr="00D2082D">
              <w:rPr>
                <w:color w:val="auto"/>
              </w:rPr>
              <w:t>to returning Australians while they are quarantining.</w:t>
            </w:r>
          </w:p>
          <w:p w14:paraId="2C3D6DCB" w14:textId="01AC4C31" w:rsidR="00342A60" w:rsidRPr="00D2082D" w:rsidRDefault="00342A60" w:rsidP="00B10F60">
            <w:pPr>
              <w:pStyle w:val="Tableformat"/>
              <w:numPr>
                <w:ilvl w:val="0"/>
                <w:numId w:val="5"/>
              </w:numPr>
              <w:ind w:left="360"/>
              <w:rPr>
                <w:color w:val="auto"/>
              </w:rPr>
            </w:pPr>
            <w:r w:rsidRPr="00DB2166">
              <w:rPr>
                <w:color w:val="auto"/>
              </w:rPr>
              <w:t>Providing support in the event of a</w:t>
            </w:r>
            <w:r w:rsidR="00F52A79" w:rsidRPr="00DB2166">
              <w:rPr>
                <w:color w:val="auto"/>
              </w:rPr>
              <w:t>n emergency such as a</w:t>
            </w:r>
            <w:r w:rsidRPr="00DB2166">
              <w:rPr>
                <w:color w:val="auto"/>
              </w:rPr>
              <w:t xml:space="preserve"> cyclone, including through maintaining an agreed protocol for </w:t>
            </w:r>
            <w:r w:rsidR="004F5A5E" w:rsidRPr="00DB2166">
              <w:rPr>
                <w:color w:val="auto"/>
              </w:rPr>
              <w:t>extreme weather events which impact upcoming</w:t>
            </w:r>
            <w:r w:rsidR="00E80CF9" w:rsidRPr="00DB2166">
              <w:rPr>
                <w:strike/>
                <w:color w:val="auto"/>
              </w:rPr>
              <w:t xml:space="preserve"> </w:t>
            </w:r>
            <w:r w:rsidRPr="00DB2166">
              <w:rPr>
                <w:color w:val="auto"/>
              </w:rPr>
              <w:t>repatriation flights</w:t>
            </w:r>
            <w:r w:rsidR="00E80CF9" w:rsidRPr="00DB2166">
              <w:rPr>
                <w:color w:val="auto"/>
              </w:rPr>
              <w:t>.</w:t>
            </w:r>
          </w:p>
          <w:p w14:paraId="04B8FA05" w14:textId="77777777" w:rsidR="00552916" w:rsidRPr="00D2082D" w:rsidRDefault="00552916" w:rsidP="00552916">
            <w:pPr>
              <w:pStyle w:val="Tableformat"/>
              <w:rPr>
                <w:color w:val="auto"/>
              </w:rPr>
            </w:pPr>
            <w:r w:rsidRPr="00D2082D">
              <w:rPr>
                <w:color w:val="auto"/>
              </w:rPr>
              <w:t>The N</w:t>
            </w:r>
            <w:r w:rsidR="00156870" w:rsidRPr="00D2082D">
              <w:rPr>
                <w:color w:val="auto"/>
              </w:rPr>
              <w:t xml:space="preserve">orthern </w:t>
            </w:r>
            <w:r w:rsidRPr="00D2082D">
              <w:rPr>
                <w:color w:val="auto"/>
              </w:rPr>
              <w:t>T</w:t>
            </w:r>
            <w:r w:rsidR="00156870" w:rsidRPr="00D2082D">
              <w:rPr>
                <w:color w:val="auto"/>
              </w:rPr>
              <w:t>erritory</w:t>
            </w:r>
            <w:r w:rsidRPr="00D2082D">
              <w:rPr>
                <w:color w:val="auto"/>
              </w:rPr>
              <w:t xml:space="preserve"> Government will be responsible for:</w:t>
            </w:r>
          </w:p>
          <w:p w14:paraId="475C4A03" w14:textId="1A0992BE" w:rsidR="003545A7" w:rsidRPr="00D2082D" w:rsidRDefault="003545A7" w:rsidP="003E3B5B">
            <w:pPr>
              <w:pStyle w:val="Tableformat"/>
              <w:numPr>
                <w:ilvl w:val="0"/>
                <w:numId w:val="6"/>
              </w:numPr>
              <w:ind w:left="360"/>
              <w:rPr>
                <w:color w:val="auto"/>
              </w:rPr>
            </w:pPr>
            <w:r w:rsidRPr="00D2082D">
              <w:rPr>
                <w:color w:val="auto"/>
              </w:rPr>
              <w:t xml:space="preserve">Repatriated Australians’ </w:t>
            </w:r>
            <w:r w:rsidR="00DB2166" w:rsidRPr="00DB2166">
              <w:rPr>
                <w:color w:val="auto"/>
              </w:rPr>
              <w:t xml:space="preserve">and agreed other international arrivals’ </w:t>
            </w:r>
            <w:r w:rsidRPr="00D2082D">
              <w:rPr>
                <w:color w:val="auto"/>
              </w:rPr>
              <w:t xml:space="preserve">health (physical and mental), welfare, meals, </w:t>
            </w:r>
            <w:proofErr w:type="gramStart"/>
            <w:r w:rsidRPr="00D2082D">
              <w:rPr>
                <w:color w:val="auto"/>
              </w:rPr>
              <w:t>security</w:t>
            </w:r>
            <w:proofErr w:type="gramEnd"/>
            <w:r w:rsidRPr="00D2082D">
              <w:rPr>
                <w:color w:val="auto"/>
              </w:rPr>
              <w:t xml:space="preserve"> and quarantine needs.</w:t>
            </w:r>
          </w:p>
          <w:p w14:paraId="3A9037C5" w14:textId="61C1C883" w:rsidR="00552916" w:rsidRPr="00DB2166" w:rsidRDefault="00552916" w:rsidP="003E3B5B">
            <w:pPr>
              <w:pStyle w:val="Tableformat"/>
              <w:numPr>
                <w:ilvl w:val="0"/>
                <w:numId w:val="6"/>
              </w:numPr>
              <w:ind w:left="360"/>
              <w:rPr>
                <w:color w:val="auto"/>
              </w:rPr>
            </w:pPr>
            <w:r w:rsidRPr="00D2082D">
              <w:rPr>
                <w:color w:val="auto"/>
              </w:rPr>
              <w:t xml:space="preserve">Quarantining </w:t>
            </w:r>
            <w:r w:rsidR="00B10F60" w:rsidRPr="00DB2166">
              <w:rPr>
                <w:color w:val="auto"/>
              </w:rPr>
              <w:t xml:space="preserve">individuals </w:t>
            </w:r>
            <w:r w:rsidR="00991FDC" w:rsidRPr="00D2082D">
              <w:rPr>
                <w:color w:val="auto"/>
              </w:rPr>
              <w:t>returning from overseas</w:t>
            </w:r>
            <w:r w:rsidRPr="00DB2166">
              <w:rPr>
                <w:color w:val="auto"/>
              </w:rPr>
              <w:t xml:space="preserve"> </w:t>
            </w:r>
            <w:r w:rsidRPr="00D2082D">
              <w:rPr>
                <w:color w:val="auto"/>
              </w:rPr>
              <w:t>14 days</w:t>
            </w:r>
            <w:r w:rsidR="00B10F60" w:rsidRPr="00DB2166">
              <w:rPr>
                <w:color w:val="auto"/>
              </w:rPr>
              <w:t xml:space="preserve"> </w:t>
            </w:r>
            <w:r w:rsidR="008045E9" w:rsidRPr="00DB2166">
              <w:rPr>
                <w:color w:val="auto"/>
              </w:rPr>
              <w:t xml:space="preserve">or </w:t>
            </w:r>
            <w:r w:rsidR="00362B48" w:rsidRPr="00DB2166">
              <w:rPr>
                <w:color w:val="auto"/>
              </w:rPr>
              <w:t xml:space="preserve">a </w:t>
            </w:r>
            <w:r w:rsidR="008045E9" w:rsidRPr="00DB2166">
              <w:rPr>
                <w:color w:val="auto"/>
              </w:rPr>
              <w:t>different period as specified by the Northern Territory Chief Health Officer</w:t>
            </w:r>
            <w:r w:rsidR="00362B48" w:rsidRPr="00DB2166">
              <w:rPr>
                <w:color w:val="auto"/>
              </w:rPr>
              <w:t>,</w:t>
            </w:r>
            <w:r w:rsidR="008045E9" w:rsidRPr="00DB2166">
              <w:rPr>
                <w:color w:val="auto"/>
              </w:rPr>
              <w:t xml:space="preserve"> informed by Australian Health Protection Principal Committee (AHPPC) advice, for example for people who are fully vaccinated with a vaccine that is </w:t>
            </w:r>
            <w:proofErr w:type="spellStart"/>
            <w:r w:rsidR="008045E9" w:rsidRPr="00DB2166">
              <w:rPr>
                <w:color w:val="auto"/>
              </w:rPr>
              <w:t>recognised</w:t>
            </w:r>
            <w:proofErr w:type="spellEnd"/>
            <w:r w:rsidR="008045E9" w:rsidRPr="00DB2166">
              <w:rPr>
                <w:color w:val="auto"/>
              </w:rPr>
              <w:t xml:space="preserve"> by the Therapeutic Goods</w:t>
            </w:r>
            <w:r w:rsidRPr="00DB2166">
              <w:rPr>
                <w:color w:val="auto"/>
              </w:rPr>
              <w:t>.</w:t>
            </w:r>
          </w:p>
          <w:p w14:paraId="49B862DF" w14:textId="55CB58A9" w:rsidR="00552916" w:rsidRPr="00D2082D" w:rsidRDefault="00552916" w:rsidP="003E3B5B">
            <w:pPr>
              <w:pStyle w:val="Tableformat"/>
              <w:numPr>
                <w:ilvl w:val="0"/>
                <w:numId w:val="6"/>
              </w:numPr>
              <w:ind w:left="360"/>
              <w:rPr>
                <w:color w:val="auto"/>
              </w:rPr>
            </w:pPr>
            <w:r w:rsidRPr="00D2082D">
              <w:rPr>
                <w:color w:val="auto"/>
              </w:rPr>
              <w:t>Ensuring all</w:t>
            </w:r>
            <w:r w:rsidRPr="00DB2166">
              <w:rPr>
                <w:color w:val="auto"/>
              </w:rPr>
              <w:t xml:space="preserve"> </w:t>
            </w:r>
            <w:r w:rsidR="00B10F60" w:rsidRPr="00DB2166">
              <w:rPr>
                <w:color w:val="auto"/>
              </w:rPr>
              <w:t xml:space="preserve">individuals </w:t>
            </w:r>
            <w:r w:rsidR="00CE612B" w:rsidRPr="00D2082D">
              <w:rPr>
                <w:color w:val="auto"/>
              </w:rPr>
              <w:t xml:space="preserve">repatriated under these arrangements </w:t>
            </w:r>
            <w:r w:rsidRPr="00D2082D">
              <w:rPr>
                <w:color w:val="auto"/>
              </w:rPr>
              <w:t xml:space="preserve">are </w:t>
            </w:r>
            <w:r w:rsidR="002E3D92" w:rsidRPr="00D2082D">
              <w:rPr>
                <w:color w:val="auto"/>
              </w:rPr>
              <w:t xml:space="preserve">primarily </w:t>
            </w:r>
            <w:r w:rsidRPr="00D2082D">
              <w:rPr>
                <w:color w:val="auto"/>
              </w:rPr>
              <w:t xml:space="preserve">accommodated at </w:t>
            </w:r>
            <w:r w:rsidR="00E82F0C" w:rsidRPr="00D2082D">
              <w:rPr>
                <w:color w:val="auto"/>
              </w:rPr>
              <w:t xml:space="preserve">the </w:t>
            </w:r>
            <w:r w:rsidR="007259FE" w:rsidRPr="00D2082D">
              <w:rPr>
                <w:color w:val="auto"/>
              </w:rPr>
              <w:t>Centre for National Resilience</w:t>
            </w:r>
            <w:r w:rsidR="00DA62DD" w:rsidRPr="00D2082D">
              <w:rPr>
                <w:color w:val="auto"/>
              </w:rPr>
              <w:t xml:space="preserve">, noting that the Northern Territory Chief Health Officer may direct a </w:t>
            </w:r>
            <w:r w:rsidR="00DA62DD" w:rsidRPr="00D2082D">
              <w:rPr>
                <w:color w:val="auto"/>
              </w:rPr>
              <w:lastRenderedPageBreak/>
              <w:t>repatriated Australian be accommodated at another location</w:t>
            </w:r>
            <w:r w:rsidR="00CC3869" w:rsidRPr="00D2082D">
              <w:rPr>
                <w:color w:val="auto"/>
              </w:rPr>
              <w:t>/</w:t>
            </w:r>
            <w:r w:rsidR="00DA62DD" w:rsidRPr="00D2082D">
              <w:rPr>
                <w:color w:val="auto"/>
              </w:rPr>
              <w:t>s (such as a hospital) depending on operational and health requirements</w:t>
            </w:r>
            <w:r w:rsidRPr="00D2082D">
              <w:rPr>
                <w:color w:val="auto"/>
              </w:rPr>
              <w:t>.</w:t>
            </w:r>
          </w:p>
          <w:p w14:paraId="41B5EAD7" w14:textId="77777777" w:rsidR="00552916" w:rsidRPr="00D2082D" w:rsidRDefault="00552916" w:rsidP="003E3B5B">
            <w:pPr>
              <w:pStyle w:val="Tableformat"/>
              <w:numPr>
                <w:ilvl w:val="0"/>
                <w:numId w:val="6"/>
              </w:numPr>
              <w:ind w:left="360"/>
              <w:rPr>
                <w:color w:val="auto"/>
              </w:rPr>
            </w:pPr>
            <w:r w:rsidRPr="00D2082D">
              <w:rPr>
                <w:color w:val="auto"/>
              </w:rPr>
              <w:t xml:space="preserve">Ensuring that </w:t>
            </w:r>
            <w:r w:rsidR="00E82F0C" w:rsidRPr="00D2082D">
              <w:rPr>
                <w:color w:val="auto"/>
              </w:rPr>
              <w:t xml:space="preserve">the </w:t>
            </w:r>
            <w:r w:rsidR="007259FE" w:rsidRPr="00D2082D">
              <w:rPr>
                <w:color w:val="auto"/>
              </w:rPr>
              <w:t>Centre for National Resilience</w:t>
            </w:r>
            <w:r w:rsidRPr="00D2082D">
              <w:rPr>
                <w:color w:val="auto"/>
              </w:rPr>
              <w:t xml:space="preserve"> provides accommodation, </w:t>
            </w:r>
            <w:r w:rsidR="00D650C0" w:rsidRPr="00D2082D">
              <w:rPr>
                <w:color w:val="auto"/>
              </w:rPr>
              <w:t>meals</w:t>
            </w:r>
            <w:r w:rsidR="00652FD5" w:rsidRPr="00D2082D">
              <w:rPr>
                <w:color w:val="auto"/>
              </w:rPr>
              <w:t>,</w:t>
            </w:r>
            <w:r w:rsidR="00D650C0" w:rsidRPr="00D2082D">
              <w:rPr>
                <w:color w:val="auto"/>
              </w:rPr>
              <w:t xml:space="preserve"> </w:t>
            </w:r>
            <w:r w:rsidRPr="00D2082D">
              <w:rPr>
                <w:color w:val="auto"/>
              </w:rPr>
              <w:t>health facilities and amenities at an appropriate standard</w:t>
            </w:r>
            <w:r w:rsidR="00652FD5" w:rsidRPr="00D2082D">
              <w:rPr>
                <w:color w:val="auto"/>
              </w:rPr>
              <w:t xml:space="preserve"> and separate to other programs outside this agreement</w:t>
            </w:r>
            <w:r w:rsidRPr="00D2082D">
              <w:rPr>
                <w:color w:val="auto"/>
              </w:rPr>
              <w:t>.</w:t>
            </w:r>
          </w:p>
          <w:p w14:paraId="7AFF0E2C" w14:textId="309AB79C" w:rsidR="00EF131B" w:rsidRPr="00D2082D" w:rsidRDefault="00EF131B" w:rsidP="003E3B5B">
            <w:pPr>
              <w:pStyle w:val="Tableformat"/>
              <w:numPr>
                <w:ilvl w:val="0"/>
                <w:numId w:val="6"/>
              </w:numPr>
              <w:ind w:left="360"/>
              <w:rPr>
                <w:color w:val="auto"/>
              </w:rPr>
            </w:pPr>
            <w:r w:rsidRPr="00D2082D">
              <w:rPr>
                <w:color w:val="auto"/>
              </w:rPr>
              <w:t>Facilitating the arrival of repatriated Australians</w:t>
            </w:r>
            <w:r w:rsidR="00D40ADA" w:rsidRPr="00DB2166">
              <w:rPr>
                <w:color w:val="auto"/>
              </w:rPr>
              <w:t xml:space="preserve"> and other agreed international arrivals</w:t>
            </w:r>
            <w:r w:rsidRPr="00DB2166">
              <w:rPr>
                <w:color w:val="auto"/>
              </w:rPr>
              <w:t xml:space="preserve"> </w:t>
            </w:r>
            <w:r w:rsidRPr="00D2082D">
              <w:rPr>
                <w:color w:val="auto"/>
              </w:rPr>
              <w:t>through the Darwin International Airport.</w:t>
            </w:r>
          </w:p>
          <w:p w14:paraId="25CFA68C" w14:textId="49EE61B0" w:rsidR="005B7B88" w:rsidRPr="00D2082D" w:rsidRDefault="00552916" w:rsidP="003E3B5B">
            <w:pPr>
              <w:pStyle w:val="Tableformat"/>
              <w:numPr>
                <w:ilvl w:val="0"/>
                <w:numId w:val="6"/>
              </w:numPr>
              <w:ind w:left="360"/>
              <w:rPr>
                <w:color w:val="auto"/>
              </w:rPr>
            </w:pPr>
            <w:r w:rsidRPr="00D2082D">
              <w:rPr>
                <w:color w:val="auto"/>
              </w:rPr>
              <w:t xml:space="preserve">Logistical support and planning for transfer of </w:t>
            </w:r>
            <w:r w:rsidR="00B10F60" w:rsidRPr="00DB2166">
              <w:rPr>
                <w:color w:val="auto"/>
              </w:rPr>
              <w:t>individuals</w:t>
            </w:r>
            <w:r w:rsidRPr="00D2082D">
              <w:rPr>
                <w:color w:val="auto"/>
              </w:rPr>
              <w:t xml:space="preserve">, once in Australia to </w:t>
            </w:r>
            <w:r w:rsidR="00E82F0C" w:rsidRPr="00D2082D">
              <w:rPr>
                <w:color w:val="auto"/>
              </w:rPr>
              <w:t xml:space="preserve">the </w:t>
            </w:r>
            <w:r w:rsidR="007259FE" w:rsidRPr="00D2082D">
              <w:rPr>
                <w:color w:val="auto"/>
              </w:rPr>
              <w:t>Centre for National Resilience</w:t>
            </w:r>
            <w:r w:rsidRPr="00D2082D">
              <w:rPr>
                <w:color w:val="auto"/>
              </w:rPr>
              <w:t xml:space="preserve"> and</w:t>
            </w:r>
            <w:r w:rsidR="008E64A9" w:rsidRPr="00D2082D">
              <w:rPr>
                <w:color w:val="auto"/>
              </w:rPr>
              <w:t xml:space="preserve">, following quarantine, from </w:t>
            </w:r>
            <w:r w:rsidR="00E82F0C" w:rsidRPr="00D2082D">
              <w:rPr>
                <w:color w:val="auto"/>
              </w:rPr>
              <w:t xml:space="preserve">the </w:t>
            </w:r>
            <w:r w:rsidR="007259FE" w:rsidRPr="00D2082D">
              <w:rPr>
                <w:color w:val="auto"/>
              </w:rPr>
              <w:t>Centre for National Resilience</w:t>
            </w:r>
            <w:r w:rsidR="008E64A9" w:rsidRPr="00D2082D">
              <w:rPr>
                <w:color w:val="auto"/>
              </w:rPr>
              <w:t xml:space="preserve"> to relevant transport </w:t>
            </w:r>
            <w:r w:rsidR="00434C6D" w:rsidRPr="00D2082D">
              <w:rPr>
                <w:color w:val="auto"/>
              </w:rPr>
              <w:t xml:space="preserve">or other </w:t>
            </w:r>
            <w:r w:rsidR="008E64A9" w:rsidRPr="00D2082D">
              <w:rPr>
                <w:color w:val="auto"/>
              </w:rPr>
              <w:t>services</w:t>
            </w:r>
            <w:r w:rsidR="00434C6D" w:rsidRPr="00D2082D">
              <w:rPr>
                <w:color w:val="auto"/>
              </w:rPr>
              <w:t xml:space="preserve"> </w:t>
            </w:r>
            <w:r w:rsidR="008E64A9" w:rsidRPr="00D2082D">
              <w:rPr>
                <w:color w:val="auto"/>
              </w:rPr>
              <w:t>to enable tra</w:t>
            </w:r>
            <w:r w:rsidR="004B26BF" w:rsidRPr="00D2082D">
              <w:rPr>
                <w:color w:val="auto"/>
              </w:rPr>
              <w:t>nsfer</w:t>
            </w:r>
            <w:r w:rsidRPr="00D2082D">
              <w:rPr>
                <w:color w:val="auto"/>
              </w:rPr>
              <w:t xml:space="preserve"> to </w:t>
            </w:r>
            <w:r w:rsidR="003545A7" w:rsidRPr="00D2082D">
              <w:rPr>
                <w:color w:val="auto"/>
              </w:rPr>
              <w:t>their</w:t>
            </w:r>
            <w:r w:rsidR="00A932CC" w:rsidRPr="00D2082D">
              <w:rPr>
                <w:color w:val="auto"/>
              </w:rPr>
              <w:t xml:space="preserve"> </w:t>
            </w:r>
            <w:r w:rsidRPr="00D2082D">
              <w:rPr>
                <w:color w:val="auto"/>
              </w:rPr>
              <w:t>place of residence.</w:t>
            </w:r>
            <w:r w:rsidR="00D75816" w:rsidRPr="00DB2166">
              <w:rPr>
                <w:color w:val="auto"/>
              </w:rPr>
              <w:t xml:space="preserve"> </w:t>
            </w:r>
          </w:p>
          <w:p w14:paraId="2A350661" w14:textId="77777777" w:rsidR="00552916" w:rsidRPr="00D2082D" w:rsidRDefault="005B7B88" w:rsidP="003E3B5B">
            <w:pPr>
              <w:pStyle w:val="Tableformat"/>
              <w:numPr>
                <w:ilvl w:val="0"/>
                <w:numId w:val="6"/>
              </w:numPr>
              <w:ind w:left="360"/>
              <w:rPr>
                <w:color w:val="auto"/>
              </w:rPr>
            </w:pPr>
            <w:r w:rsidRPr="00D2082D">
              <w:rPr>
                <w:color w:val="auto"/>
              </w:rPr>
              <w:t>C</w:t>
            </w:r>
            <w:r w:rsidR="00D75816" w:rsidRPr="00D2082D">
              <w:rPr>
                <w:color w:val="auto"/>
              </w:rPr>
              <w:t>ollecting contact information to support</w:t>
            </w:r>
            <w:r w:rsidRPr="00D2082D">
              <w:rPr>
                <w:color w:val="auto"/>
              </w:rPr>
              <w:t>, and assist with,</w:t>
            </w:r>
            <w:r w:rsidR="00D75816" w:rsidRPr="00D2082D">
              <w:rPr>
                <w:color w:val="auto"/>
              </w:rPr>
              <w:t xml:space="preserve"> any future contact tracing requirements, should it be required.  </w:t>
            </w:r>
          </w:p>
          <w:p w14:paraId="4F426F95" w14:textId="77777777" w:rsidR="00552916" w:rsidRPr="00D2082D" w:rsidRDefault="00552916" w:rsidP="003E3B5B">
            <w:pPr>
              <w:pStyle w:val="Tableformat"/>
              <w:numPr>
                <w:ilvl w:val="0"/>
                <w:numId w:val="6"/>
              </w:numPr>
              <w:ind w:left="360"/>
              <w:rPr>
                <w:color w:val="auto"/>
              </w:rPr>
            </w:pPr>
            <w:r w:rsidRPr="00D2082D">
              <w:rPr>
                <w:color w:val="auto"/>
              </w:rPr>
              <w:t xml:space="preserve">Establishment, delivery and ongoing management of </w:t>
            </w:r>
            <w:r w:rsidR="00E82F0C" w:rsidRPr="00D2082D">
              <w:rPr>
                <w:color w:val="auto"/>
              </w:rPr>
              <w:t xml:space="preserve">the </w:t>
            </w:r>
            <w:r w:rsidR="007259FE" w:rsidRPr="00D2082D">
              <w:rPr>
                <w:color w:val="auto"/>
              </w:rPr>
              <w:t>Centre for National Resilience</w:t>
            </w:r>
            <w:r w:rsidR="00991FDC" w:rsidRPr="00D2082D">
              <w:rPr>
                <w:color w:val="auto"/>
              </w:rPr>
              <w:t xml:space="preserve">, including the Capital Works and Activities outlined at </w:t>
            </w:r>
            <w:r w:rsidR="00991FDC" w:rsidRPr="00D2082D">
              <w:rPr>
                <w:color w:val="auto"/>
                <w:u w:val="single"/>
              </w:rPr>
              <w:t>A</w:t>
            </w:r>
            <w:r w:rsidR="00670C09" w:rsidRPr="00D2082D">
              <w:rPr>
                <w:color w:val="auto"/>
                <w:u w:val="single"/>
              </w:rPr>
              <w:t>ppendix</w:t>
            </w:r>
            <w:r w:rsidR="00991FDC" w:rsidRPr="00D2082D">
              <w:rPr>
                <w:color w:val="auto"/>
                <w:u w:val="single"/>
              </w:rPr>
              <w:t xml:space="preserve"> </w:t>
            </w:r>
            <w:r w:rsidR="00670C09" w:rsidRPr="00D2082D">
              <w:rPr>
                <w:color w:val="auto"/>
                <w:u w:val="single"/>
              </w:rPr>
              <w:t>A</w:t>
            </w:r>
            <w:r w:rsidRPr="00D2082D">
              <w:rPr>
                <w:color w:val="auto"/>
              </w:rPr>
              <w:t>.</w:t>
            </w:r>
            <w:r w:rsidR="00EF718A" w:rsidRPr="00D2082D">
              <w:rPr>
                <w:color w:val="auto"/>
              </w:rPr>
              <w:t xml:space="preserve"> Parties note that operational decisions may impact capital works requirements</w:t>
            </w:r>
            <w:r w:rsidR="00561DE4" w:rsidRPr="00D2082D">
              <w:rPr>
                <w:color w:val="auto"/>
              </w:rPr>
              <w:t xml:space="preserve"> over the life</w:t>
            </w:r>
            <w:r w:rsidR="00EF718A" w:rsidRPr="00D2082D">
              <w:rPr>
                <w:color w:val="auto"/>
              </w:rPr>
              <w:t xml:space="preserve"> of the agreement, </w:t>
            </w:r>
            <w:r w:rsidR="00561DE4" w:rsidRPr="00D2082D">
              <w:rPr>
                <w:color w:val="auto"/>
              </w:rPr>
              <w:t>requests for major capital works</w:t>
            </w:r>
            <w:r w:rsidR="00EF718A" w:rsidRPr="00D2082D">
              <w:rPr>
                <w:color w:val="auto"/>
              </w:rPr>
              <w:t xml:space="preserve"> </w:t>
            </w:r>
            <w:r w:rsidR="00767844" w:rsidRPr="00D2082D">
              <w:rPr>
                <w:color w:val="auto"/>
              </w:rPr>
              <w:t xml:space="preserve">(over $100,000) </w:t>
            </w:r>
            <w:r w:rsidR="00EF718A" w:rsidRPr="00D2082D">
              <w:rPr>
                <w:color w:val="auto"/>
              </w:rPr>
              <w:t xml:space="preserve">will be agreed in </w:t>
            </w:r>
            <w:r w:rsidR="00767844" w:rsidRPr="00D2082D">
              <w:rPr>
                <w:color w:val="auto"/>
              </w:rPr>
              <w:t xml:space="preserve">advance in </w:t>
            </w:r>
            <w:r w:rsidR="00EF718A" w:rsidRPr="00D2082D">
              <w:rPr>
                <w:color w:val="auto"/>
              </w:rPr>
              <w:t>writing.</w:t>
            </w:r>
          </w:p>
          <w:p w14:paraId="42BF97BF" w14:textId="77777777" w:rsidR="002E3D92" w:rsidRPr="00D2082D" w:rsidRDefault="00552916" w:rsidP="003E3B5B">
            <w:pPr>
              <w:pStyle w:val="Tableformat"/>
              <w:numPr>
                <w:ilvl w:val="0"/>
                <w:numId w:val="6"/>
              </w:numPr>
              <w:ind w:left="360"/>
              <w:rPr>
                <w:color w:val="auto"/>
              </w:rPr>
            </w:pPr>
            <w:r w:rsidRPr="00D2082D">
              <w:rPr>
                <w:color w:val="auto"/>
              </w:rPr>
              <w:t>Providing access to health services, including</w:t>
            </w:r>
            <w:r w:rsidR="00DC2C51" w:rsidRPr="00D2082D">
              <w:rPr>
                <w:color w:val="auto"/>
              </w:rPr>
              <w:t xml:space="preserve"> hospital and</w:t>
            </w:r>
            <w:r w:rsidRPr="00D2082D">
              <w:rPr>
                <w:color w:val="auto"/>
              </w:rPr>
              <w:t xml:space="preserve"> primary care services and other health services for non-COVID related issues which require immediate action (such as dental or maternity services)</w:t>
            </w:r>
            <w:r w:rsidR="00DC2C51" w:rsidRPr="00D2082D">
              <w:rPr>
                <w:color w:val="auto"/>
              </w:rPr>
              <w:t xml:space="preserve">, </w:t>
            </w:r>
          </w:p>
          <w:p w14:paraId="4B2D5473" w14:textId="77777777" w:rsidR="00552916" w:rsidRPr="00D2082D" w:rsidRDefault="003545A7" w:rsidP="003E3B5B">
            <w:pPr>
              <w:pStyle w:val="Tableformat"/>
              <w:numPr>
                <w:ilvl w:val="0"/>
                <w:numId w:val="15"/>
              </w:numPr>
              <w:rPr>
                <w:color w:val="auto"/>
              </w:rPr>
            </w:pPr>
            <w:r w:rsidRPr="00D2082D">
              <w:rPr>
                <w:color w:val="auto"/>
              </w:rPr>
              <w:t>The full cost of these health services to be reimbursed to the Northern Territory Government where they are not already claimed through existing Commonwealth programs (refer to the ‘Payments’ section of this S</w:t>
            </w:r>
            <w:r w:rsidR="00107122" w:rsidRPr="00D2082D">
              <w:rPr>
                <w:color w:val="auto"/>
              </w:rPr>
              <w:t>chedule)</w:t>
            </w:r>
            <w:r w:rsidR="00552916" w:rsidRPr="00D2082D">
              <w:rPr>
                <w:color w:val="auto"/>
              </w:rPr>
              <w:t>.</w:t>
            </w:r>
          </w:p>
          <w:p w14:paraId="250DA65B" w14:textId="77777777" w:rsidR="00DC2C51" w:rsidRPr="00D2082D" w:rsidRDefault="00DC2C51" w:rsidP="003E3B5B">
            <w:pPr>
              <w:pStyle w:val="Tableformat"/>
              <w:numPr>
                <w:ilvl w:val="0"/>
                <w:numId w:val="6"/>
              </w:numPr>
              <w:ind w:left="360"/>
              <w:rPr>
                <w:color w:val="auto"/>
              </w:rPr>
            </w:pPr>
            <w:r w:rsidRPr="00D2082D">
              <w:rPr>
                <w:color w:val="auto"/>
              </w:rPr>
              <w:t>Providing access to hospital services for any issues which require immediate action including but not limited to the diagnosis and treatment of COVID-19.</w:t>
            </w:r>
          </w:p>
          <w:p w14:paraId="17B3BE16" w14:textId="77777777" w:rsidR="00552916" w:rsidRPr="00D2082D" w:rsidRDefault="00552916" w:rsidP="003E3B5B">
            <w:pPr>
              <w:pStyle w:val="Tableformat"/>
              <w:numPr>
                <w:ilvl w:val="0"/>
                <w:numId w:val="6"/>
              </w:numPr>
              <w:ind w:left="360"/>
              <w:rPr>
                <w:color w:val="auto"/>
              </w:rPr>
            </w:pPr>
            <w:r w:rsidRPr="00D2082D">
              <w:rPr>
                <w:color w:val="auto"/>
              </w:rPr>
              <w:t xml:space="preserve">Providing access to mental health support for residents and staff. </w:t>
            </w:r>
          </w:p>
          <w:p w14:paraId="65902157" w14:textId="77777777" w:rsidR="00552916" w:rsidRPr="00D2082D" w:rsidRDefault="00552916" w:rsidP="003E3B5B">
            <w:pPr>
              <w:pStyle w:val="Tableformat"/>
              <w:numPr>
                <w:ilvl w:val="0"/>
                <w:numId w:val="6"/>
              </w:numPr>
              <w:ind w:left="360"/>
              <w:rPr>
                <w:color w:val="auto"/>
              </w:rPr>
            </w:pPr>
            <w:r w:rsidRPr="00D2082D">
              <w:rPr>
                <w:color w:val="auto"/>
              </w:rPr>
              <w:t>Providing access to medical supplies, includi</w:t>
            </w:r>
            <w:r w:rsidR="00A3683D" w:rsidRPr="00D2082D">
              <w:rPr>
                <w:color w:val="auto"/>
              </w:rPr>
              <w:t xml:space="preserve">ng medicines, pharmaceuticals, </w:t>
            </w:r>
            <w:r w:rsidR="00514465" w:rsidRPr="00D2082D">
              <w:rPr>
                <w:color w:val="auto"/>
              </w:rPr>
              <w:t>PPE</w:t>
            </w:r>
            <w:r w:rsidRPr="00D2082D">
              <w:rPr>
                <w:color w:val="auto"/>
              </w:rPr>
              <w:t xml:space="preserve">, consumables to ensure adequate health </w:t>
            </w:r>
            <w:proofErr w:type="gramStart"/>
            <w:r w:rsidRPr="00D2082D">
              <w:rPr>
                <w:color w:val="auto"/>
              </w:rPr>
              <w:t>services;</w:t>
            </w:r>
            <w:proofErr w:type="gramEnd"/>
          </w:p>
          <w:p w14:paraId="655BEE28" w14:textId="77777777" w:rsidR="00552916" w:rsidRPr="00D2082D" w:rsidRDefault="00552916" w:rsidP="003E3B5B">
            <w:pPr>
              <w:pStyle w:val="Tableformat"/>
              <w:numPr>
                <w:ilvl w:val="0"/>
                <w:numId w:val="6"/>
              </w:numPr>
              <w:ind w:left="360"/>
              <w:rPr>
                <w:color w:val="auto"/>
              </w:rPr>
            </w:pPr>
            <w:r w:rsidRPr="00D2082D">
              <w:rPr>
                <w:color w:val="auto"/>
              </w:rPr>
              <w:t xml:space="preserve">Provision of personal medicines and other medical supplies to residents where self-administration is allowed under normal </w:t>
            </w:r>
            <w:proofErr w:type="gramStart"/>
            <w:r w:rsidRPr="00D2082D">
              <w:rPr>
                <w:color w:val="auto"/>
              </w:rPr>
              <w:t>directions;</w:t>
            </w:r>
            <w:proofErr w:type="gramEnd"/>
          </w:p>
          <w:p w14:paraId="12CC4F6C" w14:textId="77777777" w:rsidR="00324080" w:rsidRPr="00D2082D" w:rsidRDefault="00552916" w:rsidP="003E3B5B">
            <w:pPr>
              <w:pStyle w:val="Tableformat"/>
              <w:numPr>
                <w:ilvl w:val="0"/>
                <w:numId w:val="6"/>
              </w:numPr>
              <w:ind w:left="360"/>
              <w:rPr>
                <w:color w:val="auto"/>
              </w:rPr>
            </w:pPr>
            <w:r w:rsidRPr="00D2082D">
              <w:rPr>
                <w:color w:val="auto"/>
              </w:rPr>
              <w:lastRenderedPageBreak/>
              <w:t>Ensuring</w:t>
            </w:r>
            <w:r w:rsidR="00DC2C51" w:rsidRPr="00D2082D">
              <w:rPr>
                <w:color w:val="auto"/>
              </w:rPr>
              <w:t xml:space="preserve"> on-site medical supplie</w:t>
            </w:r>
            <w:r w:rsidR="00212ABD" w:rsidRPr="00D2082D">
              <w:rPr>
                <w:color w:val="auto"/>
              </w:rPr>
              <w:t>s</w:t>
            </w:r>
            <w:r w:rsidR="00DC2C51" w:rsidRPr="00D2082D">
              <w:rPr>
                <w:color w:val="auto"/>
              </w:rPr>
              <w:t xml:space="preserve"> have</w:t>
            </w:r>
            <w:r w:rsidRPr="00D2082D">
              <w:rPr>
                <w:color w:val="auto"/>
              </w:rPr>
              <w:t xml:space="preserve"> appropriate security and access arrangements.</w:t>
            </w:r>
          </w:p>
          <w:p w14:paraId="430FA260" w14:textId="77777777" w:rsidR="003545A7" w:rsidRPr="00D2082D" w:rsidRDefault="003545A7" w:rsidP="003E3B5B">
            <w:pPr>
              <w:pStyle w:val="Tableformat"/>
              <w:numPr>
                <w:ilvl w:val="0"/>
                <w:numId w:val="6"/>
              </w:numPr>
              <w:ind w:left="360"/>
              <w:rPr>
                <w:color w:val="auto"/>
              </w:rPr>
            </w:pPr>
            <w:r w:rsidRPr="00D2082D">
              <w:rPr>
                <w:color w:val="auto"/>
              </w:rPr>
              <w:t>Providing regular updates on the delivery of activities under this Schedule as outlined under the section on Reporting.</w:t>
            </w:r>
          </w:p>
          <w:p w14:paraId="49D502EF" w14:textId="77777777" w:rsidR="0027500A" w:rsidRPr="00D2082D" w:rsidRDefault="0027500A" w:rsidP="0027500A">
            <w:pPr>
              <w:pStyle w:val="Tableformat"/>
              <w:rPr>
                <w:color w:val="auto"/>
              </w:rPr>
            </w:pPr>
            <w:r w:rsidRPr="00D2082D">
              <w:rPr>
                <w:color w:val="auto"/>
              </w:rPr>
              <w:t>The parties will jointly be responsible for:</w:t>
            </w:r>
          </w:p>
          <w:p w14:paraId="0BDE5E4C" w14:textId="77777777" w:rsidR="0027500A" w:rsidRPr="00D2082D" w:rsidRDefault="003545A7" w:rsidP="003E3B5B">
            <w:pPr>
              <w:pStyle w:val="Tableformat"/>
              <w:numPr>
                <w:ilvl w:val="0"/>
                <w:numId w:val="14"/>
              </w:numPr>
              <w:ind w:left="453"/>
              <w:rPr>
                <w:color w:val="auto"/>
              </w:rPr>
            </w:pPr>
            <w:r w:rsidRPr="00D2082D">
              <w:rPr>
                <w:color w:val="auto"/>
              </w:rPr>
              <w:t xml:space="preserve">Working together and with other jurisdictions to support the transfer of seriously ill patients that require acute services unable to be provided </w:t>
            </w:r>
            <w:r w:rsidR="004A43CE" w:rsidRPr="00D2082D">
              <w:rPr>
                <w:color w:val="auto"/>
              </w:rPr>
              <w:t>with</w:t>
            </w:r>
            <w:r w:rsidRPr="00D2082D">
              <w:rPr>
                <w:color w:val="auto"/>
              </w:rPr>
              <w:t xml:space="preserve">in the </w:t>
            </w:r>
            <w:r w:rsidR="0027500A" w:rsidRPr="00D2082D">
              <w:rPr>
                <w:color w:val="auto"/>
              </w:rPr>
              <w:t>NT</w:t>
            </w:r>
            <w:r w:rsidR="004A43CE" w:rsidRPr="00D2082D">
              <w:rPr>
                <w:color w:val="auto"/>
              </w:rPr>
              <w:t>’s capability or capacity</w:t>
            </w:r>
            <w:r w:rsidR="00561DE4" w:rsidRPr="00D2082D">
              <w:rPr>
                <w:color w:val="auto"/>
              </w:rPr>
              <w:t xml:space="preserve">. Transfer principles have been agreed by </w:t>
            </w:r>
            <w:r w:rsidR="0006472E" w:rsidRPr="00D2082D">
              <w:rPr>
                <w:color w:val="auto"/>
              </w:rPr>
              <w:t xml:space="preserve">all </w:t>
            </w:r>
            <w:r w:rsidR="0061305E" w:rsidRPr="00D2082D">
              <w:rPr>
                <w:color w:val="auto"/>
              </w:rPr>
              <w:t>Health Chief Executive Officers</w:t>
            </w:r>
            <w:r w:rsidR="0006472E" w:rsidRPr="00D2082D">
              <w:rPr>
                <w:color w:val="auto"/>
              </w:rPr>
              <w:t xml:space="preserve"> in each state and territory</w:t>
            </w:r>
            <w:r w:rsidR="0061305E" w:rsidRPr="00D2082D">
              <w:rPr>
                <w:color w:val="auto"/>
              </w:rPr>
              <w:t xml:space="preserve"> and contact lists circulated to support arrangements.</w:t>
            </w:r>
            <w:r w:rsidR="0027500A" w:rsidRPr="00D2082D">
              <w:rPr>
                <w:color w:val="auto"/>
              </w:rPr>
              <w:t xml:space="preserve"> </w:t>
            </w:r>
          </w:p>
        </w:tc>
      </w:tr>
      <w:tr w:rsidR="00D2082D" w:rsidRPr="00D2082D" w14:paraId="7F81E60B" w14:textId="77777777" w:rsidTr="00B10F60">
        <w:trPr>
          <w:gridAfter w:val="1"/>
          <w:wAfter w:w="6" w:type="dxa"/>
        </w:trPr>
        <w:tc>
          <w:tcPr>
            <w:tcW w:w="1975" w:type="dxa"/>
            <w:shd w:val="clear" w:color="auto" w:fill="auto"/>
          </w:tcPr>
          <w:p w14:paraId="2737EFA5" w14:textId="77777777" w:rsidR="00BA0E39" w:rsidRPr="00D2082D" w:rsidRDefault="00D6469C" w:rsidP="000A2842">
            <w:pPr>
              <w:pStyle w:val="Tableformat"/>
              <w:rPr>
                <w:color w:val="auto"/>
              </w:rPr>
            </w:pPr>
            <w:r w:rsidRPr="00D2082D">
              <w:rPr>
                <w:color w:val="auto"/>
              </w:rPr>
              <w:lastRenderedPageBreak/>
              <w:t xml:space="preserve">Requirements </w:t>
            </w:r>
          </w:p>
        </w:tc>
        <w:tc>
          <w:tcPr>
            <w:tcW w:w="7796" w:type="dxa"/>
            <w:shd w:val="clear" w:color="auto" w:fill="auto"/>
          </w:tcPr>
          <w:p w14:paraId="27F161B0" w14:textId="77777777" w:rsidR="00BA0E39" w:rsidRPr="00D2082D" w:rsidRDefault="00BA0E39" w:rsidP="00BA0E39">
            <w:pPr>
              <w:pStyle w:val="NormalWeb"/>
              <w:shd w:val="clear" w:color="auto" w:fill="FFFFFF"/>
              <w:spacing w:before="0" w:beforeAutospacing="0" w:after="240" w:afterAutospacing="0" w:line="281" w:lineRule="atLeast"/>
              <w:jc w:val="both"/>
              <w:rPr>
                <w:rFonts w:ascii="Corbel" w:hAnsi="Corbel" w:cs="Arial"/>
                <w:b/>
              </w:rPr>
            </w:pPr>
            <w:r w:rsidRPr="00D2082D">
              <w:rPr>
                <w:rFonts w:ascii="Corbel" w:hAnsi="Corbel" w:cs="Arial"/>
                <w:b/>
              </w:rPr>
              <w:t>COVID-19 PUBLIC HEALTH BEST PRACTICE</w:t>
            </w:r>
          </w:p>
          <w:p w14:paraId="723D611F" w14:textId="77777777" w:rsidR="00BA0E39" w:rsidRPr="00D2082D" w:rsidRDefault="00BA0E39" w:rsidP="00BA0E39">
            <w:pPr>
              <w:pStyle w:val="Tableformat"/>
              <w:rPr>
                <w:color w:val="auto"/>
              </w:rPr>
            </w:pPr>
            <w:r w:rsidRPr="00D2082D">
              <w:rPr>
                <w:color w:val="auto"/>
              </w:rPr>
              <w:t xml:space="preserve">The Northern Territory Government </w:t>
            </w:r>
            <w:r w:rsidR="00D8093F" w:rsidRPr="00D2082D">
              <w:rPr>
                <w:color w:val="auto"/>
              </w:rPr>
              <w:t>will</w:t>
            </w:r>
            <w:r w:rsidRPr="00D2082D">
              <w:rPr>
                <w:color w:val="auto"/>
              </w:rPr>
              <w:t>:</w:t>
            </w:r>
          </w:p>
          <w:p w14:paraId="37C3C757" w14:textId="4DF050FD" w:rsidR="00BA0E39" w:rsidRPr="00D2082D" w:rsidRDefault="00BA0E39" w:rsidP="003E3B5B">
            <w:pPr>
              <w:pStyle w:val="Tableformat"/>
              <w:numPr>
                <w:ilvl w:val="0"/>
                <w:numId w:val="17"/>
              </w:numPr>
              <w:ind w:left="360"/>
              <w:rPr>
                <w:color w:val="auto"/>
              </w:rPr>
            </w:pPr>
            <w:r w:rsidRPr="00D2082D">
              <w:rPr>
                <w:color w:val="auto"/>
              </w:rPr>
              <w:t xml:space="preserve">Ensure guidelines, management plans, operation of </w:t>
            </w:r>
            <w:r w:rsidR="00E82F0C" w:rsidRPr="00D2082D">
              <w:rPr>
                <w:color w:val="auto"/>
              </w:rPr>
              <w:t xml:space="preserve">the </w:t>
            </w:r>
            <w:r w:rsidR="007259FE" w:rsidRPr="00D2082D">
              <w:rPr>
                <w:color w:val="auto"/>
              </w:rPr>
              <w:t>Centre for National Resilience</w:t>
            </w:r>
            <w:r w:rsidRPr="00D2082D">
              <w:rPr>
                <w:color w:val="auto"/>
              </w:rPr>
              <w:t xml:space="preserve"> and the delivery of services complies with advice of the AHPPC </w:t>
            </w:r>
            <w:r w:rsidR="00B2638E" w:rsidRPr="00D2082D">
              <w:rPr>
                <w:color w:val="auto"/>
              </w:rPr>
              <w:t xml:space="preserve">(and its sub-committees) </w:t>
            </w:r>
            <w:r w:rsidRPr="00D2082D">
              <w:rPr>
                <w:color w:val="auto"/>
              </w:rPr>
              <w:t xml:space="preserve">and Northern Territory </w:t>
            </w:r>
            <w:r w:rsidR="0074010A" w:rsidRPr="00D2082D">
              <w:rPr>
                <w:color w:val="auto"/>
              </w:rPr>
              <w:t>Public Health</w:t>
            </w:r>
            <w:r w:rsidR="006B2FF6" w:rsidRPr="00D2082D">
              <w:rPr>
                <w:color w:val="auto"/>
              </w:rPr>
              <w:t>; including the recommendation</w:t>
            </w:r>
            <w:r w:rsidR="00A0373C" w:rsidRPr="00D2082D">
              <w:rPr>
                <w:color w:val="auto"/>
              </w:rPr>
              <w:t xml:space="preserve"> that all staff working in a quarantine setting undertake </w:t>
            </w:r>
            <w:r w:rsidR="007262F2" w:rsidRPr="00D2082D">
              <w:rPr>
                <w:color w:val="auto"/>
              </w:rPr>
              <w:t>PCR</w:t>
            </w:r>
            <w:r w:rsidR="007262F2" w:rsidRPr="00DB2166">
              <w:rPr>
                <w:color w:val="auto"/>
              </w:rPr>
              <w:t xml:space="preserve"> testing </w:t>
            </w:r>
            <w:r w:rsidR="000F22CD" w:rsidRPr="00DB2166">
              <w:rPr>
                <w:color w:val="auto"/>
              </w:rPr>
              <w:t xml:space="preserve">at a frequency determined by </w:t>
            </w:r>
            <w:r w:rsidR="00F52A79" w:rsidRPr="00DB2166">
              <w:rPr>
                <w:color w:val="auto"/>
              </w:rPr>
              <w:t>the NT Chief Health Officer Directions</w:t>
            </w:r>
            <w:r w:rsidR="00913991" w:rsidRPr="00DB2166">
              <w:rPr>
                <w:color w:val="auto"/>
              </w:rPr>
              <w:t>.</w:t>
            </w:r>
          </w:p>
          <w:p w14:paraId="6CC32FCA" w14:textId="59ACC619" w:rsidR="00BA0E39" w:rsidRPr="00D2082D" w:rsidRDefault="00BA0E39" w:rsidP="003E3B5B">
            <w:pPr>
              <w:pStyle w:val="Tableformat"/>
              <w:numPr>
                <w:ilvl w:val="0"/>
                <w:numId w:val="17"/>
              </w:numPr>
              <w:ind w:left="360"/>
              <w:rPr>
                <w:color w:val="auto"/>
              </w:rPr>
            </w:pPr>
            <w:r w:rsidRPr="00D2082D">
              <w:rPr>
                <w:color w:val="auto"/>
              </w:rPr>
              <w:t xml:space="preserve">Implement infection prevention and control </w:t>
            </w:r>
            <w:r w:rsidR="001C535B" w:rsidRPr="00DB2166">
              <w:rPr>
                <w:color w:val="auto"/>
              </w:rPr>
              <w:t xml:space="preserve">(IPC) </w:t>
            </w:r>
            <w:r w:rsidRPr="00D2082D">
              <w:rPr>
                <w:color w:val="auto"/>
              </w:rPr>
              <w:t xml:space="preserve">arrangements (physical distancing, use of </w:t>
            </w:r>
            <w:r w:rsidR="00514465" w:rsidRPr="00D2082D">
              <w:rPr>
                <w:color w:val="auto"/>
              </w:rPr>
              <w:t>PPE,</w:t>
            </w:r>
            <w:r w:rsidRPr="00D2082D">
              <w:rPr>
                <w:color w:val="auto"/>
              </w:rPr>
              <w:t xml:space="preserve"> </w:t>
            </w:r>
            <w:r w:rsidR="00FA0F25" w:rsidRPr="00D2082D">
              <w:rPr>
                <w:color w:val="auto"/>
              </w:rPr>
              <w:t xml:space="preserve">hand </w:t>
            </w:r>
            <w:r w:rsidRPr="00D2082D">
              <w:rPr>
                <w:color w:val="auto"/>
              </w:rPr>
              <w:t xml:space="preserve">hygiene and </w:t>
            </w:r>
            <w:proofErr w:type="spellStart"/>
            <w:r w:rsidRPr="00D2082D">
              <w:rPr>
                <w:color w:val="auto"/>
              </w:rPr>
              <w:t>cohorting</w:t>
            </w:r>
            <w:proofErr w:type="spellEnd"/>
            <w:r w:rsidRPr="00D2082D">
              <w:rPr>
                <w:color w:val="auto"/>
              </w:rPr>
              <w:t>) that comply with the national infection control guidelines and guidance published by the Infection Control Expert Group.</w:t>
            </w:r>
          </w:p>
          <w:p w14:paraId="170D5AC3" w14:textId="77777777" w:rsidR="00BA0E39" w:rsidRPr="00D2082D" w:rsidRDefault="00BA0E39" w:rsidP="003E3B5B">
            <w:pPr>
              <w:pStyle w:val="Tableformat"/>
              <w:numPr>
                <w:ilvl w:val="0"/>
                <w:numId w:val="17"/>
              </w:numPr>
              <w:ind w:left="360"/>
              <w:rPr>
                <w:color w:val="auto"/>
              </w:rPr>
            </w:pPr>
            <w:r w:rsidRPr="00D2082D">
              <w:rPr>
                <w:color w:val="auto"/>
              </w:rPr>
              <w:t xml:space="preserve">Ensure appropriate levels of </w:t>
            </w:r>
            <w:r w:rsidR="00D54AD5" w:rsidRPr="00D2082D">
              <w:rPr>
                <w:color w:val="auto"/>
              </w:rPr>
              <w:t>PPE</w:t>
            </w:r>
            <w:r w:rsidRPr="00D2082D">
              <w:rPr>
                <w:color w:val="auto"/>
              </w:rPr>
              <w:t xml:space="preserve"> </w:t>
            </w:r>
            <w:r w:rsidR="00254A7B" w:rsidRPr="00D2082D">
              <w:rPr>
                <w:color w:val="auto"/>
              </w:rPr>
              <w:t>are</w:t>
            </w:r>
            <w:r w:rsidRPr="00D2082D">
              <w:rPr>
                <w:color w:val="auto"/>
              </w:rPr>
              <w:t xml:space="preserve"> available for use in all aspects of supporting the arrangements of th</w:t>
            </w:r>
            <w:r w:rsidR="00CE612B" w:rsidRPr="00D2082D">
              <w:rPr>
                <w:color w:val="auto"/>
              </w:rPr>
              <w:t xml:space="preserve">is </w:t>
            </w:r>
            <w:r w:rsidR="00991FDC" w:rsidRPr="00D2082D">
              <w:rPr>
                <w:color w:val="auto"/>
              </w:rPr>
              <w:t>Schedule</w:t>
            </w:r>
            <w:r w:rsidRPr="00D2082D">
              <w:rPr>
                <w:color w:val="auto"/>
              </w:rPr>
              <w:t xml:space="preserve">, including transfer to </w:t>
            </w:r>
            <w:r w:rsidR="00E82F0C" w:rsidRPr="00D2082D">
              <w:rPr>
                <w:color w:val="auto"/>
              </w:rPr>
              <w:t xml:space="preserve">the </w:t>
            </w:r>
            <w:r w:rsidR="007259FE" w:rsidRPr="00D2082D">
              <w:rPr>
                <w:color w:val="auto"/>
              </w:rPr>
              <w:t>Centre for National Resilience</w:t>
            </w:r>
            <w:r w:rsidRPr="00D2082D">
              <w:rPr>
                <w:color w:val="auto"/>
              </w:rPr>
              <w:t xml:space="preserve">, on </w:t>
            </w:r>
            <w:r w:rsidR="00E82F0C" w:rsidRPr="00D2082D">
              <w:rPr>
                <w:color w:val="auto"/>
              </w:rPr>
              <w:t xml:space="preserve">the </w:t>
            </w:r>
            <w:r w:rsidR="007259FE" w:rsidRPr="00D2082D">
              <w:rPr>
                <w:color w:val="auto"/>
              </w:rPr>
              <w:t>Centre for National Resilience</w:t>
            </w:r>
            <w:r w:rsidRPr="00D2082D">
              <w:rPr>
                <w:color w:val="auto"/>
              </w:rPr>
              <w:t xml:space="preserve">, and for use by both staff and </w:t>
            </w:r>
            <w:r w:rsidR="00991FDC" w:rsidRPr="00D2082D">
              <w:rPr>
                <w:color w:val="auto"/>
              </w:rPr>
              <w:t>residents</w:t>
            </w:r>
            <w:r w:rsidRPr="00D2082D">
              <w:rPr>
                <w:color w:val="auto"/>
              </w:rPr>
              <w:t>.</w:t>
            </w:r>
          </w:p>
          <w:p w14:paraId="765FA069" w14:textId="77777777" w:rsidR="00DA5B6A" w:rsidRPr="00D2082D" w:rsidRDefault="00DA5B6A" w:rsidP="003E3B5B">
            <w:pPr>
              <w:pStyle w:val="Tableformat"/>
              <w:numPr>
                <w:ilvl w:val="0"/>
                <w:numId w:val="17"/>
              </w:numPr>
              <w:ind w:left="360"/>
              <w:rPr>
                <w:color w:val="auto"/>
              </w:rPr>
            </w:pPr>
            <w:r w:rsidRPr="00D2082D">
              <w:rPr>
                <w:color w:val="auto"/>
              </w:rPr>
              <w:t xml:space="preserve">Provide regular health checks of residents by appropriately qualified health staff </w:t>
            </w:r>
            <w:proofErr w:type="gramStart"/>
            <w:r w:rsidRPr="00D2082D">
              <w:rPr>
                <w:color w:val="auto"/>
              </w:rPr>
              <w:t>in order to</w:t>
            </w:r>
            <w:proofErr w:type="gramEnd"/>
            <w:r w:rsidRPr="00D2082D">
              <w:rPr>
                <w:color w:val="auto"/>
              </w:rPr>
              <w:t xml:space="preserve"> support early detection of </w:t>
            </w:r>
            <w:r w:rsidRPr="00D2082D">
              <w:rPr>
                <w:color w:val="auto"/>
              </w:rPr>
              <w:br/>
              <w:t xml:space="preserve">COVID-19. </w:t>
            </w:r>
          </w:p>
          <w:p w14:paraId="4D99D77A" w14:textId="1380CDF0" w:rsidR="00DA5B6A" w:rsidRPr="00D2082D" w:rsidRDefault="00DA5B6A" w:rsidP="003E3B5B">
            <w:pPr>
              <w:pStyle w:val="Tableformat"/>
              <w:numPr>
                <w:ilvl w:val="1"/>
                <w:numId w:val="17"/>
              </w:numPr>
              <w:ind w:left="1080"/>
              <w:rPr>
                <w:color w:val="auto"/>
              </w:rPr>
            </w:pPr>
            <w:r w:rsidRPr="00D2082D">
              <w:rPr>
                <w:color w:val="auto"/>
              </w:rPr>
              <w:t>All arrivals</w:t>
            </w:r>
            <w:r w:rsidR="00FA0F25" w:rsidRPr="00D2082D">
              <w:rPr>
                <w:color w:val="auto"/>
              </w:rPr>
              <w:t xml:space="preserve"> identified with symptoms </w:t>
            </w:r>
            <w:r w:rsidRPr="00D2082D">
              <w:rPr>
                <w:color w:val="auto"/>
              </w:rPr>
              <w:t xml:space="preserve">consistent with COVID-19 </w:t>
            </w:r>
            <w:r w:rsidR="00FA0F25" w:rsidRPr="00D2082D">
              <w:rPr>
                <w:color w:val="auto"/>
              </w:rPr>
              <w:t>as identified in the CDNA Series of National Guidelines (</w:t>
            </w:r>
            <w:proofErr w:type="spellStart"/>
            <w:r w:rsidR="00FA0F25" w:rsidRPr="00D2082D">
              <w:rPr>
                <w:color w:val="auto"/>
              </w:rPr>
              <w:t>SoNG</w:t>
            </w:r>
            <w:proofErr w:type="spellEnd"/>
            <w:r w:rsidR="00FA0F25" w:rsidRPr="00D2082D">
              <w:rPr>
                <w:color w:val="auto"/>
              </w:rPr>
              <w:t xml:space="preserve">) </w:t>
            </w:r>
            <w:r w:rsidRPr="00D2082D">
              <w:rPr>
                <w:color w:val="auto"/>
              </w:rPr>
              <w:t>will be isolated and managed as a suspect</w:t>
            </w:r>
            <w:r w:rsidR="00720737" w:rsidRPr="00D2082D">
              <w:rPr>
                <w:color w:val="auto"/>
              </w:rPr>
              <w:t>ed</w:t>
            </w:r>
            <w:r w:rsidRPr="00D2082D">
              <w:rPr>
                <w:color w:val="auto"/>
              </w:rPr>
              <w:t xml:space="preserve"> case. </w:t>
            </w:r>
          </w:p>
          <w:p w14:paraId="21EC3C90" w14:textId="77777777" w:rsidR="00BA0E39" w:rsidRPr="00D2082D" w:rsidRDefault="00BA0E39" w:rsidP="003E3B5B">
            <w:pPr>
              <w:pStyle w:val="Tableformat"/>
              <w:numPr>
                <w:ilvl w:val="0"/>
                <w:numId w:val="17"/>
              </w:numPr>
              <w:ind w:left="360"/>
              <w:rPr>
                <w:color w:val="auto"/>
              </w:rPr>
            </w:pPr>
            <w:r w:rsidRPr="00D2082D">
              <w:rPr>
                <w:color w:val="auto"/>
              </w:rPr>
              <w:t>Provi</w:t>
            </w:r>
            <w:r w:rsidR="00991FDC" w:rsidRPr="00D2082D">
              <w:rPr>
                <w:color w:val="auto"/>
              </w:rPr>
              <w:t>de</w:t>
            </w:r>
            <w:r w:rsidRPr="00D2082D">
              <w:rPr>
                <w:color w:val="auto"/>
              </w:rPr>
              <w:t xml:space="preserve"> appropriate COVID-19 testing for both residents and staff, with timely turnaround of results within 48 hours. </w:t>
            </w:r>
          </w:p>
          <w:p w14:paraId="7EDC2099" w14:textId="77777777" w:rsidR="00613F4F" w:rsidRPr="00D2082D" w:rsidRDefault="00613F4F" w:rsidP="003E3B5B">
            <w:pPr>
              <w:pStyle w:val="Tableformat"/>
              <w:numPr>
                <w:ilvl w:val="1"/>
                <w:numId w:val="17"/>
              </w:numPr>
              <w:ind w:left="1080"/>
              <w:rPr>
                <w:color w:val="auto"/>
              </w:rPr>
            </w:pPr>
            <w:r w:rsidRPr="00D2082D">
              <w:rPr>
                <w:color w:val="auto"/>
              </w:rPr>
              <w:t>Symptomatic individuals should be tested immediately and placed into isolation while waiting for results.</w:t>
            </w:r>
          </w:p>
          <w:p w14:paraId="5DDB87F0" w14:textId="6A0BE07E" w:rsidR="003545A7" w:rsidRPr="00D2082D" w:rsidRDefault="00B10F60" w:rsidP="00B10F60">
            <w:pPr>
              <w:pStyle w:val="Tableformat"/>
              <w:numPr>
                <w:ilvl w:val="1"/>
                <w:numId w:val="17"/>
              </w:numPr>
              <w:ind w:left="1080"/>
              <w:rPr>
                <w:color w:val="auto"/>
              </w:rPr>
            </w:pPr>
            <w:r w:rsidRPr="00DB2166">
              <w:rPr>
                <w:color w:val="auto"/>
              </w:rPr>
              <w:t xml:space="preserve">For residents, </w:t>
            </w:r>
            <w:r w:rsidRPr="00D2082D">
              <w:rPr>
                <w:color w:val="auto"/>
              </w:rPr>
              <w:t>te</w:t>
            </w:r>
            <w:r w:rsidR="003545A7" w:rsidRPr="00D2082D">
              <w:rPr>
                <w:color w:val="auto"/>
              </w:rPr>
              <w:t>sting will be conducted at day 0–2 and again on day 10–12 of the quarantine period</w:t>
            </w:r>
            <w:r w:rsidR="00FA0F25" w:rsidRPr="00D2082D">
              <w:rPr>
                <w:color w:val="auto"/>
              </w:rPr>
              <w:t xml:space="preserve"> in accordance with the CDNA </w:t>
            </w:r>
            <w:proofErr w:type="spellStart"/>
            <w:r w:rsidR="00FA0F25" w:rsidRPr="00D2082D">
              <w:rPr>
                <w:color w:val="auto"/>
              </w:rPr>
              <w:t>SoNG</w:t>
            </w:r>
            <w:proofErr w:type="spellEnd"/>
            <w:r w:rsidR="00FA0F25" w:rsidRPr="00D2082D">
              <w:rPr>
                <w:color w:val="auto"/>
              </w:rPr>
              <w:t xml:space="preserve"> – results from the exit test must be negative</w:t>
            </w:r>
            <w:r w:rsidR="003545A7" w:rsidRPr="00D2082D">
              <w:rPr>
                <w:color w:val="auto"/>
              </w:rPr>
              <w:t xml:space="preserve"> before an individual is released from quarantine.</w:t>
            </w:r>
            <w:r w:rsidRPr="00D2082D">
              <w:rPr>
                <w:color w:val="auto"/>
              </w:rPr>
              <w:t xml:space="preserve"> </w:t>
            </w:r>
            <w:r w:rsidR="00D40ADA" w:rsidRPr="00DB2166">
              <w:rPr>
                <w:color w:val="auto"/>
              </w:rPr>
              <w:lastRenderedPageBreak/>
              <w:t xml:space="preserve">Testing may be undertaken at additional intervals as required by the Northern Territory. </w:t>
            </w:r>
          </w:p>
          <w:p w14:paraId="67ED0299" w14:textId="77777777" w:rsidR="00BA0E39" w:rsidRPr="00D2082D" w:rsidRDefault="00BA0E39" w:rsidP="003E3B5B">
            <w:pPr>
              <w:pStyle w:val="Tableformat"/>
              <w:numPr>
                <w:ilvl w:val="0"/>
                <w:numId w:val="17"/>
              </w:numPr>
              <w:ind w:left="360"/>
              <w:rPr>
                <w:color w:val="auto"/>
              </w:rPr>
            </w:pPr>
            <w:r w:rsidRPr="00D2082D">
              <w:rPr>
                <w:color w:val="auto"/>
              </w:rPr>
              <w:t>Ensur</w:t>
            </w:r>
            <w:r w:rsidR="009A761A" w:rsidRPr="00D2082D">
              <w:rPr>
                <w:color w:val="auto"/>
              </w:rPr>
              <w:t>e</w:t>
            </w:r>
            <w:r w:rsidRPr="00D2082D">
              <w:rPr>
                <w:color w:val="auto"/>
              </w:rPr>
              <w:t xml:space="preserve"> appropriately qualified staff and staffing levels at</w:t>
            </w:r>
            <w:r w:rsidR="00E82F0C" w:rsidRPr="00D2082D">
              <w:rPr>
                <w:color w:val="auto"/>
              </w:rPr>
              <w:t xml:space="preserve"> the</w:t>
            </w:r>
            <w:r w:rsidRPr="00D2082D">
              <w:rPr>
                <w:color w:val="auto"/>
              </w:rPr>
              <w:t xml:space="preserve"> </w:t>
            </w:r>
            <w:r w:rsidR="007259FE" w:rsidRPr="00D2082D">
              <w:rPr>
                <w:color w:val="auto"/>
              </w:rPr>
              <w:t>Centre for National Resilience</w:t>
            </w:r>
            <w:r w:rsidR="00212ABD" w:rsidRPr="00D2082D">
              <w:rPr>
                <w:color w:val="auto"/>
              </w:rPr>
              <w:t xml:space="preserve"> </w:t>
            </w:r>
            <w:r w:rsidRPr="00D2082D">
              <w:rPr>
                <w:color w:val="auto"/>
              </w:rPr>
              <w:t xml:space="preserve">on </w:t>
            </w:r>
            <w:proofErr w:type="gramStart"/>
            <w:r w:rsidRPr="00D2082D">
              <w:rPr>
                <w:color w:val="auto"/>
              </w:rPr>
              <w:t>a 24 hours</w:t>
            </w:r>
            <w:proofErr w:type="gramEnd"/>
            <w:r w:rsidRPr="00D2082D">
              <w:rPr>
                <w:color w:val="auto"/>
              </w:rPr>
              <w:t>, seven days a week basis, both for general and medical and clinical staff</w:t>
            </w:r>
            <w:r w:rsidR="009A761A" w:rsidRPr="00D2082D">
              <w:rPr>
                <w:color w:val="auto"/>
              </w:rPr>
              <w:t>:</w:t>
            </w:r>
          </w:p>
          <w:p w14:paraId="0A89A038" w14:textId="77777777" w:rsidR="00BA0E39" w:rsidRPr="00D2082D" w:rsidRDefault="00BA0E39" w:rsidP="003E3B5B">
            <w:pPr>
              <w:pStyle w:val="Tableformat"/>
              <w:numPr>
                <w:ilvl w:val="1"/>
                <w:numId w:val="17"/>
              </w:numPr>
              <w:ind w:left="1080"/>
              <w:rPr>
                <w:color w:val="auto"/>
              </w:rPr>
            </w:pPr>
            <w:r w:rsidRPr="00D2082D">
              <w:rPr>
                <w:color w:val="auto"/>
              </w:rPr>
              <w:t xml:space="preserve">All staff required </w:t>
            </w:r>
            <w:r w:rsidR="0074010A" w:rsidRPr="00D2082D">
              <w:rPr>
                <w:color w:val="auto"/>
              </w:rPr>
              <w:t xml:space="preserve">by Northern Territory law </w:t>
            </w:r>
            <w:r w:rsidRPr="00D2082D">
              <w:rPr>
                <w:color w:val="auto"/>
              </w:rPr>
              <w:t>to have a working with children check</w:t>
            </w:r>
            <w:r w:rsidR="0074010A" w:rsidRPr="00D2082D">
              <w:rPr>
                <w:color w:val="auto"/>
              </w:rPr>
              <w:t xml:space="preserve"> and have a current clearance in place</w:t>
            </w:r>
            <w:r w:rsidRPr="00D2082D">
              <w:rPr>
                <w:color w:val="auto"/>
              </w:rPr>
              <w:t>.</w:t>
            </w:r>
          </w:p>
          <w:p w14:paraId="6D7318F0" w14:textId="77777777" w:rsidR="00B10F60" w:rsidRPr="00D2082D" w:rsidRDefault="00BA0E39" w:rsidP="00B10F60">
            <w:pPr>
              <w:pStyle w:val="Tableformat"/>
              <w:numPr>
                <w:ilvl w:val="0"/>
                <w:numId w:val="17"/>
              </w:numPr>
              <w:ind w:left="360"/>
              <w:rPr>
                <w:color w:val="auto"/>
              </w:rPr>
            </w:pPr>
            <w:r w:rsidRPr="00D2082D">
              <w:rPr>
                <w:color w:val="auto"/>
              </w:rPr>
              <w:t xml:space="preserve">Ensure </w:t>
            </w:r>
            <w:r w:rsidR="009A761A" w:rsidRPr="00D2082D">
              <w:rPr>
                <w:color w:val="auto"/>
              </w:rPr>
              <w:t xml:space="preserve">all staff are </w:t>
            </w:r>
            <w:r w:rsidRPr="00D2082D">
              <w:rPr>
                <w:color w:val="auto"/>
              </w:rPr>
              <w:t>provi</w:t>
            </w:r>
            <w:r w:rsidR="009A761A" w:rsidRPr="00D2082D">
              <w:rPr>
                <w:color w:val="auto"/>
              </w:rPr>
              <w:t>ded</w:t>
            </w:r>
            <w:r w:rsidRPr="00D2082D">
              <w:rPr>
                <w:color w:val="auto"/>
              </w:rPr>
              <w:t xml:space="preserve"> </w:t>
            </w:r>
            <w:r w:rsidR="009A761A" w:rsidRPr="00D2082D">
              <w:rPr>
                <w:color w:val="auto"/>
              </w:rPr>
              <w:t xml:space="preserve">with </w:t>
            </w:r>
            <w:r w:rsidRPr="00D2082D">
              <w:rPr>
                <w:color w:val="auto"/>
              </w:rPr>
              <w:t xml:space="preserve">appropriate induction and training arrangements, including infection control, appropriate use of PPE, hand hygiene, work health and safety requirements and any other legislative requirements. </w:t>
            </w:r>
          </w:p>
          <w:p w14:paraId="6B7F0563" w14:textId="5301219B" w:rsidR="00BA0E39" w:rsidRPr="00D2082D" w:rsidRDefault="003545A7" w:rsidP="00B10F60">
            <w:pPr>
              <w:pStyle w:val="Tableformat"/>
              <w:numPr>
                <w:ilvl w:val="0"/>
                <w:numId w:val="17"/>
              </w:numPr>
              <w:ind w:left="360"/>
              <w:rPr>
                <w:color w:val="auto"/>
              </w:rPr>
            </w:pPr>
            <w:r w:rsidRPr="00D2082D">
              <w:rPr>
                <w:color w:val="auto"/>
              </w:rPr>
              <w:t xml:space="preserve">Provide transfer and repatriations for seriously ill patients with COVID-19, or for other emergency purposes, to an appropriate acute facility. This </w:t>
            </w:r>
            <w:r w:rsidR="00BA0E39" w:rsidRPr="00D2082D">
              <w:rPr>
                <w:color w:val="auto"/>
              </w:rPr>
              <w:t xml:space="preserve">includes internal within </w:t>
            </w:r>
            <w:r w:rsidR="00E82F0C" w:rsidRPr="00D2082D">
              <w:rPr>
                <w:color w:val="auto"/>
              </w:rPr>
              <w:t xml:space="preserve">the </w:t>
            </w:r>
            <w:r w:rsidR="007259FE" w:rsidRPr="00D2082D">
              <w:rPr>
                <w:color w:val="auto"/>
              </w:rPr>
              <w:t>Centre for National Resilience</w:t>
            </w:r>
            <w:r w:rsidR="00212ABD" w:rsidRPr="00D2082D">
              <w:rPr>
                <w:color w:val="auto"/>
              </w:rPr>
              <w:t xml:space="preserve"> </w:t>
            </w:r>
            <w:r w:rsidR="00BA0E39" w:rsidRPr="00D2082D">
              <w:rPr>
                <w:color w:val="auto"/>
              </w:rPr>
              <w:t>or domestic</w:t>
            </w:r>
            <w:r w:rsidR="009A761A" w:rsidRPr="00D2082D">
              <w:rPr>
                <w:color w:val="auto"/>
              </w:rPr>
              <w:t xml:space="preserve"> transfer</w:t>
            </w:r>
            <w:r w:rsidR="00BA0E39" w:rsidRPr="00D2082D">
              <w:rPr>
                <w:color w:val="auto"/>
              </w:rPr>
              <w:t xml:space="preserve"> for medical purposes</w:t>
            </w:r>
            <w:r w:rsidR="00B66AC8" w:rsidRPr="00D2082D">
              <w:rPr>
                <w:color w:val="auto"/>
              </w:rPr>
              <w:t>.</w:t>
            </w:r>
          </w:p>
          <w:p w14:paraId="56F7E7BB" w14:textId="360A6CC4" w:rsidR="00FF0E7D" w:rsidRPr="00D2082D" w:rsidRDefault="00F05A9A" w:rsidP="00B10F60">
            <w:pPr>
              <w:pStyle w:val="Tableformat"/>
              <w:numPr>
                <w:ilvl w:val="0"/>
                <w:numId w:val="17"/>
              </w:numPr>
              <w:ind w:left="360"/>
              <w:rPr>
                <w:color w:val="auto"/>
              </w:rPr>
            </w:pPr>
            <w:r w:rsidRPr="00DB2166">
              <w:rPr>
                <w:color w:val="auto"/>
              </w:rPr>
              <w:t xml:space="preserve">Ensure all frontline staff are fully vaccinated. </w:t>
            </w:r>
          </w:p>
        </w:tc>
      </w:tr>
      <w:tr w:rsidR="00D2082D" w:rsidRPr="00D2082D" w14:paraId="05E4B910" w14:textId="77777777" w:rsidTr="00B10F60">
        <w:trPr>
          <w:gridAfter w:val="1"/>
          <w:wAfter w:w="6" w:type="dxa"/>
        </w:trPr>
        <w:tc>
          <w:tcPr>
            <w:tcW w:w="1975" w:type="dxa"/>
            <w:shd w:val="clear" w:color="auto" w:fill="auto"/>
          </w:tcPr>
          <w:p w14:paraId="35633087" w14:textId="4ECDF225" w:rsidR="00BA0E39" w:rsidRPr="00D2082D" w:rsidRDefault="00BA0E39" w:rsidP="000A2842">
            <w:pPr>
              <w:pStyle w:val="Tableformat"/>
              <w:rPr>
                <w:color w:val="auto"/>
              </w:rPr>
            </w:pPr>
          </w:p>
        </w:tc>
        <w:tc>
          <w:tcPr>
            <w:tcW w:w="7796" w:type="dxa"/>
            <w:shd w:val="clear" w:color="auto" w:fill="auto"/>
          </w:tcPr>
          <w:p w14:paraId="394980B0" w14:textId="77777777" w:rsidR="00BA0E39" w:rsidRPr="00D2082D" w:rsidRDefault="00BA0E39" w:rsidP="00BA0E39">
            <w:pPr>
              <w:pStyle w:val="NormalWeb"/>
              <w:shd w:val="clear" w:color="auto" w:fill="FFFFFF"/>
              <w:spacing w:before="0" w:beforeAutospacing="0" w:after="240" w:afterAutospacing="0" w:line="281" w:lineRule="atLeast"/>
              <w:jc w:val="both"/>
              <w:rPr>
                <w:rFonts w:ascii="Corbel" w:hAnsi="Corbel" w:cs="Arial"/>
                <w:b/>
              </w:rPr>
            </w:pPr>
            <w:r w:rsidRPr="00D2082D">
              <w:rPr>
                <w:rFonts w:ascii="Corbel" w:hAnsi="Corbel" w:cs="Arial"/>
                <w:b/>
              </w:rPr>
              <w:t>QUARANTINE FACILITY REQUIREMENTS</w:t>
            </w:r>
          </w:p>
          <w:p w14:paraId="53DAAB04" w14:textId="77777777" w:rsidR="00BA0E39" w:rsidRPr="00D2082D" w:rsidRDefault="00BA0E39" w:rsidP="00BA0E39">
            <w:pPr>
              <w:pStyle w:val="Tableformat"/>
              <w:rPr>
                <w:color w:val="auto"/>
              </w:rPr>
            </w:pPr>
            <w:r w:rsidRPr="00D2082D">
              <w:rPr>
                <w:color w:val="auto"/>
              </w:rPr>
              <w:t xml:space="preserve">The Northern Territory in the provision of a quarantine facility will ensure that </w:t>
            </w:r>
            <w:r w:rsidR="00E82F0C" w:rsidRPr="00D2082D">
              <w:rPr>
                <w:color w:val="auto"/>
              </w:rPr>
              <w:t xml:space="preserve">the </w:t>
            </w:r>
            <w:r w:rsidR="007259FE" w:rsidRPr="00D2082D">
              <w:rPr>
                <w:color w:val="auto"/>
              </w:rPr>
              <w:t>Centre for National Resilience</w:t>
            </w:r>
            <w:r w:rsidR="00212ABD" w:rsidRPr="00D2082D">
              <w:rPr>
                <w:color w:val="auto"/>
              </w:rPr>
              <w:t xml:space="preserve"> </w:t>
            </w:r>
            <w:r w:rsidRPr="00D2082D">
              <w:rPr>
                <w:color w:val="auto"/>
              </w:rPr>
              <w:t>has</w:t>
            </w:r>
            <w:r w:rsidR="003A7E0E" w:rsidRPr="00D2082D">
              <w:rPr>
                <w:color w:val="auto"/>
              </w:rPr>
              <w:t xml:space="preserve"> the</w:t>
            </w:r>
            <w:r w:rsidRPr="00D2082D">
              <w:rPr>
                <w:color w:val="auto"/>
              </w:rPr>
              <w:t>:</w:t>
            </w:r>
          </w:p>
          <w:p w14:paraId="06DF9272" w14:textId="77777777" w:rsidR="00BA0E39" w:rsidRPr="00D2082D" w:rsidRDefault="00BA0E39" w:rsidP="003E3B5B">
            <w:pPr>
              <w:pStyle w:val="Tableformat"/>
              <w:numPr>
                <w:ilvl w:val="0"/>
                <w:numId w:val="8"/>
              </w:numPr>
              <w:ind w:left="360"/>
              <w:rPr>
                <w:color w:val="auto"/>
              </w:rPr>
            </w:pPr>
            <w:r w:rsidRPr="00D2082D">
              <w:rPr>
                <w:color w:val="auto"/>
              </w:rPr>
              <w:t>Ability to cohort residents according to risk, including identified vulnerable groups.</w:t>
            </w:r>
          </w:p>
          <w:p w14:paraId="4A01D8A9" w14:textId="77777777" w:rsidR="00D650C0" w:rsidRPr="00D2082D" w:rsidRDefault="00D650C0" w:rsidP="003E3B5B">
            <w:pPr>
              <w:pStyle w:val="Tableformat"/>
              <w:numPr>
                <w:ilvl w:val="0"/>
                <w:numId w:val="8"/>
              </w:numPr>
              <w:ind w:left="360"/>
              <w:rPr>
                <w:color w:val="auto"/>
              </w:rPr>
            </w:pPr>
            <w:r w:rsidRPr="00D2082D">
              <w:rPr>
                <w:color w:val="auto"/>
              </w:rPr>
              <w:t xml:space="preserve">Complete physical separation of </w:t>
            </w:r>
            <w:r w:rsidR="00A932CC" w:rsidRPr="00D2082D">
              <w:rPr>
                <w:color w:val="auto"/>
              </w:rPr>
              <w:t xml:space="preserve">international </w:t>
            </w:r>
            <w:proofErr w:type="spellStart"/>
            <w:r w:rsidR="00A932CC" w:rsidRPr="00D2082D">
              <w:rPr>
                <w:color w:val="auto"/>
              </w:rPr>
              <w:t>trave</w:t>
            </w:r>
            <w:r w:rsidR="009E7962" w:rsidRPr="00D2082D">
              <w:rPr>
                <w:color w:val="auto"/>
              </w:rPr>
              <w:t>l</w:t>
            </w:r>
            <w:r w:rsidR="00A932CC" w:rsidRPr="00D2082D">
              <w:rPr>
                <w:color w:val="auto"/>
              </w:rPr>
              <w:t>lers</w:t>
            </w:r>
            <w:proofErr w:type="spellEnd"/>
            <w:r w:rsidR="00A932CC" w:rsidRPr="00D2082D">
              <w:rPr>
                <w:color w:val="auto"/>
              </w:rPr>
              <w:t xml:space="preserve"> returning under this agreement with other</w:t>
            </w:r>
            <w:r w:rsidRPr="00D2082D">
              <w:rPr>
                <w:color w:val="auto"/>
              </w:rPr>
              <w:t xml:space="preserve"> quarantine residents</w:t>
            </w:r>
            <w:r w:rsidR="00D54AD5" w:rsidRPr="00D2082D">
              <w:rPr>
                <w:color w:val="auto"/>
              </w:rPr>
              <w:t>.</w:t>
            </w:r>
          </w:p>
          <w:p w14:paraId="43E19C8B" w14:textId="77777777" w:rsidR="00BA0E39" w:rsidRPr="00D2082D" w:rsidRDefault="00BA0E39" w:rsidP="003E3B5B">
            <w:pPr>
              <w:pStyle w:val="Tableformat"/>
              <w:numPr>
                <w:ilvl w:val="0"/>
                <w:numId w:val="8"/>
              </w:numPr>
              <w:ind w:left="360"/>
              <w:rPr>
                <w:color w:val="auto"/>
              </w:rPr>
            </w:pPr>
            <w:r w:rsidRPr="00D2082D">
              <w:rPr>
                <w:color w:val="auto"/>
              </w:rPr>
              <w:t>Space to allow sufficient physical separation between individuals and cohorts</w:t>
            </w:r>
            <w:r w:rsidR="0000177C" w:rsidRPr="00D2082D">
              <w:rPr>
                <w:color w:val="auto"/>
              </w:rPr>
              <w:t>, noting adjustments may need to be made in line with the latest health advice</w:t>
            </w:r>
            <w:r w:rsidRPr="00D2082D">
              <w:rPr>
                <w:color w:val="auto"/>
              </w:rPr>
              <w:t>.</w:t>
            </w:r>
          </w:p>
          <w:p w14:paraId="413F4F79" w14:textId="77777777" w:rsidR="00BA0E39" w:rsidRPr="00D2082D" w:rsidRDefault="00BA0E39" w:rsidP="003E3B5B">
            <w:pPr>
              <w:pStyle w:val="Tableformat"/>
              <w:numPr>
                <w:ilvl w:val="0"/>
                <w:numId w:val="8"/>
              </w:numPr>
              <w:ind w:left="360"/>
              <w:rPr>
                <w:color w:val="auto"/>
              </w:rPr>
            </w:pPr>
            <w:r w:rsidRPr="00D2082D">
              <w:rPr>
                <w:color w:val="auto"/>
              </w:rPr>
              <w:t xml:space="preserve">Ability to house families together and </w:t>
            </w:r>
            <w:r w:rsidR="00A47A76" w:rsidRPr="00D2082D">
              <w:rPr>
                <w:color w:val="auto"/>
              </w:rPr>
              <w:t>accommodate very young children</w:t>
            </w:r>
            <w:r w:rsidRPr="00D2082D">
              <w:rPr>
                <w:color w:val="auto"/>
              </w:rPr>
              <w:t>.</w:t>
            </w:r>
          </w:p>
          <w:p w14:paraId="34D899AB" w14:textId="77777777" w:rsidR="00BA0E39" w:rsidRPr="00D2082D" w:rsidRDefault="00BA0E39" w:rsidP="003E3B5B">
            <w:pPr>
              <w:pStyle w:val="Tableformat"/>
              <w:numPr>
                <w:ilvl w:val="0"/>
                <w:numId w:val="8"/>
              </w:numPr>
              <w:ind w:left="360"/>
              <w:rPr>
                <w:color w:val="auto"/>
              </w:rPr>
            </w:pPr>
            <w:r w:rsidRPr="00D2082D">
              <w:rPr>
                <w:color w:val="auto"/>
              </w:rPr>
              <w:t xml:space="preserve">Space to operate suitable medical facilities and related activities including testing, </w:t>
            </w:r>
            <w:proofErr w:type="gramStart"/>
            <w:r w:rsidRPr="00D2082D">
              <w:rPr>
                <w:color w:val="auto"/>
              </w:rPr>
              <w:t>resuscitation</w:t>
            </w:r>
            <w:proofErr w:type="gramEnd"/>
            <w:r w:rsidRPr="00D2082D">
              <w:rPr>
                <w:color w:val="auto"/>
              </w:rPr>
              <w:t xml:space="preserve"> and ambulance transfer.</w:t>
            </w:r>
          </w:p>
          <w:p w14:paraId="748BFE40" w14:textId="77777777" w:rsidR="00BA0E39" w:rsidRPr="00D2082D" w:rsidRDefault="00BA0E39" w:rsidP="003E3B5B">
            <w:pPr>
              <w:pStyle w:val="Tableformat"/>
              <w:numPr>
                <w:ilvl w:val="0"/>
                <w:numId w:val="8"/>
              </w:numPr>
              <w:ind w:left="360"/>
              <w:rPr>
                <w:color w:val="auto"/>
              </w:rPr>
            </w:pPr>
            <w:r w:rsidRPr="00D2082D">
              <w:rPr>
                <w:color w:val="auto"/>
              </w:rPr>
              <w:t>Capacity to accommodate both COVID-19 positive cases with mild symptoms, and individuals who have other mild health conditions</w:t>
            </w:r>
            <w:r w:rsidR="00212ABD" w:rsidRPr="00D2082D">
              <w:rPr>
                <w:color w:val="auto"/>
              </w:rPr>
              <w:t xml:space="preserve">, noting that the best location will be determined by </w:t>
            </w:r>
            <w:r w:rsidR="0074010A" w:rsidRPr="00D2082D">
              <w:rPr>
                <w:color w:val="auto"/>
              </w:rPr>
              <w:t xml:space="preserve">the clinician managing the case, in line with </w:t>
            </w:r>
            <w:r w:rsidR="00B66AC8" w:rsidRPr="00D2082D">
              <w:rPr>
                <w:color w:val="auto"/>
              </w:rPr>
              <w:t xml:space="preserve">the Northern Territory </w:t>
            </w:r>
            <w:r w:rsidR="0074010A" w:rsidRPr="00D2082D">
              <w:rPr>
                <w:color w:val="auto"/>
              </w:rPr>
              <w:t xml:space="preserve">Chief Health Officer directions and any agreed referral mechanisms. </w:t>
            </w:r>
          </w:p>
          <w:p w14:paraId="2A7B230C" w14:textId="77777777" w:rsidR="00B10F60" w:rsidRPr="00D2082D" w:rsidRDefault="00BA0E39" w:rsidP="00B10F60">
            <w:pPr>
              <w:pStyle w:val="Tableformat"/>
              <w:numPr>
                <w:ilvl w:val="0"/>
                <w:numId w:val="8"/>
              </w:numPr>
              <w:ind w:left="360"/>
              <w:rPr>
                <w:color w:val="auto"/>
              </w:rPr>
            </w:pPr>
            <w:r w:rsidRPr="00D2082D">
              <w:rPr>
                <w:color w:val="auto"/>
              </w:rPr>
              <w:t>Self-contained units which are well-ventilated with separate, non-communal amenities.</w:t>
            </w:r>
          </w:p>
          <w:p w14:paraId="59970349" w14:textId="1AFE57CD" w:rsidR="00BA0E39" w:rsidRPr="00D2082D" w:rsidRDefault="00BA0E39" w:rsidP="00B10F60">
            <w:pPr>
              <w:pStyle w:val="Tableformat"/>
              <w:numPr>
                <w:ilvl w:val="0"/>
                <w:numId w:val="8"/>
              </w:numPr>
              <w:ind w:left="360"/>
              <w:rPr>
                <w:color w:val="auto"/>
              </w:rPr>
            </w:pPr>
            <w:r w:rsidRPr="00D2082D">
              <w:rPr>
                <w:color w:val="auto"/>
              </w:rPr>
              <w:t xml:space="preserve">Appropriate capacity and infrastructure to allow residents to receive health assistance, particularly in </w:t>
            </w:r>
            <w:proofErr w:type="gramStart"/>
            <w:r w:rsidRPr="00D2082D">
              <w:rPr>
                <w:color w:val="auto"/>
              </w:rPr>
              <w:t>an emergency situation</w:t>
            </w:r>
            <w:proofErr w:type="gramEnd"/>
            <w:r w:rsidRPr="00D2082D">
              <w:rPr>
                <w:color w:val="auto"/>
              </w:rPr>
              <w:t xml:space="preserve">.  </w:t>
            </w:r>
          </w:p>
          <w:p w14:paraId="270BAC7B" w14:textId="5EDDD300" w:rsidR="007A501A" w:rsidRPr="00D2082D" w:rsidRDefault="007A501A" w:rsidP="003E3B5B">
            <w:pPr>
              <w:pStyle w:val="Tableformat"/>
              <w:numPr>
                <w:ilvl w:val="0"/>
                <w:numId w:val="8"/>
              </w:numPr>
              <w:ind w:left="360"/>
              <w:rPr>
                <w:color w:val="auto"/>
              </w:rPr>
            </w:pPr>
            <w:r w:rsidRPr="00DB2166">
              <w:rPr>
                <w:color w:val="auto"/>
              </w:rPr>
              <w:t>Ensure all frontline staff are fully vaccinated.</w:t>
            </w:r>
          </w:p>
        </w:tc>
      </w:tr>
      <w:tr w:rsidR="00D2082D" w:rsidRPr="00D2082D" w14:paraId="035FE670" w14:textId="77777777" w:rsidTr="00B10F60">
        <w:trPr>
          <w:gridAfter w:val="1"/>
          <w:wAfter w:w="6" w:type="dxa"/>
        </w:trPr>
        <w:tc>
          <w:tcPr>
            <w:tcW w:w="1975" w:type="dxa"/>
            <w:shd w:val="clear" w:color="auto" w:fill="auto"/>
          </w:tcPr>
          <w:p w14:paraId="329C4E24" w14:textId="77777777" w:rsidR="00D6469C" w:rsidRPr="00D2082D" w:rsidRDefault="00D6469C" w:rsidP="000A2842">
            <w:pPr>
              <w:pStyle w:val="Tableformat"/>
              <w:rPr>
                <w:color w:val="auto"/>
              </w:rPr>
            </w:pPr>
          </w:p>
        </w:tc>
        <w:tc>
          <w:tcPr>
            <w:tcW w:w="7796" w:type="dxa"/>
            <w:shd w:val="clear" w:color="auto" w:fill="auto"/>
          </w:tcPr>
          <w:p w14:paraId="316E7ED1" w14:textId="77777777" w:rsidR="00D6469C" w:rsidRPr="00D2082D" w:rsidRDefault="00D6469C" w:rsidP="00D6469C">
            <w:pPr>
              <w:pStyle w:val="NormalWeb"/>
              <w:shd w:val="clear" w:color="auto" w:fill="FFFFFF"/>
              <w:spacing w:before="0" w:beforeAutospacing="0" w:after="240" w:afterAutospacing="0" w:line="281" w:lineRule="atLeast"/>
              <w:jc w:val="both"/>
              <w:rPr>
                <w:rFonts w:ascii="Corbel" w:hAnsi="Corbel" w:cs="Arial"/>
                <w:b/>
              </w:rPr>
            </w:pPr>
            <w:r w:rsidRPr="00D2082D">
              <w:rPr>
                <w:rFonts w:ascii="Corbel" w:hAnsi="Corbel" w:cs="Arial"/>
                <w:b/>
              </w:rPr>
              <w:t>OPERATIONAL PLANNING AND SERVICE DELIVERY</w:t>
            </w:r>
          </w:p>
          <w:p w14:paraId="7703D331" w14:textId="3A60EE89" w:rsidR="00624C37" w:rsidRPr="00D2082D" w:rsidRDefault="00624C37" w:rsidP="00D6469C">
            <w:pPr>
              <w:pStyle w:val="Tableformat"/>
              <w:rPr>
                <w:color w:val="auto"/>
              </w:rPr>
            </w:pPr>
            <w:r w:rsidRPr="00D2082D">
              <w:rPr>
                <w:color w:val="auto"/>
              </w:rPr>
              <w:t>The Northern Territory in planning and delivering a quarantine facility at</w:t>
            </w:r>
            <w:r w:rsidR="00E82F0C" w:rsidRPr="00D2082D">
              <w:rPr>
                <w:color w:val="auto"/>
              </w:rPr>
              <w:t xml:space="preserve"> the</w:t>
            </w:r>
            <w:r w:rsidRPr="00D2082D">
              <w:rPr>
                <w:color w:val="auto"/>
              </w:rPr>
              <w:t xml:space="preserve"> </w:t>
            </w:r>
            <w:r w:rsidR="007259FE" w:rsidRPr="00D2082D">
              <w:rPr>
                <w:color w:val="auto"/>
              </w:rPr>
              <w:t>Centre for National Resilience</w:t>
            </w:r>
            <w:r w:rsidRPr="00D2082D">
              <w:rPr>
                <w:color w:val="auto"/>
              </w:rPr>
              <w:t xml:space="preserve"> will embed the system performance good practice which is outlined in the </w:t>
            </w:r>
            <w:r w:rsidR="00800A54" w:rsidRPr="00D2082D">
              <w:rPr>
                <w:color w:val="auto"/>
              </w:rPr>
              <w:t xml:space="preserve">Halton </w:t>
            </w:r>
            <w:r w:rsidRPr="00D2082D">
              <w:rPr>
                <w:color w:val="auto"/>
              </w:rPr>
              <w:t>Review of Hotel Quarantine</w:t>
            </w:r>
            <w:r w:rsidR="00800A54" w:rsidRPr="00D2082D">
              <w:rPr>
                <w:color w:val="auto"/>
              </w:rPr>
              <w:t xml:space="preserve"> and AHPPC guidance</w:t>
            </w:r>
            <w:r w:rsidRPr="00D2082D">
              <w:rPr>
                <w:color w:val="auto"/>
              </w:rPr>
              <w:t xml:space="preserve">. </w:t>
            </w:r>
            <w:r w:rsidR="00CE2251" w:rsidRPr="00D2082D">
              <w:rPr>
                <w:color w:val="auto"/>
              </w:rPr>
              <w:t xml:space="preserve">Similarly, </w:t>
            </w:r>
            <w:r w:rsidR="00B76B19" w:rsidRPr="00D2082D">
              <w:rPr>
                <w:color w:val="auto"/>
              </w:rPr>
              <w:t xml:space="preserve">the Northern Territory </w:t>
            </w:r>
            <w:r w:rsidR="00EF718A" w:rsidRPr="00D2082D">
              <w:rPr>
                <w:color w:val="auto"/>
              </w:rPr>
              <w:t xml:space="preserve">will </w:t>
            </w:r>
            <w:r w:rsidR="00CE2251" w:rsidRPr="00D2082D">
              <w:rPr>
                <w:color w:val="auto"/>
              </w:rPr>
              <w:t>ensure the establishment and operation of the facility meets requirements</w:t>
            </w:r>
            <w:r w:rsidR="00941A33" w:rsidRPr="00D2082D">
              <w:rPr>
                <w:color w:val="auto"/>
              </w:rPr>
              <w:t xml:space="preserve"> as agreed between both parties and set out in operational plans</w:t>
            </w:r>
            <w:r w:rsidR="00E97E7E" w:rsidRPr="00D2082D">
              <w:rPr>
                <w:color w:val="auto"/>
              </w:rPr>
              <w:t xml:space="preserve"> which have been de</w:t>
            </w:r>
            <w:r w:rsidR="00FA0F25" w:rsidRPr="00D2082D">
              <w:rPr>
                <w:color w:val="auto"/>
              </w:rPr>
              <w:t>rived</w:t>
            </w:r>
            <w:r w:rsidR="00E97E7E" w:rsidRPr="00D2082D">
              <w:rPr>
                <w:color w:val="auto"/>
              </w:rPr>
              <w:t xml:space="preserve"> from national guidance.</w:t>
            </w:r>
            <w:r w:rsidR="00CE2251" w:rsidRPr="00D2082D">
              <w:rPr>
                <w:color w:val="auto"/>
              </w:rPr>
              <w:t xml:space="preserve"> </w:t>
            </w:r>
          </w:p>
          <w:p w14:paraId="68C9F2A3" w14:textId="39DAC6BB" w:rsidR="00D6469C" w:rsidRPr="00D2082D" w:rsidRDefault="00343549" w:rsidP="00D6469C">
            <w:pPr>
              <w:pStyle w:val="Tableformat"/>
              <w:rPr>
                <w:color w:val="auto"/>
              </w:rPr>
            </w:pPr>
            <w:r w:rsidRPr="00D2082D">
              <w:rPr>
                <w:color w:val="auto"/>
              </w:rPr>
              <w:t>T</w:t>
            </w:r>
            <w:r w:rsidR="0005524A" w:rsidRPr="00D2082D">
              <w:rPr>
                <w:color w:val="auto"/>
              </w:rPr>
              <w:t>he</w:t>
            </w:r>
            <w:r w:rsidR="00D6469C" w:rsidRPr="00D2082D">
              <w:rPr>
                <w:color w:val="auto"/>
              </w:rPr>
              <w:t xml:space="preserve"> Northern Territory will ensur</w:t>
            </w:r>
            <w:r w:rsidR="00DE7211" w:rsidRPr="00D2082D">
              <w:rPr>
                <w:color w:val="auto"/>
              </w:rPr>
              <w:t>e</w:t>
            </w:r>
            <w:r w:rsidR="00D8323D" w:rsidRPr="00D2082D">
              <w:rPr>
                <w:color w:val="auto"/>
              </w:rPr>
              <w:t xml:space="preserve"> it has</w:t>
            </w:r>
            <w:r w:rsidR="00DE7211" w:rsidRPr="00D2082D">
              <w:rPr>
                <w:color w:val="auto"/>
              </w:rPr>
              <w:t xml:space="preserve"> the </w:t>
            </w:r>
            <w:r w:rsidR="00D6469C" w:rsidRPr="00D2082D">
              <w:rPr>
                <w:color w:val="auto"/>
              </w:rPr>
              <w:t>following operational and risk management plans in place.</w:t>
            </w:r>
          </w:p>
          <w:p w14:paraId="266E5087" w14:textId="77777777" w:rsidR="00D6469C" w:rsidRPr="00D2082D" w:rsidRDefault="00D6469C" w:rsidP="003E3B5B">
            <w:pPr>
              <w:pStyle w:val="Tableformat"/>
              <w:numPr>
                <w:ilvl w:val="0"/>
                <w:numId w:val="10"/>
              </w:numPr>
              <w:ind w:left="360"/>
              <w:rPr>
                <w:color w:val="auto"/>
              </w:rPr>
            </w:pPr>
            <w:r w:rsidRPr="00D2082D">
              <w:rPr>
                <w:color w:val="auto"/>
              </w:rPr>
              <w:t>COVID-19 testing requirements for quarantined individuals.</w:t>
            </w:r>
          </w:p>
          <w:p w14:paraId="71140170" w14:textId="77777777" w:rsidR="00D6469C" w:rsidRPr="00D2082D" w:rsidRDefault="00D6469C" w:rsidP="003E3B5B">
            <w:pPr>
              <w:pStyle w:val="Tableformat"/>
              <w:numPr>
                <w:ilvl w:val="0"/>
                <w:numId w:val="10"/>
              </w:numPr>
              <w:ind w:left="360"/>
              <w:rPr>
                <w:color w:val="auto"/>
              </w:rPr>
            </w:pPr>
            <w:r w:rsidRPr="00D2082D">
              <w:rPr>
                <w:color w:val="auto"/>
              </w:rPr>
              <w:t xml:space="preserve">COVID-19 </w:t>
            </w:r>
            <w:proofErr w:type="spellStart"/>
            <w:r w:rsidRPr="00D2082D">
              <w:rPr>
                <w:color w:val="auto"/>
              </w:rPr>
              <w:t>transferral</w:t>
            </w:r>
            <w:proofErr w:type="spellEnd"/>
            <w:r w:rsidRPr="00D2082D">
              <w:rPr>
                <w:color w:val="auto"/>
              </w:rPr>
              <w:t xml:space="preserve"> plan – for moving large cohorts of individuals to the facility/airport</w:t>
            </w:r>
          </w:p>
          <w:p w14:paraId="278820F2" w14:textId="7F0D1BE0" w:rsidR="00D6469C" w:rsidRPr="00D2082D" w:rsidRDefault="00D6469C" w:rsidP="003E3B5B">
            <w:pPr>
              <w:pStyle w:val="Tableformat"/>
              <w:numPr>
                <w:ilvl w:val="0"/>
                <w:numId w:val="10"/>
              </w:numPr>
              <w:ind w:left="360"/>
              <w:rPr>
                <w:color w:val="auto"/>
              </w:rPr>
            </w:pPr>
            <w:r w:rsidRPr="00D2082D">
              <w:rPr>
                <w:color w:val="auto"/>
              </w:rPr>
              <w:t>Site specific</w:t>
            </w:r>
            <w:r w:rsidR="001C535B" w:rsidRPr="00D2082D">
              <w:rPr>
                <w:color w:val="auto"/>
              </w:rPr>
              <w:t xml:space="preserve"> </w:t>
            </w:r>
            <w:r w:rsidR="001C535B" w:rsidRPr="00DB2166">
              <w:rPr>
                <w:color w:val="auto"/>
              </w:rPr>
              <w:t>IPC</w:t>
            </w:r>
            <w:r w:rsidRPr="00D2082D">
              <w:rPr>
                <w:color w:val="auto"/>
              </w:rPr>
              <w:t xml:space="preserve"> plan.</w:t>
            </w:r>
          </w:p>
          <w:p w14:paraId="2C64B61D" w14:textId="77777777" w:rsidR="00D6469C" w:rsidRPr="00D2082D" w:rsidRDefault="00D6469C" w:rsidP="003E3B5B">
            <w:pPr>
              <w:pStyle w:val="Tableformat"/>
              <w:numPr>
                <w:ilvl w:val="0"/>
                <w:numId w:val="10"/>
              </w:numPr>
              <w:ind w:left="360"/>
              <w:rPr>
                <w:color w:val="auto"/>
              </w:rPr>
            </w:pPr>
            <w:r w:rsidRPr="00D2082D">
              <w:rPr>
                <w:color w:val="auto"/>
              </w:rPr>
              <w:t>Staffing requirements and protocols, including necessary medical and clinical staff, other staffing needs and appropriate ratios.</w:t>
            </w:r>
            <w:r w:rsidR="00A3683D" w:rsidRPr="00D2082D">
              <w:rPr>
                <w:color w:val="auto"/>
              </w:rPr>
              <w:t xml:space="preserve"> </w:t>
            </w:r>
            <w:r w:rsidRPr="00D2082D">
              <w:rPr>
                <w:color w:val="auto"/>
              </w:rPr>
              <w:t xml:space="preserve">The following </w:t>
            </w:r>
            <w:r w:rsidR="003A7E0E" w:rsidRPr="00D2082D">
              <w:rPr>
                <w:color w:val="auto"/>
              </w:rPr>
              <w:t>must</w:t>
            </w:r>
            <w:r w:rsidRPr="00D2082D">
              <w:rPr>
                <w:color w:val="auto"/>
              </w:rPr>
              <w:t xml:space="preserve"> be </w:t>
            </w:r>
            <w:proofErr w:type="gramStart"/>
            <w:r w:rsidRPr="00D2082D">
              <w:rPr>
                <w:color w:val="auto"/>
              </w:rPr>
              <w:t>taken into account</w:t>
            </w:r>
            <w:proofErr w:type="gramEnd"/>
            <w:r w:rsidRPr="00D2082D">
              <w:rPr>
                <w:color w:val="auto"/>
              </w:rPr>
              <w:t xml:space="preserve"> in staffing planning:</w:t>
            </w:r>
          </w:p>
          <w:p w14:paraId="2EAB33FA" w14:textId="77777777" w:rsidR="00D6469C" w:rsidRPr="00D2082D" w:rsidRDefault="00D6469C" w:rsidP="003E3B5B">
            <w:pPr>
              <w:pStyle w:val="Tableformat"/>
              <w:numPr>
                <w:ilvl w:val="1"/>
                <w:numId w:val="17"/>
              </w:numPr>
              <w:ind w:left="1080"/>
              <w:rPr>
                <w:color w:val="auto"/>
              </w:rPr>
            </w:pPr>
            <w:r w:rsidRPr="00D2082D">
              <w:rPr>
                <w:color w:val="auto"/>
              </w:rPr>
              <w:t xml:space="preserve">Staff working at a site with an outbreak should work with one cohort only and should not attend work at other locations or facilities for the duration of the outbreak.  </w:t>
            </w:r>
          </w:p>
          <w:p w14:paraId="78F5D58F" w14:textId="77777777" w:rsidR="00D6469C" w:rsidRPr="00D2082D" w:rsidRDefault="00D6469C" w:rsidP="003E3B5B">
            <w:pPr>
              <w:pStyle w:val="Tableformat"/>
              <w:numPr>
                <w:ilvl w:val="1"/>
                <w:numId w:val="17"/>
              </w:numPr>
              <w:ind w:left="1080"/>
              <w:rPr>
                <w:color w:val="auto"/>
              </w:rPr>
            </w:pPr>
            <w:r w:rsidRPr="00D2082D">
              <w:rPr>
                <w:color w:val="auto"/>
              </w:rPr>
              <w:t>Staff should not move between groups in isolation (positive COVID-19 test) and those in quarantine.</w:t>
            </w:r>
          </w:p>
          <w:p w14:paraId="0A0EC3B1" w14:textId="77777777" w:rsidR="00D6469C" w:rsidRPr="00D2082D" w:rsidRDefault="003A7E0E" w:rsidP="003E3B5B">
            <w:pPr>
              <w:pStyle w:val="Tableformat"/>
              <w:numPr>
                <w:ilvl w:val="1"/>
                <w:numId w:val="17"/>
              </w:numPr>
              <w:ind w:left="1080"/>
              <w:rPr>
                <w:color w:val="auto"/>
              </w:rPr>
            </w:pPr>
            <w:r w:rsidRPr="00D2082D">
              <w:rPr>
                <w:color w:val="auto"/>
              </w:rPr>
              <w:t>All s</w:t>
            </w:r>
            <w:r w:rsidR="00D6469C" w:rsidRPr="00D2082D">
              <w:rPr>
                <w:color w:val="auto"/>
              </w:rPr>
              <w:t xml:space="preserve">taff </w:t>
            </w:r>
            <w:r w:rsidRPr="00D2082D">
              <w:rPr>
                <w:color w:val="auto"/>
              </w:rPr>
              <w:t xml:space="preserve">must </w:t>
            </w:r>
            <w:r w:rsidR="00D6469C" w:rsidRPr="00D2082D">
              <w:rPr>
                <w:color w:val="auto"/>
              </w:rPr>
              <w:t>be regularly screened for symptoms in addition to participating in</w:t>
            </w:r>
            <w:r w:rsidR="000327B2" w:rsidRPr="00D2082D">
              <w:rPr>
                <w:color w:val="auto"/>
              </w:rPr>
              <w:t xml:space="preserve"> testing as required by</w:t>
            </w:r>
            <w:r w:rsidR="00800A54" w:rsidRPr="00D2082D">
              <w:rPr>
                <w:color w:val="auto"/>
              </w:rPr>
              <w:t xml:space="preserve"> AHPPC, National Cabinet and</w:t>
            </w:r>
            <w:r w:rsidR="000327B2" w:rsidRPr="00D2082D">
              <w:rPr>
                <w:color w:val="auto"/>
              </w:rPr>
              <w:t xml:space="preserve"> the Northern Territory Chief Health Officer. </w:t>
            </w:r>
          </w:p>
          <w:p w14:paraId="737610C6" w14:textId="77777777" w:rsidR="00D6469C" w:rsidRPr="00D2082D" w:rsidRDefault="00D6469C" w:rsidP="003E3B5B">
            <w:pPr>
              <w:pStyle w:val="Tableformat"/>
              <w:numPr>
                <w:ilvl w:val="0"/>
                <w:numId w:val="10"/>
              </w:numPr>
              <w:ind w:left="360"/>
              <w:rPr>
                <w:color w:val="auto"/>
              </w:rPr>
            </w:pPr>
            <w:r w:rsidRPr="00D2082D">
              <w:rPr>
                <w:color w:val="auto"/>
              </w:rPr>
              <w:t>To respond to a COVID-19 infection occurring across cohorts and into the general community:</w:t>
            </w:r>
          </w:p>
          <w:p w14:paraId="136E73F8" w14:textId="77777777" w:rsidR="00D6469C" w:rsidRPr="00D2082D" w:rsidRDefault="00D6469C" w:rsidP="003E3B5B">
            <w:pPr>
              <w:pStyle w:val="Tableformat"/>
              <w:numPr>
                <w:ilvl w:val="0"/>
                <w:numId w:val="11"/>
              </w:numPr>
              <w:ind w:left="1080"/>
              <w:rPr>
                <w:color w:val="auto"/>
              </w:rPr>
            </w:pPr>
            <w:r w:rsidRPr="00D2082D">
              <w:rPr>
                <w:color w:val="auto"/>
              </w:rPr>
              <w:t>Outbreak management plan – strategies to limit infection transmission in the event of an outbreak</w:t>
            </w:r>
            <w:r w:rsidR="00B66AC8" w:rsidRPr="00D2082D">
              <w:rPr>
                <w:color w:val="auto"/>
              </w:rPr>
              <w:t>.</w:t>
            </w:r>
          </w:p>
          <w:p w14:paraId="0F63A446" w14:textId="77777777" w:rsidR="00D6469C" w:rsidRPr="00D2082D" w:rsidRDefault="00D6469C" w:rsidP="003E3B5B">
            <w:pPr>
              <w:pStyle w:val="Tableformat"/>
              <w:numPr>
                <w:ilvl w:val="0"/>
                <w:numId w:val="11"/>
              </w:numPr>
              <w:ind w:left="1080"/>
              <w:rPr>
                <w:color w:val="auto"/>
              </w:rPr>
            </w:pPr>
            <w:r w:rsidRPr="00D2082D">
              <w:rPr>
                <w:color w:val="auto"/>
              </w:rPr>
              <w:t>Retrieval management plan – for transferring large cohorts if the health s</w:t>
            </w:r>
            <w:r w:rsidR="00B66AC8" w:rsidRPr="00D2082D">
              <w:rPr>
                <w:color w:val="auto"/>
              </w:rPr>
              <w:t>ystem is overwhelmed.</w:t>
            </w:r>
            <w:r w:rsidRPr="00D2082D">
              <w:rPr>
                <w:color w:val="auto"/>
              </w:rPr>
              <w:t xml:space="preserve"> </w:t>
            </w:r>
          </w:p>
          <w:p w14:paraId="7CA1C73A" w14:textId="77777777" w:rsidR="00D6469C" w:rsidRPr="00D2082D" w:rsidRDefault="00D6469C" w:rsidP="003E3B5B">
            <w:pPr>
              <w:pStyle w:val="Tableformat"/>
              <w:numPr>
                <w:ilvl w:val="0"/>
                <w:numId w:val="10"/>
              </w:numPr>
              <w:ind w:left="360"/>
              <w:rPr>
                <w:color w:val="auto"/>
              </w:rPr>
            </w:pPr>
            <w:r w:rsidRPr="00D2082D">
              <w:rPr>
                <w:color w:val="auto"/>
              </w:rPr>
              <w:t xml:space="preserve">For the purposes of managing </w:t>
            </w:r>
            <w:r w:rsidR="00E82F0C" w:rsidRPr="00D2082D">
              <w:rPr>
                <w:color w:val="auto"/>
              </w:rPr>
              <w:t xml:space="preserve">the </w:t>
            </w:r>
            <w:r w:rsidR="007259FE" w:rsidRPr="00D2082D">
              <w:rPr>
                <w:color w:val="auto"/>
              </w:rPr>
              <w:t>Centre for National Resilience</w:t>
            </w:r>
            <w:r w:rsidRPr="00D2082D">
              <w:rPr>
                <w:color w:val="auto"/>
              </w:rPr>
              <w:t>:</w:t>
            </w:r>
          </w:p>
          <w:p w14:paraId="6564E5F1" w14:textId="77777777" w:rsidR="00D6469C" w:rsidRPr="00D2082D" w:rsidRDefault="00D6469C" w:rsidP="003E3B5B">
            <w:pPr>
              <w:pStyle w:val="Tableformat"/>
              <w:numPr>
                <w:ilvl w:val="0"/>
                <w:numId w:val="12"/>
              </w:numPr>
              <w:ind w:left="1080"/>
              <w:rPr>
                <w:color w:val="auto"/>
              </w:rPr>
            </w:pPr>
            <w:r w:rsidRPr="00D2082D">
              <w:rPr>
                <w:color w:val="auto"/>
              </w:rPr>
              <w:t>A comprehensive risk assessment plan, including adequate mitigation strategies.</w:t>
            </w:r>
          </w:p>
          <w:p w14:paraId="38A3EA4A" w14:textId="7C02A9CB" w:rsidR="00D6469C" w:rsidRPr="00D2082D" w:rsidRDefault="00D6469C" w:rsidP="00E80CF9">
            <w:pPr>
              <w:pStyle w:val="Tableformat"/>
              <w:numPr>
                <w:ilvl w:val="0"/>
                <w:numId w:val="12"/>
              </w:numPr>
              <w:ind w:left="1080"/>
              <w:rPr>
                <w:b/>
                <w:color w:val="auto"/>
              </w:rPr>
            </w:pPr>
            <w:r w:rsidRPr="00D2082D">
              <w:rPr>
                <w:color w:val="auto"/>
              </w:rPr>
              <w:t>A site operational plan, which includes an emergency response and emergency evacuation plan.</w:t>
            </w:r>
            <w:r w:rsidR="00342A60" w:rsidRPr="00DB2166">
              <w:rPr>
                <w:color w:val="auto"/>
              </w:rPr>
              <w:t xml:space="preserve"> This includes </w:t>
            </w:r>
            <w:r w:rsidR="00B06040" w:rsidRPr="00DB2166">
              <w:rPr>
                <w:color w:val="auto"/>
              </w:rPr>
              <w:t xml:space="preserve">specific plans for the </w:t>
            </w:r>
            <w:r w:rsidR="00342A60" w:rsidRPr="00DB2166">
              <w:rPr>
                <w:color w:val="auto"/>
              </w:rPr>
              <w:t>emergency response in the event of a cyclone</w:t>
            </w:r>
            <w:r w:rsidR="00E80CF9" w:rsidRPr="00D2082D">
              <w:rPr>
                <w:color w:val="auto"/>
              </w:rPr>
              <w:t>.</w:t>
            </w:r>
          </w:p>
        </w:tc>
      </w:tr>
      <w:tr w:rsidR="00D2082D" w:rsidRPr="00D2082D" w14:paraId="245E8456" w14:textId="77777777" w:rsidTr="00B10F60">
        <w:trPr>
          <w:gridAfter w:val="1"/>
          <w:wAfter w:w="6" w:type="dxa"/>
        </w:trPr>
        <w:tc>
          <w:tcPr>
            <w:tcW w:w="1975" w:type="dxa"/>
            <w:shd w:val="clear" w:color="auto" w:fill="auto"/>
          </w:tcPr>
          <w:p w14:paraId="11180A17" w14:textId="77777777" w:rsidR="00BA0E39" w:rsidRPr="00D2082D" w:rsidRDefault="00D6469C" w:rsidP="000A2842">
            <w:pPr>
              <w:pStyle w:val="Tableformat"/>
              <w:rPr>
                <w:color w:val="auto"/>
              </w:rPr>
            </w:pPr>
            <w:r w:rsidRPr="00D2082D">
              <w:rPr>
                <w:color w:val="auto"/>
              </w:rPr>
              <w:t>Compliance</w:t>
            </w:r>
          </w:p>
        </w:tc>
        <w:tc>
          <w:tcPr>
            <w:tcW w:w="7796" w:type="dxa"/>
            <w:shd w:val="clear" w:color="auto" w:fill="auto"/>
          </w:tcPr>
          <w:p w14:paraId="6247DF0F" w14:textId="77777777" w:rsidR="00BA0E39" w:rsidRPr="00D2082D" w:rsidRDefault="00BA0E39" w:rsidP="00B83991">
            <w:pPr>
              <w:pStyle w:val="Tableformat"/>
              <w:rPr>
                <w:b/>
                <w:color w:val="auto"/>
              </w:rPr>
            </w:pPr>
            <w:r w:rsidRPr="00D2082D">
              <w:rPr>
                <w:b/>
                <w:color w:val="auto"/>
              </w:rPr>
              <w:t>COVID-19</w:t>
            </w:r>
            <w:r w:rsidR="00361D25" w:rsidRPr="00D2082D">
              <w:rPr>
                <w:b/>
                <w:color w:val="auto"/>
              </w:rPr>
              <w:t xml:space="preserve"> A</w:t>
            </w:r>
            <w:r w:rsidR="00A3683D" w:rsidRPr="00D2082D">
              <w:rPr>
                <w:b/>
                <w:color w:val="auto"/>
              </w:rPr>
              <w:t xml:space="preserve">UDITING </w:t>
            </w:r>
          </w:p>
          <w:p w14:paraId="50DECB50" w14:textId="77777777" w:rsidR="00B10F60" w:rsidRPr="00D2082D" w:rsidRDefault="00BA0E39" w:rsidP="002F23C7">
            <w:pPr>
              <w:pStyle w:val="Tableformat"/>
              <w:rPr>
                <w:color w:val="auto"/>
              </w:rPr>
            </w:pPr>
            <w:r w:rsidRPr="00D2082D">
              <w:rPr>
                <w:color w:val="auto"/>
              </w:rPr>
              <w:lastRenderedPageBreak/>
              <w:t xml:space="preserve">The Northern Territory </w:t>
            </w:r>
            <w:r w:rsidR="00361D25" w:rsidRPr="00D2082D">
              <w:rPr>
                <w:color w:val="auto"/>
              </w:rPr>
              <w:t>will</w:t>
            </w:r>
            <w:r w:rsidRPr="00D2082D">
              <w:rPr>
                <w:color w:val="auto"/>
              </w:rPr>
              <w:t xml:space="preserve"> conduct regular </w:t>
            </w:r>
            <w:r w:rsidR="00B10F60" w:rsidRPr="00DB2166">
              <w:rPr>
                <w:color w:val="auto"/>
              </w:rPr>
              <w:t>internal</w:t>
            </w:r>
            <w:r w:rsidR="00B10F60" w:rsidRPr="00D2082D">
              <w:rPr>
                <w:color w:val="auto"/>
              </w:rPr>
              <w:t xml:space="preserve"> </w:t>
            </w:r>
            <w:r w:rsidRPr="00D2082D">
              <w:rPr>
                <w:color w:val="auto"/>
              </w:rPr>
              <w:t>auditing of arrangements undertaken to reduce transmission of COVID-19 to the general community, staff and returning Australians.</w:t>
            </w:r>
          </w:p>
          <w:p w14:paraId="7F4AB44D" w14:textId="770204A7" w:rsidR="00B10F60" w:rsidRPr="00D2082D" w:rsidRDefault="00B10F60" w:rsidP="002F23C7">
            <w:pPr>
              <w:pStyle w:val="Tableformat"/>
              <w:rPr>
                <w:color w:val="auto"/>
              </w:rPr>
            </w:pPr>
            <w:r w:rsidRPr="00DB2166">
              <w:rPr>
                <w:color w:val="auto"/>
              </w:rPr>
              <w:t>IPC au</w:t>
            </w:r>
            <w:r w:rsidR="006647C0" w:rsidRPr="00D2082D">
              <w:rPr>
                <w:color w:val="auto"/>
              </w:rPr>
              <w:t>diting should occur at minimum on set up and every three months</w:t>
            </w:r>
            <w:r w:rsidR="00B06040" w:rsidRPr="00D2082D">
              <w:rPr>
                <w:color w:val="auto"/>
              </w:rPr>
              <w:t>,</w:t>
            </w:r>
            <w:r w:rsidR="0087629F" w:rsidRPr="00D2082D">
              <w:rPr>
                <w:color w:val="auto"/>
              </w:rPr>
              <w:t xml:space="preserve"> </w:t>
            </w:r>
            <w:r w:rsidR="006647C0" w:rsidRPr="00D2082D">
              <w:rPr>
                <w:color w:val="auto"/>
              </w:rPr>
              <w:t xml:space="preserve">with ongoing adjustments as required. </w:t>
            </w:r>
          </w:p>
          <w:p w14:paraId="2379637F" w14:textId="55288804" w:rsidR="004F600A" w:rsidRPr="00DB2166" w:rsidRDefault="004F600A" w:rsidP="002F23C7">
            <w:pPr>
              <w:pStyle w:val="Tableformat"/>
              <w:rPr>
                <w:color w:val="auto"/>
              </w:rPr>
            </w:pPr>
            <w:r w:rsidRPr="00DB2166">
              <w:rPr>
                <w:color w:val="auto"/>
              </w:rPr>
              <w:t xml:space="preserve">The Northern Territory will also conduct monthly audits of agencies’ financial claims including retrospective audits. The internal auditing process will be managed through the EOC. A high-level summary of findings will be included once a month in the weekly report.  </w:t>
            </w:r>
          </w:p>
          <w:p w14:paraId="48E7EE38" w14:textId="25DF36EC" w:rsidR="002F23C7" w:rsidRPr="00D2082D" w:rsidRDefault="002F23C7" w:rsidP="002F23C7">
            <w:pPr>
              <w:pStyle w:val="Tableformat"/>
              <w:rPr>
                <w:color w:val="auto"/>
              </w:rPr>
            </w:pPr>
            <w:r w:rsidRPr="00D2082D">
              <w:rPr>
                <w:color w:val="auto"/>
              </w:rPr>
              <w:t xml:space="preserve">The Australian Government will also undertake a review at set up </w:t>
            </w:r>
            <w:r w:rsidR="006B371E" w:rsidRPr="00D2082D">
              <w:rPr>
                <w:color w:val="auto"/>
              </w:rPr>
              <w:t xml:space="preserve">(completed on 28 October 2020) </w:t>
            </w:r>
            <w:r w:rsidRPr="00D2082D">
              <w:rPr>
                <w:color w:val="auto"/>
              </w:rPr>
              <w:t>and every three months</w:t>
            </w:r>
            <w:r w:rsidR="00B06040" w:rsidRPr="00DB2166">
              <w:rPr>
                <w:color w:val="auto"/>
              </w:rPr>
              <w:t xml:space="preserve"> (subject to domestic border restrictions)</w:t>
            </w:r>
            <w:r w:rsidRPr="00DB2166">
              <w:rPr>
                <w:color w:val="auto"/>
              </w:rPr>
              <w:t xml:space="preserve">, </w:t>
            </w:r>
            <w:r w:rsidRPr="00D2082D">
              <w:rPr>
                <w:color w:val="auto"/>
              </w:rPr>
              <w:t xml:space="preserve">specifically in relation to infection control plans and activities and against the system performance good practice which is outlined in the </w:t>
            </w:r>
            <w:r w:rsidR="00800A54" w:rsidRPr="00D2082D">
              <w:rPr>
                <w:color w:val="auto"/>
              </w:rPr>
              <w:t xml:space="preserve">Halton </w:t>
            </w:r>
            <w:r w:rsidRPr="00D2082D">
              <w:rPr>
                <w:color w:val="auto"/>
              </w:rPr>
              <w:t>Review of Hotel Quarantine</w:t>
            </w:r>
            <w:r w:rsidR="00800A54" w:rsidRPr="00D2082D">
              <w:rPr>
                <w:color w:val="auto"/>
              </w:rPr>
              <w:t xml:space="preserve"> and AHPPC guidance</w:t>
            </w:r>
            <w:r w:rsidRPr="00D2082D">
              <w:rPr>
                <w:color w:val="auto"/>
              </w:rPr>
              <w:t xml:space="preserve">, and the Northern Territory will implement any recommended changes that come out of </w:t>
            </w:r>
            <w:r w:rsidR="00B64B67" w:rsidRPr="00D2082D">
              <w:rPr>
                <w:color w:val="auto"/>
              </w:rPr>
              <w:t>these</w:t>
            </w:r>
            <w:r w:rsidRPr="00D2082D">
              <w:rPr>
                <w:color w:val="auto"/>
              </w:rPr>
              <w:t xml:space="preserve"> review</w:t>
            </w:r>
            <w:r w:rsidR="00B64B67" w:rsidRPr="00D2082D">
              <w:rPr>
                <w:color w:val="auto"/>
              </w:rPr>
              <w:t>s</w:t>
            </w:r>
            <w:r w:rsidRPr="00D2082D">
              <w:rPr>
                <w:color w:val="auto"/>
              </w:rPr>
              <w:t>.</w:t>
            </w:r>
          </w:p>
          <w:p w14:paraId="04AAA9B2" w14:textId="77777777" w:rsidR="00BA0E39" w:rsidRPr="00D2082D" w:rsidRDefault="00BA0E39" w:rsidP="00B83991">
            <w:pPr>
              <w:pStyle w:val="Tableformat"/>
              <w:rPr>
                <w:color w:val="auto"/>
              </w:rPr>
            </w:pPr>
            <w:r w:rsidRPr="00D2082D">
              <w:rPr>
                <w:color w:val="auto"/>
              </w:rPr>
              <w:t xml:space="preserve">The Northern Territory will make </w:t>
            </w:r>
            <w:r w:rsidR="003A7E0E" w:rsidRPr="00D2082D">
              <w:rPr>
                <w:color w:val="auto"/>
              </w:rPr>
              <w:t>an</w:t>
            </w:r>
            <w:r w:rsidR="008605CA" w:rsidRPr="00D2082D">
              <w:rPr>
                <w:color w:val="auto"/>
              </w:rPr>
              <w:t>y</w:t>
            </w:r>
            <w:r w:rsidR="003A7E0E" w:rsidRPr="00D2082D">
              <w:rPr>
                <w:color w:val="auto"/>
              </w:rPr>
              <w:t xml:space="preserve"> necessary </w:t>
            </w:r>
            <w:r w:rsidRPr="00D2082D">
              <w:rPr>
                <w:color w:val="auto"/>
              </w:rPr>
              <w:t>adjustments to ensure arrangements have ongoing effectiveness at stopping and reducing COVID-19 transmission rates</w:t>
            </w:r>
            <w:r w:rsidR="00383389" w:rsidRPr="00D2082D">
              <w:rPr>
                <w:color w:val="auto"/>
              </w:rPr>
              <w:t xml:space="preserve"> based on latest </w:t>
            </w:r>
            <w:r w:rsidR="00D54AD5" w:rsidRPr="00D2082D">
              <w:rPr>
                <w:color w:val="auto"/>
              </w:rPr>
              <w:t>AHPPC</w:t>
            </w:r>
            <w:r w:rsidR="00383389" w:rsidRPr="00D2082D">
              <w:rPr>
                <w:color w:val="auto"/>
              </w:rPr>
              <w:t xml:space="preserve"> advice</w:t>
            </w:r>
            <w:r w:rsidRPr="00D2082D">
              <w:rPr>
                <w:color w:val="auto"/>
              </w:rPr>
              <w:t>.</w:t>
            </w:r>
          </w:p>
          <w:p w14:paraId="223CD2DB" w14:textId="5750348F" w:rsidR="00BA0E39" w:rsidRPr="00D2082D" w:rsidRDefault="00A3683D" w:rsidP="00B83991">
            <w:pPr>
              <w:pStyle w:val="Tableformat"/>
              <w:rPr>
                <w:b/>
                <w:color w:val="auto"/>
              </w:rPr>
            </w:pPr>
            <w:r w:rsidRPr="00D2082D">
              <w:rPr>
                <w:b/>
                <w:color w:val="auto"/>
              </w:rPr>
              <w:t>CAPITAL WORKS</w:t>
            </w:r>
            <w:r w:rsidR="00D6469C" w:rsidRPr="00D2082D">
              <w:rPr>
                <w:b/>
                <w:color w:val="auto"/>
              </w:rPr>
              <w:t xml:space="preserve"> </w:t>
            </w:r>
          </w:p>
          <w:p w14:paraId="1271D016" w14:textId="77777777" w:rsidR="00BA0E39" w:rsidRPr="00D2082D" w:rsidRDefault="00BA0E39" w:rsidP="00B83991">
            <w:pPr>
              <w:pStyle w:val="Tableformat"/>
              <w:rPr>
                <w:color w:val="auto"/>
              </w:rPr>
            </w:pPr>
            <w:r w:rsidRPr="00D2082D">
              <w:rPr>
                <w:color w:val="auto"/>
              </w:rPr>
              <w:t xml:space="preserve">The Northern Territory will </w:t>
            </w:r>
            <w:r w:rsidR="00581260" w:rsidRPr="00D2082D">
              <w:rPr>
                <w:color w:val="auto"/>
              </w:rPr>
              <w:t xml:space="preserve">undertake </w:t>
            </w:r>
            <w:r w:rsidRPr="00D2082D">
              <w:rPr>
                <w:color w:val="auto"/>
              </w:rPr>
              <w:t xml:space="preserve">compliance with the Building Code 2016 for any </w:t>
            </w:r>
            <w:r w:rsidR="00581260" w:rsidRPr="00D2082D">
              <w:rPr>
                <w:color w:val="auto"/>
              </w:rPr>
              <w:t xml:space="preserve">relevant </w:t>
            </w:r>
            <w:r w:rsidRPr="00D2082D">
              <w:rPr>
                <w:color w:val="auto"/>
              </w:rPr>
              <w:t xml:space="preserve">capital works undertaken under this </w:t>
            </w:r>
            <w:r w:rsidR="003A7E0E" w:rsidRPr="00D2082D">
              <w:rPr>
                <w:color w:val="auto"/>
              </w:rPr>
              <w:t>Schedule</w:t>
            </w:r>
            <w:r w:rsidRPr="00D2082D">
              <w:rPr>
                <w:color w:val="auto"/>
              </w:rPr>
              <w:t>, including:</w:t>
            </w:r>
          </w:p>
          <w:p w14:paraId="33489C22" w14:textId="77777777" w:rsidR="00BA0E39" w:rsidRPr="00D2082D" w:rsidRDefault="00BA0E39" w:rsidP="003E3B5B">
            <w:pPr>
              <w:pStyle w:val="Tableformat"/>
              <w:numPr>
                <w:ilvl w:val="0"/>
                <w:numId w:val="9"/>
              </w:numPr>
              <w:ind w:left="360"/>
              <w:rPr>
                <w:color w:val="auto"/>
              </w:rPr>
            </w:pPr>
            <w:r w:rsidRPr="00D2082D">
              <w:rPr>
                <w:color w:val="auto"/>
              </w:rPr>
              <w:t xml:space="preserve">Ensuring that only a builder or builders accredited under the Australian Government Building and Construction Work Health and Safety Accreditation Scheme is contracted, and providing the necessary assurances to the </w:t>
            </w:r>
            <w:proofErr w:type="gramStart"/>
            <w:r w:rsidRPr="00D2082D">
              <w:rPr>
                <w:color w:val="auto"/>
              </w:rPr>
              <w:t>Commonwealth;</w:t>
            </w:r>
            <w:proofErr w:type="gramEnd"/>
          </w:p>
          <w:p w14:paraId="039A8A6A" w14:textId="77777777" w:rsidR="00BA0E39" w:rsidRPr="00D2082D" w:rsidRDefault="00BA0E39" w:rsidP="003E3B5B">
            <w:pPr>
              <w:pStyle w:val="Tableformat"/>
              <w:numPr>
                <w:ilvl w:val="0"/>
                <w:numId w:val="9"/>
              </w:numPr>
              <w:ind w:left="360"/>
              <w:rPr>
                <w:color w:val="auto"/>
              </w:rPr>
            </w:pPr>
            <w:r w:rsidRPr="00D2082D">
              <w:rPr>
                <w:color w:val="auto"/>
              </w:rPr>
              <w:t xml:space="preserve">If tendering capital works, it is a condition of tender for all contractors and subcontractors </w:t>
            </w:r>
            <w:r w:rsidR="003A7E0E" w:rsidRPr="00D2082D">
              <w:rPr>
                <w:color w:val="auto"/>
              </w:rPr>
              <w:t xml:space="preserve">performing building work to be accredited under the Australian Government Building and Construction Work Health and Safety Accreditation Scheme </w:t>
            </w:r>
            <w:r w:rsidRPr="00D2082D">
              <w:rPr>
                <w:color w:val="auto"/>
              </w:rPr>
              <w:t xml:space="preserve">and </w:t>
            </w:r>
            <w:r w:rsidR="003A7E0E" w:rsidRPr="00D2082D">
              <w:rPr>
                <w:color w:val="auto"/>
              </w:rPr>
              <w:t xml:space="preserve">to </w:t>
            </w:r>
            <w:r w:rsidRPr="00D2082D">
              <w:rPr>
                <w:color w:val="auto"/>
              </w:rPr>
              <w:t>provid</w:t>
            </w:r>
            <w:r w:rsidR="003A7E0E" w:rsidRPr="00D2082D">
              <w:rPr>
                <w:color w:val="auto"/>
              </w:rPr>
              <w:t>e</w:t>
            </w:r>
            <w:r w:rsidRPr="00D2082D">
              <w:rPr>
                <w:color w:val="auto"/>
              </w:rPr>
              <w:t xml:space="preserve"> the necessary assurances to the </w:t>
            </w:r>
            <w:proofErr w:type="gramStart"/>
            <w:r w:rsidRPr="00D2082D">
              <w:rPr>
                <w:color w:val="auto"/>
              </w:rPr>
              <w:t>Commonwealth;</w:t>
            </w:r>
            <w:proofErr w:type="gramEnd"/>
          </w:p>
          <w:p w14:paraId="5ABCB19D" w14:textId="77777777" w:rsidR="00BA0E39" w:rsidRPr="00D2082D" w:rsidRDefault="00BA0E39" w:rsidP="003E3B5B">
            <w:pPr>
              <w:pStyle w:val="Tableformat"/>
              <w:numPr>
                <w:ilvl w:val="0"/>
                <w:numId w:val="9"/>
              </w:numPr>
              <w:ind w:left="360"/>
              <w:rPr>
                <w:color w:val="auto"/>
              </w:rPr>
            </w:pPr>
            <w:r w:rsidRPr="00D2082D">
              <w:rPr>
                <w:color w:val="auto"/>
              </w:rPr>
              <w:t>For practical completion of capital work</w:t>
            </w:r>
            <w:r w:rsidR="003A7E0E" w:rsidRPr="00D2082D">
              <w:rPr>
                <w:color w:val="auto"/>
              </w:rPr>
              <w:t>, the works must</w:t>
            </w:r>
            <w:r w:rsidRPr="00D2082D">
              <w:rPr>
                <w:color w:val="auto"/>
              </w:rPr>
              <w:t>:</w:t>
            </w:r>
          </w:p>
          <w:p w14:paraId="13F6BB37" w14:textId="77777777" w:rsidR="00BA0E39" w:rsidRPr="00D2082D" w:rsidRDefault="00BA0E39" w:rsidP="003E3B5B">
            <w:pPr>
              <w:pStyle w:val="Tableformat"/>
              <w:numPr>
                <w:ilvl w:val="0"/>
                <w:numId w:val="16"/>
              </w:numPr>
              <w:rPr>
                <w:color w:val="auto"/>
              </w:rPr>
            </w:pPr>
            <w:r w:rsidRPr="00D2082D">
              <w:rPr>
                <w:color w:val="auto"/>
              </w:rPr>
              <w:t xml:space="preserve">be complete and free from defects or omissions, except for defects or omissions that are minor in nature, that </w:t>
            </w:r>
            <w:r w:rsidR="00A3683D" w:rsidRPr="00D2082D">
              <w:rPr>
                <w:color w:val="auto"/>
              </w:rPr>
              <w:t xml:space="preserve">the </w:t>
            </w:r>
            <w:r w:rsidRPr="00D2082D">
              <w:rPr>
                <w:color w:val="auto"/>
              </w:rPr>
              <w:t xml:space="preserve">Northern Territory Government cannot reasonably fix, or by fixing, will significantly inconvenience users of the </w:t>
            </w:r>
            <w:proofErr w:type="gramStart"/>
            <w:r w:rsidRPr="00D2082D">
              <w:rPr>
                <w:color w:val="auto"/>
              </w:rPr>
              <w:t>works;</w:t>
            </w:r>
            <w:proofErr w:type="gramEnd"/>
          </w:p>
          <w:p w14:paraId="7B78E506" w14:textId="77777777" w:rsidR="00BA0E39" w:rsidRPr="00D2082D" w:rsidRDefault="00BA0E39" w:rsidP="003E3B5B">
            <w:pPr>
              <w:pStyle w:val="Tableformat"/>
              <w:numPr>
                <w:ilvl w:val="0"/>
                <w:numId w:val="16"/>
              </w:numPr>
              <w:rPr>
                <w:color w:val="auto"/>
              </w:rPr>
            </w:pPr>
            <w:r w:rsidRPr="00D2082D">
              <w:rPr>
                <w:color w:val="auto"/>
              </w:rPr>
              <w:t>Not cause legal or physical impediment to the use and occupation of the property and the works for designated use; and</w:t>
            </w:r>
          </w:p>
          <w:p w14:paraId="67F71249" w14:textId="77777777" w:rsidR="00BA0E39" w:rsidRPr="00D2082D" w:rsidRDefault="00BA0E39" w:rsidP="003E3B5B">
            <w:pPr>
              <w:pStyle w:val="Tableformat"/>
              <w:numPr>
                <w:ilvl w:val="0"/>
                <w:numId w:val="16"/>
              </w:numPr>
              <w:rPr>
                <w:color w:val="auto"/>
              </w:rPr>
            </w:pPr>
            <w:r w:rsidRPr="00D2082D">
              <w:rPr>
                <w:color w:val="auto"/>
              </w:rPr>
              <w:t>Be fit for the designated use.</w:t>
            </w:r>
          </w:p>
          <w:p w14:paraId="0C856525" w14:textId="77777777" w:rsidR="00BA0E39" w:rsidRPr="00D2082D" w:rsidRDefault="00D449B7" w:rsidP="00B83991">
            <w:pPr>
              <w:pStyle w:val="Tableformat"/>
              <w:rPr>
                <w:b/>
                <w:color w:val="auto"/>
              </w:rPr>
            </w:pPr>
            <w:r w:rsidRPr="00D2082D">
              <w:rPr>
                <w:b/>
                <w:color w:val="auto"/>
              </w:rPr>
              <w:lastRenderedPageBreak/>
              <w:br/>
            </w:r>
            <w:r w:rsidR="00D6469C" w:rsidRPr="00D2082D">
              <w:rPr>
                <w:b/>
                <w:color w:val="auto"/>
              </w:rPr>
              <w:t>FOOD SAFETY</w:t>
            </w:r>
          </w:p>
          <w:p w14:paraId="7486021F" w14:textId="77777777" w:rsidR="00BA0E39" w:rsidRPr="00D2082D" w:rsidRDefault="00BA0E39" w:rsidP="00B83991">
            <w:pPr>
              <w:pStyle w:val="Tableformat"/>
              <w:rPr>
                <w:color w:val="auto"/>
              </w:rPr>
            </w:pPr>
            <w:r w:rsidRPr="00D2082D">
              <w:rPr>
                <w:color w:val="auto"/>
              </w:rPr>
              <w:t xml:space="preserve">In the delivery of food preparation and catering services, the Northern Territory must ensure services comply with the </w:t>
            </w:r>
            <w:r w:rsidRPr="00D2082D">
              <w:rPr>
                <w:i/>
                <w:color w:val="auto"/>
              </w:rPr>
              <w:t>Food Standards Australia New Zealand Act 1991 (FSANZ Act)</w:t>
            </w:r>
            <w:r w:rsidRPr="00D2082D">
              <w:rPr>
                <w:color w:val="auto"/>
              </w:rPr>
              <w:t>.</w:t>
            </w:r>
          </w:p>
          <w:p w14:paraId="540C5C9E" w14:textId="77777777" w:rsidR="00BA0E39" w:rsidRPr="00D2082D" w:rsidRDefault="00D449B7" w:rsidP="00B83991">
            <w:pPr>
              <w:pStyle w:val="Tableformat"/>
              <w:rPr>
                <w:b/>
                <w:color w:val="auto"/>
              </w:rPr>
            </w:pPr>
            <w:r w:rsidRPr="00D2082D">
              <w:rPr>
                <w:b/>
                <w:color w:val="auto"/>
              </w:rPr>
              <w:br/>
            </w:r>
            <w:r w:rsidR="00D6469C" w:rsidRPr="00D2082D">
              <w:rPr>
                <w:b/>
                <w:color w:val="auto"/>
              </w:rPr>
              <w:t>ENVIRONMENTAL HEALTH PROTECTION</w:t>
            </w:r>
          </w:p>
          <w:p w14:paraId="7949EEE3" w14:textId="77777777" w:rsidR="00085028" w:rsidRPr="00D2082D" w:rsidRDefault="00BA0E39" w:rsidP="00B83991">
            <w:pPr>
              <w:pStyle w:val="Tableformat"/>
              <w:rPr>
                <w:i/>
                <w:color w:val="auto"/>
              </w:rPr>
            </w:pPr>
            <w:r w:rsidRPr="00D2082D">
              <w:rPr>
                <w:color w:val="auto"/>
              </w:rPr>
              <w:t xml:space="preserve">In delivering any services, such as waste management, cleaning and food safety and delivery to comply with the relevant standards under the </w:t>
            </w:r>
            <w:hyperlink r:id="rId12" w:history="1">
              <w:r w:rsidRPr="00D2082D">
                <w:rPr>
                  <w:i/>
                  <w:color w:val="auto"/>
                </w:rPr>
                <w:t>National Environment Protection Council Act 1994</w:t>
              </w:r>
            </w:hyperlink>
            <w:r w:rsidRPr="00D2082D">
              <w:rPr>
                <w:i/>
                <w:color w:val="auto"/>
              </w:rPr>
              <w:t>.</w:t>
            </w:r>
          </w:p>
        </w:tc>
      </w:tr>
      <w:tr w:rsidR="00D2082D" w:rsidRPr="00D2082D" w14:paraId="6FB2B146" w14:textId="77777777" w:rsidTr="00B10F60">
        <w:trPr>
          <w:gridAfter w:val="1"/>
          <w:wAfter w:w="6" w:type="dxa"/>
        </w:trPr>
        <w:tc>
          <w:tcPr>
            <w:tcW w:w="1975" w:type="dxa"/>
            <w:shd w:val="clear" w:color="auto" w:fill="auto"/>
          </w:tcPr>
          <w:p w14:paraId="5907931C" w14:textId="77777777" w:rsidR="006068D1" w:rsidRPr="00D2082D" w:rsidRDefault="006068D1" w:rsidP="006068D1">
            <w:pPr>
              <w:pStyle w:val="Tableformat"/>
              <w:rPr>
                <w:color w:val="auto"/>
              </w:rPr>
            </w:pPr>
            <w:r w:rsidRPr="00D2082D">
              <w:rPr>
                <w:color w:val="auto"/>
              </w:rPr>
              <w:lastRenderedPageBreak/>
              <w:t>Payments</w:t>
            </w:r>
          </w:p>
        </w:tc>
        <w:tc>
          <w:tcPr>
            <w:tcW w:w="7796" w:type="dxa"/>
            <w:tcBorders>
              <w:top w:val="single" w:sz="8" w:space="0" w:color="4F81BD"/>
              <w:left w:val="nil"/>
              <w:bottom w:val="single" w:sz="8" w:space="0" w:color="4F81BD"/>
              <w:right w:val="single" w:sz="8" w:space="0" w:color="4F81BD"/>
            </w:tcBorders>
          </w:tcPr>
          <w:p w14:paraId="12A37809" w14:textId="77777777" w:rsidR="006068D1" w:rsidRPr="00D2082D" w:rsidRDefault="006068D1" w:rsidP="006068D1">
            <w:pPr>
              <w:pStyle w:val="Tableformat"/>
              <w:spacing w:line="252" w:lineRule="auto"/>
              <w:rPr>
                <w:b/>
                <w:bCs/>
                <w:color w:val="auto"/>
                <w:lang w:eastAsia="en-US"/>
              </w:rPr>
            </w:pPr>
            <w:r w:rsidRPr="00D2082D">
              <w:rPr>
                <w:b/>
                <w:bCs/>
                <w:color w:val="auto"/>
                <w:lang w:eastAsia="en-US"/>
              </w:rPr>
              <w:t>Payment Principles</w:t>
            </w:r>
          </w:p>
          <w:p w14:paraId="2440A319" w14:textId="05F076A3" w:rsidR="006068D1" w:rsidRPr="00D2082D" w:rsidRDefault="006068D1" w:rsidP="006068D1">
            <w:pPr>
              <w:pStyle w:val="Tableformat"/>
              <w:spacing w:line="252" w:lineRule="auto"/>
              <w:rPr>
                <w:color w:val="auto"/>
                <w:lang w:eastAsia="en-US"/>
              </w:rPr>
            </w:pPr>
            <w:r w:rsidRPr="00D2082D">
              <w:rPr>
                <w:color w:val="auto"/>
                <w:lang w:eastAsia="en-US"/>
              </w:rPr>
              <w:t xml:space="preserve">The Commonwealth will provide funding to cover the costs incurred by the Northern Territory for activities under this Schedule and set out in </w:t>
            </w:r>
            <w:r w:rsidRPr="00D2082D">
              <w:rPr>
                <w:color w:val="auto"/>
                <w:u w:val="single"/>
                <w:lang w:eastAsia="en-US"/>
              </w:rPr>
              <w:t>Appendix A</w:t>
            </w:r>
            <w:r w:rsidRPr="00D2082D">
              <w:rPr>
                <w:color w:val="auto"/>
                <w:lang w:eastAsia="en-US"/>
              </w:rPr>
              <w:t>, made as part of the four components outlined below. This includes services provided to the individual if they require access outside of the facility or need to be transferred.</w:t>
            </w:r>
          </w:p>
          <w:p w14:paraId="541C1F83" w14:textId="6FDAE820" w:rsidR="00743FFD" w:rsidRPr="00DB2166" w:rsidRDefault="00743FFD" w:rsidP="00743FFD">
            <w:pPr>
              <w:pStyle w:val="Tableformat"/>
              <w:spacing w:line="252" w:lineRule="auto"/>
              <w:rPr>
                <w:color w:val="auto"/>
              </w:rPr>
            </w:pPr>
            <w:r w:rsidRPr="00DB2166">
              <w:rPr>
                <w:color w:val="auto"/>
              </w:rPr>
              <w:t xml:space="preserve">The NT should engage staff to support the Centre’s operations to support 1,600 people quarantining at any given time. The Commonwealth will provide 100% of staffing costs, irrespective to the number of people </w:t>
            </w:r>
            <w:proofErr w:type="gramStart"/>
            <w:r w:rsidRPr="00DB2166">
              <w:rPr>
                <w:color w:val="auto"/>
              </w:rPr>
              <w:t>actually quarantining</w:t>
            </w:r>
            <w:proofErr w:type="gramEnd"/>
            <w:r w:rsidRPr="00DB2166">
              <w:rPr>
                <w:color w:val="auto"/>
              </w:rPr>
              <w:t xml:space="preserve"> in the facility</w:t>
            </w:r>
            <w:r w:rsidR="00A55841" w:rsidRPr="00DB2166">
              <w:rPr>
                <w:color w:val="auto"/>
              </w:rPr>
              <w:t xml:space="preserve"> to retain the health workforce</w:t>
            </w:r>
            <w:r w:rsidRPr="00DB2166">
              <w:rPr>
                <w:color w:val="auto"/>
              </w:rPr>
              <w:t xml:space="preserve">. This core funding is not applicable to any costs other than those directly attributable to staffing. Staff who are not required at the Centre for National Resilience can be </w:t>
            </w:r>
            <w:proofErr w:type="spellStart"/>
            <w:r w:rsidRPr="00DB2166">
              <w:rPr>
                <w:color w:val="auto"/>
              </w:rPr>
              <w:t>utilised</w:t>
            </w:r>
            <w:proofErr w:type="spellEnd"/>
            <w:r w:rsidRPr="00DB2166">
              <w:rPr>
                <w:color w:val="auto"/>
              </w:rPr>
              <w:t xml:space="preserve"> in the broader Northern Territory public health system.</w:t>
            </w:r>
          </w:p>
          <w:p w14:paraId="31AAD03F" w14:textId="131C3EB0" w:rsidR="006068D1" w:rsidRPr="00D2082D" w:rsidRDefault="006068D1" w:rsidP="006068D1">
            <w:pPr>
              <w:pStyle w:val="Tableformat"/>
              <w:spacing w:line="252" w:lineRule="auto"/>
              <w:rPr>
                <w:color w:val="auto"/>
                <w:lang w:eastAsia="en-US"/>
              </w:rPr>
            </w:pPr>
            <w:r w:rsidRPr="00D2082D">
              <w:rPr>
                <w:color w:val="auto"/>
              </w:rPr>
              <w:t>For the purposes of this Schedule, any upgrades to the on-site swimming pool are out of scope of Commonwealth funded capital works.</w:t>
            </w:r>
          </w:p>
          <w:p w14:paraId="0103C6E0" w14:textId="2D5993C7" w:rsidR="006068D1" w:rsidRPr="00D2082D" w:rsidRDefault="006068D1" w:rsidP="006068D1">
            <w:pPr>
              <w:pStyle w:val="Tableformat"/>
              <w:spacing w:line="252" w:lineRule="auto"/>
              <w:rPr>
                <w:color w:val="auto"/>
                <w:lang w:eastAsia="en-US"/>
              </w:rPr>
            </w:pPr>
            <w:r w:rsidRPr="00D2082D">
              <w:rPr>
                <w:color w:val="auto"/>
                <w:lang w:eastAsia="en-US"/>
              </w:rPr>
              <w:t xml:space="preserve">The Northern Territory is unable to claim any costs for services or capital works </w:t>
            </w:r>
            <w:r w:rsidR="008F58CC" w:rsidRPr="00D2082D">
              <w:rPr>
                <w:color w:val="auto"/>
                <w:lang w:eastAsia="en-US"/>
              </w:rPr>
              <w:t xml:space="preserve">which will solely </w:t>
            </w:r>
            <w:r w:rsidRPr="00D2082D">
              <w:rPr>
                <w:color w:val="auto"/>
                <w:lang w:eastAsia="en-US"/>
              </w:rPr>
              <w:t xml:space="preserve">support the delivery of their own quarantining programs at </w:t>
            </w:r>
            <w:r w:rsidR="00E82F0C" w:rsidRPr="00D2082D">
              <w:rPr>
                <w:color w:val="auto"/>
                <w:lang w:eastAsia="en-US"/>
              </w:rPr>
              <w:t xml:space="preserve">the </w:t>
            </w:r>
            <w:r w:rsidR="007259FE" w:rsidRPr="00D2082D">
              <w:rPr>
                <w:color w:val="auto"/>
                <w:lang w:eastAsia="en-US"/>
              </w:rPr>
              <w:t>Centre for National Resilience</w:t>
            </w:r>
            <w:r w:rsidRPr="00D2082D">
              <w:rPr>
                <w:color w:val="auto"/>
                <w:lang w:eastAsia="en-US"/>
              </w:rPr>
              <w:t>.</w:t>
            </w:r>
            <w:r w:rsidR="0006472E" w:rsidRPr="00D2082D">
              <w:rPr>
                <w:color w:val="auto"/>
                <w:lang w:eastAsia="en-US"/>
              </w:rPr>
              <w:t xml:space="preserve"> </w:t>
            </w:r>
          </w:p>
          <w:p w14:paraId="08F12584" w14:textId="77777777" w:rsidR="006068D1" w:rsidRPr="00D2082D" w:rsidRDefault="006068D1" w:rsidP="006068D1">
            <w:pPr>
              <w:pStyle w:val="Tableformat"/>
              <w:spacing w:line="252" w:lineRule="auto"/>
              <w:rPr>
                <w:color w:val="auto"/>
                <w:lang w:eastAsia="en-US"/>
              </w:rPr>
            </w:pPr>
            <w:r w:rsidRPr="00D2082D">
              <w:rPr>
                <w:color w:val="auto"/>
                <w:lang w:eastAsia="en-US"/>
              </w:rPr>
              <w:t xml:space="preserve">Additional activities will be funded where the Commonwealth directs the Northern Territory to undertake a particular activity at </w:t>
            </w:r>
            <w:r w:rsidR="00E82F0C" w:rsidRPr="00D2082D">
              <w:rPr>
                <w:color w:val="auto"/>
                <w:lang w:eastAsia="en-US"/>
              </w:rPr>
              <w:t xml:space="preserve">the </w:t>
            </w:r>
            <w:r w:rsidR="007259FE" w:rsidRPr="00D2082D">
              <w:rPr>
                <w:color w:val="auto"/>
                <w:lang w:eastAsia="en-US"/>
              </w:rPr>
              <w:t>Centre for National Resilience</w:t>
            </w:r>
            <w:r w:rsidRPr="00D2082D">
              <w:rPr>
                <w:color w:val="auto"/>
                <w:lang w:eastAsia="en-US"/>
              </w:rPr>
              <w:t>.</w:t>
            </w:r>
          </w:p>
          <w:p w14:paraId="2638FDE4" w14:textId="77777777" w:rsidR="006068D1" w:rsidRPr="00D2082D" w:rsidRDefault="006068D1" w:rsidP="006068D1">
            <w:pPr>
              <w:pStyle w:val="Tableformat"/>
              <w:spacing w:line="252" w:lineRule="auto"/>
              <w:rPr>
                <w:b/>
                <w:bCs/>
                <w:color w:val="auto"/>
                <w:lang w:eastAsia="en-US"/>
              </w:rPr>
            </w:pPr>
            <w:r w:rsidRPr="00D2082D">
              <w:rPr>
                <w:color w:val="auto"/>
                <w:lang w:eastAsia="en-US"/>
              </w:rPr>
              <w:t>If the Northern Territory is required to undertake an activity outside of the scope of this Schedule, the Northern Territory must first obtain written agreement</w:t>
            </w:r>
            <w:r w:rsidRPr="00DB2166">
              <w:rPr>
                <w:color w:val="auto"/>
              </w:rPr>
              <w:t xml:space="preserve"> </w:t>
            </w:r>
            <w:r w:rsidRPr="00D2082D">
              <w:rPr>
                <w:color w:val="auto"/>
                <w:lang w:eastAsia="en-US"/>
              </w:rPr>
              <w:t>of the Commonwealth by a senior executive of the Department of Health to fund the activity (if funding is required).</w:t>
            </w:r>
          </w:p>
          <w:p w14:paraId="7370D700" w14:textId="758EF4EB" w:rsidR="006068D1" w:rsidRPr="00D2082D" w:rsidRDefault="006068D1" w:rsidP="006068D1">
            <w:pPr>
              <w:pStyle w:val="Tableformat"/>
              <w:spacing w:line="252" w:lineRule="auto"/>
              <w:rPr>
                <w:color w:val="auto"/>
                <w:lang w:eastAsia="en-US"/>
              </w:rPr>
            </w:pPr>
            <w:r w:rsidRPr="00D2082D">
              <w:rPr>
                <w:color w:val="auto"/>
                <w:lang w:eastAsia="en-US"/>
              </w:rPr>
              <w:t>Payments under this Schedule will be made under one of four components:</w:t>
            </w:r>
          </w:p>
          <w:p w14:paraId="4AF501EA" w14:textId="35203803" w:rsidR="006068D1" w:rsidRPr="00D2082D" w:rsidRDefault="006068D1" w:rsidP="006068D1">
            <w:pPr>
              <w:pStyle w:val="Tableformat"/>
              <w:spacing w:line="252" w:lineRule="auto"/>
              <w:rPr>
                <w:b/>
                <w:bCs/>
                <w:color w:val="auto"/>
                <w:lang w:eastAsia="en-US"/>
              </w:rPr>
            </w:pPr>
            <w:r w:rsidRPr="00D2082D">
              <w:rPr>
                <w:b/>
                <w:bCs/>
                <w:color w:val="auto"/>
                <w:lang w:eastAsia="en-US"/>
              </w:rPr>
              <w:t>1. The Upfront Payment Component</w:t>
            </w:r>
          </w:p>
          <w:p w14:paraId="34574740" w14:textId="6F7DA3BA" w:rsidR="006068D1" w:rsidRPr="00DB2166" w:rsidRDefault="006068D1" w:rsidP="006068D1">
            <w:pPr>
              <w:pStyle w:val="Tableformat"/>
              <w:spacing w:line="252" w:lineRule="auto"/>
              <w:rPr>
                <w:color w:val="auto"/>
              </w:rPr>
            </w:pPr>
            <w:r w:rsidRPr="00D2082D">
              <w:rPr>
                <w:color w:val="auto"/>
                <w:lang w:eastAsia="en-US"/>
              </w:rPr>
              <w:lastRenderedPageBreak/>
              <w:t xml:space="preserve">The Commonwealth </w:t>
            </w:r>
            <w:r w:rsidR="0004481B" w:rsidRPr="00D2082D">
              <w:rPr>
                <w:color w:val="auto"/>
                <w:lang w:eastAsia="en-US"/>
              </w:rPr>
              <w:t xml:space="preserve">has </w:t>
            </w:r>
            <w:r w:rsidR="00911C0C" w:rsidRPr="00D2082D">
              <w:rPr>
                <w:color w:val="auto"/>
                <w:lang w:eastAsia="en-US"/>
              </w:rPr>
              <w:t xml:space="preserve">provided an initial payment of $14.2 million </w:t>
            </w:r>
            <w:r w:rsidRPr="00D2082D">
              <w:rPr>
                <w:color w:val="auto"/>
                <w:lang w:eastAsia="en-US"/>
              </w:rPr>
              <w:t xml:space="preserve">as the “Upfront Payment”. </w:t>
            </w:r>
            <w:r w:rsidR="00941A33" w:rsidRPr="00D2082D">
              <w:rPr>
                <w:color w:val="auto"/>
                <w:lang w:eastAsia="en-US"/>
              </w:rPr>
              <w:t xml:space="preserve">In variation to the agreement to 2,000 persons an additional upfront payment of $5.15m </w:t>
            </w:r>
            <w:r w:rsidR="00B10F60" w:rsidRPr="00DB2166">
              <w:rPr>
                <w:color w:val="auto"/>
              </w:rPr>
              <w:t>was</w:t>
            </w:r>
            <w:r w:rsidR="00B10F60" w:rsidRPr="00D2082D">
              <w:rPr>
                <w:color w:val="auto"/>
                <w:lang w:eastAsia="en-US"/>
              </w:rPr>
              <w:t xml:space="preserve"> </w:t>
            </w:r>
            <w:r w:rsidR="00941A33" w:rsidRPr="00D2082D">
              <w:rPr>
                <w:color w:val="auto"/>
                <w:lang w:eastAsia="en-US"/>
              </w:rPr>
              <w:t>provided to the Northern Territory</w:t>
            </w:r>
            <w:r w:rsidR="00743FFD" w:rsidRPr="00D2082D">
              <w:rPr>
                <w:color w:val="auto"/>
                <w:lang w:eastAsia="en-US"/>
              </w:rPr>
              <w:t xml:space="preserve"> </w:t>
            </w:r>
            <w:r w:rsidR="00743FFD" w:rsidRPr="00DB2166">
              <w:rPr>
                <w:color w:val="auto"/>
              </w:rPr>
              <w:t>in May 2021</w:t>
            </w:r>
            <w:r w:rsidR="00941A33" w:rsidRPr="00D2082D">
              <w:rPr>
                <w:color w:val="auto"/>
                <w:lang w:eastAsia="en-US"/>
              </w:rPr>
              <w:t xml:space="preserve">. </w:t>
            </w:r>
            <w:r w:rsidRPr="00D2082D">
              <w:rPr>
                <w:color w:val="auto"/>
                <w:lang w:eastAsia="en-US"/>
              </w:rPr>
              <w:t>The purpose of the</w:t>
            </w:r>
            <w:r w:rsidR="00B10F60" w:rsidRPr="00DB2166">
              <w:rPr>
                <w:color w:val="auto"/>
              </w:rPr>
              <w:t>se</w:t>
            </w:r>
            <w:r w:rsidRPr="00D2082D">
              <w:rPr>
                <w:color w:val="auto"/>
                <w:lang w:eastAsia="en-US"/>
              </w:rPr>
              <w:t xml:space="preserve"> Upfront Payment</w:t>
            </w:r>
            <w:r w:rsidR="00B10F60" w:rsidRPr="00DB2166">
              <w:rPr>
                <w:color w:val="auto"/>
              </w:rPr>
              <w:t>s was</w:t>
            </w:r>
            <w:r w:rsidR="00B10F60" w:rsidRPr="00D2082D">
              <w:rPr>
                <w:color w:val="auto"/>
                <w:lang w:eastAsia="en-US"/>
              </w:rPr>
              <w:t xml:space="preserve"> </w:t>
            </w:r>
            <w:r w:rsidR="00E80CF9" w:rsidRPr="00D2082D">
              <w:rPr>
                <w:color w:val="auto"/>
                <w:lang w:eastAsia="en-US"/>
              </w:rPr>
              <w:t>t</w:t>
            </w:r>
            <w:r w:rsidRPr="00D2082D">
              <w:rPr>
                <w:color w:val="auto"/>
                <w:lang w:eastAsia="en-US"/>
              </w:rPr>
              <w:t>o cover an i</w:t>
            </w:r>
            <w:r w:rsidRPr="00D2082D">
              <w:rPr>
                <w:color w:val="auto"/>
              </w:rPr>
              <w:t>nitial schedule of agreed capital works required to ensure the accommodation and on ground infrastructure is up to standard,</w:t>
            </w:r>
            <w:r w:rsidR="00941A33" w:rsidRPr="00D2082D">
              <w:rPr>
                <w:color w:val="auto"/>
              </w:rPr>
              <w:t xml:space="preserve"> commencement of recruitment strategy</w:t>
            </w:r>
            <w:r w:rsidRPr="00D2082D">
              <w:rPr>
                <w:color w:val="auto"/>
              </w:rPr>
              <w:t xml:space="preserve"> and sufficient cash</w:t>
            </w:r>
            <w:r w:rsidR="00941A33" w:rsidRPr="00D2082D">
              <w:rPr>
                <w:color w:val="auto"/>
              </w:rPr>
              <w:t xml:space="preserve"> </w:t>
            </w:r>
            <w:r w:rsidRPr="00D2082D">
              <w:rPr>
                <w:color w:val="auto"/>
              </w:rPr>
              <w:t xml:space="preserve">flow to cover any upfront or immediate costs experienced by the Northern Territory in delivering its responsibilities under the Schedule. </w:t>
            </w:r>
          </w:p>
          <w:p w14:paraId="6423B173" w14:textId="729AD5C7" w:rsidR="00B10F60" w:rsidRPr="00D2082D" w:rsidRDefault="006068D1" w:rsidP="006068D1">
            <w:pPr>
              <w:pStyle w:val="Tableformat"/>
              <w:spacing w:line="252" w:lineRule="auto"/>
              <w:rPr>
                <w:color w:val="auto"/>
                <w:lang w:eastAsia="en-US"/>
              </w:rPr>
            </w:pPr>
            <w:r w:rsidRPr="00D2082D">
              <w:rPr>
                <w:color w:val="auto"/>
                <w:lang w:eastAsia="en-US"/>
              </w:rPr>
              <w:t xml:space="preserve">One </w:t>
            </w:r>
            <w:r w:rsidR="003545A7" w:rsidRPr="00D2082D">
              <w:rPr>
                <w:color w:val="auto"/>
                <w:lang w:eastAsia="en-US"/>
              </w:rPr>
              <w:t>fifth</w:t>
            </w:r>
            <w:r w:rsidRPr="00D2082D">
              <w:rPr>
                <w:color w:val="auto"/>
                <w:lang w:eastAsia="en-US"/>
              </w:rPr>
              <w:t xml:space="preserve"> of the amount of the Upfront Payment </w:t>
            </w:r>
            <w:r w:rsidR="00B10F60" w:rsidRPr="00DB2166">
              <w:rPr>
                <w:color w:val="auto"/>
              </w:rPr>
              <w:t>was</w:t>
            </w:r>
            <w:r w:rsidR="00B10F60" w:rsidRPr="00D2082D">
              <w:rPr>
                <w:color w:val="auto"/>
                <w:lang w:eastAsia="en-US"/>
              </w:rPr>
              <w:t xml:space="preserve"> </w:t>
            </w:r>
            <w:r w:rsidRPr="00D2082D">
              <w:rPr>
                <w:color w:val="auto"/>
                <w:lang w:eastAsia="en-US"/>
              </w:rPr>
              <w:t>deducted from the total monthly payments made under the other three components for the December</w:t>
            </w:r>
            <w:r w:rsidR="004A436F" w:rsidRPr="00DB2166">
              <w:rPr>
                <w:color w:val="auto"/>
              </w:rPr>
              <w:t xml:space="preserve"> 2020</w:t>
            </w:r>
            <w:r w:rsidRPr="00D2082D">
              <w:rPr>
                <w:color w:val="auto"/>
                <w:lang w:eastAsia="en-US"/>
              </w:rPr>
              <w:t>, January, February</w:t>
            </w:r>
            <w:r w:rsidR="00C44BCF" w:rsidRPr="00D2082D">
              <w:rPr>
                <w:color w:val="auto"/>
                <w:lang w:eastAsia="en-US"/>
              </w:rPr>
              <w:t>,</w:t>
            </w:r>
            <w:r w:rsidRPr="00D2082D">
              <w:rPr>
                <w:color w:val="auto"/>
                <w:lang w:eastAsia="en-US"/>
              </w:rPr>
              <w:t xml:space="preserve"> </w:t>
            </w:r>
            <w:proofErr w:type="gramStart"/>
            <w:r w:rsidRPr="00D2082D">
              <w:rPr>
                <w:color w:val="auto"/>
                <w:lang w:eastAsia="en-US"/>
              </w:rPr>
              <w:t>March</w:t>
            </w:r>
            <w:proofErr w:type="gramEnd"/>
            <w:r w:rsidR="00C44BCF" w:rsidRPr="00D2082D">
              <w:rPr>
                <w:color w:val="auto"/>
                <w:lang w:eastAsia="en-US"/>
              </w:rPr>
              <w:t xml:space="preserve"> and</w:t>
            </w:r>
            <w:r w:rsidR="000C60BF" w:rsidRPr="00D2082D">
              <w:rPr>
                <w:color w:val="auto"/>
                <w:lang w:eastAsia="en-US"/>
              </w:rPr>
              <w:t xml:space="preserve"> </w:t>
            </w:r>
            <w:r w:rsidR="007226B1" w:rsidRPr="00D2082D">
              <w:rPr>
                <w:color w:val="auto"/>
                <w:lang w:eastAsia="en-US"/>
              </w:rPr>
              <w:t>April</w:t>
            </w:r>
            <w:r w:rsidR="004A436F" w:rsidRPr="00D2082D">
              <w:rPr>
                <w:color w:val="auto"/>
                <w:lang w:eastAsia="en-US"/>
              </w:rPr>
              <w:t xml:space="preserve"> </w:t>
            </w:r>
            <w:r w:rsidR="004A436F" w:rsidRPr="00DB2166">
              <w:rPr>
                <w:color w:val="auto"/>
              </w:rPr>
              <w:t>2021</w:t>
            </w:r>
            <w:r w:rsidRPr="00DB2166">
              <w:rPr>
                <w:color w:val="auto"/>
              </w:rPr>
              <w:t xml:space="preserve"> </w:t>
            </w:r>
            <w:r w:rsidRPr="00D2082D">
              <w:rPr>
                <w:color w:val="auto"/>
                <w:lang w:eastAsia="en-US"/>
              </w:rPr>
              <w:t>monthly payments.</w:t>
            </w:r>
          </w:p>
          <w:p w14:paraId="557BA937" w14:textId="4FA410C2" w:rsidR="006068D1" w:rsidRPr="00D2082D" w:rsidRDefault="006068D1" w:rsidP="006068D1">
            <w:pPr>
              <w:pStyle w:val="Tableformat"/>
              <w:spacing w:line="252" w:lineRule="auto"/>
              <w:rPr>
                <w:b/>
                <w:bCs/>
                <w:color w:val="auto"/>
                <w:lang w:eastAsia="en-US"/>
              </w:rPr>
            </w:pPr>
            <w:r w:rsidRPr="00D2082D">
              <w:rPr>
                <w:b/>
                <w:bCs/>
                <w:color w:val="auto"/>
                <w:lang w:eastAsia="en-US"/>
              </w:rPr>
              <w:t>2. The Capital Expenditure Component</w:t>
            </w:r>
          </w:p>
          <w:p w14:paraId="04178AE9" w14:textId="77777777" w:rsidR="006068D1" w:rsidRPr="00D2082D" w:rsidRDefault="006068D1" w:rsidP="006068D1">
            <w:pPr>
              <w:pStyle w:val="Tableformat"/>
              <w:spacing w:line="252" w:lineRule="auto"/>
              <w:rPr>
                <w:color w:val="auto"/>
                <w:sz w:val="20"/>
                <w:szCs w:val="20"/>
                <w:lang w:eastAsia="en-US"/>
              </w:rPr>
            </w:pPr>
            <w:r w:rsidRPr="00D2082D">
              <w:rPr>
                <w:color w:val="auto"/>
                <w:lang w:eastAsia="en-US"/>
              </w:rPr>
              <w:t>The Commonwealth will provide monthly funding to the Northern Territory for the necessary capital expenditure the Northern Territory incurs in fulfilling its responsibilities under the Schedule, and where that capital expenditure has been agreed by the Commonwealth as being in-scope and in accordance with the Agreement.</w:t>
            </w:r>
          </w:p>
          <w:p w14:paraId="19D05B34" w14:textId="390535A8" w:rsidR="00D449B7" w:rsidRPr="00D2082D" w:rsidRDefault="006068D1" w:rsidP="006068D1">
            <w:pPr>
              <w:pStyle w:val="Tableformat"/>
              <w:spacing w:line="252" w:lineRule="auto"/>
              <w:rPr>
                <w:color w:val="auto"/>
                <w:lang w:eastAsia="en-US"/>
              </w:rPr>
            </w:pPr>
            <w:r w:rsidRPr="00D2082D">
              <w:rPr>
                <w:color w:val="auto"/>
                <w:lang w:eastAsia="en-US"/>
              </w:rPr>
              <w:t>The Commonwealth will pay the Northern Territory 100 per cent of the cost of this agreed in-scope capital expenditure, known as the “Capital Expenditure Component”, adjusted as necessary to comply with the Payment Principles.</w:t>
            </w:r>
          </w:p>
          <w:p w14:paraId="6947A1D2" w14:textId="77777777" w:rsidR="006068D1" w:rsidRPr="00D2082D" w:rsidRDefault="006068D1" w:rsidP="006068D1">
            <w:pPr>
              <w:pStyle w:val="Tableformat"/>
              <w:spacing w:line="252" w:lineRule="auto"/>
              <w:rPr>
                <w:b/>
                <w:bCs/>
                <w:color w:val="auto"/>
                <w:lang w:eastAsia="en-US"/>
              </w:rPr>
            </w:pPr>
            <w:r w:rsidRPr="00D2082D">
              <w:rPr>
                <w:b/>
                <w:bCs/>
                <w:color w:val="auto"/>
                <w:lang w:eastAsia="en-US"/>
              </w:rPr>
              <w:t>3. The Health Services Component</w:t>
            </w:r>
          </w:p>
          <w:p w14:paraId="7C17DD83" w14:textId="0B8F76BF" w:rsidR="006068D1" w:rsidRPr="00D2082D" w:rsidRDefault="006068D1" w:rsidP="006068D1">
            <w:pPr>
              <w:pStyle w:val="Tableformat"/>
              <w:spacing w:line="252" w:lineRule="auto"/>
              <w:rPr>
                <w:color w:val="auto"/>
                <w:lang w:eastAsia="en-US"/>
              </w:rPr>
            </w:pPr>
            <w:r w:rsidRPr="00D2082D">
              <w:rPr>
                <w:color w:val="auto"/>
                <w:lang w:eastAsia="en-US"/>
              </w:rPr>
              <w:t>The Commonwealth will provide monthly funding to the Northern Territory for the provision of all health and hospital services to this cohort of quarantined residents of</w:t>
            </w:r>
            <w:r w:rsidR="00E82F0C" w:rsidRPr="00D2082D">
              <w:rPr>
                <w:color w:val="auto"/>
                <w:lang w:eastAsia="en-US"/>
              </w:rPr>
              <w:t xml:space="preserve"> the</w:t>
            </w:r>
            <w:r w:rsidRPr="00D2082D">
              <w:rPr>
                <w:color w:val="auto"/>
                <w:lang w:eastAsia="en-US"/>
              </w:rPr>
              <w:t xml:space="preserve"> </w:t>
            </w:r>
            <w:r w:rsidR="007259FE" w:rsidRPr="00D2082D">
              <w:rPr>
                <w:color w:val="auto"/>
                <w:lang w:eastAsia="en-US"/>
              </w:rPr>
              <w:t>Centre for National Resilience</w:t>
            </w:r>
            <w:r w:rsidR="00C03B22" w:rsidRPr="00DB2166">
              <w:rPr>
                <w:color w:val="auto"/>
              </w:rPr>
              <w:t xml:space="preserve"> under this Schedule</w:t>
            </w:r>
            <w:r w:rsidRPr="00D2082D">
              <w:rPr>
                <w:color w:val="auto"/>
                <w:lang w:eastAsia="en-US"/>
              </w:rPr>
              <w:t xml:space="preserve">, regardless of the location of the services provided and for the duration of the stay, </w:t>
            </w:r>
            <w:r w:rsidR="003545A7" w:rsidRPr="00D2082D">
              <w:rPr>
                <w:color w:val="auto"/>
                <w:lang w:eastAsia="en-US"/>
              </w:rPr>
              <w:t>and regardless of which jurisdiction delivers the service.</w:t>
            </w:r>
          </w:p>
          <w:p w14:paraId="3A99DDD5" w14:textId="02CB9745" w:rsidR="006068D1" w:rsidRPr="00D2082D" w:rsidRDefault="006068D1" w:rsidP="006068D1">
            <w:pPr>
              <w:pStyle w:val="Tableformat"/>
              <w:spacing w:line="252" w:lineRule="auto"/>
              <w:rPr>
                <w:color w:val="auto"/>
                <w:lang w:eastAsia="en-US"/>
              </w:rPr>
            </w:pPr>
            <w:r w:rsidRPr="00D2082D">
              <w:rPr>
                <w:color w:val="auto"/>
                <w:lang w:eastAsia="en-US"/>
              </w:rPr>
              <w:t xml:space="preserve">The Commonwealth will pay the Northern Territory 100 per cent of the cost of these health and hospital services, known as the “Health Services Component”, with the exception that the Commonwealth will not fund services through this Schedule if the same service, or any part of the same service, is </w:t>
            </w:r>
            <w:r w:rsidR="00434C6D" w:rsidRPr="00D2082D">
              <w:rPr>
                <w:color w:val="auto"/>
                <w:lang w:eastAsia="en-US"/>
              </w:rPr>
              <w:t xml:space="preserve">claimed </w:t>
            </w:r>
            <w:r w:rsidRPr="00D2082D">
              <w:rPr>
                <w:color w:val="auto"/>
                <w:lang w:eastAsia="en-US"/>
              </w:rPr>
              <w:t>through the National Health Reform Agreement</w:t>
            </w:r>
            <w:r w:rsidR="0057137E" w:rsidRPr="00DB2166">
              <w:rPr>
                <w:color w:val="auto"/>
              </w:rPr>
              <w:t xml:space="preserve"> (NHRA)</w:t>
            </w:r>
            <w:r w:rsidRPr="00D2082D">
              <w:rPr>
                <w:color w:val="auto"/>
                <w:lang w:eastAsia="en-US"/>
              </w:rPr>
              <w:t>, the Medicare Benefits Schedule, the Pharmaceutical Benefits Scheme, or any other Commonwealth program.</w:t>
            </w:r>
          </w:p>
          <w:p w14:paraId="3BDFF5F1" w14:textId="77777777" w:rsidR="005F2D97" w:rsidRPr="00D2082D" w:rsidRDefault="005F2D97" w:rsidP="005F2D97">
            <w:pPr>
              <w:pStyle w:val="Tableformat"/>
              <w:spacing w:line="252" w:lineRule="auto"/>
              <w:rPr>
                <w:color w:val="auto"/>
                <w:lang w:eastAsia="en-US"/>
              </w:rPr>
            </w:pPr>
            <w:r w:rsidRPr="00D2082D">
              <w:rPr>
                <w:color w:val="auto"/>
                <w:lang w:eastAsia="en-US"/>
              </w:rPr>
              <w:t xml:space="preserve">The Health Services Component will consist of two components: the </w:t>
            </w:r>
            <w:r w:rsidR="00774808" w:rsidRPr="00D2082D">
              <w:rPr>
                <w:color w:val="auto"/>
                <w:lang w:eastAsia="en-US"/>
              </w:rPr>
              <w:t>i</w:t>
            </w:r>
            <w:r w:rsidRPr="00D2082D">
              <w:rPr>
                <w:color w:val="auto"/>
                <w:lang w:eastAsia="en-US"/>
              </w:rPr>
              <w:t xml:space="preserve">n-scope Activity and the </w:t>
            </w:r>
            <w:r w:rsidR="00774808" w:rsidRPr="00D2082D">
              <w:rPr>
                <w:color w:val="auto"/>
                <w:lang w:eastAsia="en-US"/>
              </w:rPr>
              <w:t>o</w:t>
            </w:r>
            <w:r w:rsidRPr="00D2082D">
              <w:rPr>
                <w:color w:val="auto"/>
                <w:lang w:eastAsia="en-US"/>
              </w:rPr>
              <w:t>ut-of-scope Activity.</w:t>
            </w:r>
          </w:p>
          <w:p w14:paraId="19EAF5EB" w14:textId="77777777" w:rsidR="005F2D97" w:rsidRPr="00D2082D" w:rsidRDefault="005F2D97" w:rsidP="005F2D97">
            <w:pPr>
              <w:pStyle w:val="Tableformat"/>
              <w:spacing w:line="252" w:lineRule="auto"/>
              <w:rPr>
                <w:color w:val="auto"/>
                <w:u w:val="single"/>
                <w:lang w:eastAsia="en-US"/>
              </w:rPr>
            </w:pPr>
            <w:r w:rsidRPr="00D2082D">
              <w:rPr>
                <w:color w:val="auto"/>
                <w:u w:val="single"/>
                <w:lang w:eastAsia="en-US"/>
              </w:rPr>
              <w:t xml:space="preserve">In-Scope Activity </w:t>
            </w:r>
          </w:p>
          <w:p w14:paraId="65E90A44" w14:textId="77777777" w:rsidR="005F2D97" w:rsidRPr="00D2082D" w:rsidRDefault="005F2D97" w:rsidP="005F2D97">
            <w:pPr>
              <w:pStyle w:val="Tableformat"/>
              <w:spacing w:line="252" w:lineRule="auto"/>
              <w:rPr>
                <w:i/>
                <w:color w:val="auto"/>
                <w:lang w:eastAsia="en-US"/>
              </w:rPr>
            </w:pPr>
            <w:r w:rsidRPr="00D2082D">
              <w:rPr>
                <w:color w:val="auto"/>
                <w:lang w:eastAsia="en-US"/>
              </w:rPr>
              <w:lastRenderedPageBreak/>
              <w:t xml:space="preserve">For health services consisting of activities that would normally be in-scope for NHRA funding (even if those activities are delivered to individuals that would be </w:t>
            </w:r>
            <w:r w:rsidR="007259FE" w:rsidRPr="00D2082D">
              <w:rPr>
                <w:color w:val="auto"/>
                <w:lang w:eastAsia="en-US"/>
              </w:rPr>
              <w:t>out-of-</w:t>
            </w:r>
            <w:r w:rsidRPr="00D2082D">
              <w:rPr>
                <w:color w:val="auto"/>
                <w:lang w:eastAsia="en-US"/>
              </w:rPr>
              <w:t>scope, such as Medicare ineligible people), the calculation of the Health Services Component</w:t>
            </w:r>
            <w:r w:rsidR="00E143F1" w:rsidRPr="00D2082D">
              <w:rPr>
                <w:color w:val="auto"/>
                <w:lang w:eastAsia="en-US"/>
              </w:rPr>
              <w:t xml:space="preserve"> in-scope activity</w:t>
            </w:r>
            <w:r w:rsidRPr="00D2082D">
              <w:rPr>
                <w:color w:val="auto"/>
                <w:lang w:eastAsia="en-US"/>
              </w:rPr>
              <w:t xml:space="preserve"> will be as follows:</w:t>
            </w:r>
            <w:r w:rsidRPr="00D2082D">
              <w:rPr>
                <w:i/>
                <w:color w:val="auto"/>
                <w:lang w:eastAsia="en-US"/>
              </w:rPr>
              <w:t xml:space="preserve"> </w:t>
            </w:r>
          </w:p>
          <w:p w14:paraId="383BC100" w14:textId="77777777" w:rsidR="006068D1" w:rsidRPr="00D2082D" w:rsidRDefault="006068D1" w:rsidP="003E3B5B">
            <w:pPr>
              <w:pStyle w:val="Tableformat"/>
              <w:numPr>
                <w:ilvl w:val="0"/>
                <w:numId w:val="20"/>
              </w:numPr>
              <w:rPr>
                <w:i/>
                <w:color w:val="auto"/>
                <w:lang w:eastAsia="en-US"/>
              </w:rPr>
            </w:pPr>
            <w:r w:rsidRPr="00D2082D">
              <w:rPr>
                <w:i/>
                <w:color w:val="auto"/>
                <w:lang w:eastAsia="en-US"/>
              </w:rPr>
              <w:t xml:space="preserve">(National Efficient Price </w:t>
            </w:r>
            <w:r w:rsidR="005E7833" w:rsidRPr="00D2082D">
              <w:rPr>
                <w:i/>
                <w:color w:val="auto"/>
                <w:lang w:eastAsia="en-US"/>
              </w:rPr>
              <w:t xml:space="preserve">(NEP) </w:t>
            </w:r>
            <w:r w:rsidRPr="00D2082D">
              <w:rPr>
                <w:i/>
                <w:color w:val="auto"/>
                <w:lang w:eastAsia="en-US"/>
              </w:rPr>
              <w:t xml:space="preserve">for the financial year the service is delivered in) x (National Weighted Activity Units </w:t>
            </w:r>
            <w:r w:rsidR="005E7833" w:rsidRPr="00D2082D">
              <w:rPr>
                <w:i/>
                <w:color w:val="auto"/>
                <w:lang w:eastAsia="en-US"/>
              </w:rPr>
              <w:t xml:space="preserve">(NWAU) </w:t>
            </w:r>
            <w:r w:rsidRPr="00D2082D">
              <w:rPr>
                <w:i/>
                <w:color w:val="auto"/>
                <w:lang w:eastAsia="en-US"/>
              </w:rPr>
              <w:t>of the activity delivered) x (Royal Darwin Hospital Cost ratio as calculated by the Independent Hospital Pricing Authority for the relevant period)</w:t>
            </w:r>
          </w:p>
          <w:p w14:paraId="6767DEDC" w14:textId="225808E2" w:rsidR="006068D1" w:rsidRPr="00D2082D" w:rsidRDefault="006068D1" w:rsidP="006068D1">
            <w:pPr>
              <w:pStyle w:val="Tableformat"/>
              <w:spacing w:line="252" w:lineRule="auto"/>
              <w:rPr>
                <w:color w:val="auto"/>
                <w:lang w:eastAsia="en-US"/>
              </w:rPr>
            </w:pPr>
            <w:r w:rsidRPr="00D2082D">
              <w:rPr>
                <w:color w:val="auto"/>
                <w:lang w:eastAsia="en-US"/>
              </w:rPr>
              <w:t xml:space="preserve">The Northern Territory will provide the Commonwealth and the Administrator of the National Health Funding Pool sufficient data and reporting to allow any services funded under the Health Services Component to be excluded from being funded under the </w:t>
            </w:r>
            <w:r w:rsidR="0057137E" w:rsidRPr="00DB2166">
              <w:rPr>
                <w:color w:val="auto"/>
              </w:rPr>
              <w:t>NHRA</w:t>
            </w:r>
            <w:r w:rsidRPr="00DB2166">
              <w:rPr>
                <w:color w:val="auto"/>
              </w:rPr>
              <w:t xml:space="preserve"> </w:t>
            </w:r>
            <w:r w:rsidRPr="00D2082D">
              <w:rPr>
                <w:color w:val="auto"/>
                <w:lang w:eastAsia="en-US"/>
              </w:rPr>
              <w:t>and/or the National Partnership on COVID</w:t>
            </w:r>
            <w:r w:rsidRPr="00D2082D">
              <w:rPr>
                <w:color w:val="auto"/>
                <w:lang w:eastAsia="en-US"/>
              </w:rPr>
              <w:noBreakHyphen/>
              <w:t xml:space="preserve">19 Response. </w:t>
            </w:r>
          </w:p>
          <w:p w14:paraId="16DD912A" w14:textId="77777777" w:rsidR="006068D1" w:rsidRPr="00D2082D" w:rsidRDefault="006068D1" w:rsidP="006068D1">
            <w:pPr>
              <w:pStyle w:val="Tableformat"/>
              <w:spacing w:line="252" w:lineRule="auto"/>
              <w:rPr>
                <w:color w:val="auto"/>
                <w:lang w:eastAsia="en-US"/>
              </w:rPr>
            </w:pPr>
            <w:r w:rsidRPr="00D2082D">
              <w:rPr>
                <w:color w:val="auto"/>
                <w:lang w:eastAsia="en-US"/>
              </w:rPr>
              <w:t xml:space="preserve">The Northern Territory will ensure that any services funded under the Health Services Component be reported in a manner that complies with the National Health Funding Body and the Independent Hospital Pricing Authority’s </w:t>
            </w:r>
            <w:proofErr w:type="gramStart"/>
            <w:r w:rsidRPr="00D2082D">
              <w:rPr>
                <w:color w:val="auto"/>
                <w:lang w:eastAsia="en-US"/>
              </w:rPr>
              <w:t>three year</w:t>
            </w:r>
            <w:proofErr w:type="gramEnd"/>
            <w:r w:rsidRPr="00D2082D">
              <w:rPr>
                <w:color w:val="auto"/>
                <w:lang w:eastAsia="en-US"/>
              </w:rPr>
              <w:t xml:space="preserve"> data plans.</w:t>
            </w:r>
          </w:p>
          <w:p w14:paraId="4D16B9AB" w14:textId="53E739ED" w:rsidR="003545A7" w:rsidRPr="00D2082D" w:rsidRDefault="006068D1" w:rsidP="006068D1">
            <w:pPr>
              <w:pStyle w:val="Tableformat"/>
              <w:spacing w:line="252" w:lineRule="auto"/>
              <w:rPr>
                <w:color w:val="auto"/>
                <w:lang w:eastAsia="en-US"/>
              </w:rPr>
            </w:pPr>
            <w:r w:rsidRPr="00D2082D">
              <w:rPr>
                <w:color w:val="auto"/>
                <w:lang w:eastAsia="en-US"/>
              </w:rPr>
              <w:t>This is to ensure that a health and hospital service is only funded once, in part or in full, by the Commonwealth, consistent with</w:t>
            </w:r>
            <w:r w:rsidR="00B10F60" w:rsidRPr="00D2082D">
              <w:rPr>
                <w:color w:val="auto"/>
                <w:lang w:eastAsia="en-US"/>
              </w:rPr>
              <w:t xml:space="preserve"> the</w:t>
            </w:r>
            <w:r w:rsidRPr="00D2082D">
              <w:rPr>
                <w:color w:val="auto"/>
                <w:lang w:eastAsia="en-US"/>
              </w:rPr>
              <w:t xml:space="preserve"> </w:t>
            </w:r>
            <w:r w:rsidR="00B10F60" w:rsidRPr="00DB2166">
              <w:rPr>
                <w:color w:val="auto"/>
              </w:rPr>
              <w:t>NHRA</w:t>
            </w:r>
            <w:r w:rsidRPr="00D2082D">
              <w:rPr>
                <w:color w:val="auto"/>
                <w:lang w:eastAsia="en-US"/>
              </w:rPr>
              <w:t>.</w:t>
            </w:r>
          </w:p>
          <w:p w14:paraId="7BDDC4E9" w14:textId="4600750F" w:rsidR="00774808" w:rsidRPr="00D2082D" w:rsidRDefault="006068D1" w:rsidP="00D1622F">
            <w:pPr>
              <w:pStyle w:val="Tableformat"/>
              <w:spacing w:after="120" w:line="252" w:lineRule="auto"/>
              <w:rPr>
                <w:bCs/>
                <w:color w:val="auto"/>
                <w:lang w:eastAsia="en-US"/>
              </w:rPr>
            </w:pPr>
            <w:r w:rsidRPr="00D2082D">
              <w:rPr>
                <w:bCs/>
                <w:color w:val="auto"/>
                <w:lang w:eastAsia="en-US"/>
              </w:rPr>
              <w:t>As part of the final reconciliation of payments under the Schedule, the Commonwealth and the Northern Territory will review whether the provision of health services under the Schedule has negatively impacted</w:t>
            </w:r>
            <w:r w:rsidR="003545A7" w:rsidRPr="00D2082D">
              <w:rPr>
                <w:bCs/>
                <w:color w:val="auto"/>
                <w:lang w:eastAsia="en-US"/>
              </w:rPr>
              <w:t xml:space="preserve"> the Northern Territory’s funding entitlements under the </w:t>
            </w:r>
            <w:r w:rsidR="00B10F60" w:rsidRPr="00DB2166">
              <w:rPr>
                <w:color w:val="auto"/>
              </w:rPr>
              <w:t xml:space="preserve">NHRA </w:t>
            </w:r>
            <w:r w:rsidR="003545A7" w:rsidRPr="00D2082D">
              <w:rPr>
                <w:bCs/>
                <w:color w:val="auto"/>
                <w:lang w:eastAsia="en-US"/>
              </w:rPr>
              <w:t>in 2021-22</w:t>
            </w:r>
            <w:r w:rsidR="00720737" w:rsidRPr="00D2082D">
              <w:rPr>
                <w:bCs/>
                <w:color w:val="auto"/>
                <w:lang w:eastAsia="en-US"/>
              </w:rPr>
              <w:t xml:space="preserve"> and 2022-23</w:t>
            </w:r>
            <w:r w:rsidR="003545A7" w:rsidRPr="00D2082D">
              <w:rPr>
                <w:bCs/>
                <w:color w:val="auto"/>
                <w:lang w:eastAsia="en-US"/>
              </w:rPr>
              <w:t>, and if necessary work together with the Administration of the National Health Funding Pool to ensure remedial adjustments are made</w:t>
            </w:r>
            <w:r w:rsidRPr="00D2082D">
              <w:rPr>
                <w:bCs/>
                <w:color w:val="auto"/>
                <w:lang w:eastAsia="en-US"/>
              </w:rPr>
              <w:t>.</w:t>
            </w:r>
            <w:r w:rsidR="004D6FAB" w:rsidRPr="00D2082D">
              <w:rPr>
                <w:bCs/>
                <w:color w:val="auto"/>
                <w:lang w:eastAsia="en-US"/>
              </w:rPr>
              <w:t xml:space="preserve"> </w:t>
            </w:r>
          </w:p>
          <w:p w14:paraId="05D81F27" w14:textId="1DA787C1" w:rsidR="004D6FAB" w:rsidRPr="00D2082D" w:rsidRDefault="004D6FAB" w:rsidP="00D1622F">
            <w:pPr>
              <w:pStyle w:val="Tableformat"/>
              <w:spacing w:after="120" w:line="252" w:lineRule="auto"/>
              <w:rPr>
                <w:color w:val="auto"/>
                <w:lang w:eastAsia="en-US"/>
              </w:rPr>
            </w:pPr>
            <w:r w:rsidRPr="00D2082D">
              <w:rPr>
                <w:bCs/>
                <w:color w:val="auto"/>
                <w:lang w:eastAsia="en-US"/>
              </w:rPr>
              <w:t>Th</w:t>
            </w:r>
            <w:r w:rsidRPr="00D2082D">
              <w:rPr>
                <w:color w:val="auto"/>
                <w:lang w:eastAsia="en-US"/>
              </w:rPr>
              <w:t>e intent of this is to guarantee the NT 2021-22</w:t>
            </w:r>
            <w:r w:rsidR="00720737" w:rsidRPr="00D2082D">
              <w:rPr>
                <w:color w:val="auto"/>
                <w:lang w:eastAsia="en-US"/>
              </w:rPr>
              <w:t xml:space="preserve"> and 2022-23</w:t>
            </w:r>
            <w:r w:rsidRPr="00D2082D">
              <w:rPr>
                <w:color w:val="auto"/>
                <w:lang w:eastAsia="en-US"/>
              </w:rPr>
              <w:t xml:space="preserve"> NHRA starting base amount and the NT soft cap dollar amounts will be adjusted to account for excluded A</w:t>
            </w:r>
            <w:r w:rsidR="005E7833" w:rsidRPr="00D2082D">
              <w:rPr>
                <w:color w:val="auto"/>
                <w:lang w:eastAsia="en-US"/>
              </w:rPr>
              <w:t xml:space="preserve">ctivity </w:t>
            </w:r>
            <w:r w:rsidRPr="00D2082D">
              <w:rPr>
                <w:color w:val="auto"/>
                <w:lang w:eastAsia="en-US"/>
              </w:rPr>
              <w:t>B</w:t>
            </w:r>
            <w:r w:rsidR="005E7833" w:rsidRPr="00D2082D">
              <w:rPr>
                <w:color w:val="auto"/>
                <w:lang w:eastAsia="en-US"/>
              </w:rPr>
              <w:t xml:space="preserve">ased </w:t>
            </w:r>
            <w:r w:rsidRPr="00D2082D">
              <w:rPr>
                <w:color w:val="auto"/>
                <w:lang w:eastAsia="en-US"/>
              </w:rPr>
              <w:t>F</w:t>
            </w:r>
            <w:r w:rsidR="005E7833" w:rsidRPr="00D2082D">
              <w:rPr>
                <w:color w:val="auto"/>
                <w:lang w:eastAsia="en-US"/>
              </w:rPr>
              <w:t>unding</w:t>
            </w:r>
            <w:r w:rsidRPr="00D2082D">
              <w:rPr>
                <w:color w:val="auto"/>
                <w:lang w:eastAsia="en-US"/>
              </w:rPr>
              <w:t xml:space="preserve"> activity that is claimed in this agreement over 2020-21</w:t>
            </w:r>
            <w:r w:rsidR="00720737" w:rsidRPr="00D2082D">
              <w:rPr>
                <w:color w:val="auto"/>
                <w:lang w:eastAsia="en-US"/>
              </w:rPr>
              <w:t xml:space="preserve"> and 2021-22</w:t>
            </w:r>
            <w:r w:rsidRPr="00D2082D">
              <w:rPr>
                <w:color w:val="auto"/>
                <w:lang w:eastAsia="en-US"/>
              </w:rPr>
              <w:t>.</w:t>
            </w:r>
          </w:p>
          <w:p w14:paraId="4F2FBC10" w14:textId="588BA375" w:rsidR="004D6FAB" w:rsidRPr="00D2082D" w:rsidRDefault="004D6FAB" w:rsidP="00D1622F">
            <w:pPr>
              <w:pStyle w:val="Tableformat"/>
              <w:spacing w:after="120" w:line="252" w:lineRule="auto"/>
              <w:rPr>
                <w:color w:val="auto"/>
                <w:lang w:eastAsia="en-US"/>
              </w:rPr>
            </w:pPr>
            <w:r w:rsidRPr="00D2082D">
              <w:rPr>
                <w:color w:val="auto"/>
                <w:lang w:eastAsia="en-US"/>
              </w:rPr>
              <w:t xml:space="preserve">The guarantee in 2021-22 </w:t>
            </w:r>
            <w:r w:rsidR="001E09AC" w:rsidRPr="00D2082D">
              <w:rPr>
                <w:color w:val="auto"/>
                <w:lang w:eastAsia="en-US"/>
              </w:rPr>
              <w:t xml:space="preserve">and 2022-23 </w:t>
            </w:r>
            <w:r w:rsidRPr="00D2082D">
              <w:rPr>
                <w:color w:val="auto"/>
                <w:lang w:eastAsia="en-US"/>
              </w:rPr>
              <w:t>will adjust the starting base dollar amount by:</w:t>
            </w:r>
          </w:p>
          <w:p w14:paraId="754E81AF" w14:textId="1403866C" w:rsidR="004D6FAB" w:rsidRPr="00D2082D" w:rsidRDefault="004D6FAB" w:rsidP="003E3B5B">
            <w:pPr>
              <w:pStyle w:val="Tableformat"/>
              <w:numPr>
                <w:ilvl w:val="0"/>
                <w:numId w:val="21"/>
              </w:numPr>
              <w:rPr>
                <w:color w:val="auto"/>
                <w:lang w:eastAsia="en-US"/>
              </w:rPr>
            </w:pPr>
            <w:r w:rsidRPr="00D2082D">
              <w:rPr>
                <w:color w:val="auto"/>
                <w:lang w:eastAsia="en-US"/>
              </w:rPr>
              <w:t xml:space="preserve">Volume change: </w:t>
            </w:r>
            <w:r w:rsidR="005E7833" w:rsidRPr="00D2082D">
              <w:rPr>
                <w:color w:val="auto"/>
                <w:lang w:eastAsia="en-US"/>
              </w:rPr>
              <w:t>N</w:t>
            </w:r>
            <w:r w:rsidR="00B10F60" w:rsidRPr="00DB2166">
              <w:rPr>
                <w:color w:val="auto"/>
              </w:rPr>
              <w:t>ational</w:t>
            </w:r>
            <w:r w:rsidR="00B10F60" w:rsidRPr="00D2082D">
              <w:rPr>
                <w:color w:val="auto"/>
                <w:lang w:eastAsia="en-US"/>
              </w:rPr>
              <w:t xml:space="preserve"> </w:t>
            </w:r>
            <w:r w:rsidR="005E7833" w:rsidRPr="00D2082D">
              <w:rPr>
                <w:color w:val="auto"/>
                <w:lang w:eastAsia="en-US"/>
              </w:rPr>
              <w:t>W</w:t>
            </w:r>
            <w:r w:rsidR="004A436F" w:rsidRPr="00DB2166">
              <w:rPr>
                <w:color w:val="auto"/>
              </w:rPr>
              <w:t>eighted</w:t>
            </w:r>
            <w:r w:rsidR="004A436F" w:rsidRPr="00D2082D">
              <w:rPr>
                <w:color w:val="auto"/>
                <w:lang w:eastAsia="en-US"/>
              </w:rPr>
              <w:t xml:space="preserve"> </w:t>
            </w:r>
            <w:r w:rsidR="005E7833" w:rsidRPr="00D2082D">
              <w:rPr>
                <w:color w:val="auto"/>
                <w:lang w:eastAsia="en-US"/>
              </w:rPr>
              <w:t>A</w:t>
            </w:r>
            <w:r w:rsidR="004A436F" w:rsidRPr="00DB2166">
              <w:rPr>
                <w:color w:val="auto"/>
              </w:rPr>
              <w:t>ctivity</w:t>
            </w:r>
            <w:r w:rsidR="004A436F" w:rsidRPr="00D2082D">
              <w:rPr>
                <w:color w:val="auto"/>
                <w:lang w:eastAsia="en-US"/>
              </w:rPr>
              <w:t xml:space="preserve"> </w:t>
            </w:r>
            <w:r w:rsidR="005E7833" w:rsidRPr="00D2082D">
              <w:rPr>
                <w:color w:val="auto"/>
                <w:lang w:eastAsia="en-US"/>
              </w:rPr>
              <w:t>U</w:t>
            </w:r>
            <w:r w:rsidR="004A436F" w:rsidRPr="00DB2166">
              <w:rPr>
                <w:color w:val="auto"/>
              </w:rPr>
              <w:t>nit</w:t>
            </w:r>
            <w:r w:rsidR="004A436F" w:rsidRPr="00D2082D">
              <w:rPr>
                <w:color w:val="auto"/>
                <w:lang w:eastAsia="en-US"/>
              </w:rPr>
              <w:t xml:space="preserve"> </w:t>
            </w:r>
            <w:r w:rsidR="004A436F" w:rsidRPr="00DB2166">
              <w:rPr>
                <w:color w:val="auto"/>
              </w:rPr>
              <w:t>(NWAU)</w:t>
            </w:r>
            <w:r w:rsidRPr="00DB2166">
              <w:rPr>
                <w:color w:val="auto"/>
              </w:rPr>
              <w:t xml:space="preserve"> </w:t>
            </w:r>
            <w:r w:rsidRPr="00D2082D">
              <w:rPr>
                <w:color w:val="auto"/>
                <w:lang w:eastAsia="en-US"/>
              </w:rPr>
              <w:t xml:space="preserve">excluded in 2021 multiplied by NEP20 multiplied 45%. </w:t>
            </w:r>
          </w:p>
          <w:p w14:paraId="5FD2088A" w14:textId="77777777" w:rsidR="004D6FAB" w:rsidRPr="00D2082D" w:rsidRDefault="004D6FAB" w:rsidP="00774808">
            <w:pPr>
              <w:pStyle w:val="Tableformat"/>
              <w:spacing w:after="120" w:line="252" w:lineRule="auto"/>
              <w:ind w:left="720"/>
              <w:rPr>
                <w:color w:val="auto"/>
                <w:lang w:eastAsia="en-US"/>
              </w:rPr>
            </w:pPr>
            <w:r w:rsidRPr="00D2082D">
              <w:rPr>
                <w:color w:val="auto"/>
                <w:lang w:eastAsia="en-US"/>
              </w:rPr>
              <w:t>Plus</w:t>
            </w:r>
          </w:p>
          <w:p w14:paraId="179E7A9D" w14:textId="77777777" w:rsidR="004D6FAB" w:rsidRPr="00D2082D" w:rsidRDefault="004D6FAB" w:rsidP="00774808">
            <w:pPr>
              <w:pStyle w:val="Tableformat"/>
              <w:spacing w:after="120" w:line="252" w:lineRule="auto"/>
              <w:ind w:left="720"/>
              <w:rPr>
                <w:color w:val="auto"/>
                <w:lang w:eastAsia="en-US"/>
              </w:rPr>
            </w:pPr>
            <w:r w:rsidRPr="00D2082D">
              <w:rPr>
                <w:color w:val="auto"/>
                <w:lang w:eastAsia="en-US"/>
              </w:rPr>
              <w:t xml:space="preserve">Price change: NWAU excluded in 2020-21 </w:t>
            </w:r>
            <w:r w:rsidR="001E09AC" w:rsidRPr="00D2082D">
              <w:rPr>
                <w:color w:val="auto"/>
                <w:lang w:eastAsia="en-US"/>
              </w:rPr>
              <w:t xml:space="preserve">and 2021-22 </w:t>
            </w:r>
            <w:r w:rsidRPr="00D2082D">
              <w:rPr>
                <w:color w:val="auto"/>
                <w:lang w:eastAsia="en-US"/>
              </w:rPr>
              <w:t>multiplied by indexation (NEP21-NEP20) multiplied by 45%.</w:t>
            </w:r>
          </w:p>
          <w:p w14:paraId="25ADDA35" w14:textId="77777777" w:rsidR="003144F7" w:rsidRDefault="003144F7" w:rsidP="005F2D97">
            <w:pPr>
              <w:pStyle w:val="Tableformat"/>
              <w:spacing w:line="252" w:lineRule="auto"/>
              <w:rPr>
                <w:i/>
                <w:color w:val="auto"/>
                <w:u w:val="single"/>
                <w:lang w:eastAsia="en-US"/>
              </w:rPr>
            </w:pPr>
          </w:p>
          <w:p w14:paraId="35D2A2C4" w14:textId="047C0A90" w:rsidR="005F2D97" w:rsidRPr="00D2082D" w:rsidRDefault="005F2D97" w:rsidP="005F2D97">
            <w:pPr>
              <w:pStyle w:val="Tableformat"/>
              <w:spacing w:line="252" w:lineRule="auto"/>
              <w:rPr>
                <w:i/>
                <w:color w:val="auto"/>
                <w:u w:val="single"/>
                <w:lang w:eastAsia="en-US"/>
              </w:rPr>
            </w:pPr>
            <w:r w:rsidRPr="00D2082D">
              <w:rPr>
                <w:i/>
                <w:color w:val="auto"/>
                <w:u w:val="single"/>
                <w:lang w:eastAsia="en-US"/>
              </w:rPr>
              <w:lastRenderedPageBreak/>
              <w:t xml:space="preserve">Out-of-scope Activity </w:t>
            </w:r>
          </w:p>
          <w:p w14:paraId="6CBB08D9" w14:textId="77777777" w:rsidR="005F2D97" w:rsidRPr="00D2082D" w:rsidRDefault="005F2D97" w:rsidP="005F2D97">
            <w:pPr>
              <w:pStyle w:val="Tableformat"/>
              <w:spacing w:line="252" w:lineRule="auto"/>
              <w:rPr>
                <w:color w:val="auto"/>
                <w:lang w:eastAsia="en-US"/>
              </w:rPr>
            </w:pPr>
            <w:r w:rsidRPr="00D2082D">
              <w:rPr>
                <w:color w:val="auto"/>
                <w:lang w:eastAsia="en-US"/>
              </w:rPr>
              <w:t xml:space="preserve">For health services consisting of activities that would not normally be in-scope for NHRA funding (such as non-admitted alcohol and drug treatment services), the amount of the Health Services Component </w:t>
            </w:r>
            <w:r w:rsidR="00E143F1" w:rsidRPr="00D2082D">
              <w:rPr>
                <w:color w:val="auto"/>
                <w:lang w:eastAsia="en-US"/>
              </w:rPr>
              <w:t xml:space="preserve">which is out-of-scope activity </w:t>
            </w:r>
            <w:r w:rsidRPr="00D2082D">
              <w:rPr>
                <w:color w:val="auto"/>
                <w:lang w:eastAsia="en-US"/>
              </w:rPr>
              <w:t>will be the actual costs incurred by the Northern Territory Government in providing these services.</w:t>
            </w:r>
          </w:p>
          <w:p w14:paraId="5E4F7041" w14:textId="77777777" w:rsidR="006068D1" w:rsidRPr="00D2082D" w:rsidRDefault="006068D1" w:rsidP="006068D1">
            <w:pPr>
              <w:pStyle w:val="Tableformat"/>
              <w:spacing w:line="252" w:lineRule="auto"/>
              <w:rPr>
                <w:b/>
                <w:bCs/>
                <w:color w:val="auto"/>
                <w:lang w:eastAsia="en-US"/>
              </w:rPr>
            </w:pPr>
            <w:r w:rsidRPr="00D2082D">
              <w:rPr>
                <w:b/>
                <w:bCs/>
                <w:color w:val="auto"/>
                <w:lang w:eastAsia="en-US"/>
              </w:rPr>
              <w:t>4. The Facility Operation Component</w:t>
            </w:r>
          </w:p>
          <w:p w14:paraId="28925E88" w14:textId="77777777" w:rsidR="006068D1" w:rsidRPr="00D2082D" w:rsidRDefault="006068D1" w:rsidP="006068D1">
            <w:pPr>
              <w:pStyle w:val="Tableformat"/>
              <w:spacing w:line="252" w:lineRule="auto"/>
              <w:rPr>
                <w:color w:val="auto"/>
                <w:lang w:eastAsia="en-US"/>
              </w:rPr>
            </w:pPr>
            <w:r w:rsidRPr="00D2082D">
              <w:rPr>
                <w:color w:val="auto"/>
                <w:lang w:eastAsia="en-US"/>
              </w:rPr>
              <w:t>The Commonwealth will provide monthly funding to the Northern Territory for all other expenses the Northern Territory incurs in fulfilling its operational responsibilities under the Schedule that are not already funded as part of the Capital Expenditure Component or the Health Services Component.</w:t>
            </w:r>
          </w:p>
          <w:p w14:paraId="124156FC" w14:textId="77777777" w:rsidR="006068D1" w:rsidRPr="00D2082D" w:rsidRDefault="006068D1" w:rsidP="006B420E">
            <w:pPr>
              <w:pStyle w:val="Tableformat"/>
              <w:spacing w:line="252" w:lineRule="auto"/>
              <w:rPr>
                <w:bCs/>
                <w:color w:val="auto"/>
                <w:lang w:eastAsia="en-US"/>
              </w:rPr>
            </w:pPr>
            <w:r w:rsidRPr="00D2082D">
              <w:rPr>
                <w:color w:val="auto"/>
                <w:lang w:eastAsia="en-US"/>
              </w:rPr>
              <w:t>The Commonwealth will pay the Northern Territory 100 per cent of the cost of this agreed operational expenditure, known as the “Facility Operation Component”, and adjusted as necessary to comply with the Payment Principles</w:t>
            </w:r>
            <w:r w:rsidR="006B420E" w:rsidRPr="00D2082D">
              <w:rPr>
                <w:color w:val="auto"/>
                <w:lang w:eastAsia="en-US"/>
              </w:rPr>
              <w:t>.</w:t>
            </w:r>
          </w:p>
        </w:tc>
      </w:tr>
      <w:tr w:rsidR="00D2082D" w:rsidRPr="00D2082D" w14:paraId="1006D6CD" w14:textId="77777777" w:rsidTr="00B10F60">
        <w:trPr>
          <w:gridAfter w:val="1"/>
          <w:wAfter w:w="6" w:type="dxa"/>
        </w:trPr>
        <w:tc>
          <w:tcPr>
            <w:tcW w:w="1975" w:type="dxa"/>
            <w:shd w:val="clear" w:color="auto" w:fill="auto"/>
          </w:tcPr>
          <w:p w14:paraId="3547BF52" w14:textId="77777777" w:rsidR="006068D1" w:rsidRPr="00D2082D" w:rsidRDefault="006068D1" w:rsidP="006068D1">
            <w:pPr>
              <w:pStyle w:val="Tableformat"/>
              <w:rPr>
                <w:color w:val="auto"/>
              </w:rPr>
            </w:pPr>
            <w:r w:rsidRPr="00D2082D">
              <w:rPr>
                <w:color w:val="auto"/>
              </w:rPr>
              <w:lastRenderedPageBreak/>
              <w:t>Payment Mechanism</w:t>
            </w:r>
          </w:p>
        </w:tc>
        <w:tc>
          <w:tcPr>
            <w:tcW w:w="7796" w:type="dxa"/>
            <w:tcBorders>
              <w:top w:val="single" w:sz="8" w:space="0" w:color="4F81BD"/>
              <w:left w:val="nil"/>
              <w:bottom w:val="single" w:sz="8" w:space="0" w:color="4F81BD"/>
              <w:right w:val="single" w:sz="8" w:space="0" w:color="4F81BD"/>
            </w:tcBorders>
          </w:tcPr>
          <w:p w14:paraId="1C836E0E" w14:textId="3351816B" w:rsidR="006068D1" w:rsidRPr="00DB2166" w:rsidRDefault="006068D1" w:rsidP="006068D1">
            <w:pPr>
              <w:pStyle w:val="Tableformat"/>
              <w:spacing w:line="252" w:lineRule="auto"/>
              <w:rPr>
                <w:color w:val="auto"/>
              </w:rPr>
            </w:pPr>
            <w:r w:rsidRPr="00D2082D">
              <w:rPr>
                <w:color w:val="auto"/>
                <w:lang w:eastAsia="en-US"/>
              </w:rPr>
              <w:t xml:space="preserve">The Upfront Component </w:t>
            </w:r>
            <w:r w:rsidR="009453A7" w:rsidRPr="00D2082D">
              <w:rPr>
                <w:color w:val="auto"/>
                <w:lang w:eastAsia="en-US"/>
              </w:rPr>
              <w:t xml:space="preserve">was paid </w:t>
            </w:r>
            <w:r w:rsidR="0004481B" w:rsidRPr="00D2082D">
              <w:rPr>
                <w:color w:val="auto"/>
                <w:lang w:eastAsia="en-US"/>
              </w:rPr>
              <w:t>in December 2020</w:t>
            </w:r>
            <w:r w:rsidR="009453A7" w:rsidRPr="00D2082D">
              <w:rPr>
                <w:color w:val="auto"/>
                <w:lang w:eastAsia="en-US"/>
              </w:rPr>
              <w:t xml:space="preserve"> </w:t>
            </w:r>
            <w:r w:rsidRPr="00D2082D">
              <w:rPr>
                <w:color w:val="auto"/>
                <w:lang w:eastAsia="en-US"/>
              </w:rPr>
              <w:t xml:space="preserve">following the commencement of the Schedule. </w:t>
            </w:r>
            <w:r w:rsidR="00A55841" w:rsidRPr="00DB2166">
              <w:rPr>
                <w:color w:val="auto"/>
              </w:rPr>
              <w:t xml:space="preserve">Following the </w:t>
            </w:r>
            <w:r w:rsidR="00C57CA2" w:rsidRPr="00DB2166">
              <w:rPr>
                <w:color w:val="auto"/>
              </w:rPr>
              <w:t>March</w:t>
            </w:r>
            <w:r w:rsidR="00A55841" w:rsidRPr="00DB2166">
              <w:rPr>
                <w:color w:val="auto"/>
              </w:rPr>
              <w:t xml:space="preserve"> 2021</w:t>
            </w:r>
            <w:r w:rsidR="007636F3" w:rsidRPr="00DB2166">
              <w:rPr>
                <w:color w:val="auto"/>
              </w:rPr>
              <w:t xml:space="preserve"> variation of the Agreement to a capacity of 2,000 people per fortnight, an additional upfront payment of $5.15m was provided to the Northern Territory in May 2021.</w:t>
            </w:r>
          </w:p>
          <w:p w14:paraId="7921CA93" w14:textId="140AB0D2" w:rsidR="006068D1" w:rsidRPr="00D2082D" w:rsidRDefault="006068D1" w:rsidP="006068D1">
            <w:pPr>
              <w:pStyle w:val="Tableformat"/>
              <w:spacing w:line="252" w:lineRule="auto"/>
              <w:rPr>
                <w:color w:val="auto"/>
                <w:lang w:eastAsia="en-US"/>
              </w:rPr>
            </w:pPr>
            <w:r w:rsidRPr="00D2082D">
              <w:rPr>
                <w:color w:val="auto"/>
                <w:lang w:eastAsia="en-US"/>
              </w:rPr>
              <w:t xml:space="preserve">The Capital Expenditure Component, the Health Services Component and the Facility Operation Component of the agreement will be paid on a monthly basis commencing from November </w:t>
            </w:r>
            <w:r w:rsidR="004A436F" w:rsidRPr="00DB2166">
              <w:rPr>
                <w:color w:val="auto"/>
              </w:rPr>
              <w:t xml:space="preserve">2020 </w:t>
            </w:r>
            <w:r w:rsidRPr="00D2082D">
              <w:rPr>
                <w:color w:val="auto"/>
                <w:lang w:eastAsia="en-US"/>
              </w:rPr>
              <w:t>and lasting until the expiration of the Agreement, in a combined single payment known as the “Monthly Payment”.</w:t>
            </w:r>
          </w:p>
          <w:p w14:paraId="20657226" w14:textId="77777777" w:rsidR="006068D1" w:rsidRPr="00D2082D" w:rsidRDefault="006068D1" w:rsidP="006068D1">
            <w:pPr>
              <w:pStyle w:val="Tableformat"/>
              <w:spacing w:line="252" w:lineRule="auto"/>
              <w:rPr>
                <w:color w:val="auto"/>
                <w:lang w:eastAsia="en-US"/>
              </w:rPr>
            </w:pPr>
            <w:r w:rsidRPr="00D2082D">
              <w:rPr>
                <w:color w:val="auto"/>
                <w:lang w:eastAsia="en-US"/>
              </w:rPr>
              <w:t>The Monthly Payment will be made in arrears through monthly payments, based on the monthly payment requests provided by the Northern Territory and in accordance with the payment arrangements under the Intergovernmental Agreement on Federal Financial Relations.</w:t>
            </w:r>
          </w:p>
          <w:p w14:paraId="6ED8E24F" w14:textId="77777777" w:rsidR="006068D1" w:rsidRPr="00D2082D" w:rsidRDefault="006068D1" w:rsidP="006068D1">
            <w:pPr>
              <w:pStyle w:val="Tableformat"/>
              <w:spacing w:line="252" w:lineRule="auto"/>
              <w:rPr>
                <w:color w:val="auto"/>
                <w:lang w:eastAsia="en-US"/>
              </w:rPr>
            </w:pPr>
            <w:r w:rsidRPr="00D2082D">
              <w:rPr>
                <w:color w:val="auto"/>
                <w:lang w:eastAsia="en-US"/>
              </w:rPr>
              <w:t>In addition, the Northern Territory will be required to submit to the Commonwealth its payment request for the Monthly Payment by no later than the 14th day of the prior month, (“the Monthly Payment Request”).</w:t>
            </w:r>
          </w:p>
          <w:p w14:paraId="116EEDFC" w14:textId="0C3FC18F" w:rsidR="006068D1" w:rsidRPr="00D2082D" w:rsidRDefault="006068D1" w:rsidP="006068D1">
            <w:pPr>
              <w:pStyle w:val="Tableformat"/>
              <w:spacing w:line="252" w:lineRule="auto"/>
              <w:rPr>
                <w:color w:val="auto"/>
                <w:lang w:eastAsia="en-US"/>
              </w:rPr>
            </w:pPr>
            <w:r w:rsidRPr="00D2082D">
              <w:rPr>
                <w:color w:val="auto"/>
                <w:lang w:eastAsia="en-US"/>
              </w:rPr>
              <w:t>As part of the Monthly Payment Request, the Northern Territory will separately identify the Capital Expenditure Component, the Health Services Component, and the Facility Operations Component.</w:t>
            </w:r>
          </w:p>
          <w:p w14:paraId="67AC84A2" w14:textId="177B3538" w:rsidR="006068D1" w:rsidRPr="00D2082D" w:rsidRDefault="006068D1" w:rsidP="006068D1">
            <w:pPr>
              <w:pStyle w:val="Tableformat"/>
              <w:spacing w:line="252" w:lineRule="auto"/>
              <w:rPr>
                <w:color w:val="auto"/>
                <w:lang w:eastAsia="en-US"/>
              </w:rPr>
            </w:pPr>
            <w:r w:rsidRPr="00D2082D">
              <w:rPr>
                <w:color w:val="auto"/>
                <w:lang w:eastAsia="en-US"/>
              </w:rPr>
              <w:t xml:space="preserve">For each of these three components, the Northern Territory will </w:t>
            </w:r>
            <w:r w:rsidR="000F6A55" w:rsidRPr="00DB2166">
              <w:rPr>
                <w:color w:val="auto"/>
              </w:rPr>
              <w:t xml:space="preserve">continue to execute internal auditing of financial claims associated </w:t>
            </w:r>
            <w:r w:rsidR="000F6A55" w:rsidRPr="00DB2166">
              <w:rPr>
                <w:color w:val="auto"/>
              </w:rPr>
              <w:lastRenderedPageBreak/>
              <w:t xml:space="preserve">with repatriation charges to the Commonwealth, noting the system will expand to incorporate across all agencies. Evidence </w:t>
            </w:r>
            <w:r w:rsidRPr="00D2082D">
              <w:rPr>
                <w:color w:val="auto"/>
                <w:lang w:eastAsia="en-US"/>
              </w:rPr>
              <w:t>demonstrating the</w:t>
            </w:r>
            <w:r w:rsidR="000F6A55" w:rsidRPr="00D2082D">
              <w:rPr>
                <w:color w:val="auto"/>
                <w:lang w:eastAsia="en-US"/>
              </w:rPr>
              <w:t xml:space="preserve"> </w:t>
            </w:r>
            <w:r w:rsidR="000F6A55" w:rsidRPr="00DB2166">
              <w:rPr>
                <w:color w:val="auto"/>
              </w:rPr>
              <w:t>NTG</w:t>
            </w:r>
            <w:r w:rsidRPr="00DB2166">
              <w:rPr>
                <w:color w:val="auto"/>
              </w:rPr>
              <w:t xml:space="preserve"> </w:t>
            </w:r>
            <w:r w:rsidRPr="00D2082D">
              <w:rPr>
                <w:color w:val="auto"/>
                <w:lang w:eastAsia="en-US"/>
              </w:rPr>
              <w:t>actual incurred costs in delivering the activities funded under each of the components</w:t>
            </w:r>
            <w:r w:rsidR="004E5E37" w:rsidRPr="00D2082D">
              <w:rPr>
                <w:color w:val="auto"/>
                <w:lang w:eastAsia="en-US"/>
              </w:rPr>
              <w:t xml:space="preserve"> </w:t>
            </w:r>
            <w:r w:rsidR="004E5E37" w:rsidRPr="00DB2166">
              <w:rPr>
                <w:color w:val="auto"/>
              </w:rPr>
              <w:t>can be provided through the internal auditing process</w:t>
            </w:r>
            <w:r w:rsidRPr="00DB2166">
              <w:rPr>
                <w:color w:val="auto"/>
              </w:rPr>
              <w:t xml:space="preserve">. </w:t>
            </w:r>
          </w:p>
          <w:p w14:paraId="60691B82" w14:textId="77777777" w:rsidR="00E143F1" w:rsidRPr="00D2082D" w:rsidRDefault="00E143F1" w:rsidP="006068D1">
            <w:pPr>
              <w:pStyle w:val="Tableformat"/>
              <w:spacing w:line="252" w:lineRule="auto"/>
              <w:rPr>
                <w:color w:val="auto"/>
                <w:lang w:eastAsia="en-US"/>
              </w:rPr>
            </w:pPr>
            <w:r w:rsidRPr="00D2082D">
              <w:rPr>
                <w:color w:val="auto"/>
                <w:lang w:eastAsia="en-US"/>
              </w:rPr>
              <w:t xml:space="preserve">This requirement to demonstrate actual incurred costs will not apply to the </w:t>
            </w:r>
            <w:r w:rsidR="00774808" w:rsidRPr="00D2082D">
              <w:rPr>
                <w:color w:val="auto"/>
                <w:lang w:eastAsia="en-US"/>
              </w:rPr>
              <w:t>i</w:t>
            </w:r>
            <w:r w:rsidRPr="00D2082D">
              <w:rPr>
                <w:color w:val="auto"/>
                <w:lang w:eastAsia="en-US"/>
              </w:rPr>
              <w:t xml:space="preserve">n-scope </w:t>
            </w:r>
            <w:r w:rsidR="00774808" w:rsidRPr="00D2082D">
              <w:rPr>
                <w:color w:val="auto"/>
                <w:lang w:eastAsia="en-US"/>
              </w:rPr>
              <w:t>a</w:t>
            </w:r>
            <w:r w:rsidRPr="00D2082D">
              <w:rPr>
                <w:color w:val="auto"/>
                <w:lang w:eastAsia="en-US"/>
              </w:rPr>
              <w:t>ctivity of the Health Services Component. This requirement will instead be replaced with the process and of the formula described under the Health Services Component section of the Schedule.</w:t>
            </w:r>
          </w:p>
          <w:p w14:paraId="3B513034" w14:textId="77777777" w:rsidR="006068D1" w:rsidRPr="00D2082D" w:rsidRDefault="006068D1" w:rsidP="006068D1">
            <w:pPr>
              <w:pStyle w:val="Tableformat"/>
              <w:spacing w:line="252" w:lineRule="auto"/>
              <w:rPr>
                <w:color w:val="auto"/>
                <w:lang w:eastAsia="en-US"/>
              </w:rPr>
            </w:pPr>
            <w:r w:rsidRPr="00D2082D">
              <w:rPr>
                <w:color w:val="auto"/>
                <w:lang w:eastAsia="en-US"/>
              </w:rPr>
              <w:t>Provided the Commonwealth accepts this evidence as sufficiently robust, and in accordance with the intent and scope of the Schedule, the Commonwealth will then provide the Northern Territory with the funds for these costs, minus the deduction of the Upfront Component.</w:t>
            </w:r>
          </w:p>
          <w:p w14:paraId="033B2BAA" w14:textId="318D132D" w:rsidR="006068D1" w:rsidRPr="00D2082D" w:rsidRDefault="006068D1" w:rsidP="00B308B1">
            <w:pPr>
              <w:pStyle w:val="Tableformat"/>
              <w:spacing w:line="252" w:lineRule="auto"/>
              <w:rPr>
                <w:color w:val="auto"/>
                <w:lang w:eastAsia="en-US"/>
              </w:rPr>
            </w:pPr>
            <w:r w:rsidRPr="00D2082D">
              <w:rPr>
                <w:color w:val="auto"/>
                <w:lang w:eastAsia="en-US"/>
              </w:rPr>
              <w:t>Where the Commonwealth feels there is insufficient evidence of costs incurred, or whether costs are in accordance with the intent and scope of the Schedule, it will raise this concern through the agreed dispute resolution mechanisms of the Schedule.</w:t>
            </w:r>
            <w:r w:rsidR="001E09AC" w:rsidRPr="00D2082D">
              <w:rPr>
                <w:color w:val="auto"/>
              </w:rPr>
              <w:t xml:space="preserve"> </w:t>
            </w:r>
          </w:p>
        </w:tc>
      </w:tr>
      <w:tr w:rsidR="00D2082D" w:rsidRPr="00D2082D" w14:paraId="6E6074DE" w14:textId="77777777" w:rsidTr="00B10F60">
        <w:trPr>
          <w:gridAfter w:val="1"/>
          <w:wAfter w:w="6" w:type="dxa"/>
        </w:trPr>
        <w:tc>
          <w:tcPr>
            <w:tcW w:w="1975" w:type="dxa"/>
            <w:shd w:val="clear" w:color="auto" w:fill="auto"/>
          </w:tcPr>
          <w:p w14:paraId="514B3DC2" w14:textId="77777777" w:rsidR="003C2F61" w:rsidRPr="003144F7" w:rsidRDefault="003C2F61" w:rsidP="003C2F61">
            <w:pPr>
              <w:pStyle w:val="Tableformat"/>
              <w:spacing w:line="252" w:lineRule="auto"/>
              <w:rPr>
                <w:bCs/>
                <w:color w:val="auto"/>
              </w:rPr>
            </w:pPr>
            <w:r w:rsidRPr="003144F7">
              <w:rPr>
                <w:bCs/>
                <w:color w:val="auto"/>
              </w:rPr>
              <w:lastRenderedPageBreak/>
              <w:t>Fee for quarantine services</w:t>
            </w:r>
          </w:p>
          <w:p w14:paraId="5781E9A2" w14:textId="77777777" w:rsidR="003C2F61" w:rsidRPr="00DB2166" w:rsidRDefault="003C2F61" w:rsidP="003C2F61">
            <w:pPr>
              <w:pStyle w:val="Tableformat"/>
              <w:rPr>
                <w:color w:val="auto"/>
              </w:rPr>
            </w:pPr>
          </w:p>
        </w:tc>
        <w:tc>
          <w:tcPr>
            <w:tcW w:w="7796" w:type="dxa"/>
            <w:tcBorders>
              <w:top w:val="single" w:sz="8" w:space="0" w:color="4F81BD"/>
              <w:left w:val="nil"/>
              <w:bottom w:val="single" w:sz="8" w:space="0" w:color="4F81BD"/>
              <w:right w:val="single" w:sz="8" w:space="0" w:color="4F81BD"/>
            </w:tcBorders>
          </w:tcPr>
          <w:p w14:paraId="4E8D2E6A" w14:textId="47EBFD97" w:rsidR="003C2F61" w:rsidRPr="00DB2166" w:rsidRDefault="003C2F61" w:rsidP="003C2F61">
            <w:pPr>
              <w:pStyle w:val="Tableformat"/>
              <w:spacing w:line="252" w:lineRule="auto"/>
              <w:rPr>
                <w:color w:val="auto"/>
              </w:rPr>
            </w:pPr>
            <w:r w:rsidRPr="00DB2166">
              <w:rPr>
                <w:color w:val="auto"/>
              </w:rPr>
              <w:t>The Commonwealth, on behalf of the Northern Territory, will provide a quarantine fee invoice to the individual or family group who have returned to Australia on a flight facilitated by the Commonwealth.</w:t>
            </w:r>
          </w:p>
          <w:p w14:paraId="193A8AC7" w14:textId="6CB5725E" w:rsidR="003C2F61" w:rsidRPr="00DB2166" w:rsidRDefault="003C2F61" w:rsidP="003C2F61">
            <w:pPr>
              <w:pStyle w:val="Tableformat"/>
              <w:spacing w:line="252" w:lineRule="auto"/>
              <w:rPr>
                <w:color w:val="auto"/>
              </w:rPr>
            </w:pPr>
            <w:r w:rsidRPr="00DB2166">
              <w:rPr>
                <w:color w:val="auto"/>
              </w:rPr>
              <w:t>The Commonwealth will charge a fee to individuals and families who have quarantined at the Centre for National Resilience after their exit from quarantine</w:t>
            </w:r>
            <w:r w:rsidR="003144F7">
              <w:rPr>
                <w:color w:val="auto"/>
              </w:rPr>
              <w:t>.</w:t>
            </w:r>
            <w:r w:rsidRPr="00DB2166">
              <w:rPr>
                <w:color w:val="auto"/>
              </w:rPr>
              <w:t xml:space="preserve"> This charge will be $2,500 per person or $5,000 per family. </w:t>
            </w:r>
          </w:p>
          <w:p w14:paraId="75EAA7D7" w14:textId="77777777" w:rsidR="003C2F61" w:rsidRPr="00DB2166" w:rsidRDefault="003C2F61" w:rsidP="003C2F61">
            <w:pPr>
              <w:pStyle w:val="Tableformat"/>
              <w:spacing w:line="252" w:lineRule="auto"/>
              <w:rPr>
                <w:color w:val="auto"/>
              </w:rPr>
            </w:pPr>
            <w:r w:rsidRPr="00DB2166">
              <w:rPr>
                <w:color w:val="auto"/>
              </w:rPr>
              <w:t>The Commonwealth will provide fee relief options for individuals and families who may be experiencing financial hardship.</w:t>
            </w:r>
          </w:p>
          <w:p w14:paraId="4635E21C" w14:textId="77777777" w:rsidR="003C2F61" w:rsidRPr="00DB2166" w:rsidRDefault="003C2F61" w:rsidP="003C2F61">
            <w:pPr>
              <w:pStyle w:val="Tableformat"/>
              <w:spacing w:line="252" w:lineRule="auto"/>
              <w:rPr>
                <w:color w:val="auto"/>
              </w:rPr>
            </w:pPr>
            <w:r w:rsidRPr="00DB2166">
              <w:rPr>
                <w:color w:val="auto"/>
              </w:rPr>
              <w:t xml:space="preserve">The Commonwealth will collect the fee on behalf of the Northern Territory. </w:t>
            </w:r>
          </w:p>
          <w:p w14:paraId="2DECBECC" w14:textId="1C302185" w:rsidR="003C2F61" w:rsidRPr="00DB2166" w:rsidRDefault="003C2F61" w:rsidP="003C2F61">
            <w:pPr>
              <w:pStyle w:val="Tableformat"/>
              <w:spacing w:line="252" w:lineRule="auto"/>
              <w:rPr>
                <w:color w:val="auto"/>
              </w:rPr>
            </w:pPr>
            <w:r w:rsidRPr="00DB2166">
              <w:rPr>
                <w:color w:val="auto"/>
              </w:rPr>
              <w:t>The Northern Territory will provide the Commonwealth with accurate resident information within two days of each cohort arriving to enable timely invoicing.</w:t>
            </w:r>
          </w:p>
        </w:tc>
      </w:tr>
      <w:tr w:rsidR="00D2082D" w:rsidRPr="00D2082D" w14:paraId="703FAAFD" w14:textId="77777777" w:rsidTr="00B10F60">
        <w:trPr>
          <w:gridAfter w:val="1"/>
          <w:wAfter w:w="6" w:type="dxa"/>
        </w:trPr>
        <w:tc>
          <w:tcPr>
            <w:tcW w:w="1975" w:type="dxa"/>
            <w:shd w:val="clear" w:color="auto" w:fill="auto"/>
          </w:tcPr>
          <w:p w14:paraId="718DCB0D" w14:textId="40008574" w:rsidR="00462811" w:rsidRPr="00DB2166" w:rsidRDefault="00462811" w:rsidP="006068D1">
            <w:pPr>
              <w:pStyle w:val="Tableformat"/>
              <w:rPr>
                <w:color w:val="auto"/>
              </w:rPr>
            </w:pPr>
            <w:r w:rsidRPr="00DB2166">
              <w:rPr>
                <w:color w:val="auto"/>
              </w:rPr>
              <w:t>Post Completion Works</w:t>
            </w:r>
          </w:p>
        </w:tc>
        <w:tc>
          <w:tcPr>
            <w:tcW w:w="7796" w:type="dxa"/>
            <w:tcBorders>
              <w:top w:val="single" w:sz="8" w:space="0" w:color="4F81BD"/>
              <w:left w:val="nil"/>
              <w:bottom w:val="single" w:sz="8" w:space="0" w:color="4F81BD"/>
              <w:right w:val="single" w:sz="8" w:space="0" w:color="4F81BD"/>
            </w:tcBorders>
          </w:tcPr>
          <w:p w14:paraId="29F5AC05" w14:textId="2CDAF0EB" w:rsidR="008E7085" w:rsidRDefault="008E7085" w:rsidP="00703AC5">
            <w:pPr>
              <w:pStyle w:val="Tableformat"/>
              <w:spacing w:line="252" w:lineRule="auto"/>
              <w:rPr>
                <w:color w:val="auto"/>
                <w:lang w:eastAsia="en-US"/>
              </w:rPr>
            </w:pPr>
            <w:r w:rsidRPr="008E7085">
              <w:rPr>
                <w:color w:val="auto"/>
                <w:lang w:eastAsia="en-US"/>
              </w:rPr>
              <w:t>In line with the findings of the Halton Review that quarantine surge capacity should be readily scalable, the Commonwealth will provide funding through this Agreement for the maintenance of the facility to support surge capacity</w:t>
            </w:r>
            <w:r w:rsidR="005C5E06">
              <w:rPr>
                <w:color w:val="auto"/>
                <w:lang w:eastAsia="en-US"/>
              </w:rPr>
              <w:t xml:space="preserve"> for the term of this Agreement</w:t>
            </w:r>
            <w:r w:rsidRPr="008E7085">
              <w:rPr>
                <w:color w:val="auto"/>
                <w:lang w:eastAsia="en-US"/>
              </w:rPr>
              <w:t>.</w:t>
            </w:r>
          </w:p>
          <w:p w14:paraId="7F00C209" w14:textId="317328EC" w:rsidR="00703AC5" w:rsidRPr="00DB2166" w:rsidRDefault="00703AC5" w:rsidP="00703AC5">
            <w:pPr>
              <w:pStyle w:val="Tableformat"/>
              <w:spacing w:line="252" w:lineRule="auto"/>
              <w:rPr>
                <w:color w:val="auto"/>
                <w:lang w:val="en-AU"/>
              </w:rPr>
            </w:pPr>
            <w:r w:rsidRPr="00DB2166">
              <w:rPr>
                <w:color w:val="auto"/>
              </w:rPr>
              <w:t xml:space="preserve">For a period of six months from the date of completion of this Agreement, the Commonwealth will contribute funds for the winding down of the Activities and maintenance costs to the facility. Maintenance costs are limited to costs incurred to ensure the facility </w:t>
            </w:r>
            <w:r w:rsidRPr="00DB2166">
              <w:rPr>
                <w:color w:val="auto"/>
              </w:rPr>
              <w:lastRenderedPageBreak/>
              <w:t xml:space="preserve">can be (as much as is possible) ready for immediate re-commissioning to provide the Activities listed in Appendix A. This includes, but is not limited to, cleaning, payment of invoices and conducting necessary repairs and maintenance. </w:t>
            </w:r>
          </w:p>
          <w:p w14:paraId="67B39A9F" w14:textId="33D30418" w:rsidR="00462811" w:rsidRPr="00DB2166" w:rsidRDefault="00703AC5" w:rsidP="00703AC5">
            <w:pPr>
              <w:pStyle w:val="Tableformat"/>
              <w:spacing w:line="252" w:lineRule="auto"/>
              <w:rPr>
                <w:color w:val="auto"/>
              </w:rPr>
            </w:pPr>
            <w:r w:rsidRPr="00DB2166">
              <w:rPr>
                <w:color w:val="auto"/>
              </w:rPr>
              <w:t xml:space="preserve">Where funds are required to meet the costs of activities under this </w:t>
            </w:r>
            <w:proofErr w:type="gramStart"/>
            <w:r w:rsidRPr="00DB2166">
              <w:rPr>
                <w:color w:val="auto"/>
              </w:rPr>
              <w:t>clause</w:t>
            </w:r>
            <w:proofErr w:type="gramEnd"/>
            <w:r w:rsidRPr="00DB2166">
              <w:rPr>
                <w:color w:val="auto"/>
              </w:rPr>
              <w:t xml:space="preserve"> they will be drawn from the existing total amount of funding available under this Agreement. That is, no funds beyond those currently committed under this Agreement exist for these purposes.</w:t>
            </w:r>
            <w:r w:rsidRPr="00D2082D">
              <w:rPr>
                <w:color w:val="auto"/>
                <w:lang w:eastAsia="en-US"/>
              </w:rPr>
              <w:t xml:space="preserve"> </w:t>
            </w:r>
          </w:p>
        </w:tc>
      </w:tr>
      <w:tr w:rsidR="00D2082D" w:rsidRPr="00D2082D" w14:paraId="01888A81" w14:textId="77777777" w:rsidTr="00B10F60">
        <w:trPr>
          <w:gridAfter w:val="1"/>
          <w:wAfter w:w="6" w:type="dxa"/>
        </w:trPr>
        <w:tc>
          <w:tcPr>
            <w:tcW w:w="1975" w:type="dxa"/>
            <w:shd w:val="clear" w:color="auto" w:fill="auto"/>
          </w:tcPr>
          <w:p w14:paraId="716B393C" w14:textId="77777777" w:rsidR="00B66AC8" w:rsidRPr="00D2082D" w:rsidRDefault="00B66AC8" w:rsidP="006068D1">
            <w:pPr>
              <w:pStyle w:val="Tableformat"/>
              <w:rPr>
                <w:color w:val="auto"/>
              </w:rPr>
            </w:pPr>
            <w:r w:rsidRPr="00D2082D">
              <w:rPr>
                <w:color w:val="auto"/>
              </w:rPr>
              <w:lastRenderedPageBreak/>
              <w:t>Reporting</w:t>
            </w:r>
          </w:p>
        </w:tc>
        <w:tc>
          <w:tcPr>
            <w:tcW w:w="7796" w:type="dxa"/>
            <w:tcBorders>
              <w:top w:val="single" w:sz="8" w:space="0" w:color="4F81BD"/>
              <w:left w:val="nil"/>
              <w:bottom w:val="single" w:sz="8" w:space="0" w:color="4F81BD"/>
              <w:right w:val="single" w:sz="8" w:space="0" w:color="4F81BD"/>
            </w:tcBorders>
          </w:tcPr>
          <w:p w14:paraId="397F9D92" w14:textId="77777777" w:rsidR="00B66AC8" w:rsidRPr="00DB2166" w:rsidRDefault="00B66AC8" w:rsidP="00B66AC8">
            <w:pPr>
              <w:pStyle w:val="Tableformat"/>
              <w:spacing w:line="252" w:lineRule="auto"/>
              <w:rPr>
                <w:color w:val="auto"/>
              </w:rPr>
            </w:pPr>
            <w:r w:rsidRPr="00D2082D">
              <w:rPr>
                <w:bCs/>
                <w:color w:val="auto"/>
                <w:lang w:eastAsia="en-US"/>
              </w:rPr>
              <w:t xml:space="preserve">The Northern Territory will provide </w:t>
            </w:r>
            <w:r w:rsidR="004850A3" w:rsidRPr="00D2082D">
              <w:rPr>
                <w:bCs/>
                <w:color w:val="auto"/>
                <w:lang w:eastAsia="en-US"/>
              </w:rPr>
              <w:t xml:space="preserve">regular </w:t>
            </w:r>
            <w:r w:rsidRPr="00D2082D">
              <w:rPr>
                <w:bCs/>
                <w:color w:val="auto"/>
                <w:lang w:eastAsia="en-US"/>
              </w:rPr>
              <w:t xml:space="preserve">reports to the </w:t>
            </w:r>
            <w:r w:rsidR="00CC5329" w:rsidRPr="00D2082D">
              <w:rPr>
                <w:bCs/>
                <w:color w:val="auto"/>
                <w:lang w:eastAsia="en-US"/>
              </w:rPr>
              <w:t xml:space="preserve">Joint Steering Committee </w:t>
            </w:r>
            <w:r w:rsidRPr="00D2082D">
              <w:rPr>
                <w:bCs/>
                <w:color w:val="auto"/>
                <w:lang w:eastAsia="en-US"/>
              </w:rPr>
              <w:t>on the health and wellbeing of quarantined residents and any health services provided to quarantined residents (including COVID-19 testing).</w:t>
            </w:r>
            <w:r w:rsidRPr="00DB2166">
              <w:rPr>
                <w:color w:val="auto"/>
              </w:rPr>
              <w:t xml:space="preserve"> </w:t>
            </w:r>
          </w:p>
          <w:p w14:paraId="6FCCBDBB" w14:textId="42F465A4" w:rsidR="00B66AC8" w:rsidRPr="00DB2166" w:rsidRDefault="00B66AC8" w:rsidP="00B66AC8">
            <w:pPr>
              <w:pStyle w:val="Tableformat"/>
              <w:spacing w:line="252" w:lineRule="auto"/>
              <w:rPr>
                <w:color w:val="auto"/>
              </w:rPr>
            </w:pPr>
            <w:r w:rsidRPr="00DB2166">
              <w:rPr>
                <w:color w:val="auto"/>
              </w:rPr>
              <w:t>The Northern Territory will also</w:t>
            </w:r>
            <w:r w:rsidR="00E84C3A" w:rsidRPr="00DB2166">
              <w:rPr>
                <w:color w:val="auto"/>
              </w:rPr>
              <w:t xml:space="preserve"> immediately</w:t>
            </w:r>
            <w:r w:rsidRPr="00DB2166">
              <w:rPr>
                <w:color w:val="auto"/>
              </w:rPr>
              <w:t xml:space="preserve"> notify the </w:t>
            </w:r>
            <w:r w:rsidR="005E7833" w:rsidRPr="00DB2166">
              <w:rPr>
                <w:color w:val="auto"/>
              </w:rPr>
              <w:t xml:space="preserve">Joint Steering Committee </w:t>
            </w:r>
            <w:r w:rsidRPr="00DB2166">
              <w:rPr>
                <w:color w:val="auto"/>
              </w:rPr>
              <w:t xml:space="preserve">of any positive COVID cases and </w:t>
            </w:r>
            <w:proofErr w:type="spellStart"/>
            <w:r w:rsidRPr="00DB2166">
              <w:rPr>
                <w:color w:val="auto"/>
              </w:rPr>
              <w:t>hospitalisations</w:t>
            </w:r>
            <w:proofErr w:type="spellEnd"/>
            <w:r w:rsidR="00E84C3A" w:rsidRPr="00DB2166">
              <w:rPr>
                <w:color w:val="auto"/>
              </w:rPr>
              <w:t xml:space="preserve">. </w:t>
            </w:r>
            <w:r w:rsidR="00586B93" w:rsidRPr="00DB2166">
              <w:rPr>
                <w:color w:val="auto"/>
              </w:rPr>
              <w:t>A</w:t>
            </w:r>
            <w:r w:rsidR="00E84C3A" w:rsidRPr="00DB2166">
              <w:rPr>
                <w:color w:val="auto"/>
              </w:rPr>
              <w:t xml:space="preserve"> daily situation report must be provided to the Commonwealth.</w:t>
            </w:r>
            <w:r w:rsidR="00E80CF9" w:rsidRPr="003144F7">
              <w:rPr>
                <w:color w:val="auto"/>
              </w:rPr>
              <w:t xml:space="preserve"> </w:t>
            </w:r>
            <w:r w:rsidR="00911C0C" w:rsidRPr="00DB2166">
              <w:rPr>
                <w:color w:val="auto"/>
              </w:rPr>
              <w:t xml:space="preserve">Further, a </w:t>
            </w:r>
            <w:r w:rsidRPr="00DB2166">
              <w:rPr>
                <w:color w:val="auto"/>
              </w:rPr>
              <w:t xml:space="preserve">weekly </w:t>
            </w:r>
            <w:r w:rsidR="00911C0C" w:rsidRPr="00DB2166">
              <w:rPr>
                <w:color w:val="auto"/>
              </w:rPr>
              <w:t xml:space="preserve">situation report </w:t>
            </w:r>
            <w:r w:rsidR="009453A7" w:rsidRPr="00DB2166">
              <w:rPr>
                <w:color w:val="auto"/>
              </w:rPr>
              <w:t>on the facility and all residents</w:t>
            </w:r>
            <w:r w:rsidR="00E84C3A" w:rsidRPr="00DB2166">
              <w:rPr>
                <w:color w:val="auto"/>
              </w:rPr>
              <w:t>, including COVID positive resident data confirmed by CDNA,</w:t>
            </w:r>
            <w:r w:rsidR="009453A7" w:rsidRPr="00DB2166">
              <w:rPr>
                <w:color w:val="auto"/>
              </w:rPr>
              <w:t xml:space="preserve"> </w:t>
            </w:r>
            <w:r w:rsidR="00911C0C" w:rsidRPr="00DB2166">
              <w:rPr>
                <w:color w:val="auto"/>
              </w:rPr>
              <w:t>will be</w:t>
            </w:r>
            <w:r w:rsidRPr="00DB2166">
              <w:rPr>
                <w:color w:val="auto"/>
              </w:rPr>
              <w:t xml:space="preserve"> received.</w:t>
            </w:r>
          </w:p>
          <w:p w14:paraId="1C97AB04" w14:textId="77777777" w:rsidR="00B66AC8" w:rsidRPr="00D2082D" w:rsidRDefault="00B66AC8" w:rsidP="00B66AC8">
            <w:pPr>
              <w:pStyle w:val="Tableformat"/>
              <w:spacing w:line="252" w:lineRule="auto"/>
              <w:rPr>
                <w:bCs/>
                <w:color w:val="auto"/>
                <w:lang w:eastAsia="en-US"/>
              </w:rPr>
            </w:pPr>
            <w:r w:rsidRPr="00DB2166">
              <w:rPr>
                <w:color w:val="auto"/>
              </w:rPr>
              <w:t>For any potential or actual outbreaks of COVID-19 not contained within a cohort and spreading either within the facility or into the general community, immediate notification is required.</w:t>
            </w:r>
          </w:p>
        </w:tc>
      </w:tr>
      <w:tr w:rsidR="00D2082D" w:rsidRPr="00D2082D" w14:paraId="694B6738" w14:textId="77777777" w:rsidTr="00B10F60">
        <w:trPr>
          <w:gridAfter w:val="1"/>
          <w:wAfter w:w="6" w:type="dxa"/>
        </w:trPr>
        <w:tc>
          <w:tcPr>
            <w:tcW w:w="1975" w:type="dxa"/>
            <w:shd w:val="clear" w:color="auto" w:fill="auto"/>
          </w:tcPr>
          <w:p w14:paraId="6E36265E" w14:textId="77777777" w:rsidR="006068D1" w:rsidRPr="00D2082D" w:rsidRDefault="006068D1" w:rsidP="006068D1">
            <w:pPr>
              <w:pStyle w:val="Tableformat"/>
              <w:rPr>
                <w:color w:val="auto"/>
              </w:rPr>
            </w:pPr>
            <w:r w:rsidRPr="00D2082D">
              <w:rPr>
                <w:color w:val="auto"/>
              </w:rPr>
              <w:t>Review</w:t>
            </w:r>
          </w:p>
        </w:tc>
        <w:tc>
          <w:tcPr>
            <w:tcW w:w="7796" w:type="dxa"/>
            <w:tcBorders>
              <w:top w:val="single" w:sz="8" w:space="0" w:color="4F81BD"/>
              <w:left w:val="nil"/>
              <w:bottom w:val="single" w:sz="8" w:space="0" w:color="4F81BD"/>
              <w:right w:val="single" w:sz="8" w:space="0" w:color="4F81BD"/>
            </w:tcBorders>
          </w:tcPr>
          <w:p w14:paraId="55ABDF77" w14:textId="52B8D6B8" w:rsidR="00381EAF" w:rsidRPr="00DB2166" w:rsidRDefault="00586B93" w:rsidP="00381EAF">
            <w:pPr>
              <w:pStyle w:val="Tableformat"/>
              <w:spacing w:line="252" w:lineRule="auto"/>
              <w:rPr>
                <w:strike/>
                <w:color w:val="auto"/>
              </w:rPr>
            </w:pPr>
            <w:r w:rsidRPr="00DB2166">
              <w:rPr>
                <w:color w:val="auto"/>
              </w:rPr>
              <w:t>Reviews</w:t>
            </w:r>
            <w:r w:rsidR="006068D1" w:rsidRPr="00DB2166">
              <w:rPr>
                <w:color w:val="auto"/>
              </w:rPr>
              <w:t xml:space="preserve"> </w:t>
            </w:r>
            <w:r w:rsidR="006068D1" w:rsidRPr="00D2082D">
              <w:rPr>
                <w:bCs/>
                <w:color w:val="auto"/>
                <w:lang w:eastAsia="en-US"/>
              </w:rPr>
              <w:t>of operational arrangements</w:t>
            </w:r>
            <w:r w:rsidR="00E80CF9" w:rsidRPr="00DB2166">
              <w:rPr>
                <w:color w:val="auto"/>
              </w:rPr>
              <w:t xml:space="preserve"> </w:t>
            </w:r>
            <w:r w:rsidRPr="00DB2166">
              <w:rPr>
                <w:color w:val="auto"/>
              </w:rPr>
              <w:t>have been</w:t>
            </w:r>
            <w:r w:rsidR="006068D1" w:rsidRPr="00DB2166">
              <w:rPr>
                <w:color w:val="auto"/>
              </w:rPr>
              <w:t xml:space="preserve"> </w:t>
            </w:r>
            <w:r w:rsidR="006068D1" w:rsidRPr="00D2082D">
              <w:rPr>
                <w:bCs/>
                <w:color w:val="auto"/>
                <w:lang w:eastAsia="en-US"/>
              </w:rPr>
              <w:t xml:space="preserve">undertaken on a </w:t>
            </w:r>
            <w:r w:rsidR="003144F7" w:rsidRPr="00D2082D">
              <w:rPr>
                <w:bCs/>
                <w:color w:val="auto"/>
                <w:lang w:eastAsia="en-US"/>
              </w:rPr>
              <w:t>three-monthly</w:t>
            </w:r>
            <w:r w:rsidR="006068D1" w:rsidRPr="00D2082D">
              <w:rPr>
                <w:bCs/>
                <w:color w:val="auto"/>
                <w:lang w:eastAsia="en-US"/>
              </w:rPr>
              <w:t xml:space="preserve"> basis</w:t>
            </w:r>
            <w:r w:rsidR="00D94D6B" w:rsidRPr="00D2082D">
              <w:rPr>
                <w:bCs/>
                <w:color w:val="auto"/>
                <w:lang w:eastAsia="en-US"/>
              </w:rPr>
              <w:t>.</w:t>
            </w:r>
            <w:r w:rsidR="00E80CF9" w:rsidRPr="00DB2166">
              <w:rPr>
                <w:color w:val="auto"/>
              </w:rPr>
              <w:t xml:space="preserve"> </w:t>
            </w:r>
            <w:r w:rsidR="00381EAF" w:rsidRPr="00DB2166">
              <w:rPr>
                <w:color w:val="auto"/>
              </w:rPr>
              <w:t xml:space="preserve">These reviews will continue to be undertaken on a </w:t>
            </w:r>
            <w:r w:rsidR="003144F7" w:rsidRPr="00DB2166">
              <w:rPr>
                <w:color w:val="auto"/>
              </w:rPr>
              <w:t>three-monthly</w:t>
            </w:r>
            <w:r w:rsidR="00381EAF" w:rsidRPr="00DB2166">
              <w:rPr>
                <w:color w:val="auto"/>
              </w:rPr>
              <w:t xml:space="preserve"> basis, depending on domestic border restrictions.</w:t>
            </w:r>
          </w:p>
          <w:p w14:paraId="3631BDB4" w14:textId="77777777" w:rsidR="006068D1" w:rsidRPr="00D2082D" w:rsidRDefault="006068D1" w:rsidP="00381EAF">
            <w:pPr>
              <w:pStyle w:val="Tableformat"/>
              <w:spacing w:line="252" w:lineRule="auto"/>
              <w:rPr>
                <w:bCs/>
                <w:color w:val="auto"/>
                <w:lang w:eastAsia="en-US"/>
              </w:rPr>
            </w:pPr>
            <w:r w:rsidRPr="00D2082D">
              <w:rPr>
                <w:bCs/>
                <w:color w:val="auto"/>
                <w:lang w:eastAsia="en-US"/>
              </w:rPr>
              <w:t xml:space="preserve">Any </w:t>
            </w:r>
            <w:r w:rsidR="004850A3" w:rsidRPr="00D2082D">
              <w:rPr>
                <w:bCs/>
                <w:color w:val="auto"/>
                <w:lang w:eastAsia="en-US"/>
              </w:rPr>
              <w:t xml:space="preserve">significant </w:t>
            </w:r>
            <w:r w:rsidRPr="00D2082D">
              <w:rPr>
                <w:bCs/>
                <w:color w:val="auto"/>
                <w:lang w:eastAsia="en-US"/>
              </w:rPr>
              <w:t>adjustments will be reported to the signing Ministers for both the Commonwealth and the Northern Territory.</w:t>
            </w:r>
          </w:p>
          <w:p w14:paraId="2D4784A0" w14:textId="77777777" w:rsidR="00D94D6B" w:rsidRPr="00DB2166" w:rsidRDefault="00D94D6B" w:rsidP="00D94D6B">
            <w:pPr>
              <w:pStyle w:val="Tableformat"/>
              <w:rPr>
                <w:b/>
                <w:color w:val="auto"/>
              </w:rPr>
            </w:pPr>
            <w:r w:rsidRPr="00DB2166">
              <w:rPr>
                <w:b/>
                <w:color w:val="auto"/>
              </w:rPr>
              <w:t>REVIEW OF ARRANGEMENTS - 2022</w:t>
            </w:r>
          </w:p>
          <w:p w14:paraId="1AF5F883" w14:textId="0E7EF22B" w:rsidR="00D94D6B" w:rsidRPr="00DB2166" w:rsidRDefault="00D94D6B" w:rsidP="004E5E37">
            <w:pPr>
              <w:pStyle w:val="Tableformat"/>
              <w:spacing w:line="252" w:lineRule="auto"/>
              <w:rPr>
                <w:color w:val="auto"/>
              </w:rPr>
            </w:pPr>
            <w:r w:rsidRPr="00DB2166">
              <w:rPr>
                <w:color w:val="auto"/>
              </w:rPr>
              <w:t>The Commonwealth and Northern Territory will complete a review of this Agreement, to commence prior to 28 February 2022. This review will examine the Agreement and Schedule in the context of the current COVID-19 situation and the National Plan to Transition Australia’s COVID-19 Response and will make recommendations on whether a further variation to the Agreement is required.</w:t>
            </w:r>
            <w:r w:rsidR="004E5E37" w:rsidRPr="00DB2166">
              <w:rPr>
                <w:color w:val="auto"/>
              </w:rPr>
              <w:t xml:space="preserve"> The review may also consider funding for appropriate </w:t>
            </w:r>
            <w:r w:rsidR="00A55841" w:rsidRPr="00DB2166">
              <w:rPr>
                <w:color w:val="auto"/>
              </w:rPr>
              <w:t xml:space="preserve">maintenance, </w:t>
            </w:r>
            <w:proofErr w:type="gramStart"/>
            <w:r w:rsidR="004E5E37" w:rsidRPr="00DB2166">
              <w:rPr>
                <w:color w:val="auto"/>
              </w:rPr>
              <w:t>storage</w:t>
            </w:r>
            <w:proofErr w:type="gramEnd"/>
            <w:r w:rsidR="004E5E37" w:rsidRPr="00DB2166">
              <w:rPr>
                <w:color w:val="auto"/>
              </w:rPr>
              <w:t xml:space="preserve"> and </w:t>
            </w:r>
            <w:r w:rsidR="00A55841" w:rsidRPr="00DB2166">
              <w:rPr>
                <w:color w:val="auto"/>
              </w:rPr>
              <w:t>post-use requirements such as demobilisation</w:t>
            </w:r>
            <w:r w:rsidR="004E5E37" w:rsidRPr="00DB2166">
              <w:rPr>
                <w:color w:val="auto"/>
              </w:rPr>
              <w:t>.</w:t>
            </w:r>
          </w:p>
        </w:tc>
      </w:tr>
      <w:tr w:rsidR="00D2082D" w:rsidRPr="00D2082D" w14:paraId="2D6891CC" w14:textId="77777777" w:rsidTr="00B10F60">
        <w:trPr>
          <w:gridAfter w:val="1"/>
          <w:wAfter w:w="6" w:type="dxa"/>
        </w:trPr>
        <w:tc>
          <w:tcPr>
            <w:tcW w:w="1975" w:type="dxa"/>
            <w:shd w:val="clear" w:color="auto" w:fill="auto"/>
          </w:tcPr>
          <w:p w14:paraId="0CC3C0F0" w14:textId="77777777" w:rsidR="006068D1" w:rsidRPr="00D2082D" w:rsidRDefault="006068D1" w:rsidP="006068D1">
            <w:pPr>
              <w:pStyle w:val="Tableformat"/>
              <w:rPr>
                <w:color w:val="auto"/>
              </w:rPr>
            </w:pPr>
            <w:r w:rsidRPr="00D2082D">
              <w:rPr>
                <w:color w:val="auto"/>
              </w:rPr>
              <w:t>Dispute Resolution</w:t>
            </w:r>
          </w:p>
        </w:tc>
        <w:tc>
          <w:tcPr>
            <w:tcW w:w="7796" w:type="dxa"/>
            <w:tcBorders>
              <w:top w:val="single" w:sz="8" w:space="0" w:color="4F81BD"/>
              <w:left w:val="nil"/>
              <w:bottom w:val="single" w:sz="8" w:space="0" w:color="4F81BD"/>
              <w:right w:val="single" w:sz="8" w:space="0" w:color="4F81BD"/>
            </w:tcBorders>
          </w:tcPr>
          <w:p w14:paraId="4CCD78C0" w14:textId="77777777" w:rsidR="006068D1" w:rsidRPr="00D2082D" w:rsidRDefault="006068D1" w:rsidP="006068D1">
            <w:pPr>
              <w:pStyle w:val="Tableformat"/>
              <w:spacing w:line="252" w:lineRule="auto"/>
              <w:rPr>
                <w:bCs/>
                <w:color w:val="auto"/>
                <w:lang w:eastAsia="en-US"/>
              </w:rPr>
            </w:pPr>
            <w:r w:rsidRPr="00D2082D">
              <w:rPr>
                <w:bCs/>
                <w:color w:val="auto"/>
                <w:lang w:eastAsia="en-US"/>
              </w:rPr>
              <w:t xml:space="preserve">Any dispute or disagreement over the application of the Schedule, including operational and funding issues, will be </w:t>
            </w:r>
            <w:proofErr w:type="gramStart"/>
            <w:r w:rsidRPr="00D2082D">
              <w:rPr>
                <w:bCs/>
                <w:color w:val="auto"/>
                <w:lang w:eastAsia="en-US"/>
              </w:rPr>
              <w:t>raised</w:t>
            </w:r>
            <w:proofErr w:type="gramEnd"/>
            <w:r w:rsidRPr="00D2082D">
              <w:rPr>
                <w:bCs/>
                <w:color w:val="auto"/>
                <w:lang w:eastAsia="en-US"/>
              </w:rPr>
              <w:t xml:space="preserve"> and escalated through this </w:t>
            </w:r>
            <w:r w:rsidR="005E7833" w:rsidRPr="00D2082D">
              <w:rPr>
                <w:bCs/>
                <w:color w:val="auto"/>
                <w:lang w:eastAsia="en-US"/>
              </w:rPr>
              <w:t>Joint Steering Committee</w:t>
            </w:r>
            <w:r w:rsidRPr="00D2082D">
              <w:rPr>
                <w:bCs/>
                <w:color w:val="auto"/>
                <w:lang w:eastAsia="en-US"/>
              </w:rPr>
              <w:t>.</w:t>
            </w:r>
            <w:r w:rsidR="005E7833" w:rsidRPr="00D2082D">
              <w:rPr>
                <w:bCs/>
                <w:color w:val="auto"/>
                <w:lang w:eastAsia="en-US"/>
              </w:rPr>
              <w:t xml:space="preserve">  </w:t>
            </w:r>
          </w:p>
          <w:p w14:paraId="019E351F" w14:textId="77777777" w:rsidR="006068D1" w:rsidRPr="00D2082D" w:rsidRDefault="006068D1" w:rsidP="005E7833">
            <w:pPr>
              <w:pStyle w:val="Tableformat"/>
              <w:spacing w:line="252" w:lineRule="auto"/>
              <w:rPr>
                <w:bCs/>
                <w:color w:val="auto"/>
                <w:lang w:eastAsia="en-US"/>
              </w:rPr>
            </w:pPr>
            <w:r w:rsidRPr="00D2082D">
              <w:rPr>
                <w:bCs/>
                <w:color w:val="auto"/>
                <w:lang w:eastAsia="en-US"/>
              </w:rPr>
              <w:t xml:space="preserve">If a dispute cannot be resolved by the officials of the </w:t>
            </w:r>
            <w:r w:rsidR="005E7833" w:rsidRPr="00D2082D">
              <w:rPr>
                <w:bCs/>
                <w:color w:val="auto"/>
                <w:lang w:eastAsia="en-US"/>
              </w:rPr>
              <w:t>Joint Steering Committee</w:t>
            </w:r>
            <w:r w:rsidRPr="00D2082D">
              <w:rPr>
                <w:bCs/>
                <w:color w:val="auto"/>
                <w:lang w:eastAsia="en-US"/>
              </w:rPr>
              <w:t>, it may be escalated to relevant C</w:t>
            </w:r>
            <w:r w:rsidR="005E7833" w:rsidRPr="00D2082D">
              <w:rPr>
                <w:bCs/>
                <w:color w:val="auto"/>
                <w:lang w:eastAsia="en-US"/>
              </w:rPr>
              <w:t xml:space="preserve">hief </w:t>
            </w:r>
            <w:r w:rsidRPr="00D2082D">
              <w:rPr>
                <w:bCs/>
                <w:color w:val="auto"/>
                <w:lang w:eastAsia="en-US"/>
              </w:rPr>
              <w:t>E</w:t>
            </w:r>
            <w:r w:rsidR="005E7833" w:rsidRPr="00D2082D">
              <w:rPr>
                <w:bCs/>
                <w:color w:val="auto"/>
                <w:lang w:eastAsia="en-US"/>
              </w:rPr>
              <w:t xml:space="preserve">xecutive </w:t>
            </w:r>
            <w:r w:rsidRPr="00D2082D">
              <w:rPr>
                <w:bCs/>
                <w:color w:val="auto"/>
                <w:lang w:eastAsia="en-US"/>
              </w:rPr>
              <w:t>O</w:t>
            </w:r>
            <w:r w:rsidR="005E7833" w:rsidRPr="00D2082D">
              <w:rPr>
                <w:bCs/>
                <w:color w:val="auto"/>
                <w:lang w:eastAsia="en-US"/>
              </w:rPr>
              <w:t xml:space="preserve">fficer (or </w:t>
            </w:r>
            <w:r w:rsidR="005E7833" w:rsidRPr="00D2082D">
              <w:rPr>
                <w:bCs/>
                <w:color w:val="auto"/>
                <w:lang w:eastAsia="en-US"/>
              </w:rPr>
              <w:lastRenderedPageBreak/>
              <w:t>Secretary)</w:t>
            </w:r>
            <w:r w:rsidRPr="00D2082D">
              <w:rPr>
                <w:bCs/>
                <w:color w:val="auto"/>
                <w:lang w:eastAsia="en-US"/>
              </w:rPr>
              <w:t xml:space="preserve"> of the lead departments; and then if unable to be resolved Relevant Ministers.</w:t>
            </w:r>
          </w:p>
        </w:tc>
      </w:tr>
      <w:tr w:rsidR="00D2082D" w:rsidRPr="00D2082D" w14:paraId="283AEAF3" w14:textId="77777777" w:rsidTr="00B10F60">
        <w:trPr>
          <w:gridAfter w:val="1"/>
          <w:wAfter w:w="6" w:type="dxa"/>
        </w:trPr>
        <w:tc>
          <w:tcPr>
            <w:tcW w:w="1975" w:type="dxa"/>
            <w:shd w:val="clear" w:color="auto" w:fill="auto"/>
          </w:tcPr>
          <w:p w14:paraId="1FAE070B" w14:textId="77777777" w:rsidR="006068D1" w:rsidRPr="00D2082D" w:rsidRDefault="006068D1" w:rsidP="006068D1">
            <w:pPr>
              <w:pStyle w:val="Tableformat"/>
              <w:rPr>
                <w:color w:val="auto"/>
              </w:rPr>
            </w:pPr>
            <w:r w:rsidRPr="00D2082D">
              <w:rPr>
                <w:color w:val="auto"/>
              </w:rPr>
              <w:lastRenderedPageBreak/>
              <w:t>Variation</w:t>
            </w:r>
          </w:p>
        </w:tc>
        <w:tc>
          <w:tcPr>
            <w:tcW w:w="7796" w:type="dxa"/>
            <w:tcBorders>
              <w:top w:val="single" w:sz="8" w:space="0" w:color="4F81BD"/>
              <w:left w:val="nil"/>
              <w:bottom w:val="single" w:sz="8" w:space="0" w:color="4F81BD"/>
              <w:right w:val="single" w:sz="8" w:space="0" w:color="4F81BD"/>
            </w:tcBorders>
          </w:tcPr>
          <w:p w14:paraId="7250FE5B" w14:textId="63C25875" w:rsidR="006068D1" w:rsidRPr="00D2082D" w:rsidRDefault="006B420E" w:rsidP="00B308B1">
            <w:pPr>
              <w:pStyle w:val="Tableformat"/>
              <w:spacing w:line="252" w:lineRule="auto"/>
              <w:rPr>
                <w:bCs/>
                <w:color w:val="auto"/>
                <w:lang w:eastAsia="en-US"/>
              </w:rPr>
            </w:pPr>
            <w:r w:rsidRPr="00D2082D">
              <w:rPr>
                <w:bCs/>
                <w:color w:val="auto"/>
                <w:lang w:eastAsia="en-US"/>
              </w:rPr>
              <w:t>V</w:t>
            </w:r>
            <w:r w:rsidR="006068D1" w:rsidRPr="00D2082D">
              <w:rPr>
                <w:bCs/>
                <w:color w:val="auto"/>
                <w:lang w:eastAsia="en-US"/>
              </w:rPr>
              <w:t>ariation</w:t>
            </w:r>
            <w:r w:rsidRPr="00D2082D">
              <w:rPr>
                <w:bCs/>
                <w:color w:val="auto"/>
                <w:lang w:eastAsia="en-US"/>
              </w:rPr>
              <w:t>s</w:t>
            </w:r>
            <w:r w:rsidR="006068D1" w:rsidRPr="00D2082D">
              <w:rPr>
                <w:bCs/>
                <w:color w:val="auto"/>
                <w:lang w:eastAsia="en-US"/>
              </w:rPr>
              <w:t xml:space="preserve"> to this Schedule</w:t>
            </w:r>
            <w:r w:rsidR="00E84C3A" w:rsidRPr="00D2082D">
              <w:rPr>
                <w:bCs/>
                <w:color w:val="auto"/>
                <w:lang w:eastAsia="en-US"/>
              </w:rPr>
              <w:t xml:space="preserve"> </w:t>
            </w:r>
            <w:r w:rsidR="006068D1" w:rsidRPr="00D2082D">
              <w:rPr>
                <w:bCs/>
                <w:color w:val="auto"/>
                <w:lang w:eastAsia="en-US"/>
              </w:rPr>
              <w:t>may only be made by written agreement of both parties.</w:t>
            </w:r>
          </w:p>
        </w:tc>
      </w:tr>
    </w:tbl>
    <w:p w14:paraId="77542E23" w14:textId="77777777" w:rsidR="00C91B5F" w:rsidRPr="00D2082D" w:rsidRDefault="00C91B5F" w:rsidP="00C91B5F">
      <w:pPr>
        <w:sectPr w:rsidR="00C91B5F" w:rsidRPr="00D2082D" w:rsidSect="003A7E0E">
          <w:headerReference w:type="default" r:id="rId13"/>
          <w:footerReference w:type="even" r:id="rId14"/>
          <w:footerReference w:type="default" r:id="rId15"/>
          <w:footerReference w:type="first" r:id="rId16"/>
          <w:pgSz w:w="11906" w:h="16838" w:code="9"/>
          <w:pgMar w:top="1134" w:right="1134" w:bottom="1134" w:left="1134" w:header="709" w:footer="709" w:gutter="0"/>
          <w:pgNumType w:chapStyle="9"/>
          <w:cols w:space="708"/>
          <w:titlePg/>
          <w:docGrid w:linePitch="360"/>
        </w:sectPr>
      </w:pPr>
    </w:p>
    <w:tbl>
      <w:tblPr>
        <w:tblW w:w="144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01"/>
        <w:gridCol w:w="9413"/>
        <w:gridCol w:w="1334"/>
        <w:gridCol w:w="1501"/>
      </w:tblGrid>
      <w:tr w:rsidR="00D2082D" w:rsidRPr="00D2082D" w14:paraId="4D216391" w14:textId="77777777" w:rsidTr="00CE1656">
        <w:tc>
          <w:tcPr>
            <w:tcW w:w="14449" w:type="dxa"/>
            <w:gridSpan w:val="4"/>
            <w:shd w:val="clear" w:color="auto" w:fill="DEEAF6" w:themeFill="accent1" w:themeFillTint="33"/>
          </w:tcPr>
          <w:p w14:paraId="737AE7F4" w14:textId="77777777" w:rsidR="00C91B5F" w:rsidRPr="00D2082D" w:rsidRDefault="00C91B5F" w:rsidP="003A7E0E">
            <w:pPr>
              <w:pStyle w:val="Tableformat"/>
              <w:rPr>
                <w:b/>
                <w:color w:val="auto"/>
              </w:rPr>
            </w:pPr>
            <w:r w:rsidRPr="00D2082D">
              <w:rPr>
                <w:b/>
                <w:color w:val="auto"/>
              </w:rPr>
              <w:lastRenderedPageBreak/>
              <w:t>Table 2: Performance requirements, reporting and payment summary</w:t>
            </w:r>
          </w:p>
        </w:tc>
      </w:tr>
      <w:tr w:rsidR="00D2082D" w:rsidRPr="00D2082D" w14:paraId="465265A8" w14:textId="77777777" w:rsidTr="00CE1656">
        <w:tc>
          <w:tcPr>
            <w:tcW w:w="2201" w:type="dxa"/>
            <w:shd w:val="clear" w:color="auto" w:fill="F2F2F2" w:themeFill="background1" w:themeFillShade="F2"/>
          </w:tcPr>
          <w:p w14:paraId="14F5891F" w14:textId="77777777" w:rsidR="00C91B5F" w:rsidRPr="00D2082D" w:rsidRDefault="00C91B5F" w:rsidP="00670C09">
            <w:pPr>
              <w:pStyle w:val="Tableformat"/>
              <w:rPr>
                <w:b/>
                <w:color w:val="auto"/>
              </w:rPr>
            </w:pPr>
            <w:r w:rsidRPr="00D2082D">
              <w:rPr>
                <w:b/>
                <w:color w:val="auto"/>
              </w:rPr>
              <w:t>Output</w:t>
            </w:r>
            <w:r w:rsidRPr="00D2082D">
              <w:rPr>
                <w:b/>
                <w:color w:val="auto"/>
              </w:rPr>
              <w:br/>
            </w:r>
          </w:p>
        </w:tc>
        <w:tc>
          <w:tcPr>
            <w:tcW w:w="9413" w:type="dxa"/>
            <w:shd w:val="clear" w:color="auto" w:fill="F2F2F2" w:themeFill="background1" w:themeFillShade="F2"/>
          </w:tcPr>
          <w:p w14:paraId="2A9A1CC4" w14:textId="77777777" w:rsidR="00C91B5F" w:rsidRPr="00D2082D" w:rsidRDefault="00C91B5F" w:rsidP="003A7E0E">
            <w:pPr>
              <w:pStyle w:val="Tableformat"/>
              <w:rPr>
                <w:b/>
                <w:color w:val="auto"/>
              </w:rPr>
            </w:pPr>
            <w:r w:rsidRPr="00D2082D">
              <w:rPr>
                <w:b/>
                <w:color w:val="auto"/>
              </w:rPr>
              <w:t>Performance milestones</w:t>
            </w:r>
          </w:p>
        </w:tc>
        <w:tc>
          <w:tcPr>
            <w:tcW w:w="1334" w:type="dxa"/>
            <w:shd w:val="clear" w:color="auto" w:fill="F2F2F2" w:themeFill="background1" w:themeFillShade="F2"/>
          </w:tcPr>
          <w:p w14:paraId="754E4F03" w14:textId="77777777" w:rsidR="00C91B5F" w:rsidRPr="00D2082D" w:rsidRDefault="00C91B5F" w:rsidP="003A7E0E">
            <w:pPr>
              <w:pStyle w:val="Tableformat"/>
              <w:rPr>
                <w:b/>
                <w:color w:val="auto"/>
              </w:rPr>
            </w:pPr>
            <w:r w:rsidRPr="00D2082D">
              <w:rPr>
                <w:b/>
                <w:color w:val="auto"/>
              </w:rPr>
              <w:t>Report due</w:t>
            </w:r>
          </w:p>
        </w:tc>
        <w:tc>
          <w:tcPr>
            <w:tcW w:w="1501" w:type="dxa"/>
            <w:shd w:val="clear" w:color="auto" w:fill="F2F2F2" w:themeFill="background1" w:themeFillShade="F2"/>
          </w:tcPr>
          <w:p w14:paraId="583A0EB0" w14:textId="77777777" w:rsidR="00C91B5F" w:rsidRPr="00D2082D" w:rsidRDefault="00C91B5F" w:rsidP="003A7E0E">
            <w:pPr>
              <w:pStyle w:val="Tableformat"/>
              <w:rPr>
                <w:b/>
                <w:color w:val="auto"/>
              </w:rPr>
            </w:pPr>
            <w:r w:rsidRPr="00D2082D">
              <w:rPr>
                <w:b/>
                <w:color w:val="auto"/>
              </w:rPr>
              <w:t>Payment</w:t>
            </w:r>
          </w:p>
        </w:tc>
      </w:tr>
      <w:tr w:rsidR="00C91B5F" w:rsidRPr="00D2082D" w14:paraId="7E7BAA86" w14:textId="77777777" w:rsidTr="00CE1656">
        <w:tc>
          <w:tcPr>
            <w:tcW w:w="2201" w:type="dxa"/>
            <w:tcBorders>
              <w:top w:val="single" w:sz="8" w:space="0" w:color="4F81BD"/>
              <w:left w:val="single" w:sz="8" w:space="0" w:color="4F81BD"/>
              <w:bottom w:val="single" w:sz="8" w:space="0" w:color="4F81BD"/>
              <w:right w:val="single" w:sz="8" w:space="0" w:color="4F81BD"/>
            </w:tcBorders>
          </w:tcPr>
          <w:p w14:paraId="582F2814" w14:textId="77777777" w:rsidR="00C91B5F" w:rsidRPr="00D2082D" w:rsidRDefault="00C91B5F" w:rsidP="003A7E0E">
            <w:pPr>
              <w:pStyle w:val="Milestonetable"/>
              <w:rPr>
                <w:color w:val="auto"/>
              </w:rPr>
            </w:pPr>
          </w:p>
        </w:tc>
        <w:tc>
          <w:tcPr>
            <w:tcW w:w="9413" w:type="dxa"/>
            <w:tcBorders>
              <w:top w:val="single" w:sz="8" w:space="0" w:color="4F81BD"/>
              <w:left w:val="single" w:sz="8" w:space="0" w:color="4F81BD"/>
              <w:bottom w:val="single" w:sz="8" w:space="0" w:color="4F81BD"/>
              <w:right w:val="single" w:sz="8" w:space="0" w:color="4F81BD"/>
            </w:tcBorders>
            <w:shd w:val="clear" w:color="auto" w:fill="auto"/>
          </w:tcPr>
          <w:p w14:paraId="24215BB6" w14:textId="77777777" w:rsidR="00C91B5F" w:rsidRPr="00D2082D" w:rsidRDefault="006F1BB8" w:rsidP="00E74B4C">
            <w:pPr>
              <w:pStyle w:val="Milestonetable"/>
              <w:rPr>
                <w:color w:val="auto"/>
              </w:rPr>
            </w:pPr>
            <w:r w:rsidRPr="00D2082D">
              <w:rPr>
                <w:color w:val="auto"/>
              </w:rPr>
              <w:t xml:space="preserve">Monthly payments based on actuals </w:t>
            </w:r>
          </w:p>
        </w:tc>
        <w:tc>
          <w:tcPr>
            <w:tcW w:w="1334" w:type="dxa"/>
            <w:tcBorders>
              <w:top w:val="single" w:sz="8" w:space="0" w:color="4F81BD"/>
              <w:left w:val="single" w:sz="8" w:space="0" w:color="4F81BD"/>
              <w:bottom w:val="single" w:sz="8" w:space="0" w:color="4F81BD"/>
              <w:right w:val="single" w:sz="8" w:space="0" w:color="4F81BD"/>
            </w:tcBorders>
            <w:shd w:val="clear" w:color="auto" w:fill="auto"/>
          </w:tcPr>
          <w:p w14:paraId="2EC823CB" w14:textId="77777777" w:rsidR="00C91B5F" w:rsidRPr="00D2082D" w:rsidRDefault="006F1BB8" w:rsidP="003A7E0E">
            <w:pPr>
              <w:pStyle w:val="Milestonetable"/>
              <w:rPr>
                <w:color w:val="auto"/>
              </w:rPr>
            </w:pPr>
            <w:r w:rsidRPr="00D2082D">
              <w:rPr>
                <w:color w:val="auto"/>
              </w:rPr>
              <w:t>N/A</w:t>
            </w:r>
          </w:p>
        </w:tc>
        <w:tc>
          <w:tcPr>
            <w:tcW w:w="1501" w:type="dxa"/>
            <w:tcBorders>
              <w:top w:val="single" w:sz="8" w:space="0" w:color="4F81BD"/>
              <w:left w:val="single" w:sz="8" w:space="0" w:color="4F81BD"/>
              <w:bottom w:val="single" w:sz="8" w:space="0" w:color="4F81BD"/>
              <w:right w:val="single" w:sz="8" w:space="0" w:color="4F81BD"/>
            </w:tcBorders>
            <w:shd w:val="clear" w:color="auto" w:fill="auto"/>
          </w:tcPr>
          <w:p w14:paraId="4F11F1F2" w14:textId="77777777" w:rsidR="00C91B5F" w:rsidRPr="00D2082D" w:rsidRDefault="006F1BB8" w:rsidP="00886E9D">
            <w:pPr>
              <w:pStyle w:val="Milestonetable"/>
              <w:jc w:val="right"/>
              <w:rPr>
                <w:color w:val="auto"/>
              </w:rPr>
            </w:pPr>
            <w:r w:rsidRPr="00D2082D">
              <w:rPr>
                <w:color w:val="auto"/>
              </w:rPr>
              <w:t>Monthly</w:t>
            </w:r>
          </w:p>
        </w:tc>
      </w:tr>
    </w:tbl>
    <w:p w14:paraId="6949E02C" w14:textId="77777777" w:rsidR="00C91B5F" w:rsidRPr="00D2082D" w:rsidRDefault="00C91B5F" w:rsidP="00C91B5F"/>
    <w:p w14:paraId="5229DDD0" w14:textId="77777777" w:rsidR="00C91B5F" w:rsidRPr="00DB2166" w:rsidRDefault="00C91B5F" w:rsidP="00C91B5F">
      <w:pPr>
        <w:rPr>
          <w:sz w:val="20"/>
          <w:lang w:val="en-GB"/>
        </w:rPr>
      </w:pPr>
    </w:p>
    <w:p w14:paraId="2B2F48A2" w14:textId="77777777" w:rsidR="00C91B5F" w:rsidRPr="00D2082D" w:rsidRDefault="00C91B5F" w:rsidP="00C91B5F">
      <w:pPr>
        <w:rPr>
          <w:lang w:val="en-GB"/>
        </w:rPr>
      </w:pPr>
      <w:r w:rsidRPr="00D2082D">
        <w:rPr>
          <w:lang w:val="en-GB"/>
        </w:rPr>
        <w:t xml:space="preserve">The </w:t>
      </w:r>
      <w:r w:rsidRPr="00D2082D">
        <w:rPr>
          <w:sz w:val="24"/>
          <w:szCs w:val="24"/>
        </w:rPr>
        <w:t>Parties</w:t>
      </w:r>
      <w:r w:rsidRPr="00D2082D">
        <w:rPr>
          <w:lang w:val="en-GB"/>
        </w:rPr>
        <w:t xml:space="preserve"> have confirmed their commitment to this schedule</w:t>
      </w:r>
      <w:r w:rsidR="00911C0C" w:rsidRPr="00D2082D">
        <w:rPr>
          <w:lang w:val="en-GB"/>
        </w:rPr>
        <w:t>, a variation to the October 2020 schedule,</w:t>
      </w:r>
      <w:r w:rsidRPr="00D2082D">
        <w:rPr>
          <w:lang w:val="en-GB"/>
        </w:rPr>
        <w:t xml:space="preserve"> as follows:</w:t>
      </w:r>
    </w:p>
    <w:p w14:paraId="5002410C" w14:textId="77777777" w:rsidR="00C91B5F" w:rsidRPr="00D2082D"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D2082D" w:rsidRPr="00D2082D" w14:paraId="61AE75B2" w14:textId="77777777" w:rsidTr="003A7E0E">
        <w:trPr>
          <w:cantSplit/>
          <w:jc w:val="center"/>
        </w:trPr>
        <w:tc>
          <w:tcPr>
            <w:tcW w:w="4536" w:type="dxa"/>
          </w:tcPr>
          <w:p w14:paraId="01864D2B" w14:textId="77777777" w:rsidR="00C91B5F" w:rsidRPr="00DB2166" w:rsidRDefault="00C91B5F" w:rsidP="003A7E0E">
            <w:pPr>
              <w:pStyle w:val="Signed"/>
              <w:rPr>
                <w:color w:val="auto"/>
              </w:rPr>
            </w:pPr>
            <w:r w:rsidRPr="00DB2166">
              <w:rPr>
                <w:rStyle w:val="SignedBold"/>
                <w:color w:val="auto"/>
              </w:rPr>
              <w:t>Signed</w:t>
            </w:r>
            <w:r w:rsidRPr="00DB2166">
              <w:rPr>
                <w:color w:val="auto"/>
              </w:rPr>
              <w:t xml:space="preserve"> for and on behalf of the Commonwealth of Australia by</w:t>
            </w:r>
          </w:p>
          <w:p w14:paraId="184B1C00" w14:textId="77777777" w:rsidR="00C91B5F" w:rsidRPr="00DB2166" w:rsidRDefault="00C91B5F" w:rsidP="003A7E0E">
            <w:pPr>
              <w:pStyle w:val="LineForSignature"/>
              <w:rPr>
                <w:color w:val="auto"/>
              </w:rPr>
            </w:pPr>
            <w:r w:rsidRPr="00DB2166">
              <w:rPr>
                <w:color w:val="auto"/>
              </w:rPr>
              <w:br/>
            </w:r>
            <w:r w:rsidRPr="00DB2166">
              <w:rPr>
                <w:color w:val="auto"/>
              </w:rPr>
              <w:tab/>
            </w:r>
          </w:p>
          <w:p w14:paraId="147DFA61" w14:textId="716923F2" w:rsidR="00C91B5F" w:rsidRPr="00DB2166" w:rsidRDefault="00270500" w:rsidP="003A7E0E">
            <w:pPr>
              <w:pStyle w:val="SingleParagraph"/>
              <w:rPr>
                <w:rStyle w:val="Bold"/>
                <w:color w:val="auto"/>
              </w:rPr>
            </w:pPr>
            <w:r w:rsidRPr="00DB2166">
              <w:rPr>
                <w:rStyle w:val="Bold"/>
                <w:color w:val="auto"/>
              </w:rPr>
              <w:t xml:space="preserve">The Honourable </w:t>
            </w:r>
            <w:r w:rsidR="002D1D80" w:rsidRPr="00DB2166">
              <w:rPr>
                <w:rStyle w:val="Bold"/>
                <w:color w:val="auto"/>
              </w:rPr>
              <w:t xml:space="preserve">Greg </w:t>
            </w:r>
            <w:proofErr w:type="gramStart"/>
            <w:r w:rsidR="002D1D80" w:rsidRPr="00DB2166">
              <w:rPr>
                <w:rStyle w:val="Bold"/>
                <w:color w:val="auto"/>
              </w:rPr>
              <w:t xml:space="preserve">Hunt </w:t>
            </w:r>
            <w:r w:rsidR="0023558E" w:rsidRPr="00DB2166">
              <w:rPr>
                <w:rStyle w:val="Bold"/>
                <w:color w:val="auto"/>
              </w:rPr>
              <w:t xml:space="preserve"> MP</w:t>
            </w:r>
            <w:proofErr w:type="gramEnd"/>
          </w:p>
          <w:p w14:paraId="3FFB1A11" w14:textId="501BDF2F" w:rsidR="00C91B5F" w:rsidRPr="00DB2166" w:rsidRDefault="002D1D80" w:rsidP="0023558E">
            <w:pPr>
              <w:pStyle w:val="Position"/>
              <w:jc w:val="left"/>
              <w:rPr>
                <w:color w:val="auto"/>
                <w:lang w:val="en-GB"/>
              </w:rPr>
            </w:pPr>
            <w:r w:rsidRPr="00DB2166">
              <w:rPr>
                <w:color w:val="auto"/>
                <w:lang w:val="en-GB"/>
              </w:rPr>
              <w:t>Minister for Health and Aged Care</w:t>
            </w:r>
          </w:p>
          <w:p w14:paraId="1F23D090" w14:textId="6FC199D7" w:rsidR="00C91B5F" w:rsidRPr="00DB2166" w:rsidRDefault="00774808" w:rsidP="00BD220C">
            <w:pPr>
              <w:pStyle w:val="SingleParagraph"/>
              <w:tabs>
                <w:tab w:val="num" w:pos="1134"/>
              </w:tabs>
              <w:spacing w:after="240"/>
              <w:rPr>
                <w:b/>
                <w:color w:val="auto"/>
                <w:lang w:val="en-GB"/>
              </w:rPr>
            </w:pPr>
            <w:r w:rsidRPr="00DB2166">
              <w:rPr>
                <w:color w:val="auto"/>
                <w:lang w:val="en-GB"/>
              </w:rPr>
              <w:t xml:space="preserve">    </w:t>
            </w:r>
            <w:r w:rsidR="0001227A" w:rsidRPr="00DB2166">
              <w:rPr>
                <w:color w:val="auto"/>
                <w:lang w:val="en-GB"/>
              </w:rPr>
              <w:t xml:space="preserve">  </w:t>
            </w:r>
            <w:r w:rsidR="009F7147" w:rsidRPr="00DB2166">
              <w:rPr>
                <w:color w:val="auto"/>
                <w:lang w:val="en-GB"/>
              </w:rPr>
              <w:t>December</w:t>
            </w:r>
            <w:r w:rsidR="00586B93" w:rsidRPr="00DB2166">
              <w:rPr>
                <w:color w:val="auto"/>
                <w:lang w:val="en-GB"/>
              </w:rPr>
              <w:t xml:space="preserve"> </w:t>
            </w:r>
            <w:r w:rsidR="00E84C3A" w:rsidRPr="00DB2166">
              <w:rPr>
                <w:color w:val="auto"/>
                <w:lang w:val="en-GB"/>
              </w:rPr>
              <w:t>2021</w:t>
            </w:r>
          </w:p>
        </w:tc>
        <w:tc>
          <w:tcPr>
            <w:tcW w:w="1701" w:type="dxa"/>
            <w:tcMar>
              <w:left w:w="0" w:type="dxa"/>
              <w:right w:w="0" w:type="dxa"/>
            </w:tcMar>
          </w:tcPr>
          <w:p w14:paraId="3C04DFF5" w14:textId="77777777" w:rsidR="00C91B5F" w:rsidRPr="00D2082D" w:rsidRDefault="00C91B5F" w:rsidP="003A7E0E">
            <w:pPr>
              <w:rPr>
                <w:rFonts w:ascii="Book Antiqua" w:hAnsi="Book Antiqua"/>
                <w:lang w:val="en-GB"/>
              </w:rPr>
            </w:pPr>
          </w:p>
        </w:tc>
        <w:tc>
          <w:tcPr>
            <w:tcW w:w="4536" w:type="dxa"/>
          </w:tcPr>
          <w:p w14:paraId="221083F6" w14:textId="77777777" w:rsidR="00C91B5F" w:rsidRPr="00DB2166" w:rsidRDefault="00C91B5F" w:rsidP="003A7E0E">
            <w:pPr>
              <w:pStyle w:val="Signed"/>
              <w:rPr>
                <w:color w:val="auto"/>
              </w:rPr>
            </w:pPr>
            <w:r w:rsidRPr="00DB2166">
              <w:rPr>
                <w:rStyle w:val="SignedBold"/>
                <w:color w:val="auto"/>
              </w:rPr>
              <w:t>Signed</w:t>
            </w:r>
            <w:r w:rsidRPr="00DB2166">
              <w:rPr>
                <w:color w:val="auto"/>
              </w:rPr>
              <w:t xml:space="preserve"> for and on behalf of the </w:t>
            </w:r>
            <w:r w:rsidRPr="00DB2166">
              <w:rPr>
                <w:color w:val="auto"/>
              </w:rPr>
              <w:br/>
            </w:r>
            <w:r w:rsidR="007259FE" w:rsidRPr="00DB2166">
              <w:rPr>
                <w:color w:val="auto"/>
              </w:rPr>
              <w:t>Northern Territory</w:t>
            </w:r>
            <w:r w:rsidRPr="00DB2166">
              <w:rPr>
                <w:color w:val="auto"/>
              </w:rPr>
              <w:t xml:space="preserve"> by</w:t>
            </w:r>
          </w:p>
          <w:p w14:paraId="6EA3328E" w14:textId="77777777" w:rsidR="00C91B5F" w:rsidRPr="00DB2166" w:rsidRDefault="00C91B5F" w:rsidP="003A7E0E">
            <w:pPr>
              <w:pStyle w:val="LineForSignature"/>
              <w:rPr>
                <w:color w:val="auto"/>
              </w:rPr>
            </w:pPr>
            <w:r w:rsidRPr="00DB2166">
              <w:rPr>
                <w:color w:val="auto"/>
              </w:rPr>
              <w:br/>
            </w:r>
            <w:r w:rsidRPr="00DB2166">
              <w:rPr>
                <w:color w:val="auto"/>
              </w:rPr>
              <w:tab/>
            </w:r>
          </w:p>
          <w:p w14:paraId="05D768A7" w14:textId="77777777" w:rsidR="00C91B5F" w:rsidRPr="00DB2166" w:rsidRDefault="00C91B5F" w:rsidP="003A7E0E">
            <w:pPr>
              <w:pStyle w:val="SingleParagraph"/>
              <w:rPr>
                <w:rStyle w:val="Bold"/>
                <w:color w:val="auto"/>
              </w:rPr>
            </w:pPr>
            <w:r w:rsidRPr="00DB2166">
              <w:rPr>
                <w:rStyle w:val="Bold"/>
                <w:color w:val="auto"/>
              </w:rPr>
              <w:t xml:space="preserve">The Honourable </w:t>
            </w:r>
            <w:r w:rsidR="007259FE" w:rsidRPr="00DB2166">
              <w:rPr>
                <w:rStyle w:val="Bold"/>
                <w:color w:val="auto"/>
              </w:rPr>
              <w:t xml:space="preserve">Natasha </w:t>
            </w:r>
            <w:proofErr w:type="spellStart"/>
            <w:r w:rsidR="007259FE" w:rsidRPr="00DB2166">
              <w:rPr>
                <w:rStyle w:val="Bold"/>
                <w:color w:val="auto"/>
              </w:rPr>
              <w:t>Fyles</w:t>
            </w:r>
            <w:proofErr w:type="spellEnd"/>
            <w:r w:rsidRPr="00DB2166">
              <w:rPr>
                <w:rStyle w:val="Bold"/>
                <w:color w:val="auto"/>
              </w:rPr>
              <w:t xml:space="preserve"> M</w:t>
            </w:r>
            <w:r w:rsidR="007259FE" w:rsidRPr="00DB2166">
              <w:rPr>
                <w:rStyle w:val="Bold"/>
                <w:color w:val="auto"/>
              </w:rPr>
              <w:t>LA</w:t>
            </w:r>
          </w:p>
          <w:p w14:paraId="33D673E9" w14:textId="77777777" w:rsidR="00C91B5F" w:rsidRPr="00DB2166" w:rsidRDefault="00C91B5F" w:rsidP="003A7E0E">
            <w:pPr>
              <w:pStyle w:val="Position"/>
              <w:rPr>
                <w:color w:val="auto"/>
                <w:lang w:val="en-GB"/>
              </w:rPr>
            </w:pPr>
            <w:r w:rsidRPr="00DB2166">
              <w:rPr>
                <w:color w:val="auto"/>
                <w:lang w:val="en-GB"/>
              </w:rPr>
              <w:t xml:space="preserve">Minister for </w:t>
            </w:r>
            <w:r w:rsidR="007259FE" w:rsidRPr="00DB2166">
              <w:rPr>
                <w:color w:val="auto"/>
                <w:lang w:val="en-GB"/>
              </w:rPr>
              <w:t>National Resilience</w:t>
            </w:r>
          </w:p>
          <w:p w14:paraId="45296FAF" w14:textId="02F79675" w:rsidR="00C91B5F" w:rsidRPr="00DB2166" w:rsidRDefault="00774808" w:rsidP="00BD220C">
            <w:pPr>
              <w:rPr>
                <w:rFonts w:ascii="Book Antiqua" w:hAnsi="Book Antiqua"/>
                <w:sz w:val="23"/>
                <w:lang w:val="en-GB"/>
              </w:rPr>
            </w:pPr>
            <w:r w:rsidRPr="00DB2166">
              <w:rPr>
                <w:sz w:val="23"/>
                <w:lang w:val="en-GB"/>
              </w:rPr>
              <w:t xml:space="preserve">     </w:t>
            </w:r>
            <w:r w:rsidR="00DA5879" w:rsidRPr="00DB2166">
              <w:rPr>
                <w:sz w:val="23"/>
                <w:lang w:val="en-GB"/>
              </w:rPr>
              <w:t xml:space="preserve">  </w:t>
            </w:r>
            <w:r w:rsidR="009F7147" w:rsidRPr="00DB2166">
              <w:rPr>
                <w:sz w:val="23"/>
                <w:lang w:val="en-GB"/>
              </w:rPr>
              <w:t>December</w:t>
            </w:r>
            <w:r w:rsidR="00586B93" w:rsidRPr="00DB2166">
              <w:rPr>
                <w:sz w:val="23"/>
                <w:lang w:val="en-GB"/>
              </w:rPr>
              <w:t xml:space="preserve"> </w:t>
            </w:r>
            <w:r w:rsidR="00E84C3A" w:rsidRPr="00DB2166">
              <w:rPr>
                <w:sz w:val="23"/>
                <w:lang w:val="en-GB"/>
              </w:rPr>
              <w:t>2021</w:t>
            </w:r>
          </w:p>
        </w:tc>
      </w:tr>
    </w:tbl>
    <w:p w14:paraId="7CE627CB" w14:textId="77777777" w:rsidR="00884E8F" w:rsidRPr="00D2082D" w:rsidRDefault="00C91B5F" w:rsidP="00884E8F">
      <w:r w:rsidRPr="00D2082D">
        <w:rPr>
          <w:lang w:val="en-GB"/>
        </w:rPr>
        <w:t xml:space="preserve"> </w:t>
      </w:r>
    </w:p>
    <w:p w14:paraId="249199CC" w14:textId="77777777" w:rsidR="00884E8F" w:rsidRPr="00D2082D" w:rsidRDefault="00884E8F" w:rsidP="00884E8F"/>
    <w:p w14:paraId="00C5F51D" w14:textId="77777777" w:rsidR="00884E8F" w:rsidRPr="00D2082D" w:rsidRDefault="00884E8F" w:rsidP="00884E8F">
      <w:pPr>
        <w:tabs>
          <w:tab w:val="left" w:pos="3865"/>
        </w:tabs>
        <w:sectPr w:rsidR="00884E8F" w:rsidRPr="00D2082D" w:rsidSect="003A7E0E">
          <w:headerReference w:type="even" r:id="rId17"/>
          <w:headerReference w:type="default" r:id="rId18"/>
          <w:headerReference w:type="first" r:id="rId19"/>
          <w:pgSz w:w="16838" w:h="11906" w:orient="landscape" w:code="9"/>
          <w:pgMar w:top="1134" w:right="1134" w:bottom="1134" w:left="1134" w:header="709" w:footer="709" w:gutter="0"/>
          <w:pgNumType w:chapStyle="9"/>
          <w:cols w:space="708"/>
          <w:titlePg/>
          <w:docGrid w:linePitch="360"/>
        </w:sectPr>
      </w:pPr>
      <w:r w:rsidRPr="00D2082D">
        <w:tab/>
      </w:r>
    </w:p>
    <w:p w14:paraId="45591062" w14:textId="77777777" w:rsidR="008106D5" w:rsidRPr="00DB2166" w:rsidRDefault="00670C09" w:rsidP="008106D5">
      <w:pPr>
        <w:widowControl/>
        <w:spacing w:after="160" w:line="259" w:lineRule="auto"/>
        <w:rPr>
          <w:rFonts w:ascii="Corbel" w:hAnsi="Corbel" w:cs="Times New Roman"/>
          <w:sz w:val="26"/>
          <w:szCs w:val="26"/>
          <w:u w:val="single"/>
          <w:lang w:val="en-AU"/>
        </w:rPr>
      </w:pPr>
      <w:r w:rsidRPr="00DB2166">
        <w:rPr>
          <w:rFonts w:ascii="Corbel" w:hAnsi="Corbel" w:cs="Times New Roman"/>
          <w:sz w:val="26"/>
          <w:szCs w:val="26"/>
          <w:u w:val="single"/>
          <w:lang w:val="en-AU"/>
        </w:rPr>
        <w:lastRenderedPageBreak/>
        <w:t xml:space="preserve">Appendix </w:t>
      </w:r>
      <w:r w:rsidR="00A3683D" w:rsidRPr="00DB2166">
        <w:rPr>
          <w:rFonts w:ascii="Corbel" w:hAnsi="Corbel" w:cs="Times New Roman"/>
          <w:sz w:val="26"/>
          <w:szCs w:val="26"/>
          <w:u w:val="single"/>
          <w:lang w:val="en-AU"/>
        </w:rPr>
        <w:t>A –I</w:t>
      </w:r>
      <w:r w:rsidR="008106D5" w:rsidRPr="00DB2166">
        <w:rPr>
          <w:rFonts w:ascii="Corbel" w:hAnsi="Corbel" w:cs="Times New Roman"/>
          <w:sz w:val="26"/>
          <w:szCs w:val="26"/>
          <w:u w:val="single"/>
          <w:lang w:val="en-AU"/>
        </w:rPr>
        <w:t xml:space="preserve">n-scope </w:t>
      </w:r>
      <w:r w:rsidR="00450B4F" w:rsidRPr="00DB2166">
        <w:rPr>
          <w:rFonts w:ascii="Corbel" w:hAnsi="Corbel" w:cs="Times New Roman"/>
          <w:sz w:val="26"/>
          <w:szCs w:val="26"/>
          <w:u w:val="single"/>
          <w:lang w:val="en-AU"/>
        </w:rPr>
        <w:t xml:space="preserve">activities </w:t>
      </w:r>
    </w:p>
    <w:p w14:paraId="04D657F2" w14:textId="6F53A6CC" w:rsidR="008106D5" w:rsidRPr="00DB2166" w:rsidRDefault="008106D5" w:rsidP="008106D5">
      <w:pPr>
        <w:widowControl/>
        <w:spacing w:after="160" w:line="259" w:lineRule="auto"/>
        <w:rPr>
          <w:rFonts w:ascii="Corbel" w:hAnsi="Corbel" w:cs="Times New Roman"/>
          <w:sz w:val="26"/>
          <w:szCs w:val="26"/>
          <w:u w:val="single"/>
          <w:lang w:val="en-AU"/>
        </w:rPr>
      </w:pPr>
      <w:r w:rsidRPr="00DB2166">
        <w:rPr>
          <w:rFonts w:ascii="Corbel" w:hAnsi="Corbel" w:cs="Times New Roman"/>
          <w:sz w:val="26"/>
          <w:szCs w:val="26"/>
          <w:u w:val="single"/>
          <w:lang w:val="en-AU"/>
        </w:rPr>
        <w:t>Capital works</w:t>
      </w:r>
      <w:r w:rsidR="00285433" w:rsidRPr="00DB2166">
        <w:rPr>
          <w:rFonts w:ascii="Corbel" w:hAnsi="Corbel"/>
          <w:sz w:val="26"/>
          <w:u w:val="single"/>
          <w:lang w:val="en-AU"/>
        </w:rPr>
        <w:t xml:space="preserve">, </w:t>
      </w:r>
      <w:r w:rsidR="005124FF" w:rsidRPr="00DB2166">
        <w:rPr>
          <w:rFonts w:ascii="Corbel" w:hAnsi="Corbel" w:cs="Times New Roman"/>
          <w:sz w:val="26"/>
          <w:szCs w:val="26"/>
          <w:u w:val="single"/>
          <w:lang w:val="en-AU"/>
        </w:rPr>
        <w:t xml:space="preserve">activities, </w:t>
      </w:r>
      <w:proofErr w:type="gramStart"/>
      <w:r w:rsidR="00285433" w:rsidRPr="00DB2166">
        <w:rPr>
          <w:rFonts w:ascii="Corbel" w:hAnsi="Corbel"/>
          <w:sz w:val="26"/>
          <w:u w:val="single"/>
          <w:lang w:val="en-AU"/>
        </w:rPr>
        <w:t>maintenance</w:t>
      </w:r>
      <w:proofErr w:type="gramEnd"/>
      <w:r w:rsidR="00285433" w:rsidRPr="00DB2166">
        <w:rPr>
          <w:rFonts w:ascii="Corbel" w:hAnsi="Corbel"/>
          <w:sz w:val="26"/>
          <w:u w:val="single"/>
          <w:lang w:val="en-AU"/>
        </w:rPr>
        <w:t xml:space="preserve"> and upgrades </w:t>
      </w:r>
      <w:r w:rsidR="002D1D80" w:rsidRPr="00DB2166">
        <w:rPr>
          <w:rFonts w:ascii="Corbel" w:hAnsi="Corbel"/>
          <w:sz w:val="26"/>
          <w:u w:val="single"/>
          <w:lang w:val="en-AU"/>
        </w:rPr>
        <w:t xml:space="preserve">to support the </w:t>
      </w:r>
      <w:r w:rsidR="00285433" w:rsidRPr="00DB2166">
        <w:rPr>
          <w:rFonts w:ascii="Corbel" w:hAnsi="Corbel"/>
          <w:sz w:val="26"/>
          <w:u w:val="single"/>
          <w:lang w:val="en-AU"/>
        </w:rPr>
        <w:t xml:space="preserve">ongoing </w:t>
      </w:r>
      <w:r w:rsidR="002D1D80" w:rsidRPr="00DB2166">
        <w:rPr>
          <w:rFonts w:ascii="Corbel" w:hAnsi="Corbel"/>
          <w:sz w:val="26"/>
          <w:u w:val="single"/>
          <w:lang w:val="en-AU"/>
        </w:rPr>
        <w:t>repatriation program</w:t>
      </w:r>
      <w:r w:rsidR="00A94079" w:rsidRPr="00DB2166">
        <w:rPr>
          <w:rFonts w:ascii="Corbel" w:hAnsi="Corbel"/>
          <w:strike/>
          <w:sz w:val="26"/>
          <w:u w:val="single"/>
          <w:lang w:val="en-AU"/>
        </w:rPr>
        <w:t xml:space="preserve"> </w:t>
      </w:r>
    </w:p>
    <w:p w14:paraId="2DF8A3C6" w14:textId="3D24B441" w:rsidR="00D650C0" w:rsidRPr="00DB2166" w:rsidRDefault="00D650C0" w:rsidP="003E3B5B">
      <w:pPr>
        <w:widowControl/>
        <w:numPr>
          <w:ilvl w:val="0"/>
          <w:numId w:val="13"/>
        </w:numPr>
        <w:spacing w:after="160" w:line="259" w:lineRule="auto"/>
        <w:ind w:left="360"/>
        <w:contextualSpacing/>
        <w:rPr>
          <w:rFonts w:ascii="Corbel" w:hAnsi="Corbel" w:cs="Times New Roman"/>
          <w:sz w:val="26"/>
          <w:szCs w:val="26"/>
          <w:lang w:val="en-AU"/>
        </w:rPr>
      </w:pPr>
      <w:r w:rsidRPr="00DB2166">
        <w:rPr>
          <w:rFonts w:ascii="Corbel" w:hAnsi="Corbel" w:cs="Times New Roman"/>
          <w:sz w:val="26"/>
          <w:szCs w:val="26"/>
          <w:lang w:val="en-AU"/>
        </w:rPr>
        <w:t>It is noted that the facility is relatively modern</w:t>
      </w:r>
      <w:r w:rsidR="00285433" w:rsidRPr="00DB2166">
        <w:rPr>
          <w:rFonts w:ascii="Corbel" w:hAnsi="Corbel"/>
          <w:sz w:val="26"/>
          <w:lang w:val="en-AU"/>
        </w:rPr>
        <w:t>, is</w:t>
      </w:r>
      <w:r w:rsidRPr="00DB2166">
        <w:rPr>
          <w:rFonts w:ascii="Corbel" w:hAnsi="Corbel" w:cs="Times New Roman"/>
          <w:sz w:val="26"/>
          <w:szCs w:val="26"/>
          <w:lang w:val="en-AU"/>
        </w:rPr>
        <w:t xml:space="preserve"> generally in good condition</w:t>
      </w:r>
      <w:r w:rsidR="00285433" w:rsidRPr="00DB2166">
        <w:rPr>
          <w:rFonts w:ascii="Corbel" w:hAnsi="Corbel"/>
          <w:sz w:val="26"/>
          <w:lang w:val="en-AU"/>
        </w:rPr>
        <w:t xml:space="preserve"> and that extensive capital works have already been completed to accommodate the </w:t>
      </w:r>
      <w:r w:rsidR="00C57CA2" w:rsidRPr="00DB2166">
        <w:rPr>
          <w:rFonts w:ascii="Corbel" w:hAnsi="Corbel"/>
          <w:sz w:val="26"/>
          <w:lang w:val="en-AU"/>
        </w:rPr>
        <w:t>March</w:t>
      </w:r>
      <w:r w:rsidR="00FD1DFB" w:rsidRPr="00DB2166">
        <w:rPr>
          <w:rFonts w:ascii="Corbel" w:hAnsi="Corbel"/>
          <w:sz w:val="26"/>
          <w:lang w:val="en-AU"/>
        </w:rPr>
        <w:t xml:space="preserve"> 2021</w:t>
      </w:r>
      <w:r w:rsidR="00285433" w:rsidRPr="00DB2166">
        <w:rPr>
          <w:rFonts w:ascii="Corbel" w:hAnsi="Corbel"/>
          <w:sz w:val="26"/>
          <w:lang w:val="en-AU"/>
        </w:rPr>
        <w:t xml:space="preserve"> increase in capacity to 2,000 residents per fortnight</w:t>
      </w:r>
      <w:r w:rsidRPr="00DB2166">
        <w:rPr>
          <w:rFonts w:ascii="Corbel" w:hAnsi="Corbel" w:cs="Times New Roman"/>
          <w:sz w:val="26"/>
          <w:szCs w:val="26"/>
          <w:lang w:val="en-AU"/>
        </w:rPr>
        <w:t xml:space="preserve">. However, some </w:t>
      </w:r>
      <w:r w:rsidR="0093337B" w:rsidRPr="00DB2166">
        <w:rPr>
          <w:rFonts w:ascii="Corbel" w:hAnsi="Corbel"/>
          <w:sz w:val="26"/>
          <w:lang w:val="en-AU"/>
        </w:rPr>
        <w:t xml:space="preserve">additional </w:t>
      </w:r>
      <w:r w:rsidRPr="00DB2166">
        <w:rPr>
          <w:rFonts w:ascii="Corbel" w:hAnsi="Corbel" w:cs="Times New Roman"/>
          <w:sz w:val="26"/>
          <w:szCs w:val="26"/>
          <w:lang w:val="en-AU"/>
        </w:rPr>
        <w:t xml:space="preserve">capital improvements may be required to accommodate </w:t>
      </w:r>
      <w:r w:rsidR="003144F7">
        <w:rPr>
          <w:rFonts w:ascii="Corbel" w:hAnsi="Corbel" w:cs="Times New Roman"/>
          <w:sz w:val="26"/>
          <w:szCs w:val="26"/>
          <w:lang w:val="en-AU"/>
        </w:rPr>
        <w:t>individuals</w:t>
      </w:r>
      <w:r w:rsidR="006B420E" w:rsidRPr="00DB2166">
        <w:rPr>
          <w:rFonts w:ascii="Corbel" w:hAnsi="Corbel" w:cs="Times New Roman"/>
          <w:sz w:val="26"/>
          <w:szCs w:val="26"/>
          <w:lang w:val="en-AU"/>
        </w:rPr>
        <w:t xml:space="preserve"> repatriated by the Commonwealth</w:t>
      </w:r>
      <w:r w:rsidRPr="00DB2166">
        <w:rPr>
          <w:rFonts w:ascii="Corbel" w:hAnsi="Corbel" w:cs="Times New Roman"/>
          <w:sz w:val="26"/>
          <w:szCs w:val="26"/>
          <w:lang w:val="en-AU"/>
        </w:rPr>
        <w:t>.</w:t>
      </w:r>
    </w:p>
    <w:p w14:paraId="36AFB9FF" w14:textId="0587C57D" w:rsidR="008106D5" w:rsidRPr="00DB2166" w:rsidRDefault="008106D5" w:rsidP="003E3B5B">
      <w:pPr>
        <w:widowControl/>
        <w:numPr>
          <w:ilvl w:val="0"/>
          <w:numId w:val="13"/>
        </w:numPr>
        <w:spacing w:after="160" w:line="259" w:lineRule="auto"/>
        <w:ind w:left="360"/>
        <w:contextualSpacing/>
        <w:rPr>
          <w:rFonts w:ascii="Corbel" w:hAnsi="Corbel" w:cs="Times New Roman"/>
          <w:sz w:val="26"/>
          <w:szCs w:val="26"/>
          <w:lang w:val="en-AU"/>
        </w:rPr>
      </w:pPr>
      <w:r w:rsidRPr="00DB2166">
        <w:rPr>
          <w:rFonts w:ascii="Corbel" w:hAnsi="Corbel" w:cs="Times New Roman"/>
          <w:sz w:val="26"/>
          <w:szCs w:val="26"/>
          <w:lang w:val="en-AU"/>
        </w:rPr>
        <w:t xml:space="preserve">Capital works </w:t>
      </w:r>
      <w:r w:rsidR="002E5249" w:rsidRPr="00DB2166">
        <w:rPr>
          <w:rFonts w:ascii="Corbel" w:hAnsi="Corbel" w:cs="Times New Roman"/>
          <w:sz w:val="26"/>
          <w:szCs w:val="26"/>
          <w:lang w:val="en-AU"/>
        </w:rPr>
        <w:t xml:space="preserve">and activities </w:t>
      </w:r>
      <w:r w:rsidR="00DB2166">
        <w:rPr>
          <w:rFonts w:ascii="Corbel" w:hAnsi="Corbel" w:cs="Times New Roman"/>
          <w:sz w:val="26"/>
          <w:szCs w:val="26"/>
          <w:lang w:val="en-AU"/>
        </w:rPr>
        <w:t xml:space="preserve">to be funded </w:t>
      </w:r>
      <w:r w:rsidRPr="00DB2166">
        <w:rPr>
          <w:rFonts w:ascii="Corbel" w:hAnsi="Corbel" w:cs="Times New Roman"/>
          <w:sz w:val="26"/>
          <w:szCs w:val="26"/>
          <w:lang w:val="en-AU"/>
        </w:rPr>
        <w:t>may include but are not limited to:</w:t>
      </w:r>
    </w:p>
    <w:p w14:paraId="0E7F4807" w14:textId="312219D7" w:rsidR="00992C61" w:rsidRPr="00DB2166" w:rsidRDefault="00992C61" w:rsidP="003E3B5B">
      <w:pPr>
        <w:widowControl/>
        <w:numPr>
          <w:ilvl w:val="1"/>
          <w:numId w:val="13"/>
        </w:numPr>
        <w:spacing w:after="160" w:line="259" w:lineRule="auto"/>
        <w:ind w:left="1080"/>
        <w:contextualSpacing/>
        <w:rPr>
          <w:rFonts w:ascii="Corbel" w:hAnsi="Corbel" w:cs="Times New Roman"/>
          <w:sz w:val="26"/>
          <w:szCs w:val="26"/>
          <w:lang w:val="en-AU"/>
        </w:rPr>
      </w:pPr>
      <w:r w:rsidRPr="00DB2166">
        <w:rPr>
          <w:rFonts w:ascii="Corbel" w:hAnsi="Corbel" w:cs="Times New Roman"/>
          <w:sz w:val="26"/>
          <w:szCs w:val="26"/>
          <w:lang w:val="en-AU"/>
        </w:rPr>
        <w:t xml:space="preserve">Activation </w:t>
      </w:r>
      <w:r w:rsidR="004A07D5" w:rsidRPr="00DB2166">
        <w:rPr>
          <w:rFonts w:ascii="Corbel" w:hAnsi="Corbel" w:cs="Times New Roman"/>
          <w:sz w:val="26"/>
          <w:szCs w:val="26"/>
          <w:lang w:val="en-AU"/>
        </w:rPr>
        <w:t xml:space="preserve">and maintenance </w:t>
      </w:r>
      <w:r w:rsidRPr="00DB2166">
        <w:rPr>
          <w:rFonts w:ascii="Corbel" w:hAnsi="Corbel"/>
          <w:sz w:val="26"/>
          <w:lang w:val="en-AU"/>
        </w:rPr>
        <w:t xml:space="preserve">of </w:t>
      </w:r>
      <w:r w:rsidRPr="00DB2166">
        <w:rPr>
          <w:rFonts w:ascii="Corbel" w:hAnsi="Corbel" w:cs="Times New Roman"/>
          <w:sz w:val="26"/>
          <w:szCs w:val="26"/>
          <w:lang w:val="en-AU"/>
        </w:rPr>
        <w:t>additional</w:t>
      </w:r>
      <w:r w:rsidR="0093337B" w:rsidRPr="00DB2166">
        <w:rPr>
          <w:rFonts w:ascii="Corbel" w:hAnsi="Corbel"/>
          <w:sz w:val="26"/>
          <w:lang w:val="en-AU"/>
        </w:rPr>
        <w:t xml:space="preserve"> or improved</w:t>
      </w:r>
      <w:r w:rsidRPr="00DB2166">
        <w:rPr>
          <w:rFonts w:ascii="Corbel" w:hAnsi="Corbel" w:cs="Times New Roman"/>
          <w:sz w:val="26"/>
          <w:szCs w:val="26"/>
          <w:lang w:val="en-AU"/>
        </w:rPr>
        <w:t xml:space="preserve"> accommodation</w:t>
      </w:r>
      <w:r w:rsidR="00E80CF9" w:rsidRPr="00DB2166">
        <w:rPr>
          <w:rFonts w:ascii="Corbel" w:hAnsi="Corbel"/>
          <w:sz w:val="26"/>
          <w:lang w:val="en-AU"/>
        </w:rPr>
        <w:t xml:space="preserve"> </w:t>
      </w:r>
      <w:r w:rsidRPr="00DB2166">
        <w:rPr>
          <w:rFonts w:ascii="Corbel" w:hAnsi="Corbel" w:cs="Times New Roman"/>
          <w:sz w:val="26"/>
          <w:szCs w:val="26"/>
          <w:lang w:val="en-AU"/>
        </w:rPr>
        <w:t>including increased mobility assisted and family rooms</w:t>
      </w:r>
    </w:p>
    <w:p w14:paraId="0B6D3BF3" w14:textId="155F6572" w:rsidR="00992C61" w:rsidRPr="00DB2166" w:rsidRDefault="00992C61" w:rsidP="003E3B5B">
      <w:pPr>
        <w:widowControl/>
        <w:numPr>
          <w:ilvl w:val="1"/>
          <w:numId w:val="13"/>
        </w:numPr>
        <w:spacing w:after="160" w:line="259" w:lineRule="auto"/>
        <w:ind w:left="1080"/>
        <w:contextualSpacing/>
        <w:rPr>
          <w:rFonts w:ascii="Corbel" w:hAnsi="Corbel" w:cs="Times New Roman"/>
          <w:sz w:val="26"/>
          <w:szCs w:val="26"/>
          <w:lang w:val="en-AU"/>
        </w:rPr>
      </w:pPr>
      <w:r w:rsidRPr="00DB2166">
        <w:rPr>
          <w:rFonts w:ascii="Corbel" w:hAnsi="Corbel" w:cs="Times New Roman"/>
          <w:sz w:val="26"/>
          <w:szCs w:val="26"/>
          <w:lang w:val="en-AU"/>
        </w:rPr>
        <w:t xml:space="preserve">Mobilisation </w:t>
      </w:r>
      <w:r w:rsidR="004E5E37" w:rsidRPr="00DB2166">
        <w:rPr>
          <w:rFonts w:ascii="Corbel" w:hAnsi="Corbel"/>
          <w:sz w:val="26"/>
          <w:lang w:val="en-AU"/>
        </w:rPr>
        <w:t xml:space="preserve">and demobilisation </w:t>
      </w:r>
      <w:r w:rsidRPr="00DB2166">
        <w:rPr>
          <w:rFonts w:ascii="Corbel" w:hAnsi="Corbel" w:cs="Times New Roman"/>
          <w:sz w:val="26"/>
          <w:szCs w:val="26"/>
          <w:lang w:val="en-AU"/>
        </w:rPr>
        <w:t xml:space="preserve">of </w:t>
      </w:r>
      <w:r w:rsidR="00FD1DFB" w:rsidRPr="00DB2166">
        <w:rPr>
          <w:rFonts w:ascii="Corbel" w:hAnsi="Corbel" w:cs="Times New Roman"/>
          <w:sz w:val="26"/>
          <w:szCs w:val="26"/>
          <w:lang w:val="en-AU"/>
        </w:rPr>
        <w:t xml:space="preserve">temporary demountable buildings including </w:t>
      </w:r>
      <w:r w:rsidR="002E5249" w:rsidRPr="00DB2166">
        <w:rPr>
          <w:rFonts w:ascii="Corbel" w:hAnsi="Corbel" w:cs="Times New Roman"/>
          <w:sz w:val="26"/>
          <w:szCs w:val="26"/>
          <w:lang w:val="en-AU"/>
        </w:rPr>
        <w:t>administration,</w:t>
      </w:r>
      <w:r w:rsidR="00FD1DFB" w:rsidRPr="00DB2166">
        <w:rPr>
          <w:rFonts w:ascii="Corbel" w:hAnsi="Corbel" w:cs="Times New Roman"/>
          <w:sz w:val="26"/>
          <w:szCs w:val="26"/>
          <w:lang w:val="en-AU"/>
        </w:rPr>
        <w:t xml:space="preserve"> the </w:t>
      </w:r>
      <w:r w:rsidRPr="00DB2166">
        <w:rPr>
          <w:rFonts w:ascii="Corbel" w:hAnsi="Corbel" w:cs="Times New Roman"/>
          <w:sz w:val="26"/>
          <w:szCs w:val="26"/>
          <w:lang w:val="en-AU"/>
        </w:rPr>
        <w:t>medical centre and laboratory demountable</w:t>
      </w:r>
      <w:r w:rsidR="00FD1DFB" w:rsidRPr="00DB2166">
        <w:rPr>
          <w:rFonts w:ascii="Corbel" w:hAnsi="Corbel" w:cs="Times New Roman"/>
          <w:sz w:val="26"/>
          <w:szCs w:val="26"/>
          <w:lang w:val="en-AU"/>
        </w:rPr>
        <w:t xml:space="preserve"> </w:t>
      </w:r>
    </w:p>
    <w:p w14:paraId="75265E47" w14:textId="5C6F634B" w:rsidR="00941A33" w:rsidRPr="00DB2166" w:rsidRDefault="00941A33" w:rsidP="003E3B5B">
      <w:pPr>
        <w:widowControl/>
        <w:numPr>
          <w:ilvl w:val="1"/>
          <w:numId w:val="13"/>
        </w:numPr>
        <w:spacing w:after="160" w:line="259" w:lineRule="auto"/>
        <w:ind w:left="1080"/>
        <w:contextualSpacing/>
        <w:rPr>
          <w:rFonts w:ascii="Corbel" w:hAnsi="Corbel" w:cs="Times New Roman"/>
          <w:sz w:val="26"/>
          <w:szCs w:val="26"/>
          <w:lang w:val="en-AU"/>
        </w:rPr>
      </w:pPr>
      <w:r w:rsidRPr="00DB2166">
        <w:rPr>
          <w:rFonts w:ascii="Corbel" w:hAnsi="Corbel" w:cs="Times New Roman"/>
          <w:sz w:val="26"/>
          <w:szCs w:val="26"/>
          <w:lang w:val="en-AU"/>
        </w:rPr>
        <w:t>Pathology infrastructure to support increased testing requirements</w:t>
      </w:r>
    </w:p>
    <w:p w14:paraId="020BAF1A" w14:textId="320B5C12" w:rsidR="00941A33" w:rsidRPr="00DB2166" w:rsidRDefault="00941A33" w:rsidP="003E3B5B">
      <w:pPr>
        <w:widowControl/>
        <w:numPr>
          <w:ilvl w:val="1"/>
          <w:numId w:val="13"/>
        </w:numPr>
        <w:spacing w:after="160" w:line="259" w:lineRule="auto"/>
        <w:ind w:left="1080"/>
        <w:contextualSpacing/>
        <w:rPr>
          <w:rFonts w:ascii="Corbel" w:hAnsi="Corbel" w:cs="Times New Roman"/>
          <w:sz w:val="26"/>
          <w:szCs w:val="26"/>
          <w:lang w:val="en-AU"/>
        </w:rPr>
      </w:pPr>
      <w:r w:rsidRPr="00DB2166">
        <w:rPr>
          <w:rFonts w:ascii="Corbel" w:hAnsi="Corbel" w:cs="Times New Roman"/>
          <w:sz w:val="26"/>
          <w:szCs w:val="26"/>
          <w:lang w:val="en-AU"/>
        </w:rPr>
        <w:t>Lighting upgrades</w:t>
      </w:r>
    </w:p>
    <w:p w14:paraId="78A18DE0" w14:textId="7EEE0A52" w:rsidR="008106D5" w:rsidRPr="00DB2166" w:rsidRDefault="008106D5" w:rsidP="003E3B5B">
      <w:pPr>
        <w:widowControl/>
        <w:numPr>
          <w:ilvl w:val="1"/>
          <w:numId w:val="13"/>
        </w:numPr>
        <w:spacing w:after="160" w:line="259" w:lineRule="auto"/>
        <w:ind w:left="1080"/>
        <w:contextualSpacing/>
        <w:rPr>
          <w:rFonts w:ascii="Corbel" w:hAnsi="Corbel" w:cs="Times New Roman"/>
          <w:sz w:val="26"/>
          <w:szCs w:val="26"/>
          <w:lang w:val="en-AU"/>
        </w:rPr>
      </w:pPr>
      <w:r w:rsidRPr="00DB2166">
        <w:rPr>
          <w:rFonts w:ascii="Corbel" w:hAnsi="Corbel" w:cs="Times New Roman"/>
          <w:sz w:val="26"/>
          <w:szCs w:val="26"/>
          <w:lang w:val="en-AU"/>
        </w:rPr>
        <w:t xml:space="preserve">Kitchen and </w:t>
      </w:r>
      <w:r w:rsidR="0074465E" w:rsidRPr="00DB2166">
        <w:rPr>
          <w:rFonts w:ascii="Corbel" w:hAnsi="Corbel" w:cs="Times New Roman"/>
          <w:sz w:val="26"/>
          <w:szCs w:val="26"/>
          <w:lang w:val="en-AU"/>
        </w:rPr>
        <w:t>d</w:t>
      </w:r>
      <w:r w:rsidRPr="00DB2166">
        <w:rPr>
          <w:rFonts w:ascii="Corbel" w:hAnsi="Corbel" w:cs="Times New Roman"/>
          <w:sz w:val="26"/>
          <w:szCs w:val="26"/>
          <w:lang w:val="en-AU"/>
        </w:rPr>
        <w:t>ining upgrades</w:t>
      </w:r>
      <w:r w:rsidR="002E5249" w:rsidRPr="00DB2166">
        <w:rPr>
          <w:rFonts w:ascii="Corbel" w:hAnsi="Corbel" w:cs="Times New Roman"/>
          <w:sz w:val="26"/>
          <w:szCs w:val="26"/>
          <w:lang w:val="en-AU"/>
        </w:rPr>
        <w:t xml:space="preserve">, </w:t>
      </w:r>
      <w:proofErr w:type="gramStart"/>
      <w:r w:rsidR="002E5249" w:rsidRPr="00DB2166">
        <w:rPr>
          <w:rFonts w:ascii="Corbel" w:hAnsi="Corbel" w:cs="Times New Roman"/>
          <w:sz w:val="26"/>
          <w:szCs w:val="26"/>
          <w:lang w:val="en-AU"/>
        </w:rPr>
        <w:t>catering</w:t>
      </w:r>
      <w:proofErr w:type="gramEnd"/>
      <w:r w:rsidR="002E5249" w:rsidRPr="00DB2166">
        <w:rPr>
          <w:rFonts w:ascii="Corbel" w:hAnsi="Corbel" w:cs="Times New Roman"/>
          <w:sz w:val="26"/>
          <w:szCs w:val="26"/>
          <w:lang w:val="en-AU"/>
        </w:rPr>
        <w:t xml:space="preserve"> and food provision, including delivery of catering to accommodation facilities </w:t>
      </w:r>
    </w:p>
    <w:p w14:paraId="7019299F" w14:textId="77777777" w:rsidR="0093337B" w:rsidRPr="00DB2166" w:rsidRDefault="008106D5" w:rsidP="003E3B5B">
      <w:pPr>
        <w:widowControl/>
        <w:numPr>
          <w:ilvl w:val="1"/>
          <w:numId w:val="13"/>
        </w:numPr>
        <w:spacing w:after="160" w:line="259" w:lineRule="auto"/>
        <w:ind w:left="1080"/>
        <w:contextualSpacing/>
        <w:rPr>
          <w:rFonts w:ascii="Corbel" w:hAnsi="Corbel"/>
          <w:sz w:val="26"/>
          <w:lang w:val="en-AU"/>
        </w:rPr>
      </w:pPr>
      <w:r w:rsidRPr="00DB2166">
        <w:rPr>
          <w:rFonts w:ascii="Corbel" w:hAnsi="Corbel" w:cs="Times New Roman"/>
          <w:sz w:val="26"/>
          <w:szCs w:val="26"/>
          <w:lang w:val="en-AU"/>
        </w:rPr>
        <w:t>Cyclone related infrastructure, including generators to enable ongoing power to accommodation facilities</w:t>
      </w:r>
    </w:p>
    <w:p w14:paraId="68CCB7D8" w14:textId="0BD8D1F7" w:rsidR="008106D5" w:rsidRPr="00DB2166" w:rsidRDefault="002E5249" w:rsidP="003E3B5B">
      <w:pPr>
        <w:widowControl/>
        <w:numPr>
          <w:ilvl w:val="1"/>
          <w:numId w:val="13"/>
        </w:numPr>
        <w:spacing w:after="160" w:line="259" w:lineRule="auto"/>
        <w:ind w:left="1080"/>
        <w:contextualSpacing/>
        <w:rPr>
          <w:rFonts w:ascii="Corbel" w:hAnsi="Corbel"/>
          <w:sz w:val="26"/>
          <w:lang w:val="en-AU"/>
        </w:rPr>
      </w:pPr>
      <w:proofErr w:type="gramStart"/>
      <w:r w:rsidRPr="00DB2166">
        <w:rPr>
          <w:rFonts w:ascii="Corbel" w:hAnsi="Corbel" w:cs="Times New Roman"/>
          <w:sz w:val="26"/>
          <w:szCs w:val="26"/>
          <w:lang w:val="en-AU"/>
        </w:rPr>
        <w:t>24 hour</w:t>
      </w:r>
      <w:proofErr w:type="gramEnd"/>
      <w:r w:rsidRPr="00DB2166">
        <w:rPr>
          <w:rFonts w:ascii="Corbel" w:hAnsi="Corbel" w:cs="Times New Roman"/>
          <w:sz w:val="26"/>
          <w:szCs w:val="26"/>
          <w:lang w:val="en-AU"/>
        </w:rPr>
        <w:t xml:space="preserve"> </w:t>
      </w:r>
      <w:r w:rsidR="00FD1DFB" w:rsidRPr="00DB2166">
        <w:rPr>
          <w:rFonts w:ascii="Corbel" w:hAnsi="Corbel"/>
          <w:sz w:val="26"/>
          <w:lang w:val="en-AU"/>
        </w:rPr>
        <w:t xml:space="preserve">Security surveillance </w:t>
      </w:r>
      <w:r w:rsidR="0093337B" w:rsidRPr="00DB2166">
        <w:rPr>
          <w:rFonts w:ascii="Corbel" w:hAnsi="Corbel"/>
          <w:sz w:val="26"/>
          <w:lang w:val="en-AU"/>
        </w:rPr>
        <w:t xml:space="preserve">e.g. CCTV </w:t>
      </w:r>
      <w:r w:rsidR="00FD1DFB" w:rsidRPr="00DB2166">
        <w:rPr>
          <w:rFonts w:ascii="Corbel" w:hAnsi="Corbel"/>
          <w:sz w:val="26"/>
          <w:lang w:val="en-AU"/>
        </w:rPr>
        <w:t>and camera monitoring trailers</w:t>
      </w:r>
      <w:r w:rsidR="004A07D5" w:rsidRPr="00DB2166">
        <w:rPr>
          <w:rFonts w:ascii="Corbel" w:hAnsi="Corbel" w:cs="Times New Roman"/>
          <w:sz w:val="26"/>
          <w:szCs w:val="26"/>
          <w:lang w:val="en-AU"/>
        </w:rPr>
        <w:t>,</w:t>
      </w:r>
      <w:r w:rsidRPr="00DB2166">
        <w:rPr>
          <w:rFonts w:ascii="Corbel" w:hAnsi="Corbel" w:cs="Times New Roman"/>
          <w:sz w:val="26"/>
          <w:szCs w:val="26"/>
          <w:lang w:val="en-AU"/>
        </w:rPr>
        <w:t xml:space="preserve"> site access control and patrolling, with support provided by the Commonwealth (refer to Commonwealth responsibilities)</w:t>
      </w:r>
    </w:p>
    <w:p w14:paraId="7AFF721C" w14:textId="3DA7133F" w:rsidR="00285433" w:rsidRPr="00DB2166" w:rsidRDefault="008106D5" w:rsidP="003E3B5B">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Pathways</w:t>
      </w:r>
      <w:r w:rsidR="00992C61" w:rsidRPr="00DB2166">
        <w:rPr>
          <w:rFonts w:ascii="Corbel" w:hAnsi="Corbel"/>
          <w:sz w:val="26"/>
          <w:lang w:val="en-AU"/>
        </w:rPr>
        <w:t>, access points</w:t>
      </w:r>
      <w:r w:rsidRPr="00DB2166">
        <w:rPr>
          <w:rFonts w:ascii="Corbel" w:hAnsi="Corbel"/>
          <w:sz w:val="26"/>
          <w:lang w:val="en-AU"/>
        </w:rPr>
        <w:t xml:space="preserve"> and awnings</w:t>
      </w:r>
      <w:r w:rsidR="00FD1DFB" w:rsidRPr="00DB2166">
        <w:rPr>
          <w:rFonts w:ascii="Corbel" w:hAnsi="Corbel"/>
          <w:sz w:val="26"/>
          <w:lang w:val="en-AU"/>
        </w:rPr>
        <w:t xml:space="preserve"> </w:t>
      </w:r>
      <w:r w:rsidR="004A07D5" w:rsidRPr="00DB2166">
        <w:rPr>
          <w:rFonts w:ascii="Corbel" w:hAnsi="Corbel" w:cs="Times New Roman"/>
          <w:sz w:val="26"/>
          <w:szCs w:val="26"/>
          <w:lang w:val="en-AU"/>
        </w:rPr>
        <w:t xml:space="preserve">— </w:t>
      </w:r>
      <w:r w:rsidR="00FD1DFB" w:rsidRPr="00DB2166">
        <w:rPr>
          <w:rFonts w:ascii="Corbel" w:hAnsi="Corbel"/>
          <w:sz w:val="26"/>
          <w:lang w:val="en-AU"/>
        </w:rPr>
        <w:t>including w</w:t>
      </w:r>
      <w:r w:rsidR="00285433" w:rsidRPr="00DB2166">
        <w:rPr>
          <w:rFonts w:ascii="Corbel" w:hAnsi="Corbel"/>
          <w:sz w:val="26"/>
          <w:lang w:val="en-AU"/>
        </w:rPr>
        <w:t>eather mitigation</w:t>
      </w:r>
      <w:r w:rsidR="0093337B" w:rsidRPr="00DB2166">
        <w:rPr>
          <w:rFonts w:ascii="Corbel" w:hAnsi="Corbel"/>
          <w:sz w:val="26"/>
          <w:lang w:val="en-AU"/>
        </w:rPr>
        <w:t xml:space="preserve"> measures</w:t>
      </w:r>
      <w:r w:rsidR="00285433" w:rsidRPr="00DB2166">
        <w:rPr>
          <w:rFonts w:ascii="Corbel" w:hAnsi="Corbel"/>
          <w:sz w:val="26"/>
          <w:lang w:val="en-AU"/>
        </w:rPr>
        <w:t xml:space="preserve"> </w:t>
      </w:r>
    </w:p>
    <w:p w14:paraId="1635C3E6" w14:textId="77777777" w:rsidR="00381EAF" w:rsidRPr="00DB2166" w:rsidRDefault="0093337B" w:rsidP="00381EAF">
      <w:pPr>
        <w:widowControl/>
        <w:numPr>
          <w:ilvl w:val="1"/>
          <w:numId w:val="13"/>
        </w:numPr>
        <w:spacing w:after="160" w:line="259" w:lineRule="auto"/>
        <w:ind w:left="1080"/>
        <w:contextualSpacing/>
        <w:rPr>
          <w:rFonts w:ascii="Corbel" w:hAnsi="Corbel" w:cs="Times New Roman"/>
          <w:sz w:val="26"/>
          <w:szCs w:val="26"/>
          <w:lang w:val="en-AU"/>
        </w:rPr>
      </w:pPr>
      <w:r w:rsidRPr="00DB2166">
        <w:rPr>
          <w:rFonts w:ascii="Corbel" w:hAnsi="Corbel"/>
          <w:sz w:val="26"/>
          <w:lang w:val="en-AU"/>
        </w:rPr>
        <w:t>Environmental controls such as h</w:t>
      </w:r>
      <w:r w:rsidR="00285433" w:rsidRPr="00DB2166">
        <w:rPr>
          <w:rFonts w:ascii="Corbel" w:hAnsi="Corbel"/>
          <w:sz w:val="26"/>
          <w:lang w:val="en-AU"/>
        </w:rPr>
        <w:t xml:space="preserve">eating and cooling </w:t>
      </w:r>
    </w:p>
    <w:p w14:paraId="5C09F15A" w14:textId="17FB9E71" w:rsidR="00285433" w:rsidRPr="00DB2166" w:rsidRDefault="00285433" w:rsidP="00381EAF">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 xml:space="preserve">General onsite maintenance and </w:t>
      </w:r>
      <w:r w:rsidRPr="00DB2166">
        <w:rPr>
          <w:rFonts w:ascii="Corbel" w:hAnsi="Corbel" w:cs="Times New Roman"/>
          <w:sz w:val="26"/>
          <w:szCs w:val="26"/>
          <w:lang w:val="en-AU"/>
        </w:rPr>
        <w:t>upgrade</w:t>
      </w:r>
      <w:r w:rsidR="004A07D5" w:rsidRPr="00DB2166">
        <w:rPr>
          <w:rFonts w:ascii="Corbel" w:hAnsi="Corbel" w:cs="Times New Roman"/>
          <w:sz w:val="26"/>
          <w:szCs w:val="26"/>
          <w:lang w:val="en-AU"/>
        </w:rPr>
        <w:t>s</w:t>
      </w:r>
      <w:r w:rsidRPr="00DB2166">
        <w:rPr>
          <w:rFonts w:ascii="Corbel" w:hAnsi="Corbel"/>
          <w:sz w:val="26"/>
          <w:lang w:val="en-AU"/>
        </w:rPr>
        <w:t xml:space="preserve"> </w:t>
      </w:r>
    </w:p>
    <w:p w14:paraId="27DA5649" w14:textId="30C6BD5A" w:rsidR="008106D5" w:rsidRPr="00DB2166" w:rsidRDefault="008106D5" w:rsidP="003E3B5B">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Storage facilities</w:t>
      </w:r>
      <w:r w:rsidR="00992C61" w:rsidRPr="00DB2166">
        <w:rPr>
          <w:rFonts w:ascii="Corbel" w:hAnsi="Corbel"/>
          <w:sz w:val="26"/>
          <w:lang w:val="en-AU"/>
        </w:rPr>
        <w:t xml:space="preserve"> and maintenance areas to support increased operations</w:t>
      </w:r>
    </w:p>
    <w:p w14:paraId="2D932CB5" w14:textId="50E7FCFC" w:rsidR="008106D5" w:rsidRPr="00DB2166" w:rsidRDefault="008106D5" w:rsidP="003E3B5B">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 xml:space="preserve">Disability and mobility </w:t>
      </w:r>
      <w:proofErr w:type="gramStart"/>
      <w:r w:rsidRPr="00DB2166">
        <w:rPr>
          <w:rFonts w:ascii="Corbel" w:hAnsi="Corbel"/>
          <w:sz w:val="26"/>
          <w:lang w:val="en-AU"/>
        </w:rPr>
        <w:t>supports</w:t>
      </w:r>
      <w:proofErr w:type="gramEnd"/>
    </w:p>
    <w:p w14:paraId="0226EF61" w14:textId="630937BF" w:rsidR="008106D5" w:rsidRPr="00DB2166" w:rsidRDefault="008106D5" w:rsidP="003E3B5B">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 xml:space="preserve">Construction of temporary </w:t>
      </w:r>
      <w:r w:rsidR="00941A33" w:rsidRPr="00DB2166">
        <w:rPr>
          <w:rFonts w:ascii="Corbel" w:hAnsi="Corbel"/>
          <w:sz w:val="26"/>
          <w:lang w:val="en-AU"/>
        </w:rPr>
        <w:t xml:space="preserve">and/or permanent </w:t>
      </w:r>
      <w:r w:rsidRPr="00DB2166">
        <w:rPr>
          <w:rFonts w:ascii="Corbel" w:hAnsi="Corbel"/>
          <w:sz w:val="26"/>
          <w:lang w:val="en-AU"/>
        </w:rPr>
        <w:t xml:space="preserve">fencing </w:t>
      </w:r>
    </w:p>
    <w:p w14:paraId="2ABA04A0" w14:textId="2AFA00E3" w:rsidR="00145BB6" w:rsidRPr="00DB2166" w:rsidRDefault="00145BB6" w:rsidP="003E3B5B">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 xml:space="preserve">Essential </w:t>
      </w:r>
      <w:r w:rsidRPr="00DB2166">
        <w:rPr>
          <w:rFonts w:ascii="Corbel" w:hAnsi="Corbel" w:cs="Times New Roman"/>
          <w:sz w:val="26"/>
          <w:szCs w:val="26"/>
          <w:lang w:val="en-AU"/>
        </w:rPr>
        <w:t>service</w:t>
      </w:r>
      <w:r w:rsidR="004A07D5" w:rsidRPr="00DB2166">
        <w:rPr>
          <w:rFonts w:ascii="Corbel" w:hAnsi="Corbel" w:cs="Times New Roman"/>
          <w:sz w:val="26"/>
          <w:szCs w:val="26"/>
          <w:lang w:val="en-AU"/>
        </w:rPr>
        <w:t>s (water and electricity) and</w:t>
      </w:r>
      <w:r w:rsidRPr="00DB2166">
        <w:rPr>
          <w:rFonts w:ascii="Corbel" w:hAnsi="Corbel"/>
          <w:sz w:val="26"/>
          <w:lang w:val="en-AU"/>
        </w:rPr>
        <w:t xml:space="preserve"> infrastructure and repairs inclu</w:t>
      </w:r>
      <w:r w:rsidR="00E112E2" w:rsidRPr="00DB2166">
        <w:rPr>
          <w:rFonts w:ascii="Corbel" w:hAnsi="Corbel"/>
          <w:sz w:val="26"/>
          <w:lang w:val="en-AU"/>
        </w:rPr>
        <w:t>ding</w:t>
      </w:r>
      <w:r w:rsidR="00992C61" w:rsidRPr="00DB2166">
        <w:rPr>
          <w:rFonts w:ascii="Corbel" w:hAnsi="Corbel"/>
          <w:sz w:val="26"/>
          <w:lang w:val="en-AU"/>
        </w:rPr>
        <w:t xml:space="preserve"> door locks/swipe card reading systems,</w:t>
      </w:r>
      <w:r w:rsidR="00E112E2" w:rsidRPr="00DB2166">
        <w:rPr>
          <w:rFonts w:ascii="Corbel" w:hAnsi="Corbel"/>
          <w:sz w:val="26"/>
          <w:lang w:val="en-AU"/>
        </w:rPr>
        <w:t xml:space="preserve"> ICT systems and assets, </w:t>
      </w:r>
      <w:proofErr w:type="spellStart"/>
      <w:r w:rsidR="00E112E2" w:rsidRPr="00DB2166">
        <w:rPr>
          <w:rFonts w:ascii="Corbel" w:hAnsi="Corbel"/>
          <w:sz w:val="26"/>
          <w:lang w:val="en-AU"/>
        </w:rPr>
        <w:t>WiF</w:t>
      </w:r>
      <w:r w:rsidRPr="00DB2166">
        <w:rPr>
          <w:rFonts w:ascii="Corbel" w:hAnsi="Corbel"/>
          <w:sz w:val="26"/>
          <w:lang w:val="en-AU"/>
        </w:rPr>
        <w:t>i</w:t>
      </w:r>
      <w:proofErr w:type="spellEnd"/>
      <w:r w:rsidRPr="00DB2166">
        <w:rPr>
          <w:rFonts w:ascii="Corbel" w:hAnsi="Corbel"/>
          <w:sz w:val="26"/>
          <w:lang w:val="en-AU"/>
        </w:rPr>
        <w:t xml:space="preserve">, telecommunications, water, </w:t>
      </w:r>
      <w:proofErr w:type="gramStart"/>
      <w:r w:rsidRPr="00DB2166">
        <w:rPr>
          <w:rFonts w:ascii="Corbel" w:hAnsi="Corbel"/>
          <w:sz w:val="26"/>
          <w:lang w:val="en-AU"/>
        </w:rPr>
        <w:t>electricity</w:t>
      </w:r>
      <w:proofErr w:type="gramEnd"/>
      <w:r w:rsidRPr="00DB2166">
        <w:rPr>
          <w:rFonts w:ascii="Corbel" w:hAnsi="Corbel"/>
          <w:sz w:val="26"/>
          <w:lang w:val="en-AU"/>
        </w:rPr>
        <w:t xml:space="preserve"> and sewerage infrastructure</w:t>
      </w:r>
    </w:p>
    <w:p w14:paraId="0279F213" w14:textId="77777777" w:rsidR="008106D5" w:rsidRPr="00DB2166" w:rsidRDefault="008106D5" w:rsidP="00DB2166">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 xml:space="preserve">Waste management services (standard and </w:t>
      </w:r>
      <w:r w:rsidR="008773C3" w:rsidRPr="00DB2166">
        <w:rPr>
          <w:rFonts w:ascii="Corbel" w:hAnsi="Corbel"/>
          <w:sz w:val="26"/>
          <w:lang w:val="en-AU"/>
        </w:rPr>
        <w:t>biohazard/</w:t>
      </w:r>
      <w:r w:rsidRPr="00DB2166">
        <w:rPr>
          <w:rFonts w:ascii="Corbel" w:hAnsi="Corbel"/>
          <w:sz w:val="26"/>
          <w:lang w:val="en-AU"/>
        </w:rPr>
        <w:t>medical)</w:t>
      </w:r>
    </w:p>
    <w:p w14:paraId="3D50444C" w14:textId="4269FD1A" w:rsidR="00992C61" w:rsidRPr="00DB2166" w:rsidRDefault="00992C61" w:rsidP="003E3B5B">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Water chlorination plant</w:t>
      </w:r>
    </w:p>
    <w:p w14:paraId="4B58DDBE" w14:textId="12A2000D" w:rsidR="00992C61" w:rsidRPr="00DB2166" w:rsidRDefault="00992C61" w:rsidP="003E3B5B">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Laundry operations</w:t>
      </w:r>
      <w:r w:rsidR="002E5249" w:rsidRPr="00DB2166">
        <w:rPr>
          <w:rFonts w:ascii="Corbel" w:hAnsi="Corbel" w:cs="Times New Roman"/>
          <w:sz w:val="26"/>
          <w:szCs w:val="26"/>
          <w:lang w:val="en-AU"/>
        </w:rPr>
        <w:t xml:space="preserve"> and linen</w:t>
      </w:r>
    </w:p>
    <w:p w14:paraId="2B3F9C77" w14:textId="07A8819B" w:rsidR="00992C61" w:rsidRPr="00DB2166" w:rsidRDefault="00941A33" w:rsidP="003E3B5B">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 xml:space="preserve">Installation </w:t>
      </w:r>
      <w:r w:rsidR="00992C61" w:rsidRPr="00DB2166">
        <w:rPr>
          <w:rFonts w:ascii="Corbel" w:hAnsi="Corbel"/>
          <w:sz w:val="26"/>
          <w:lang w:val="en-AU"/>
        </w:rPr>
        <w:t xml:space="preserve">of additional media converters </w:t>
      </w:r>
    </w:p>
    <w:p w14:paraId="42623DEC" w14:textId="75049D4B" w:rsidR="00992C61" w:rsidRPr="00DB2166" w:rsidRDefault="00992C61" w:rsidP="003E3B5B">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Carpark upgrades</w:t>
      </w:r>
    </w:p>
    <w:p w14:paraId="4792E7CD" w14:textId="05377AE2" w:rsidR="002E5249" w:rsidRPr="00DB2166" w:rsidRDefault="002E5249" w:rsidP="002E5249">
      <w:pPr>
        <w:widowControl/>
        <w:numPr>
          <w:ilvl w:val="1"/>
          <w:numId w:val="13"/>
        </w:numPr>
        <w:spacing w:after="160" w:line="259" w:lineRule="auto"/>
        <w:ind w:left="1080"/>
        <w:contextualSpacing/>
        <w:rPr>
          <w:rFonts w:ascii="Corbel" w:hAnsi="Corbel" w:cs="Times New Roman"/>
          <w:sz w:val="26"/>
          <w:szCs w:val="26"/>
          <w:lang w:val="en-AU"/>
        </w:rPr>
      </w:pPr>
      <w:r w:rsidRPr="00DB2166">
        <w:rPr>
          <w:rFonts w:ascii="Corbel" w:hAnsi="Corbel" w:cs="Times New Roman"/>
          <w:sz w:val="26"/>
          <w:szCs w:val="26"/>
          <w:lang w:val="en-AU"/>
        </w:rPr>
        <w:t xml:space="preserve">Consumables (such as </w:t>
      </w:r>
      <w:r w:rsidR="004A07D5" w:rsidRPr="00DB2166">
        <w:rPr>
          <w:rFonts w:ascii="Corbel" w:hAnsi="Corbel" w:cs="Times New Roman"/>
          <w:sz w:val="26"/>
          <w:szCs w:val="26"/>
          <w:lang w:val="en-AU"/>
        </w:rPr>
        <w:t>personal hygiene facilities</w:t>
      </w:r>
      <w:r w:rsidRPr="00DB2166">
        <w:rPr>
          <w:rFonts w:ascii="Corbel" w:hAnsi="Corbel" w:cs="Times New Roman"/>
          <w:sz w:val="26"/>
          <w:szCs w:val="26"/>
          <w:lang w:val="en-AU"/>
        </w:rPr>
        <w:t xml:space="preserve">) </w:t>
      </w:r>
    </w:p>
    <w:p w14:paraId="69D37E95" w14:textId="33059754" w:rsidR="002E5249" w:rsidRPr="00DB2166" w:rsidRDefault="002E5249" w:rsidP="002E5249">
      <w:pPr>
        <w:widowControl/>
        <w:numPr>
          <w:ilvl w:val="1"/>
          <w:numId w:val="13"/>
        </w:numPr>
        <w:spacing w:after="160" w:line="259" w:lineRule="auto"/>
        <w:ind w:left="1080"/>
        <w:contextualSpacing/>
        <w:rPr>
          <w:rFonts w:ascii="Corbel" w:hAnsi="Corbel" w:cs="Times New Roman"/>
          <w:sz w:val="26"/>
          <w:szCs w:val="26"/>
          <w:lang w:val="en-AU"/>
        </w:rPr>
      </w:pPr>
      <w:r w:rsidRPr="00DB2166">
        <w:rPr>
          <w:rFonts w:ascii="Corbel" w:hAnsi="Corbel" w:cs="Times New Roman"/>
          <w:sz w:val="26"/>
          <w:szCs w:val="26"/>
          <w:lang w:val="en-AU"/>
        </w:rPr>
        <w:t>Small electrical appliances in room – such as TV and Kettles.</w:t>
      </w:r>
    </w:p>
    <w:p w14:paraId="71AC1588" w14:textId="113E8619" w:rsidR="002E5249" w:rsidRPr="00DB2166" w:rsidRDefault="002E5249" w:rsidP="002E5249">
      <w:pPr>
        <w:widowControl/>
        <w:numPr>
          <w:ilvl w:val="1"/>
          <w:numId w:val="13"/>
        </w:numPr>
        <w:spacing w:after="160" w:line="259" w:lineRule="auto"/>
        <w:ind w:left="1080"/>
        <w:contextualSpacing/>
        <w:rPr>
          <w:rFonts w:ascii="Corbel" w:hAnsi="Corbel" w:cs="Times New Roman"/>
          <w:sz w:val="26"/>
          <w:szCs w:val="26"/>
          <w:lang w:val="en-AU"/>
        </w:rPr>
      </w:pPr>
      <w:r w:rsidRPr="00DB2166">
        <w:rPr>
          <w:rFonts w:ascii="Corbel" w:hAnsi="Corbel" w:cs="Times New Roman"/>
          <w:sz w:val="26"/>
          <w:szCs w:val="26"/>
          <w:lang w:val="en-AU"/>
        </w:rPr>
        <w:lastRenderedPageBreak/>
        <w:t xml:space="preserve">Toys and recreational activities for children </w:t>
      </w:r>
    </w:p>
    <w:p w14:paraId="328A6650" w14:textId="77777777" w:rsidR="004A07D5" w:rsidRPr="00DB2166" w:rsidRDefault="002E5249" w:rsidP="007F5F22">
      <w:pPr>
        <w:widowControl/>
        <w:numPr>
          <w:ilvl w:val="1"/>
          <w:numId w:val="13"/>
        </w:numPr>
        <w:spacing w:after="160" w:line="259" w:lineRule="auto"/>
        <w:ind w:left="1080"/>
        <w:contextualSpacing/>
        <w:rPr>
          <w:rFonts w:ascii="Corbel" w:hAnsi="Corbel" w:cs="Times New Roman"/>
          <w:sz w:val="26"/>
          <w:szCs w:val="26"/>
          <w:lang w:val="en-AU"/>
        </w:rPr>
      </w:pPr>
      <w:r w:rsidRPr="00DB2166">
        <w:rPr>
          <w:rFonts w:ascii="Corbel" w:hAnsi="Corbel" w:cs="Times New Roman"/>
          <w:sz w:val="26"/>
          <w:szCs w:val="26"/>
          <w:lang w:val="en-AU"/>
        </w:rPr>
        <w:t>Additional furniture for families with infant children, such as cots and linens, prams</w:t>
      </w:r>
    </w:p>
    <w:p w14:paraId="623681C2" w14:textId="4B3E5D34" w:rsidR="002E5249" w:rsidRPr="00DB2166" w:rsidRDefault="002E5249" w:rsidP="007F5F22">
      <w:pPr>
        <w:widowControl/>
        <w:numPr>
          <w:ilvl w:val="1"/>
          <w:numId w:val="13"/>
        </w:numPr>
        <w:spacing w:after="160" w:line="259" w:lineRule="auto"/>
        <w:ind w:left="1080"/>
        <w:contextualSpacing/>
        <w:rPr>
          <w:rFonts w:ascii="Corbel" w:hAnsi="Corbel" w:cs="Times New Roman"/>
          <w:sz w:val="26"/>
          <w:szCs w:val="26"/>
          <w:lang w:val="en-AU"/>
        </w:rPr>
      </w:pPr>
      <w:r w:rsidRPr="00DB2166">
        <w:rPr>
          <w:rFonts w:ascii="Corbel" w:hAnsi="Corbel" w:cs="Times New Roman"/>
          <w:sz w:val="26"/>
          <w:szCs w:val="26"/>
          <w:lang w:val="en-AU"/>
        </w:rPr>
        <w:t xml:space="preserve">Consumables for families with infants such as nappies and formula </w:t>
      </w:r>
    </w:p>
    <w:p w14:paraId="1B486CBE" w14:textId="77777777" w:rsidR="008106D5" w:rsidRPr="00DB2166" w:rsidRDefault="008106D5" w:rsidP="00DB2166">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Cleaning of rooms and common areas with adherence t</w:t>
      </w:r>
      <w:r w:rsidR="0090797F" w:rsidRPr="00DB2166">
        <w:rPr>
          <w:rFonts w:ascii="Corbel" w:hAnsi="Corbel"/>
          <w:sz w:val="26"/>
          <w:lang w:val="en-AU"/>
        </w:rPr>
        <w:t>o infection control guidelines</w:t>
      </w:r>
    </w:p>
    <w:p w14:paraId="44807D8C" w14:textId="77777777" w:rsidR="008106D5" w:rsidRPr="00DB2166" w:rsidRDefault="008106D5" w:rsidP="00DB2166">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Provision of fire services</w:t>
      </w:r>
    </w:p>
    <w:p w14:paraId="105D3EDD" w14:textId="77777777" w:rsidR="008106D5" w:rsidRPr="00DB2166" w:rsidRDefault="008106D5" w:rsidP="00DB2166">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Provision of transport services</w:t>
      </w:r>
      <w:r w:rsidR="004B26BF" w:rsidRPr="00DB2166">
        <w:rPr>
          <w:rFonts w:ascii="Corbel" w:hAnsi="Corbel"/>
          <w:sz w:val="26"/>
          <w:lang w:val="en-AU"/>
        </w:rPr>
        <w:t xml:space="preserve"> while an individual is in quarantine, this could include transport </w:t>
      </w:r>
      <w:r w:rsidR="00947297" w:rsidRPr="00DB2166">
        <w:rPr>
          <w:rFonts w:ascii="Corbel" w:hAnsi="Corbel"/>
          <w:sz w:val="26"/>
          <w:lang w:val="en-AU"/>
        </w:rPr>
        <w:t>to</w:t>
      </w:r>
      <w:r w:rsidR="008773C3" w:rsidRPr="00DB2166">
        <w:rPr>
          <w:rFonts w:ascii="Corbel" w:hAnsi="Corbel"/>
          <w:sz w:val="26"/>
          <w:lang w:val="en-AU"/>
        </w:rPr>
        <w:t xml:space="preserve"> and from</w:t>
      </w:r>
      <w:r w:rsidR="004B26BF" w:rsidRPr="00DB2166">
        <w:rPr>
          <w:rFonts w:ascii="Corbel" w:hAnsi="Corbel"/>
          <w:sz w:val="26"/>
          <w:lang w:val="en-AU"/>
        </w:rPr>
        <w:t xml:space="preserve"> the facility, </w:t>
      </w:r>
      <w:r w:rsidR="00947297" w:rsidRPr="00DB2166">
        <w:rPr>
          <w:rFonts w:ascii="Corbel" w:hAnsi="Corbel"/>
          <w:sz w:val="26"/>
          <w:lang w:val="en-AU"/>
        </w:rPr>
        <w:t>internal to the facility, or for travel outside the facility, such as for medical purposes</w:t>
      </w:r>
      <w:r w:rsidR="008773C3" w:rsidRPr="00DB2166">
        <w:rPr>
          <w:rFonts w:ascii="Corbel" w:hAnsi="Corbel"/>
          <w:sz w:val="26"/>
          <w:lang w:val="en-AU"/>
        </w:rPr>
        <w:t xml:space="preserve"> (including f</w:t>
      </w:r>
      <w:r w:rsidR="0090797F" w:rsidRPr="00DB2166">
        <w:rPr>
          <w:rFonts w:ascii="Corbel" w:hAnsi="Corbel"/>
          <w:sz w:val="26"/>
          <w:lang w:val="en-AU"/>
        </w:rPr>
        <w:t>or interstate medical transfer)</w:t>
      </w:r>
    </w:p>
    <w:p w14:paraId="64415BBB" w14:textId="77777777" w:rsidR="008106D5" w:rsidRPr="00DB2166" w:rsidRDefault="008106D5" w:rsidP="00DB2166">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Staff</w:t>
      </w:r>
      <w:r w:rsidR="00941A33" w:rsidRPr="00DB2166">
        <w:rPr>
          <w:rFonts w:ascii="Corbel" w:hAnsi="Corbel"/>
          <w:sz w:val="26"/>
          <w:lang w:val="en-AU"/>
        </w:rPr>
        <w:t xml:space="preserve"> recruitment,</w:t>
      </w:r>
      <w:r w:rsidR="008773C3" w:rsidRPr="00DB2166">
        <w:rPr>
          <w:rFonts w:ascii="Corbel" w:hAnsi="Corbel"/>
          <w:sz w:val="26"/>
          <w:lang w:val="en-AU"/>
        </w:rPr>
        <w:t xml:space="preserve"> induction and</w:t>
      </w:r>
      <w:r w:rsidRPr="00DB2166">
        <w:rPr>
          <w:rFonts w:ascii="Corbel" w:hAnsi="Corbel"/>
          <w:sz w:val="26"/>
          <w:lang w:val="en-AU"/>
        </w:rPr>
        <w:t xml:space="preserve"> training programs, including infection control training</w:t>
      </w:r>
      <w:r w:rsidR="00941A33" w:rsidRPr="00DB2166">
        <w:rPr>
          <w:rFonts w:ascii="Corbel" w:hAnsi="Corbel"/>
          <w:sz w:val="26"/>
          <w:lang w:val="en-AU"/>
        </w:rPr>
        <w:t xml:space="preserve"> and a nation-wide recruitment campaign to supplement the Northern Territory health workforce </w:t>
      </w:r>
    </w:p>
    <w:p w14:paraId="3A68FEA8" w14:textId="77777777" w:rsidR="008106D5" w:rsidRPr="00DB2166" w:rsidRDefault="008106D5" w:rsidP="00DB2166">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Mental health services</w:t>
      </w:r>
      <w:r w:rsidR="00670C09" w:rsidRPr="00DB2166">
        <w:rPr>
          <w:rFonts w:ascii="Corbel" w:hAnsi="Corbel"/>
          <w:sz w:val="26"/>
          <w:lang w:val="en-AU"/>
        </w:rPr>
        <w:t>– for quarantine residents and staff</w:t>
      </w:r>
    </w:p>
    <w:p w14:paraId="68FE582F" w14:textId="77777777" w:rsidR="00145BB6" w:rsidRPr="00DB2166" w:rsidRDefault="00145BB6" w:rsidP="00DB2166">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Hospital services</w:t>
      </w:r>
    </w:p>
    <w:p w14:paraId="0089E529" w14:textId="77777777" w:rsidR="008106D5" w:rsidRPr="00DB2166" w:rsidRDefault="008106D5" w:rsidP="00DB2166">
      <w:pPr>
        <w:widowControl/>
        <w:numPr>
          <w:ilvl w:val="1"/>
          <w:numId w:val="13"/>
        </w:numPr>
        <w:spacing w:after="160" w:line="259" w:lineRule="auto"/>
        <w:ind w:left="1080"/>
        <w:contextualSpacing/>
        <w:rPr>
          <w:rFonts w:ascii="Corbel" w:hAnsi="Corbel"/>
          <w:sz w:val="26"/>
          <w:lang w:val="en-AU"/>
        </w:rPr>
      </w:pPr>
      <w:r w:rsidRPr="00DB2166">
        <w:rPr>
          <w:rFonts w:ascii="Corbel" w:hAnsi="Corbel"/>
          <w:sz w:val="26"/>
          <w:lang w:val="en-AU"/>
        </w:rPr>
        <w:t>Health services including but not limited to:</w:t>
      </w:r>
    </w:p>
    <w:p w14:paraId="45290074" w14:textId="77777777" w:rsidR="00941A33" w:rsidRPr="00DB2166" w:rsidRDefault="00941A33" w:rsidP="00DB2166">
      <w:pPr>
        <w:widowControl/>
        <w:numPr>
          <w:ilvl w:val="2"/>
          <w:numId w:val="13"/>
        </w:numPr>
        <w:spacing w:after="160" w:line="259" w:lineRule="auto"/>
        <w:contextualSpacing/>
        <w:rPr>
          <w:rFonts w:ascii="Corbel" w:hAnsi="Corbel"/>
          <w:sz w:val="26"/>
          <w:lang w:val="en-AU"/>
        </w:rPr>
      </w:pPr>
      <w:r w:rsidRPr="00DB2166">
        <w:rPr>
          <w:rFonts w:ascii="Corbel" w:hAnsi="Corbel"/>
          <w:sz w:val="26"/>
          <w:lang w:val="en-AU"/>
        </w:rPr>
        <w:t xml:space="preserve">Pathology </w:t>
      </w:r>
    </w:p>
    <w:p w14:paraId="51034293" w14:textId="77777777" w:rsidR="008106D5" w:rsidRPr="00DB2166" w:rsidRDefault="008106D5" w:rsidP="00DB2166">
      <w:pPr>
        <w:widowControl/>
        <w:numPr>
          <w:ilvl w:val="2"/>
          <w:numId w:val="13"/>
        </w:numPr>
        <w:spacing w:after="160" w:line="259" w:lineRule="auto"/>
        <w:contextualSpacing/>
        <w:rPr>
          <w:rFonts w:ascii="Corbel" w:hAnsi="Corbel"/>
          <w:sz w:val="26"/>
          <w:lang w:val="en-AU"/>
        </w:rPr>
      </w:pPr>
      <w:r w:rsidRPr="00DB2166">
        <w:rPr>
          <w:rFonts w:ascii="Corbel" w:hAnsi="Corbel"/>
          <w:sz w:val="26"/>
          <w:lang w:val="en-AU"/>
        </w:rPr>
        <w:t>Primary care services</w:t>
      </w:r>
    </w:p>
    <w:p w14:paraId="051DDDF1" w14:textId="77777777" w:rsidR="008106D5" w:rsidRPr="00DB2166" w:rsidRDefault="008106D5" w:rsidP="00DB2166">
      <w:pPr>
        <w:widowControl/>
        <w:numPr>
          <w:ilvl w:val="2"/>
          <w:numId w:val="13"/>
        </w:numPr>
        <w:spacing w:after="160" w:line="259" w:lineRule="auto"/>
        <w:contextualSpacing/>
        <w:rPr>
          <w:rFonts w:ascii="Corbel" w:hAnsi="Corbel"/>
          <w:sz w:val="26"/>
          <w:lang w:val="en-AU"/>
        </w:rPr>
      </w:pPr>
      <w:r w:rsidRPr="00DB2166">
        <w:rPr>
          <w:rFonts w:ascii="Corbel" w:hAnsi="Corbel"/>
          <w:sz w:val="26"/>
          <w:lang w:val="en-AU"/>
        </w:rPr>
        <w:t>Alcohol and drug services</w:t>
      </w:r>
    </w:p>
    <w:p w14:paraId="65D8268A" w14:textId="77777777" w:rsidR="008106D5" w:rsidRPr="00DB2166" w:rsidRDefault="008106D5" w:rsidP="00DB2166">
      <w:pPr>
        <w:widowControl/>
        <w:numPr>
          <w:ilvl w:val="2"/>
          <w:numId w:val="13"/>
        </w:numPr>
        <w:spacing w:after="160" w:line="259" w:lineRule="auto"/>
        <w:contextualSpacing/>
        <w:rPr>
          <w:rFonts w:ascii="Corbel" w:hAnsi="Corbel"/>
          <w:sz w:val="26"/>
          <w:lang w:val="en-AU"/>
        </w:rPr>
      </w:pPr>
      <w:r w:rsidRPr="00DB2166">
        <w:rPr>
          <w:rFonts w:ascii="Corbel" w:hAnsi="Corbel"/>
          <w:sz w:val="26"/>
          <w:lang w:val="en-AU"/>
        </w:rPr>
        <w:t>Dental services</w:t>
      </w:r>
    </w:p>
    <w:p w14:paraId="304B5A9E" w14:textId="77777777" w:rsidR="00670C09" w:rsidRPr="00DB2166" w:rsidRDefault="00670C09" w:rsidP="00DB2166">
      <w:pPr>
        <w:widowControl/>
        <w:numPr>
          <w:ilvl w:val="2"/>
          <w:numId w:val="13"/>
        </w:numPr>
        <w:spacing w:after="160" w:line="259" w:lineRule="auto"/>
        <w:contextualSpacing/>
        <w:rPr>
          <w:rFonts w:ascii="Corbel" w:hAnsi="Corbel"/>
          <w:sz w:val="26"/>
          <w:lang w:val="en-AU"/>
        </w:rPr>
      </w:pPr>
      <w:r w:rsidRPr="00DB2166">
        <w:rPr>
          <w:rFonts w:ascii="Corbel" w:hAnsi="Corbel"/>
          <w:sz w:val="26"/>
          <w:lang w:val="en-AU"/>
        </w:rPr>
        <w:t>Maternity services</w:t>
      </w:r>
    </w:p>
    <w:p w14:paraId="55E03B1C" w14:textId="77777777" w:rsidR="00941A33" w:rsidRPr="00DB2166" w:rsidRDefault="00941A33" w:rsidP="00DB2166">
      <w:pPr>
        <w:widowControl/>
        <w:numPr>
          <w:ilvl w:val="2"/>
          <w:numId w:val="13"/>
        </w:numPr>
        <w:spacing w:after="160" w:line="259" w:lineRule="auto"/>
        <w:contextualSpacing/>
        <w:rPr>
          <w:rFonts w:ascii="Corbel" w:hAnsi="Corbel"/>
          <w:sz w:val="26"/>
          <w:lang w:val="en-AU"/>
        </w:rPr>
      </w:pPr>
      <w:r w:rsidRPr="00DB2166">
        <w:rPr>
          <w:rFonts w:ascii="Corbel" w:hAnsi="Corbel"/>
          <w:sz w:val="26"/>
          <w:lang w:val="en-AU"/>
        </w:rPr>
        <w:t>Occupational therapy / disability supports etc</w:t>
      </w:r>
    </w:p>
    <w:p w14:paraId="41DC14FB" w14:textId="6D8995B9" w:rsidR="004A07D5" w:rsidRPr="00DB2166" w:rsidRDefault="00270500" w:rsidP="004A07D5">
      <w:pPr>
        <w:widowControl/>
        <w:numPr>
          <w:ilvl w:val="1"/>
          <w:numId w:val="13"/>
        </w:numPr>
        <w:spacing w:after="160" w:line="259" w:lineRule="auto"/>
        <w:ind w:left="1080"/>
        <w:contextualSpacing/>
        <w:rPr>
          <w:rFonts w:ascii="Corbel" w:hAnsi="Corbel" w:cs="Times New Roman"/>
          <w:sz w:val="26"/>
          <w:szCs w:val="26"/>
          <w:lang w:val="en-AU"/>
        </w:rPr>
      </w:pPr>
      <w:r w:rsidRPr="00DB2166">
        <w:rPr>
          <w:rFonts w:ascii="Corbel" w:hAnsi="Corbel"/>
          <w:sz w:val="26"/>
          <w:lang w:val="en-AU"/>
        </w:rPr>
        <w:t>F</w:t>
      </w:r>
      <w:r w:rsidR="00A46E6A" w:rsidRPr="00DB2166">
        <w:rPr>
          <w:rFonts w:ascii="Corbel" w:hAnsi="Corbel"/>
          <w:sz w:val="26"/>
          <w:lang w:val="en-AU"/>
        </w:rPr>
        <w:t>acilitating</w:t>
      </w:r>
      <w:r w:rsidRPr="00DB2166">
        <w:rPr>
          <w:rFonts w:ascii="Corbel" w:hAnsi="Corbel"/>
          <w:sz w:val="26"/>
          <w:lang w:val="en-AU"/>
        </w:rPr>
        <w:t xml:space="preserve"> access to</w:t>
      </w:r>
      <w:r w:rsidR="00A46E6A" w:rsidRPr="00DB2166">
        <w:rPr>
          <w:rFonts w:ascii="Corbel" w:hAnsi="Corbel"/>
          <w:sz w:val="26"/>
          <w:lang w:val="en-AU"/>
        </w:rPr>
        <w:t xml:space="preserve"> </w:t>
      </w:r>
      <w:r w:rsidR="008106D5" w:rsidRPr="00DB2166">
        <w:rPr>
          <w:rFonts w:ascii="Corbel" w:hAnsi="Corbel"/>
          <w:sz w:val="26"/>
          <w:lang w:val="en-AU"/>
        </w:rPr>
        <w:t>welfare services</w:t>
      </w:r>
      <w:r w:rsidR="00CC5329" w:rsidRPr="00DB2166">
        <w:rPr>
          <w:rFonts w:ascii="Corbel" w:hAnsi="Corbel"/>
          <w:sz w:val="26"/>
          <w:lang w:val="en-AU"/>
        </w:rPr>
        <w:t xml:space="preserve"> and support</w:t>
      </w:r>
    </w:p>
    <w:p w14:paraId="4DEE6585" w14:textId="77777777" w:rsidR="008106D5" w:rsidRPr="00DB2166" w:rsidRDefault="008106D5" w:rsidP="003E3B5B">
      <w:pPr>
        <w:widowControl/>
        <w:numPr>
          <w:ilvl w:val="0"/>
          <w:numId w:val="13"/>
        </w:numPr>
        <w:spacing w:after="160" w:line="259" w:lineRule="auto"/>
        <w:ind w:left="360"/>
        <w:contextualSpacing/>
        <w:rPr>
          <w:rFonts w:ascii="Corbel" w:hAnsi="Corbel"/>
          <w:sz w:val="26"/>
          <w:lang w:val="en-AU"/>
        </w:rPr>
      </w:pPr>
      <w:r w:rsidRPr="00DB2166">
        <w:rPr>
          <w:rFonts w:ascii="Corbel" w:hAnsi="Corbel"/>
          <w:sz w:val="26"/>
          <w:lang w:val="en-AU"/>
        </w:rPr>
        <w:t xml:space="preserve">Capital works are automatically in scope where they are minor (up to $100,000) per activity such as painting etc. </w:t>
      </w:r>
    </w:p>
    <w:p w14:paraId="7CCBA918" w14:textId="7255ED2B" w:rsidR="004A07D5" w:rsidRPr="00DB2166" w:rsidRDefault="00670C09" w:rsidP="008106D5">
      <w:pPr>
        <w:widowControl/>
        <w:numPr>
          <w:ilvl w:val="0"/>
          <w:numId w:val="13"/>
        </w:numPr>
        <w:spacing w:after="160" w:line="259" w:lineRule="auto"/>
        <w:ind w:left="360"/>
        <w:contextualSpacing/>
        <w:rPr>
          <w:rFonts w:ascii="Corbel" w:hAnsi="Corbel"/>
          <w:sz w:val="26"/>
          <w:lang w:val="en-AU"/>
        </w:rPr>
      </w:pPr>
      <w:r w:rsidRPr="00DB2166">
        <w:rPr>
          <w:rFonts w:ascii="Corbel" w:hAnsi="Corbel"/>
          <w:sz w:val="26"/>
          <w:lang w:val="en-AU"/>
        </w:rPr>
        <w:t>A</w:t>
      </w:r>
      <w:r w:rsidR="008106D5" w:rsidRPr="00DB2166">
        <w:rPr>
          <w:rFonts w:ascii="Corbel" w:hAnsi="Corbel"/>
          <w:sz w:val="26"/>
          <w:lang w:val="en-AU"/>
        </w:rPr>
        <w:t>ny major capital works (over $100,000) need to be approved by the Commonwealth</w:t>
      </w:r>
      <w:r w:rsidR="00486F0C" w:rsidRPr="00DB2166">
        <w:rPr>
          <w:rFonts w:ascii="Corbel" w:hAnsi="Corbel"/>
          <w:sz w:val="26"/>
          <w:lang w:val="en-AU"/>
        </w:rPr>
        <w:t xml:space="preserve"> Department of Health</w:t>
      </w:r>
      <w:r w:rsidR="008106D5" w:rsidRPr="00DB2166">
        <w:rPr>
          <w:rFonts w:ascii="Corbel" w:hAnsi="Corbel"/>
          <w:sz w:val="26"/>
          <w:lang w:val="en-AU"/>
        </w:rPr>
        <w:t xml:space="preserve"> </w:t>
      </w:r>
      <w:r w:rsidRPr="00DB2166">
        <w:rPr>
          <w:rFonts w:ascii="Corbel" w:hAnsi="Corbel"/>
          <w:sz w:val="26"/>
          <w:lang w:val="en-AU"/>
        </w:rPr>
        <w:t>in</w:t>
      </w:r>
      <w:r w:rsidR="008106D5" w:rsidRPr="00DB2166">
        <w:rPr>
          <w:rFonts w:ascii="Corbel" w:hAnsi="Corbel"/>
          <w:sz w:val="26"/>
          <w:lang w:val="en-AU"/>
        </w:rPr>
        <w:t xml:space="preserve"> writing prior to works </w:t>
      </w:r>
      <w:r w:rsidRPr="00DB2166">
        <w:rPr>
          <w:rFonts w:ascii="Corbel" w:hAnsi="Corbel"/>
          <w:sz w:val="26"/>
          <w:lang w:val="en-AU"/>
        </w:rPr>
        <w:t>commencing</w:t>
      </w:r>
      <w:r w:rsidR="008106D5" w:rsidRPr="00DB2166">
        <w:rPr>
          <w:rFonts w:ascii="Corbel" w:hAnsi="Corbel"/>
          <w:sz w:val="26"/>
          <w:lang w:val="en-AU"/>
        </w:rPr>
        <w:t>.</w:t>
      </w:r>
    </w:p>
    <w:p w14:paraId="5C9AD096" w14:textId="77777777" w:rsidR="00DB2166" w:rsidRDefault="00DB2166" w:rsidP="008106D5">
      <w:pPr>
        <w:widowControl/>
        <w:spacing w:after="160" w:line="259" w:lineRule="auto"/>
        <w:rPr>
          <w:rFonts w:ascii="Corbel" w:hAnsi="Corbel" w:cs="Times New Roman"/>
          <w:sz w:val="26"/>
          <w:szCs w:val="26"/>
          <w:u w:val="single"/>
          <w:lang w:val="en-AU"/>
        </w:rPr>
      </w:pPr>
    </w:p>
    <w:p w14:paraId="7080CE5C" w14:textId="65788BDF" w:rsidR="008F1AAD" w:rsidRPr="00D2082D" w:rsidRDefault="008F1AAD" w:rsidP="008106D5">
      <w:pPr>
        <w:widowControl/>
        <w:spacing w:after="160" w:line="259" w:lineRule="auto"/>
        <w:rPr>
          <w:rFonts w:ascii="Corbel" w:hAnsi="Corbel" w:cs="Times New Roman"/>
          <w:sz w:val="26"/>
          <w:szCs w:val="26"/>
          <w:u w:val="single"/>
          <w:lang w:val="en-AU"/>
        </w:rPr>
      </w:pPr>
      <w:r w:rsidRPr="00D2082D">
        <w:rPr>
          <w:rFonts w:ascii="Corbel" w:hAnsi="Corbel" w:cs="Times New Roman"/>
          <w:sz w:val="26"/>
          <w:szCs w:val="26"/>
          <w:u w:val="single"/>
          <w:lang w:val="en-AU"/>
        </w:rPr>
        <w:t>Other</w:t>
      </w:r>
    </w:p>
    <w:p w14:paraId="18798FBE" w14:textId="77777777" w:rsidR="008F1AAD" w:rsidRPr="00D2082D" w:rsidRDefault="008F1AAD" w:rsidP="003E3B5B">
      <w:pPr>
        <w:pStyle w:val="ListParagraph"/>
        <w:widowControl/>
        <w:numPr>
          <w:ilvl w:val="0"/>
          <w:numId w:val="19"/>
        </w:numPr>
        <w:spacing w:after="160" w:line="259" w:lineRule="auto"/>
        <w:rPr>
          <w:rFonts w:ascii="Corbel" w:hAnsi="Corbel" w:cs="Times New Roman"/>
          <w:sz w:val="26"/>
          <w:szCs w:val="26"/>
          <w:lang w:val="en-AU"/>
        </w:rPr>
      </w:pPr>
      <w:r w:rsidRPr="00D2082D">
        <w:rPr>
          <w:rFonts w:ascii="Corbel" w:hAnsi="Corbel" w:cs="Times New Roman"/>
          <w:sz w:val="26"/>
          <w:szCs w:val="26"/>
          <w:lang w:val="en-AU"/>
        </w:rPr>
        <w:t xml:space="preserve">Administrative component including but not limited to </w:t>
      </w:r>
      <w:r w:rsidR="003747A4" w:rsidRPr="00D2082D">
        <w:rPr>
          <w:rFonts w:ascii="Corbel" w:hAnsi="Corbel" w:cs="Times New Roman"/>
          <w:sz w:val="26"/>
          <w:szCs w:val="26"/>
          <w:lang w:val="en-AU"/>
        </w:rPr>
        <w:t xml:space="preserve">invoicing, </w:t>
      </w:r>
      <w:r w:rsidRPr="00D2082D">
        <w:rPr>
          <w:rFonts w:ascii="Corbel" w:hAnsi="Corbel" w:cs="Times New Roman"/>
          <w:sz w:val="26"/>
          <w:szCs w:val="26"/>
          <w:lang w:val="en-AU"/>
        </w:rPr>
        <w:t xml:space="preserve">data, reporting and compliance, operational </w:t>
      </w:r>
      <w:proofErr w:type="gramStart"/>
      <w:r w:rsidRPr="00D2082D">
        <w:rPr>
          <w:rFonts w:ascii="Corbel" w:hAnsi="Corbel" w:cs="Times New Roman"/>
          <w:sz w:val="26"/>
          <w:szCs w:val="26"/>
          <w:lang w:val="en-AU"/>
        </w:rPr>
        <w:t>supports</w:t>
      </w:r>
      <w:proofErr w:type="gramEnd"/>
      <w:r w:rsidRPr="00D2082D">
        <w:rPr>
          <w:rFonts w:ascii="Corbel" w:hAnsi="Corbel" w:cs="Times New Roman"/>
          <w:sz w:val="26"/>
          <w:szCs w:val="26"/>
          <w:lang w:val="en-AU"/>
        </w:rPr>
        <w:t xml:space="preserve"> and administration. </w:t>
      </w:r>
    </w:p>
    <w:p w14:paraId="4C8AD0B6" w14:textId="03B49357" w:rsidR="003235E0" w:rsidRPr="00D2082D" w:rsidRDefault="008106D5" w:rsidP="004C6D11">
      <w:pPr>
        <w:widowControl/>
        <w:spacing w:after="160" w:line="259" w:lineRule="auto"/>
      </w:pPr>
      <w:r w:rsidRPr="00D2082D">
        <w:rPr>
          <w:rFonts w:ascii="Corbel" w:hAnsi="Corbel" w:cs="Times New Roman"/>
          <w:b/>
          <w:sz w:val="26"/>
          <w:szCs w:val="26"/>
          <w:lang w:val="en-AU"/>
        </w:rPr>
        <w:t>Note</w:t>
      </w:r>
      <w:r w:rsidRPr="00D2082D">
        <w:rPr>
          <w:rFonts w:ascii="Corbel" w:hAnsi="Corbel" w:cs="Times New Roman"/>
          <w:sz w:val="26"/>
          <w:szCs w:val="26"/>
          <w:lang w:val="en-AU"/>
        </w:rPr>
        <w:t xml:space="preserve"> – any activities that are </w:t>
      </w:r>
      <w:r w:rsidR="00343549" w:rsidRPr="00D2082D">
        <w:rPr>
          <w:rFonts w:ascii="Corbel" w:hAnsi="Corbel" w:cs="Times New Roman"/>
          <w:sz w:val="26"/>
          <w:szCs w:val="26"/>
          <w:lang w:val="en-AU"/>
        </w:rPr>
        <w:t xml:space="preserve">claimed </w:t>
      </w:r>
      <w:r w:rsidRPr="00D2082D">
        <w:rPr>
          <w:rFonts w:ascii="Corbel" w:hAnsi="Corbel" w:cs="Times New Roman"/>
          <w:sz w:val="26"/>
          <w:szCs w:val="26"/>
          <w:lang w:val="en-AU"/>
        </w:rPr>
        <w:t xml:space="preserve">under the </w:t>
      </w:r>
      <w:r w:rsidR="00486F0C" w:rsidRPr="00D2082D">
        <w:rPr>
          <w:rFonts w:ascii="Corbel" w:hAnsi="Corbel" w:cs="Times New Roman"/>
          <w:sz w:val="26"/>
          <w:szCs w:val="26"/>
          <w:lang w:val="en-AU"/>
        </w:rPr>
        <w:t xml:space="preserve">National Partnership </w:t>
      </w:r>
      <w:r w:rsidRPr="00D2082D">
        <w:rPr>
          <w:rFonts w:ascii="Corbel" w:hAnsi="Corbel" w:cs="Times New Roman"/>
          <w:sz w:val="26"/>
          <w:szCs w:val="26"/>
          <w:lang w:val="en-AU"/>
        </w:rPr>
        <w:t>on COVID-19 response</w:t>
      </w:r>
      <w:r w:rsidR="00AC0472" w:rsidRPr="00D2082D">
        <w:rPr>
          <w:rFonts w:ascii="Corbel" w:hAnsi="Corbel" w:cs="Times New Roman"/>
          <w:sz w:val="26"/>
          <w:szCs w:val="26"/>
          <w:lang w:val="en-AU"/>
        </w:rPr>
        <w:t xml:space="preserve"> </w:t>
      </w:r>
      <w:r w:rsidRPr="00D2082D">
        <w:rPr>
          <w:rFonts w:ascii="Corbel" w:hAnsi="Corbel" w:cs="Times New Roman"/>
          <w:sz w:val="26"/>
          <w:szCs w:val="26"/>
          <w:lang w:val="en-AU"/>
        </w:rPr>
        <w:t xml:space="preserve">do not form part of this </w:t>
      </w:r>
      <w:r w:rsidR="00670C09" w:rsidRPr="00D2082D">
        <w:rPr>
          <w:rFonts w:ascii="Corbel" w:hAnsi="Corbel" w:cs="Times New Roman"/>
          <w:sz w:val="26"/>
          <w:szCs w:val="26"/>
          <w:lang w:val="en-AU"/>
        </w:rPr>
        <w:t>Schedule</w:t>
      </w:r>
      <w:r w:rsidRPr="00D2082D">
        <w:rPr>
          <w:rFonts w:ascii="Corbel" w:hAnsi="Corbel" w:cs="Times New Roman"/>
          <w:sz w:val="26"/>
          <w:szCs w:val="26"/>
          <w:lang w:val="en-AU"/>
        </w:rPr>
        <w:t xml:space="preserve">. </w:t>
      </w:r>
      <w:r w:rsidR="00450B4F" w:rsidRPr="00D2082D">
        <w:rPr>
          <w:rFonts w:ascii="Corbel" w:hAnsi="Corbel" w:cs="Times New Roman"/>
          <w:sz w:val="26"/>
          <w:szCs w:val="26"/>
          <w:lang w:val="en-AU"/>
        </w:rPr>
        <w:t xml:space="preserve">For example, </w:t>
      </w:r>
      <w:r w:rsidR="00486F0C" w:rsidRPr="00D2082D">
        <w:rPr>
          <w:rFonts w:ascii="Corbel" w:hAnsi="Corbel" w:cs="Times New Roman"/>
          <w:sz w:val="26"/>
          <w:szCs w:val="26"/>
          <w:lang w:val="en-AU"/>
        </w:rPr>
        <w:t xml:space="preserve">any </w:t>
      </w:r>
      <w:r w:rsidR="00E112E2" w:rsidRPr="00D2082D">
        <w:rPr>
          <w:rFonts w:ascii="Corbel" w:hAnsi="Corbel" w:cs="Times New Roman"/>
          <w:sz w:val="26"/>
          <w:szCs w:val="26"/>
          <w:lang w:val="en-AU"/>
        </w:rPr>
        <w:t>PPE</w:t>
      </w:r>
      <w:r w:rsidR="00450B4F" w:rsidRPr="00D2082D">
        <w:rPr>
          <w:rFonts w:ascii="Corbel" w:hAnsi="Corbel" w:cs="Times New Roman"/>
          <w:sz w:val="26"/>
          <w:szCs w:val="26"/>
          <w:lang w:val="en-AU"/>
        </w:rPr>
        <w:t xml:space="preserve"> </w:t>
      </w:r>
      <w:r w:rsidR="00486F0C" w:rsidRPr="00D2082D">
        <w:rPr>
          <w:rFonts w:ascii="Corbel" w:hAnsi="Corbel" w:cs="Times New Roman"/>
          <w:sz w:val="26"/>
          <w:szCs w:val="26"/>
          <w:lang w:val="en-AU"/>
        </w:rPr>
        <w:t xml:space="preserve">that has been </w:t>
      </w:r>
      <w:r w:rsidR="00343549" w:rsidRPr="00D2082D">
        <w:rPr>
          <w:rFonts w:ascii="Corbel" w:hAnsi="Corbel" w:cs="Times New Roman"/>
          <w:sz w:val="26"/>
          <w:szCs w:val="26"/>
          <w:lang w:val="en-AU"/>
        </w:rPr>
        <w:t>claimed</w:t>
      </w:r>
      <w:r w:rsidR="00450B4F" w:rsidRPr="00D2082D">
        <w:rPr>
          <w:rFonts w:ascii="Corbel" w:hAnsi="Corbel" w:cs="Times New Roman"/>
          <w:sz w:val="26"/>
          <w:szCs w:val="26"/>
          <w:lang w:val="en-AU"/>
        </w:rPr>
        <w:t xml:space="preserve"> under the N</w:t>
      </w:r>
      <w:r w:rsidR="00486F0C" w:rsidRPr="00D2082D">
        <w:rPr>
          <w:rFonts w:ascii="Corbel" w:hAnsi="Corbel" w:cs="Times New Roman"/>
          <w:sz w:val="26"/>
          <w:szCs w:val="26"/>
          <w:lang w:val="en-AU"/>
        </w:rPr>
        <w:t xml:space="preserve">ational </w:t>
      </w:r>
      <w:r w:rsidR="00450B4F" w:rsidRPr="00D2082D">
        <w:rPr>
          <w:rFonts w:ascii="Corbel" w:hAnsi="Corbel" w:cs="Times New Roman"/>
          <w:sz w:val="26"/>
          <w:szCs w:val="26"/>
          <w:lang w:val="en-AU"/>
        </w:rPr>
        <w:t>P</w:t>
      </w:r>
      <w:r w:rsidR="00486F0C" w:rsidRPr="00D2082D">
        <w:rPr>
          <w:rFonts w:ascii="Corbel" w:hAnsi="Corbel" w:cs="Times New Roman"/>
          <w:sz w:val="26"/>
          <w:szCs w:val="26"/>
          <w:lang w:val="en-AU"/>
        </w:rPr>
        <w:t>artnership is not eligible to also be funded under</w:t>
      </w:r>
      <w:r w:rsidR="00450B4F" w:rsidRPr="00D2082D">
        <w:rPr>
          <w:rFonts w:ascii="Corbel" w:hAnsi="Corbel" w:cs="Times New Roman"/>
          <w:sz w:val="26"/>
          <w:szCs w:val="26"/>
          <w:lang w:val="en-AU"/>
        </w:rPr>
        <w:t xml:space="preserve"> </w:t>
      </w:r>
      <w:r w:rsidR="00E112E2" w:rsidRPr="00D2082D">
        <w:rPr>
          <w:rFonts w:ascii="Corbel" w:hAnsi="Corbel" w:cs="Times New Roman"/>
          <w:sz w:val="26"/>
          <w:szCs w:val="26"/>
          <w:lang w:val="en-AU"/>
        </w:rPr>
        <w:t xml:space="preserve">this </w:t>
      </w:r>
      <w:r w:rsidR="00670C09" w:rsidRPr="00D2082D">
        <w:rPr>
          <w:rFonts w:ascii="Corbel" w:hAnsi="Corbel" w:cs="Times New Roman"/>
          <w:sz w:val="26"/>
          <w:szCs w:val="26"/>
          <w:lang w:val="en-AU"/>
        </w:rPr>
        <w:t>Schedule</w:t>
      </w:r>
      <w:r w:rsidR="00450B4F" w:rsidRPr="00D2082D">
        <w:rPr>
          <w:rFonts w:ascii="Corbel" w:hAnsi="Corbel" w:cs="Times New Roman"/>
          <w:sz w:val="26"/>
          <w:szCs w:val="26"/>
          <w:lang w:val="en-AU"/>
        </w:rPr>
        <w:t xml:space="preserve">. </w:t>
      </w:r>
      <w:r w:rsidR="00AC0472" w:rsidRPr="00D2082D">
        <w:rPr>
          <w:rFonts w:ascii="Corbel" w:hAnsi="Corbel" w:cs="Times New Roman"/>
          <w:sz w:val="26"/>
          <w:szCs w:val="26"/>
          <w:lang w:val="en-AU"/>
        </w:rPr>
        <w:t xml:space="preserve">Similarly, any service, or part of a service, that is </w:t>
      </w:r>
      <w:r w:rsidR="00343549" w:rsidRPr="00D2082D">
        <w:rPr>
          <w:rFonts w:ascii="Corbel" w:hAnsi="Corbel" w:cs="Times New Roman"/>
          <w:sz w:val="26"/>
          <w:szCs w:val="26"/>
          <w:lang w:val="en-AU"/>
        </w:rPr>
        <w:t xml:space="preserve">claimed </w:t>
      </w:r>
      <w:r w:rsidR="00AC0472" w:rsidRPr="00D2082D">
        <w:rPr>
          <w:rFonts w:ascii="Corbel" w:hAnsi="Corbel" w:cs="Times New Roman"/>
          <w:sz w:val="26"/>
          <w:szCs w:val="26"/>
          <w:lang w:val="en-AU"/>
        </w:rPr>
        <w:t>through any other Commonwealth program is not eligible to be receive a Commonwealth funding contribution via this agreement.</w:t>
      </w:r>
    </w:p>
    <w:sectPr w:rsidR="003235E0" w:rsidRPr="00D208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1F0B5" w14:textId="77777777" w:rsidR="00B10F60" w:rsidRDefault="00B10F60">
      <w:r>
        <w:separator/>
      </w:r>
    </w:p>
  </w:endnote>
  <w:endnote w:type="continuationSeparator" w:id="0">
    <w:p w14:paraId="4D083750" w14:textId="77777777" w:rsidR="00B10F60" w:rsidRDefault="00B10F60">
      <w:r>
        <w:continuationSeparator/>
      </w:r>
    </w:p>
  </w:endnote>
  <w:endnote w:type="continuationNotice" w:id="1">
    <w:p w14:paraId="363B7148" w14:textId="77777777" w:rsidR="00B10F60" w:rsidRDefault="00B10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2CAA" w14:textId="77777777" w:rsidR="00B10F60" w:rsidRDefault="00B10F60">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CFD2C" w14:textId="1E2E295B" w:rsidR="00B10F60" w:rsidRDefault="00B10F60" w:rsidP="003A7E0E">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459510"/>
      <w:docPartObj>
        <w:docPartGallery w:val="Page Numbers (Bottom of Page)"/>
        <w:docPartUnique/>
      </w:docPartObj>
    </w:sdtPr>
    <w:sdtEndPr>
      <w:rPr>
        <w:noProof/>
      </w:rPr>
    </w:sdtEndPr>
    <w:sdtContent>
      <w:p w14:paraId="131E62A4" w14:textId="041B6BDF" w:rsidR="00B10F60" w:rsidRDefault="00B10F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02CB" w14:textId="77777777" w:rsidR="00B10F60" w:rsidRDefault="00B10F60">
      <w:r>
        <w:separator/>
      </w:r>
    </w:p>
  </w:footnote>
  <w:footnote w:type="continuationSeparator" w:id="0">
    <w:p w14:paraId="38B176D0" w14:textId="77777777" w:rsidR="00B10F60" w:rsidRDefault="00B10F60">
      <w:r>
        <w:continuationSeparator/>
      </w:r>
    </w:p>
  </w:footnote>
  <w:footnote w:type="continuationNotice" w:id="1">
    <w:p w14:paraId="116BD933" w14:textId="77777777" w:rsidR="00B10F60" w:rsidRDefault="00B10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32F2" w14:textId="77777777" w:rsidR="00C53E52" w:rsidRDefault="00C53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A6E7" w14:textId="77777777" w:rsidR="00B10F60" w:rsidRDefault="00B10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84A3" w14:textId="77777777" w:rsidR="00B10F60" w:rsidRDefault="00B10F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5EFB" w14:textId="77777777" w:rsidR="00B10F60" w:rsidRDefault="00B10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2BE6"/>
    <w:multiLevelType w:val="hybridMultilevel"/>
    <w:tmpl w:val="A1B65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07272"/>
    <w:multiLevelType w:val="hybridMultilevel"/>
    <w:tmpl w:val="D8387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87F9A"/>
    <w:multiLevelType w:val="hybridMultilevel"/>
    <w:tmpl w:val="BA2A6D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784448"/>
    <w:multiLevelType w:val="hybridMultilevel"/>
    <w:tmpl w:val="2338685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F91715A"/>
    <w:multiLevelType w:val="hybridMultilevel"/>
    <w:tmpl w:val="BA2A6D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7D4F28"/>
    <w:multiLevelType w:val="hybridMultilevel"/>
    <w:tmpl w:val="BA2A6D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CE50A0"/>
    <w:multiLevelType w:val="hybridMultilevel"/>
    <w:tmpl w:val="EE96B2B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A06394"/>
    <w:multiLevelType w:val="hybridMultilevel"/>
    <w:tmpl w:val="BA2A6D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304039"/>
    <w:multiLevelType w:val="hybridMultilevel"/>
    <w:tmpl w:val="BA2A6D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6A3AC6"/>
    <w:multiLevelType w:val="hybridMultilevel"/>
    <w:tmpl w:val="BA2A6D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D944C5"/>
    <w:multiLevelType w:val="hybridMultilevel"/>
    <w:tmpl w:val="749AA2B6"/>
    <w:lvl w:ilvl="0" w:tplc="B20E3B5A">
      <w:start w:val="1"/>
      <w:numFmt w:val="lowerRoman"/>
      <w:lvlText w:val="%1."/>
      <w:lvlJc w:val="right"/>
      <w:pPr>
        <w:ind w:left="1440" w:hanging="360"/>
      </w:pPr>
      <w:rPr>
        <w:b w:val="0"/>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F6B3913"/>
    <w:multiLevelType w:val="hybridMultilevel"/>
    <w:tmpl w:val="BA2A6D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675FE7"/>
    <w:multiLevelType w:val="hybridMultilevel"/>
    <w:tmpl w:val="BA2A6D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A70CE"/>
    <w:multiLevelType w:val="hybridMultilevel"/>
    <w:tmpl w:val="BA2A6D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950C1"/>
    <w:multiLevelType w:val="hybridMultilevel"/>
    <w:tmpl w:val="4016E92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23802C26">
      <w:numFmt w:val="bullet"/>
      <w:lvlText w:val="-"/>
      <w:lvlJc w:val="left"/>
      <w:pPr>
        <w:ind w:left="2340" w:hanging="360"/>
      </w:pPr>
      <w:rPr>
        <w:rFonts w:ascii="Corbel" w:eastAsia="Times New Roman" w:hAnsi="Corbe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FD22D5"/>
    <w:multiLevelType w:val="hybridMultilevel"/>
    <w:tmpl w:val="D6BCABE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4D3469B"/>
    <w:multiLevelType w:val="hybridMultilevel"/>
    <w:tmpl w:val="7F8ED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37271C"/>
    <w:multiLevelType w:val="hybridMultilevel"/>
    <w:tmpl w:val="1A88544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9" w15:restartNumberingAfterBreak="0">
    <w:nsid w:val="6E451FF1"/>
    <w:multiLevelType w:val="hybridMultilevel"/>
    <w:tmpl w:val="2338685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7DFD2758"/>
    <w:multiLevelType w:val="hybridMultilevel"/>
    <w:tmpl w:val="FE2C64E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8"/>
  </w:num>
  <w:num w:numId="3">
    <w:abstractNumId w:val="12"/>
  </w:num>
  <w:num w:numId="4">
    <w:abstractNumId w:val="11"/>
  </w:num>
  <w:num w:numId="5">
    <w:abstractNumId w:val="6"/>
  </w:num>
  <w:num w:numId="6">
    <w:abstractNumId w:val="13"/>
  </w:num>
  <w:num w:numId="7">
    <w:abstractNumId w:val="21"/>
  </w:num>
  <w:num w:numId="8">
    <w:abstractNumId w:val="5"/>
  </w:num>
  <w:num w:numId="9">
    <w:abstractNumId w:val="7"/>
  </w:num>
  <w:num w:numId="10">
    <w:abstractNumId w:val="4"/>
  </w:num>
  <w:num w:numId="11">
    <w:abstractNumId w:val="19"/>
  </w:num>
  <w:num w:numId="12">
    <w:abstractNumId w:val="10"/>
  </w:num>
  <w:num w:numId="13">
    <w:abstractNumId w:val="1"/>
  </w:num>
  <w:num w:numId="14">
    <w:abstractNumId w:val="8"/>
  </w:num>
  <w:num w:numId="15">
    <w:abstractNumId w:val="17"/>
  </w:num>
  <w:num w:numId="16">
    <w:abstractNumId w:val="3"/>
  </w:num>
  <w:num w:numId="17">
    <w:abstractNumId w:val="14"/>
  </w:num>
  <w:num w:numId="18">
    <w:abstractNumId w:val="15"/>
  </w:num>
  <w:num w:numId="19">
    <w:abstractNumId w:val="0"/>
  </w:num>
  <w:num w:numId="20">
    <w:abstractNumId w:val="2"/>
  </w:num>
  <w:num w:numId="21">
    <w:abstractNumId w:val="9"/>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177C"/>
    <w:rsid w:val="0001227A"/>
    <w:rsid w:val="00012F58"/>
    <w:rsid w:val="00027F6E"/>
    <w:rsid w:val="0003066F"/>
    <w:rsid w:val="000327B2"/>
    <w:rsid w:val="000331DA"/>
    <w:rsid w:val="000343D5"/>
    <w:rsid w:val="000366A7"/>
    <w:rsid w:val="0004060A"/>
    <w:rsid w:val="00040A40"/>
    <w:rsid w:val="00041755"/>
    <w:rsid w:val="00041C1A"/>
    <w:rsid w:val="000424A2"/>
    <w:rsid w:val="00042896"/>
    <w:rsid w:val="0004481B"/>
    <w:rsid w:val="00051962"/>
    <w:rsid w:val="00052B56"/>
    <w:rsid w:val="0005524A"/>
    <w:rsid w:val="000579BF"/>
    <w:rsid w:val="0006472E"/>
    <w:rsid w:val="0006555E"/>
    <w:rsid w:val="000707DC"/>
    <w:rsid w:val="000716D5"/>
    <w:rsid w:val="00073EF2"/>
    <w:rsid w:val="00074163"/>
    <w:rsid w:val="00085028"/>
    <w:rsid w:val="00085C9E"/>
    <w:rsid w:val="00090065"/>
    <w:rsid w:val="0009115B"/>
    <w:rsid w:val="00095DD1"/>
    <w:rsid w:val="00097E8B"/>
    <w:rsid w:val="000A07D5"/>
    <w:rsid w:val="000A2842"/>
    <w:rsid w:val="000B4575"/>
    <w:rsid w:val="000B6B12"/>
    <w:rsid w:val="000B6EDC"/>
    <w:rsid w:val="000B71E0"/>
    <w:rsid w:val="000C1B2E"/>
    <w:rsid w:val="000C363D"/>
    <w:rsid w:val="000C60BF"/>
    <w:rsid w:val="000E2AF5"/>
    <w:rsid w:val="000E6F80"/>
    <w:rsid w:val="000F22CD"/>
    <w:rsid w:val="000F363E"/>
    <w:rsid w:val="000F4E61"/>
    <w:rsid w:val="000F6A55"/>
    <w:rsid w:val="000F6E62"/>
    <w:rsid w:val="001034B0"/>
    <w:rsid w:val="00104A9A"/>
    <w:rsid w:val="00105194"/>
    <w:rsid w:val="00107122"/>
    <w:rsid w:val="00115F5C"/>
    <w:rsid w:val="00134C91"/>
    <w:rsid w:val="00140685"/>
    <w:rsid w:val="00145BB6"/>
    <w:rsid w:val="00152F7F"/>
    <w:rsid w:val="00153274"/>
    <w:rsid w:val="0015494D"/>
    <w:rsid w:val="00155053"/>
    <w:rsid w:val="00156870"/>
    <w:rsid w:val="00157185"/>
    <w:rsid w:val="00161109"/>
    <w:rsid w:val="00164FFB"/>
    <w:rsid w:val="00173AEB"/>
    <w:rsid w:val="00191833"/>
    <w:rsid w:val="00194382"/>
    <w:rsid w:val="00194A80"/>
    <w:rsid w:val="001A52E3"/>
    <w:rsid w:val="001B0ED0"/>
    <w:rsid w:val="001B1F19"/>
    <w:rsid w:val="001C02CF"/>
    <w:rsid w:val="001C535B"/>
    <w:rsid w:val="001E09AC"/>
    <w:rsid w:val="001E1036"/>
    <w:rsid w:val="001E153E"/>
    <w:rsid w:val="001E4566"/>
    <w:rsid w:val="00203AB8"/>
    <w:rsid w:val="00212ABD"/>
    <w:rsid w:val="0021633E"/>
    <w:rsid w:val="0023336F"/>
    <w:rsid w:val="0023558E"/>
    <w:rsid w:val="002415FB"/>
    <w:rsid w:val="0024223B"/>
    <w:rsid w:val="00244BCF"/>
    <w:rsid w:val="002521DC"/>
    <w:rsid w:val="00254A7B"/>
    <w:rsid w:val="00254F0E"/>
    <w:rsid w:val="00255684"/>
    <w:rsid w:val="0025588D"/>
    <w:rsid w:val="00256D24"/>
    <w:rsid w:val="002623B2"/>
    <w:rsid w:val="002641BD"/>
    <w:rsid w:val="0026644E"/>
    <w:rsid w:val="00270500"/>
    <w:rsid w:val="00274534"/>
    <w:rsid w:val="0027500A"/>
    <w:rsid w:val="00275F69"/>
    <w:rsid w:val="00277CF7"/>
    <w:rsid w:val="00277EF2"/>
    <w:rsid w:val="00285198"/>
    <w:rsid w:val="00285433"/>
    <w:rsid w:val="002945C8"/>
    <w:rsid w:val="00295C10"/>
    <w:rsid w:val="002A551F"/>
    <w:rsid w:val="002A56CD"/>
    <w:rsid w:val="002B380D"/>
    <w:rsid w:val="002C11A7"/>
    <w:rsid w:val="002C45D7"/>
    <w:rsid w:val="002C467D"/>
    <w:rsid w:val="002C5855"/>
    <w:rsid w:val="002C6F52"/>
    <w:rsid w:val="002D1D80"/>
    <w:rsid w:val="002D3EEB"/>
    <w:rsid w:val="002D46B8"/>
    <w:rsid w:val="002D50E4"/>
    <w:rsid w:val="002D7561"/>
    <w:rsid w:val="002E2C3D"/>
    <w:rsid w:val="002E3902"/>
    <w:rsid w:val="002E3D92"/>
    <w:rsid w:val="002E5249"/>
    <w:rsid w:val="002E55E2"/>
    <w:rsid w:val="002E5763"/>
    <w:rsid w:val="002E6CC0"/>
    <w:rsid w:val="002E75A0"/>
    <w:rsid w:val="002F23C7"/>
    <w:rsid w:val="002F45FE"/>
    <w:rsid w:val="002F7E8F"/>
    <w:rsid w:val="003061CE"/>
    <w:rsid w:val="00310A6A"/>
    <w:rsid w:val="00312467"/>
    <w:rsid w:val="003144F7"/>
    <w:rsid w:val="0031496F"/>
    <w:rsid w:val="003174C0"/>
    <w:rsid w:val="003235E0"/>
    <w:rsid w:val="00323C5E"/>
    <w:rsid w:val="00324080"/>
    <w:rsid w:val="00326FC6"/>
    <w:rsid w:val="00327B50"/>
    <w:rsid w:val="00331CDA"/>
    <w:rsid w:val="00337C58"/>
    <w:rsid w:val="00342A60"/>
    <w:rsid w:val="00342E5C"/>
    <w:rsid w:val="00343549"/>
    <w:rsid w:val="003545A7"/>
    <w:rsid w:val="00356513"/>
    <w:rsid w:val="00361D25"/>
    <w:rsid w:val="00362B48"/>
    <w:rsid w:val="003701E5"/>
    <w:rsid w:val="0037413C"/>
    <w:rsid w:val="003747A4"/>
    <w:rsid w:val="00381E11"/>
    <w:rsid w:val="00381EAD"/>
    <w:rsid w:val="00381EAF"/>
    <w:rsid w:val="00383389"/>
    <w:rsid w:val="003864CE"/>
    <w:rsid w:val="00394F64"/>
    <w:rsid w:val="003A6264"/>
    <w:rsid w:val="003A7E0E"/>
    <w:rsid w:val="003B57ED"/>
    <w:rsid w:val="003C2F61"/>
    <w:rsid w:val="003C493B"/>
    <w:rsid w:val="003D0DD8"/>
    <w:rsid w:val="003E3B5B"/>
    <w:rsid w:val="003F273A"/>
    <w:rsid w:val="003F2EB3"/>
    <w:rsid w:val="003F6CFB"/>
    <w:rsid w:val="003F6DC7"/>
    <w:rsid w:val="004019A2"/>
    <w:rsid w:val="004040AD"/>
    <w:rsid w:val="00407DB2"/>
    <w:rsid w:val="00412253"/>
    <w:rsid w:val="00420536"/>
    <w:rsid w:val="00427055"/>
    <w:rsid w:val="0043368C"/>
    <w:rsid w:val="00433C30"/>
    <w:rsid w:val="00434C6D"/>
    <w:rsid w:val="004359AE"/>
    <w:rsid w:val="004436F6"/>
    <w:rsid w:val="00445509"/>
    <w:rsid w:val="00450B4F"/>
    <w:rsid w:val="00456EBE"/>
    <w:rsid w:val="00462811"/>
    <w:rsid w:val="00463519"/>
    <w:rsid w:val="00466ED4"/>
    <w:rsid w:val="00470001"/>
    <w:rsid w:val="00475392"/>
    <w:rsid w:val="00481C18"/>
    <w:rsid w:val="004850A3"/>
    <w:rsid w:val="00486F0C"/>
    <w:rsid w:val="00492CBB"/>
    <w:rsid w:val="00496D3A"/>
    <w:rsid w:val="004A07D5"/>
    <w:rsid w:val="004A2729"/>
    <w:rsid w:val="004A3B96"/>
    <w:rsid w:val="004A436F"/>
    <w:rsid w:val="004A43CE"/>
    <w:rsid w:val="004A4821"/>
    <w:rsid w:val="004B26BF"/>
    <w:rsid w:val="004C2105"/>
    <w:rsid w:val="004C6D11"/>
    <w:rsid w:val="004C7758"/>
    <w:rsid w:val="004D1178"/>
    <w:rsid w:val="004D2DDD"/>
    <w:rsid w:val="004D35A4"/>
    <w:rsid w:val="004D6C5F"/>
    <w:rsid w:val="004D6FAB"/>
    <w:rsid w:val="004E2151"/>
    <w:rsid w:val="004E40CF"/>
    <w:rsid w:val="004E4351"/>
    <w:rsid w:val="004E5E37"/>
    <w:rsid w:val="004F1364"/>
    <w:rsid w:val="004F57A5"/>
    <w:rsid w:val="004F5A5E"/>
    <w:rsid w:val="004F600A"/>
    <w:rsid w:val="004F7456"/>
    <w:rsid w:val="00502A6D"/>
    <w:rsid w:val="005124FF"/>
    <w:rsid w:val="00514465"/>
    <w:rsid w:val="005144D5"/>
    <w:rsid w:val="00515F19"/>
    <w:rsid w:val="0051712B"/>
    <w:rsid w:val="005171EE"/>
    <w:rsid w:val="00523ADE"/>
    <w:rsid w:val="00534AFC"/>
    <w:rsid w:val="0053666A"/>
    <w:rsid w:val="005410BA"/>
    <w:rsid w:val="00547A73"/>
    <w:rsid w:val="005502B5"/>
    <w:rsid w:val="00552916"/>
    <w:rsid w:val="00561DE4"/>
    <w:rsid w:val="00567707"/>
    <w:rsid w:val="0057124B"/>
    <w:rsid w:val="0057137E"/>
    <w:rsid w:val="00576E7E"/>
    <w:rsid w:val="00581260"/>
    <w:rsid w:val="00583E11"/>
    <w:rsid w:val="00586B93"/>
    <w:rsid w:val="00590B10"/>
    <w:rsid w:val="00593A67"/>
    <w:rsid w:val="0059432C"/>
    <w:rsid w:val="005957F2"/>
    <w:rsid w:val="00597FCC"/>
    <w:rsid w:val="005A0553"/>
    <w:rsid w:val="005B49A0"/>
    <w:rsid w:val="005B55D9"/>
    <w:rsid w:val="005B64B6"/>
    <w:rsid w:val="005B7B88"/>
    <w:rsid w:val="005C09CA"/>
    <w:rsid w:val="005C5E06"/>
    <w:rsid w:val="005D27D0"/>
    <w:rsid w:val="005D3027"/>
    <w:rsid w:val="005E0B62"/>
    <w:rsid w:val="005E5051"/>
    <w:rsid w:val="005E7833"/>
    <w:rsid w:val="005F10C6"/>
    <w:rsid w:val="005F2D97"/>
    <w:rsid w:val="005F5FC6"/>
    <w:rsid w:val="006001A1"/>
    <w:rsid w:val="00605804"/>
    <w:rsid w:val="00606831"/>
    <w:rsid w:val="006068D1"/>
    <w:rsid w:val="0061305E"/>
    <w:rsid w:val="00613778"/>
    <w:rsid w:val="00613F4F"/>
    <w:rsid w:val="006160AE"/>
    <w:rsid w:val="00624C37"/>
    <w:rsid w:val="00630EA3"/>
    <w:rsid w:val="00632060"/>
    <w:rsid w:val="00636669"/>
    <w:rsid w:val="00650E4B"/>
    <w:rsid w:val="00650F18"/>
    <w:rsid w:val="00652FD5"/>
    <w:rsid w:val="00660FAE"/>
    <w:rsid w:val="00664790"/>
    <w:rsid w:val="006647C0"/>
    <w:rsid w:val="00670C09"/>
    <w:rsid w:val="00672309"/>
    <w:rsid w:val="0068142A"/>
    <w:rsid w:val="0068740E"/>
    <w:rsid w:val="006A23A6"/>
    <w:rsid w:val="006A2B32"/>
    <w:rsid w:val="006A424B"/>
    <w:rsid w:val="006B2FF6"/>
    <w:rsid w:val="006B371E"/>
    <w:rsid w:val="006B420E"/>
    <w:rsid w:val="006B4C01"/>
    <w:rsid w:val="006B66AE"/>
    <w:rsid w:val="006B6D26"/>
    <w:rsid w:val="006B6E73"/>
    <w:rsid w:val="006C1367"/>
    <w:rsid w:val="006C5A7E"/>
    <w:rsid w:val="006D241D"/>
    <w:rsid w:val="006D570E"/>
    <w:rsid w:val="006D6BB8"/>
    <w:rsid w:val="006E25D8"/>
    <w:rsid w:val="006F1BB8"/>
    <w:rsid w:val="006F7267"/>
    <w:rsid w:val="0070010D"/>
    <w:rsid w:val="00703AC5"/>
    <w:rsid w:val="00704099"/>
    <w:rsid w:val="00706CC3"/>
    <w:rsid w:val="007073C6"/>
    <w:rsid w:val="007103E1"/>
    <w:rsid w:val="00715BFD"/>
    <w:rsid w:val="00717C1D"/>
    <w:rsid w:val="00720737"/>
    <w:rsid w:val="00721240"/>
    <w:rsid w:val="007226B1"/>
    <w:rsid w:val="0072525C"/>
    <w:rsid w:val="007259FE"/>
    <w:rsid w:val="007262F2"/>
    <w:rsid w:val="00727275"/>
    <w:rsid w:val="0074010A"/>
    <w:rsid w:val="00743FFD"/>
    <w:rsid w:val="0074465E"/>
    <w:rsid w:val="00756C53"/>
    <w:rsid w:val="00757DF1"/>
    <w:rsid w:val="00762D4C"/>
    <w:rsid w:val="007636F3"/>
    <w:rsid w:val="00765E8D"/>
    <w:rsid w:val="00767844"/>
    <w:rsid w:val="00767B10"/>
    <w:rsid w:val="00774808"/>
    <w:rsid w:val="007767D5"/>
    <w:rsid w:val="00785986"/>
    <w:rsid w:val="0078710E"/>
    <w:rsid w:val="00792E42"/>
    <w:rsid w:val="00794A8A"/>
    <w:rsid w:val="007A0583"/>
    <w:rsid w:val="007A501A"/>
    <w:rsid w:val="007A7C37"/>
    <w:rsid w:val="007B098F"/>
    <w:rsid w:val="007B7759"/>
    <w:rsid w:val="007C780E"/>
    <w:rsid w:val="007C79C8"/>
    <w:rsid w:val="007D191B"/>
    <w:rsid w:val="007D7595"/>
    <w:rsid w:val="007E014B"/>
    <w:rsid w:val="007E0A92"/>
    <w:rsid w:val="007E37F5"/>
    <w:rsid w:val="007F6339"/>
    <w:rsid w:val="00800A54"/>
    <w:rsid w:val="00800E82"/>
    <w:rsid w:val="008045E9"/>
    <w:rsid w:val="008106D5"/>
    <w:rsid w:val="008116B2"/>
    <w:rsid w:val="008126A6"/>
    <w:rsid w:val="00815159"/>
    <w:rsid w:val="00816188"/>
    <w:rsid w:val="00816F6A"/>
    <w:rsid w:val="0081760D"/>
    <w:rsid w:val="00824158"/>
    <w:rsid w:val="00834BCE"/>
    <w:rsid w:val="00836682"/>
    <w:rsid w:val="0083746C"/>
    <w:rsid w:val="00841DF1"/>
    <w:rsid w:val="008465B5"/>
    <w:rsid w:val="008542B7"/>
    <w:rsid w:val="00854392"/>
    <w:rsid w:val="008577B6"/>
    <w:rsid w:val="008605CA"/>
    <w:rsid w:val="00866541"/>
    <w:rsid w:val="00871744"/>
    <w:rsid w:val="00874DDC"/>
    <w:rsid w:val="0087629F"/>
    <w:rsid w:val="008773C3"/>
    <w:rsid w:val="00884254"/>
    <w:rsid w:val="00884E8F"/>
    <w:rsid w:val="00886E9D"/>
    <w:rsid w:val="00890A4C"/>
    <w:rsid w:val="00892527"/>
    <w:rsid w:val="008970A9"/>
    <w:rsid w:val="008B034D"/>
    <w:rsid w:val="008D018D"/>
    <w:rsid w:val="008D67F5"/>
    <w:rsid w:val="008D7DAC"/>
    <w:rsid w:val="008E64A9"/>
    <w:rsid w:val="008E7085"/>
    <w:rsid w:val="008F1AAD"/>
    <w:rsid w:val="008F58CC"/>
    <w:rsid w:val="008F76E1"/>
    <w:rsid w:val="0090717B"/>
    <w:rsid w:val="0090797F"/>
    <w:rsid w:val="00911C0C"/>
    <w:rsid w:val="00913991"/>
    <w:rsid w:val="00917B91"/>
    <w:rsid w:val="00930898"/>
    <w:rsid w:val="0093337B"/>
    <w:rsid w:val="00936E88"/>
    <w:rsid w:val="00940DD2"/>
    <w:rsid w:val="00941A33"/>
    <w:rsid w:val="009453A7"/>
    <w:rsid w:val="0094585D"/>
    <w:rsid w:val="00947297"/>
    <w:rsid w:val="0095064D"/>
    <w:rsid w:val="00954E92"/>
    <w:rsid w:val="00962AF0"/>
    <w:rsid w:val="00967C99"/>
    <w:rsid w:val="0097108D"/>
    <w:rsid w:val="009722E2"/>
    <w:rsid w:val="00985FCC"/>
    <w:rsid w:val="00986F61"/>
    <w:rsid w:val="00991FDC"/>
    <w:rsid w:val="00992C61"/>
    <w:rsid w:val="00992CCF"/>
    <w:rsid w:val="00997400"/>
    <w:rsid w:val="009A08C3"/>
    <w:rsid w:val="009A4818"/>
    <w:rsid w:val="009A51D4"/>
    <w:rsid w:val="009A761A"/>
    <w:rsid w:val="009B0BD3"/>
    <w:rsid w:val="009B11E3"/>
    <w:rsid w:val="009C3443"/>
    <w:rsid w:val="009C3A1D"/>
    <w:rsid w:val="009D7C40"/>
    <w:rsid w:val="009E357C"/>
    <w:rsid w:val="009E7962"/>
    <w:rsid w:val="009F3398"/>
    <w:rsid w:val="009F6547"/>
    <w:rsid w:val="009F7147"/>
    <w:rsid w:val="009F7CBE"/>
    <w:rsid w:val="00A020B2"/>
    <w:rsid w:val="00A0373C"/>
    <w:rsid w:val="00A13B1C"/>
    <w:rsid w:val="00A25A74"/>
    <w:rsid w:val="00A27249"/>
    <w:rsid w:val="00A3370C"/>
    <w:rsid w:val="00A3683D"/>
    <w:rsid w:val="00A37DCD"/>
    <w:rsid w:val="00A46E6A"/>
    <w:rsid w:val="00A47A76"/>
    <w:rsid w:val="00A54D4B"/>
    <w:rsid w:val="00A55841"/>
    <w:rsid w:val="00A57C33"/>
    <w:rsid w:val="00A61F5E"/>
    <w:rsid w:val="00A64C83"/>
    <w:rsid w:val="00A66C02"/>
    <w:rsid w:val="00A70795"/>
    <w:rsid w:val="00A7101C"/>
    <w:rsid w:val="00A72B0A"/>
    <w:rsid w:val="00A932CC"/>
    <w:rsid w:val="00A94079"/>
    <w:rsid w:val="00AA3CBB"/>
    <w:rsid w:val="00AB0F9B"/>
    <w:rsid w:val="00AB3F9E"/>
    <w:rsid w:val="00AC0472"/>
    <w:rsid w:val="00AC2B00"/>
    <w:rsid w:val="00AC5AE8"/>
    <w:rsid w:val="00AD25CC"/>
    <w:rsid w:val="00AE3BDE"/>
    <w:rsid w:val="00AE53B4"/>
    <w:rsid w:val="00AE6C44"/>
    <w:rsid w:val="00AE74B8"/>
    <w:rsid w:val="00AF6570"/>
    <w:rsid w:val="00AF7D54"/>
    <w:rsid w:val="00B0489F"/>
    <w:rsid w:val="00B06040"/>
    <w:rsid w:val="00B10F60"/>
    <w:rsid w:val="00B14AA2"/>
    <w:rsid w:val="00B2638E"/>
    <w:rsid w:val="00B26EBC"/>
    <w:rsid w:val="00B308B1"/>
    <w:rsid w:val="00B35BEE"/>
    <w:rsid w:val="00B3726D"/>
    <w:rsid w:val="00B415F6"/>
    <w:rsid w:val="00B42EAF"/>
    <w:rsid w:val="00B44E61"/>
    <w:rsid w:val="00B53912"/>
    <w:rsid w:val="00B63D77"/>
    <w:rsid w:val="00B64B67"/>
    <w:rsid w:val="00B66AC8"/>
    <w:rsid w:val="00B6734F"/>
    <w:rsid w:val="00B673F4"/>
    <w:rsid w:val="00B67424"/>
    <w:rsid w:val="00B713E0"/>
    <w:rsid w:val="00B71851"/>
    <w:rsid w:val="00B71FB6"/>
    <w:rsid w:val="00B76B19"/>
    <w:rsid w:val="00B77159"/>
    <w:rsid w:val="00B77CE6"/>
    <w:rsid w:val="00B83991"/>
    <w:rsid w:val="00B865B6"/>
    <w:rsid w:val="00B86F89"/>
    <w:rsid w:val="00B9377E"/>
    <w:rsid w:val="00B960C3"/>
    <w:rsid w:val="00BA0E39"/>
    <w:rsid w:val="00BA0FD5"/>
    <w:rsid w:val="00BA2172"/>
    <w:rsid w:val="00BA233A"/>
    <w:rsid w:val="00BA3213"/>
    <w:rsid w:val="00BA50A4"/>
    <w:rsid w:val="00BA7D5E"/>
    <w:rsid w:val="00BA7ED5"/>
    <w:rsid w:val="00BC1153"/>
    <w:rsid w:val="00BC3DE0"/>
    <w:rsid w:val="00BD220C"/>
    <w:rsid w:val="00BE4192"/>
    <w:rsid w:val="00BF0193"/>
    <w:rsid w:val="00BF0AB8"/>
    <w:rsid w:val="00C016FF"/>
    <w:rsid w:val="00C018A9"/>
    <w:rsid w:val="00C03B22"/>
    <w:rsid w:val="00C04313"/>
    <w:rsid w:val="00C05C95"/>
    <w:rsid w:val="00C06B01"/>
    <w:rsid w:val="00C06EE3"/>
    <w:rsid w:val="00C12DC4"/>
    <w:rsid w:val="00C17F14"/>
    <w:rsid w:val="00C22A10"/>
    <w:rsid w:val="00C24DB0"/>
    <w:rsid w:val="00C302D4"/>
    <w:rsid w:val="00C31DE2"/>
    <w:rsid w:val="00C340EA"/>
    <w:rsid w:val="00C349A7"/>
    <w:rsid w:val="00C40439"/>
    <w:rsid w:val="00C44BCF"/>
    <w:rsid w:val="00C45EE4"/>
    <w:rsid w:val="00C4619E"/>
    <w:rsid w:val="00C4673B"/>
    <w:rsid w:val="00C47874"/>
    <w:rsid w:val="00C506EF"/>
    <w:rsid w:val="00C53E52"/>
    <w:rsid w:val="00C56FAD"/>
    <w:rsid w:val="00C57CA2"/>
    <w:rsid w:val="00C61245"/>
    <w:rsid w:val="00C7305C"/>
    <w:rsid w:val="00C91B5F"/>
    <w:rsid w:val="00C93F44"/>
    <w:rsid w:val="00C96ED2"/>
    <w:rsid w:val="00CA2BA6"/>
    <w:rsid w:val="00CA7F0B"/>
    <w:rsid w:val="00CB1FA9"/>
    <w:rsid w:val="00CC02A3"/>
    <w:rsid w:val="00CC2E04"/>
    <w:rsid w:val="00CC3869"/>
    <w:rsid w:val="00CC4035"/>
    <w:rsid w:val="00CC5329"/>
    <w:rsid w:val="00CC6F5E"/>
    <w:rsid w:val="00CC7001"/>
    <w:rsid w:val="00CE1656"/>
    <w:rsid w:val="00CE1C6A"/>
    <w:rsid w:val="00CE2251"/>
    <w:rsid w:val="00CE612B"/>
    <w:rsid w:val="00CF0352"/>
    <w:rsid w:val="00CF2213"/>
    <w:rsid w:val="00CF495A"/>
    <w:rsid w:val="00D00097"/>
    <w:rsid w:val="00D03598"/>
    <w:rsid w:val="00D04861"/>
    <w:rsid w:val="00D1622F"/>
    <w:rsid w:val="00D2082D"/>
    <w:rsid w:val="00D26F71"/>
    <w:rsid w:val="00D27754"/>
    <w:rsid w:val="00D342E1"/>
    <w:rsid w:val="00D36DF2"/>
    <w:rsid w:val="00D40ADA"/>
    <w:rsid w:val="00D449B7"/>
    <w:rsid w:val="00D46A4E"/>
    <w:rsid w:val="00D51FBB"/>
    <w:rsid w:val="00D54AD5"/>
    <w:rsid w:val="00D558F8"/>
    <w:rsid w:val="00D57A0F"/>
    <w:rsid w:val="00D6093F"/>
    <w:rsid w:val="00D6469C"/>
    <w:rsid w:val="00D650C0"/>
    <w:rsid w:val="00D659B9"/>
    <w:rsid w:val="00D71036"/>
    <w:rsid w:val="00D75816"/>
    <w:rsid w:val="00D8093F"/>
    <w:rsid w:val="00D827B3"/>
    <w:rsid w:val="00D8323D"/>
    <w:rsid w:val="00D86BD8"/>
    <w:rsid w:val="00D86E8C"/>
    <w:rsid w:val="00D920D1"/>
    <w:rsid w:val="00D923F4"/>
    <w:rsid w:val="00D94D6B"/>
    <w:rsid w:val="00D95846"/>
    <w:rsid w:val="00DA3FD8"/>
    <w:rsid w:val="00DA55C0"/>
    <w:rsid w:val="00DA5879"/>
    <w:rsid w:val="00DA5B6A"/>
    <w:rsid w:val="00DA62DD"/>
    <w:rsid w:val="00DA680D"/>
    <w:rsid w:val="00DB09D8"/>
    <w:rsid w:val="00DB1A93"/>
    <w:rsid w:val="00DB2166"/>
    <w:rsid w:val="00DB3A0E"/>
    <w:rsid w:val="00DB7BAE"/>
    <w:rsid w:val="00DC2C51"/>
    <w:rsid w:val="00DC6EC1"/>
    <w:rsid w:val="00DD0688"/>
    <w:rsid w:val="00DD72C4"/>
    <w:rsid w:val="00DE1CAF"/>
    <w:rsid w:val="00DE250C"/>
    <w:rsid w:val="00DE2D91"/>
    <w:rsid w:val="00DE7211"/>
    <w:rsid w:val="00DE7A05"/>
    <w:rsid w:val="00DF01C0"/>
    <w:rsid w:val="00DF0514"/>
    <w:rsid w:val="00E009AB"/>
    <w:rsid w:val="00E04AEE"/>
    <w:rsid w:val="00E0573E"/>
    <w:rsid w:val="00E0618F"/>
    <w:rsid w:val="00E072DA"/>
    <w:rsid w:val="00E112E2"/>
    <w:rsid w:val="00E1238D"/>
    <w:rsid w:val="00E143F1"/>
    <w:rsid w:val="00E17818"/>
    <w:rsid w:val="00E24C22"/>
    <w:rsid w:val="00E33092"/>
    <w:rsid w:val="00E40E32"/>
    <w:rsid w:val="00E5163C"/>
    <w:rsid w:val="00E55949"/>
    <w:rsid w:val="00E56AF3"/>
    <w:rsid w:val="00E66A0F"/>
    <w:rsid w:val="00E74B4C"/>
    <w:rsid w:val="00E756C6"/>
    <w:rsid w:val="00E77CF4"/>
    <w:rsid w:val="00E80CF9"/>
    <w:rsid w:val="00E82F0C"/>
    <w:rsid w:val="00E84C3A"/>
    <w:rsid w:val="00E903B1"/>
    <w:rsid w:val="00E90D88"/>
    <w:rsid w:val="00E976AB"/>
    <w:rsid w:val="00E97E7E"/>
    <w:rsid w:val="00EA60EA"/>
    <w:rsid w:val="00EB2E01"/>
    <w:rsid w:val="00EB7969"/>
    <w:rsid w:val="00EC382E"/>
    <w:rsid w:val="00ED1AA6"/>
    <w:rsid w:val="00EE4E67"/>
    <w:rsid w:val="00EF131B"/>
    <w:rsid w:val="00EF5658"/>
    <w:rsid w:val="00EF718A"/>
    <w:rsid w:val="00F0490A"/>
    <w:rsid w:val="00F05A9A"/>
    <w:rsid w:val="00F169C0"/>
    <w:rsid w:val="00F2253D"/>
    <w:rsid w:val="00F31389"/>
    <w:rsid w:val="00F3756F"/>
    <w:rsid w:val="00F40AEF"/>
    <w:rsid w:val="00F44D0C"/>
    <w:rsid w:val="00F4652E"/>
    <w:rsid w:val="00F47A5D"/>
    <w:rsid w:val="00F50E9A"/>
    <w:rsid w:val="00F52A79"/>
    <w:rsid w:val="00F647C8"/>
    <w:rsid w:val="00F649C0"/>
    <w:rsid w:val="00F67AE2"/>
    <w:rsid w:val="00F72924"/>
    <w:rsid w:val="00F8242C"/>
    <w:rsid w:val="00F87655"/>
    <w:rsid w:val="00F96614"/>
    <w:rsid w:val="00F9754E"/>
    <w:rsid w:val="00FA0F25"/>
    <w:rsid w:val="00FA6067"/>
    <w:rsid w:val="00FA6C61"/>
    <w:rsid w:val="00FB10DC"/>
    <w:rsid w:val="00FB311B"/>
    <w:rsid w:val="00FC0C31"/>
    <w:rsid w:val="00FC2CD7"/>
    <w:rsid w:val="00FC3B43"/>
    <w:rsid w:val="00FD1DFB"/>
    <w:rsid w:val="00FD2E2E"/>
    <w:rsid w:val="00FE055E"/>
    <w:rsid w:val="00FE30E7"/>
    <w:rsid w:val="00FE5EA9"/>
    <w:rsid w:val="00FE77B6"/>
    <w:rsid w:val="00FF0E7D"/>
    <w:rsid w:val="00FF2D6A"/>
    <w:rsid w:val="00FF6974"/>
    <w:rsid w:val="00FF7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9B0E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1">
    <w:name w:val="heading 1"/>
    <w:basedOn w:val="Normal"/>
    <w:next w:val="Normal"/>
    <w:link w:val="Heading1Char"/>
    <w:uiPriority w:val="9"/>
    <w:qFormat/>
    <w:rsid w:val="00D27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568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unhideWhenUsed/>
    <w:rsid w:val="000A284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rsid w:val="000A2842"/>
    <w:rPr>
      <w:sz w:val="16"/>
      <w:szCs w:val="16"/>
    </w:rPr>
  </w:style>
  <w:style w:type="paragraph" w:styleId="CommentText">
    <w:name w:val="annotation text"/>
    <w:basedOn w:val="Normal"/>
    <w:link w:val="CommentTextChar"/>
    <w:uiPriority w:val="99"/>
    <w:rsid w:val="000A2842"/>
    <w:pPr>
      <w:widowControl/>
      <w:spacing w:before="240"/>
    </w:pPr>
    <w:rPr>
      <w:rFonts w:ascii="Times New Roman" w:eastAsia="Batang" w:hAnsi="Times New Roman" w:cs="Times New Roman"/>
      <w:sz w:val="20"/>
      <w:szCs w:val="20"/>
      <w:lang w:val="en-AU"/>
    </w:rPr>
  </w:style>
  <w:style w:type="character" w:customStyle="1" w:styleId="CommentTextChar">
    <w:name w:val="Comment Text Char"/>
    <w:basedOn w:val="DefaultParagraphFont"/>
    <w:link w:val="CommentText"/>
    <w:uiPriority w:val="99"/>
    <w:rsid w:val="000A2842"/>
    <w:rPr>
      <w:rFonts w:ascii="Times New Roman" w:eastAsia="Batang" w:hAnsi="Times New Roman" w:cs="Times New Roman"/>
      <w:sz w:val="20"/>
      <w:szCs w:val="20"/>
    </w:rPr>
  </w:style>
  <w:style w:type="paragraph" w:styleId="BalloonText">
    <w:name w:val="Balloon Text"/>
    <w:basedOn w:val="Normal"/>
    <w:link w:val="BalloonTextChar"/>
    <w:uiPriority w:val="99"/>
    <w:semiHidden/>
    <w:unhideWhenUsed/>
    <w:rsid w:val="000A2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842"/>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552916"/>
    <w:pPr>
      <w:widowControl w:val="0"/>
      <w:spacing w:before="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52916"/>
    <w:rPr>
      <w:rFonts w:ascii="Times New Roman" w:eastAsia="Batang" w:hAnsi="Times New Roman" w:cs="Times New Roman"/>
      <w:b/>
      <w:bCs/>
      <w:sz w:val="20"/>
      <w:szCs w:val="20"/>
      <w:lang w:val="en-US"/>
    </w:rPr>
  </w:style>
  <w:style w:type="paragraph" w:styleId="Revision">
    <w:name w:val="Revision"/>
    <w:hidden/>
    <w:uiPriority w:val="99"/>
    <w:semiHidden/>
    <w:rsid w:val="00AF7D54"/>
    <w:pPr>
      <w:spacing w:after="0" w:line="240" w:lineRule="auto"/>
    </w:pPr>
    <w:rPr>
      <w:lang w:val="en-US"/>
    </w:rPr>
  </w:style>
  <w:style w:type="character" w:styleId="Hyperlink">
    <w:name w:val="Hyperlink"/>
    <w:basedOn w:val="DefaultParagraphFont"/>
    <w:uiPriority w:val="99"/>
    <w:unhideWhenUsed/>
    <w:rsid w:val="002A551F"/>
    <w:rPr>
      <w:color w:val="0563C1" w:themeColor="hyperlink"/>
      <w:u w:val="single"/>
    </w:rPr>
  </w:style>
  <w:style w:type="character" w:customStyle="1" w:styleId="Heading3Char">
    <w:name w:val="Heading 3 Char"/>
    <w:basedOn w:val="DefaultParagraphFont"/>
    <w:link w:val="Heading3"/>
    <w:uiPriority w:val="9"/>
    <w:semiHidden/>
    <w:rsid w:val="00255684"/>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D27754"/>
    <w:rPr>
      <w:rFonts w:asciiTheme="majorHAnsi" w:eastAsiaTheme="majorEastAsia" w:hAnsiTheme="majorHAnsi" w:cstheme="majorBidi"/>
      <w:color w:val="2E74B5" w:themeColor="accent1" w:themeShade="BF"/>
      <w:sz w:val="32"/>
      <w:szCs w:val="32"/>
      <w:lang w:val="en-US"/>
    </w:rPr>
  </w:style>
  <w:style w:type="character" w:customStyle="1" w:styleId="UnresolvedMention1">
    <w:name w:val="Unresolved Mention1"/>
    <w:basedOn w:val="DefaultParagraphFont"/>
    <w:uiPriority w:val="99"/>
    <w:semiHidden/>
    <w:unhideWhenUsed/>
    <w:rsid w:val="00D27754"/>
    <w:rPr>
      <w:color w:val="605E5C"/>
      <w:shd w:val="clear" w:color="auto" w:fill="E1DFDD"/>
    </w:rPr>
  </w:style>
  <w:style w:type="character" w:styleId="FollowedHyperlink">
    <w:name w:val="FollowedHyperlink"/>
    <w:basedOn w:val="DefaultParagraphFont"/>
    <w:uiPriority w:val="99"/>
    <w:semiHidden/>
    <w:unhideWhenUsed/>
    <w:rsid w:val="00C17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6502">
      <w:bodyDiv w:val="1"/>
      <w:marLeft w:val="0"/>
      <w:marRight w:val="0"/>
      <w:marTop w:val="0"/>
      <w:marBottom w:val="0"/>
      <w:divBdr>
        <w:top w:val="none" w:sz="0" w:space="0" w:color="auto"/>
        <w:left w:val="none" w:sz="0" w:space="0" w:color="auto"/>
        <w:bottom w:val="none" w:sz="0" w:space="0" w:color="auto"/>
        <w:right w:val="none" w:sz="0" w:space="0" w:color="auto"/>
      </w:divBdr>
    </w:div>
    <w:div w:id="173034925">
      <w:bodyDiv w:val="1"/>
      <w:marLeft w:val="0"/>
      <w:marRight w:val="0"/>
      <w:marTop w:val="0"/>
      <w:marBottom w:val="0"/>
      <w:divBdr>
        <w:top w:val="none" w:sz="0" w:space="0" w:color="auto"/>
        <w:left w:val="none" w:sz="0" w:space="0" w:color="auto"/>
        <w:bottom w:val="none" w:sz="0" w:space="0" w:color="auto"/>
        <w:right w:val="none" w:sz="0" w:space="0" w:color="auto"/>
      </w:divBdr>
    </w:div>
    <w:div w:id="224605901">
      <w:bodyDiv w:val="1"/>
      <w:marLeft w:val="0"/>
      <w:marRight w:val="0"/>
      <w:marTop w:val="0"/>
      <w:marBottom w:val="0"/>
      <w:divBdr>
        <w:top w:val="none" w:sz="0" w:space="0" w:color="auto"/>
        <w:left w:val="none" w:sz="0" w:space="0" w:color="auto"/>
        <w:bottom w:val="none" w:sz="0" w:space="0" w:color="auto"/>
        <w:right w:val="none" w:sz="0" w:space="0" w:color="auto"/>
      </w:divBdr>
    </w:div>
    <w:div w:id="315840651">
      <w:bodyDiv w:val="1"/>
      <w:marLeft w:val="0"/>
      <w:marRight w:val="0"/>
      <w:marTop w:val="0"/>
      <w:marBottom w:val="0"/>
      <w:divBdr>
        <w:top w:val="none" w:sz="0" w:space="0" w:color="auto"/>
        <w:left w:val="none" w:sz="0" w:space="0" w:color="auto"/>
        <w:bottom w:val="none" w:sz="0" w:space="0" w:color="auto"/>
        <w:right w:val="none" w:sz="0" w:space="0" w:color="auto"/>
      </w:divBdr>
    </w:div>
    <w:div w:id="664166204">
      <w:bodyDiv w:val="1"/>
      <w:marLeft w:val="0"/>
      <w:marRight w:val="0"/>
      <w:marTop w:val="0"/>
      <w:marBottom w:val="0"/>
      <w:divBdr>
        <w:top w:val="none" w:sz="0" w:space="0" w:color="auto"/>
        <w:left w:val="none" w:sz="0" w:space="0" w:color="auto"/>
        <w:bottom w:val="none" w:sz="0" w:space="0" w:color="auto"/>
        <w:right w:val="none" w:sz="0" w:space="0" w:color="auto"/>
      </w:divBdr>
    </w:div>
    <w:div w:id="669260091">
      <w:bodyDiv w:val="1"/>
      <w:marLeft w:val="0"/>
      <w:marRight w:val="0"/>
      <w:marTop w:val="0"/>
      <w:marBottom w:val="0"/>
      <w:divBdr>
        <w:top w:val="none" w:sz="0" w:space="0" w:color="auto"/>
        <w:left w:val="none" w:sz="0" w:space="0" w:color="auto"/>
        <w:bottom w:val="none" w:sz="0" w:space="0" w:color="auto"/>
        <w:right w:val="none" w:sz="0" w:space="0" w:color="auto"/>
      </w:divBdr>
    </w:div>
    <w:div w:id="1269041545">
      <w:bodyDiv w:val="1"/>
      <w:marLeft w:val="0"/>
      <w:marRight w:val="0"/>
      <w:marTop w:val="0"/>
      <w:marBottom w:val="0"/>
      <w:divBdr>
        <w:top w:val="none" w:sz="0" w:space="0" w:color="auto"/>
        <w:left w:val="none" w:sz="0" w:space="0" w:color="auto"/>
        <w:bottom w:val="none" w:sz="0" w:space="0" w:color="auto"/>
        <w:right w:val="none" w:sz="0" w:space="0" w:color="auto"/>
      </w:divBdr>
    </w:div>
    <w:div w:id="1401487460">
      <w:bodyDiv w:val="1"/>
      <w:marLeft w:val="0"/>
      <w:marRight w:val="0"/>
      <w:marTop w:val="0"/>
      <w:marBottom w:val="0"/>
      <w:divBdr>
        <w:top w:val="none" w:sz="0" w:space="0" w:color="auto"/>
        <w:left w:val="none" w:sz="0" w:space="0" w:color="auto"/>
        <w:bottom w:val="none" w:sz="0" w:space="0" w:color="auto"/>
        <w:right w:val="none" w:sz="0" w:space="0" w:color="auto"/>
      </w:divBdr>
    </w:div>
    <w:div w:id="1599363018">
      <w:bodyDiv w:val="1"/>
      <w:marLeft w:val="0"/>
      <w:marRight w:val="0"/>
      <w:marTop w:val="0"/>
      <w:marBottom w:val="0"/>
      <w:divBdr>
        <w:top w:val="none" w:sz="0" w:space="0" w:color="auto"/>
        <w:left w:val="none" w:sz="0" w:space="0" w:color="auto"/>
        <w:bottom w:val="none" w:sz="0" w:space="0" w:color="auto"/>
        <w:right w:val="none" w:sz="0" w:space="0" w:color="auto"/>
      </w:divBdr>
    </w:div>
    <w:div w:id="1742410164">
      <w:bodyDiv w:val="1"/>
      <w:marLeft w:val="0"/>
      <w:marRight w:val="0"/>
      <w:marTop w:val="0"/>
      <w:marBottom w:val="0"/>
      <w:divBdr>
        <w:top w:val="none" w:sz="0" w:space="0" w:color="auto"/>
        <w:left w:val="none" w:sz="0" w:space="0" w:color="auto"/>
        <w:bottom w:val="none" w:sz="0" w:space="0" w:color="auto"/>
        <w:right w:val="none" w:sz="0" w:space="0" w:color="auto"/>
      </w:divBdr>
    </w:div>
    <w:div w:id="19173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mlaw.gov.au/Series/C2004A0479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committees-and-groups/australian-health-protection-principal-committee-ahppc" TargetMode="External"/><Relationship Id="rId24"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3594" ma:contentTypeDescription=" " ma:contentTypeScope="" ma:versionID="027fae754f34a9362ce320607d80b66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2022FG-64-102522</_dlc_DocId>
    <_dlc_DocIdUrl xmlns="0f563589-9cf9-4143-b1eb-fb0534803d38">
      <Url>http://tweb/sites/fg/csrd/_layouts/15/DocIdRedir.aspx?ID=2022FG-64-102522</Url>
      <Description>2022FG-64-102522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9D37E6E5-9B14-4614-AD3B-18FD96BBB53B}"/>
</file>

<file path=customXml/itemProps2.xml><?xml version="1.0" encoding="utf-8"?>
<ds:datastoreItem xmlns:ds="http://schemas.openxmlformats.org/officeDocument/2006/customXml" ds:itemID="{A94106D5-E5F3-4BBE-9DCC-E1D84DA8C047}">
  <ds:schemaRefs>
    <ds:schemaRef ds:uri="http://schemas.openxmlformats.org/officeDocument/2006/bibliography"/>
  </ds:schemaRefs>
</ds:datastoreItem>
</file>

<file path=customXml/itemProps3.xml><?xml version="1.0" encoding="utf-8"?>
<ds:datastoreItem xmlns:ds="http://schemas.openxmlformats.org/officeDocument/2006/customXml" ds:itemID="{0CCB259F-CE52-4229-83A7-DFB2F1003AA7}">
  <ds:schemaRefs>
    <ds:schemaRef ds:uri="http://purl.org/dc/terms/"/>
    <ds:schemaRef ds:uri="CCADC49D-D9D3-4EA0-871D-5A7BBF43DE0C"/>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F35FB35-F149-49D4-B2E3-066468E5718B}">
  <ds:schemaRefs>
    <ds:schemaRef ds:uri="http://schemas.microsoft.com/sharepoint/v3/contenttype/forms"/>
  </ds:schemaRefs>
</ds:datastoreItem>
</file>

<file path=customXml/itemProps5.xml><?xml version="1.0" encoding="utf-8"?>
<ds:datastoreItem xmlns:ds="http://schemas.openxmlformats.org/officeDocument/2006/customXml" ds:itemID="{82C075FC-CAA2-4786-ACBB-38E60F815DB5}"/>
</file>

<file path=customXml/itemProps6.xml><?xml version="1.0" encoding="utf-8"?>
<ds:datastoreItem xmlns:ds="http://schemas.openxmlformats.org/officeDocument/2006/customXml" ds:itemID="{AA6B87B7-3F51-40CF-BEC9-287B0968AC24}"/>
</file>

<file path=customXml/itemProps7.xml><?xml version="1.0" encoding="utf-8"?>
<ds:datastoreItem xmlns:ds="http://schemas.openxmlformats.org/officeDocument/2006/customXml" ds:itemID="{660F9DFD-DF3D-4729-B488-9AA7F87208E8}"/>
</file>

<file path=docProps/app.xml><?xml version="1.0" encoding="utf-8"?>
<Properties xmlns="http://schemas.openxmlformats.org/officeDocument/2006/extended-properties" xmlns:vt="http://schemas.openxmlformats.org/officeDocument/2006/docPropsVTypes">
  <Template>Normal.dotm</Template>
  <TotalTime>0</TotalTime>
  <Pages>19</Pages>
  <Words>5906</Words>
  <Characters>33667</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2022-01-06T01:04:00Z</dcterms:created>
  <dcterms:modified xsi:type="dcterms:W3CDTF">2022-01-06T01:04:00Z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31ceb03a-13ce-454f-9340-9d2774a723a1</vt:lpwstr>
  </property>
  <property fmtid="{D5CDD505-2E9C-101B-9397-08002B2CF9AE}" pid="4" name="TSYRecordClass">
    <vt:lpwstr>2;#TSY RA-8748 - Retain as national archives|243f2231-dbfc-4282-b24a-c9b768286bd0</vt:lpwstr>
  </property>
</Properties>
</file>