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65F" w14:textId="77777777" w:rsidR="00C91B5F" w:rsidRPr="00F1227F" w:rsidRDefault="00187FF3" w:rsidP="00187FF3">
      <w:pPr>
        <w:pStyle w:val="Heading9"/>
        <w:tabs>
          <w:tab w:val="left" w:pos="2232"/>
          <w:tab w:val="right" w:pos="9638"/>
        </w:tabs>
        <w:spacing w:before="0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317FB3">
        <w:rPr>
          <w:i w:val="0"/>
          <w:sz w:val="28"/>
          <w:szCs w:val="28"/>
        </w:rPr>
        <w:t>Schedule</w:t>
      </w:r>
    </w:p>
    <w:p w14:paraId="39BEF987" w14:textId="77777777" w:rsidR="00C91B5F" w:rsidRPr="001E20F4" w:rsidRDefault="0027408E" w:rsidP="00C91B5F">
      <w:pPr>
        <w:pStyle w:val="Title"/>
      </w:pPr>
      <w:r>
        <w:t>Commonwealth Support to South Australian Home Quarantine Application</w:t>
      </w:r>
    </w:p>
    <w:p w14:paraId="6E7780AA" w14:textId="77777777" w:rsidR="00C91B5F" w:rsidRPr="00BE249A" w:rsidRDefault="00D54783" w:rsidP="00C91B5F">
      <w:pPr>
        <w:pStyle w:val="Subtitle"/>
      </w:pPr>
      <w:r>
        <w:t xml:space="preserve">FEDERATION FUNDING AGREEMENT – </w:t>
      </w:r>
      <w:r w:rsidR="00FA3B8E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044C8D8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798FE4AD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36E5F3E4" w14:textId="77777777" w:rsidTr="00317FB3">
        <w:tc>
          <w:tcPr>
            <w:tcW w:w="1691" w:type="dxa"/>
            <w:shd w:val="clear" w:color="auto" w:fill="auto"/>
          </w:tcPr>
          <w:p w14:paraId="09D9D406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04A79D96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2D5527D5" w14:textId="001B1F82" w:rsidR="00C91B5F" w:rsidRPr="00F00A18" w:rsidRDefault="00034A9B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</w:p>
        </w:tc>
      </w:tr>
      <w:tr w:rsidR="00C91B5F" w:rsidRPr="00F00A18" w14:paraId="4C1A06A1" w14:textId="77777777" w:rsidTr="00317FB3">
        <w:tc>
          <w:tcPr>
            <w:tcW w:w="1691" w:type="dxa"/>
            <w:shd w:val="clear" w:color="auto" w:fill="auto"/>
          </w:tcPr>
          <w:p w14:paraId="2ECA3FAE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1FF9C57D" w14:textId="77777777" w:rsidR="00C91B5F" w:rsidRPr="00F00A18" w:rsidRDefault="00C91B5F" w:rsidP="00187FF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187FF3">
              <w:rPr>
                <w:color w:val="auto"/>
              </w:rPr>
              <w:t>28</w:t>
            </w:r>
            <w:r w:rsidR="00051FC7" w:rsidRPr="00A820B7">
              <w:rPr>
                <w:color w:val="auto"/>
              </w:rPr>
              <w:t xml:space="preserve"> </w:t>
            </w:r>
            <w:r w:rsidR="00187FF3">
              <w:rPr>
                <w:color w:val="auto"/>
              </w:rPr>
              <w:t>February</w:t>
            </w:r>
            <w:r w:rsidR="00051FC7" w:rsidRPr="00A820B7">
              <w:rPr>
                <w:color w:val="auto"/>
              </w:rPr>
              <w:t xml:space="preserve"> 2022</w:t>
            </w:r>
            <w:r w:rsidRPr="00A820B7">
              <w:rPr>
                <w:color w:val="auto"/>
              </w:rPr>
              <w:t>.</w:t>
            </w:r>
          </w:p>
        </w:tc>
      </w:tr>
      <w:tr w:rsidR="00C91B5F" w:rsidRPr="00F00A18" w14:paraId="41EE433B" w14:textId="77777777" w:rsidTr="00317FB3">
        <w:tc>
          <w:tcPr>
            <w:tcW w:w="1691" w:type="dxa"/>
            <w:shd w:val="clear" w:color="auto" w:fill="auto"/>
          </w:tcPr>
          <w:p w14:paraId="1D7D2D8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66474743" w14:textId="77777777" w:rsidR="004369DA" w:rsidRDefault="00D751D7" w:rsidP="00A820B7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This Schedule will </w:t>
            </w:r>
            <w:r w:rsidR="00A83363">
              <w:rPr>
                <w:color w:val="auto"/>
              </w:rPr>
              <w:t>provide financial</w:t>
            </w:r>
            <w:r w:rsidR="006048A1">
              <w:rPr>
                <w:color w:val="auto"/>
              </w:rPr>
              <w:t xml:space="preserve"> assistance to South Australia</w:t>
            </w:r>
            <w:r w:rsidR="005B0AD0">
              <w:rPr>
                <w:color w:val="auto"/>
              </w:rPr>
              <w:t xml:space="preserve"> to </w:t>
            </w:r>
            <w:r w:rsidR="004E4625">
              <w:rPr>
                <w:color w:val="auto"/>
              </w:rPr>
              <w:t>develop</w:t>
            </w:r>
            <w:r>
              <w:rPr>
                <w:color w:val="auto"/>
              </w:rPr>
              <w:t xml:space="preserve"> the South Australian Home Quarantine Application</w:t>
            </w:r>
            <w:r w:rsidR="00EB400A">
              <w:rPr>
                <w:color w:val="auto"/>
              </w:rPr>
              <w:t xml:space="preserve"> </w:t>
            </w:r>
            <w:r w:rsidR="00A820B7">
              <w:rPr>
                <w:color w:val="auto"/>
              </w:rPr>
              <w:t>for</w:t>
            </w:r>
            <w:r w:rsidR="00EB400A">
              <w:rPr>
                <w:color w:val="auto"/>
              </w:rPr>
              <w:t xml:space="preserve"> COVID-19 </w:t>
            </w:r>
            <w:r w:rsidR="00051FC7">
              <w:rPr>
                <w:color w:val="auto"/>
              </w:rPr>
              <w:t xml:space="preserve">home </w:t>
            </w:r>
            <w:r w:rsidR="00EB400A">
              <w:rPr>
                <w:color w:val="auto"/>
              </w:rPr>
              <w:t xml:space="preserve">quarantine </w:t>
            </w:r>
            <w:r w:rsidR="00051FC7">
              <w:rPr>
                <w:color w:val="auto"/>
              </w:rPr>
              <w:t>trials</w:t>
            </w:r>
            <w:r w:rsidR="00A83363">
              <w:rPr>
                <w:color w:val="auto"/>
              </w:rPr>
              <w:t>. If required, this financial assistance will also allow South Australia</w:t>
            </w:r>
            <w:r w:rsidR="004E4625">
              <w:rPr>
                <w:color w:val="auto"/>
              </w:rPr>
              <w:t xml:space="preserve"> </w:t>
            </w:r>
            <w:r w:rsidR="00EB400A">
              <w:rPr>
                <w:color w:val="auto"/>
              </w:rPr>
              <w:t xml:space="preserve">to </w:t>
            </w:r>
            <w:r w:rsidR="004E4625">
              <w:rPr>
                <w:color w:val="auto"/>
              </w:rPr>
              <w:t>adapt and scale the application</w:t>
            </w:r>
            <w:r>
              <w:rPr>
                <w:color w:val="auto"/>
              </w:rPr>
              <w:t xml:space="preserve"> and </w:t>
            </w:r>
            <w:r w:rsidR="00EB400A">
              <w:rPr>
                <w:color w:val="auto"/>
              </w:rPr>
              <w:t xml:space="preserve">to </w:t>
            </w:r>
            <w:r w:rsidR="004E4625">
              <w:rPr>
                <w:color w:val="auto"/>
              </w:rPr>
              <w:t>provide technical support for the use</w:t>
            </w:r>
            <w:r>
              <w:rPr>
                <w:color w:val="auto"/>
              </w:rPr>
              <w:t xml:space="preserve"> of the application in</w:t>
            </w:r>
            <w:r w:rsidR="004E4625">
              <w:rPr>
                <w:color w:val="auto"/>
              </w:rPr>
              <w:t xml:space="preserve"> home quarantine trials in </w:t>
            </w:r>
            <w:r>
              <w:rPr>
                <w:color w:val="auto"/>
              </w:rPr>
              <w:t xml:space="preserve">other jurisdictions. </w:t>
            </w:r>
          </w:p>
          <w:p w14:paraId="5785C548" w14:textId="77777777" w:rsidR="00C91B5F" w:rsidRPr="00F00A18" w:rsidRDefault="00D751D7" w:rsidP="004369DA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This work is necessary to </w:t>
            </w:r>
            <w:r w:rsidR="00A820B7">
              <w:rPr>
                <w:color w:val="auto"/>
              </w:rPr>
              <w:t>prepare for and inform</w:t>
            </w:r>
            <w:r>
              <w:rPr>
                <w:color w:val="auto"/>
              </w:rPr>
              <w:t xml:space="preserve"> potential future </w:t>
            </w:r>
            <w:r w:rsidR="004369DA">
              <w:rPr>
                <w:color w:val="auto"/>
              </w:rPr>
              <w:t>n</w:t>
            </w:r>
            <w:r>
              <w:rPr>
                <w:color w:val="auto"/>
              </w:rPr>
              <w:t xml:space="preserve">ational </w:t>
            </w:r>
            <w:r w:rsidR="004369DA">
              <w:rPr>
                <w:color w:val="auto"/>
              </w:rPr>
              <w:t xml:space="preserve">use of the technology to support states and territories </w:t>
            </w:r>
            <w:r>
              <w:rPr>
                <w:color w:val="auto"/>
              </w:rPr>
              <w:t>management of home quarantine</w:t>
            </w:r>
            <w:r w:rsidR="004369DA">
              <w:rPr>
                <w:color w:val="auto"/>
              </w:rPr>
              <w:t xml:space="preserve"> arrangements</w:t>
            </w:r>
            <w:r>
              <w:rPr>
                <w:color w:val="auto"/>
              </w:rPr>
              <w:t>.</w:t>
            </w:r>
          </w:p>
        </w:tc>
      </w:tr>
      <w:tr w:rsidR="00C91B5F" w:rsidRPr="00F00A18" w14:paraId="30150127" w14:textId="77777777" w:rsidTr="00193293">
        <w:trPr>
          <w:trHeight w:val="3850"/>
        </w:trPr>
        <w:tc>
          <w:tcPr>
            <w:tcW w:w="1691" w:type="dxa"/>
            <w:shd w:val="clear" w:color="auto" w:fill="auto"/>
          </w:tcPr>
          <w:p w14:paraId="6C9613BC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54800350" w14:textId="77777777" w:rsidR="00C91B5F" w:rsidRPr="00F00A18" w:rsidRDefault="0064121C" w:rsidP="0081736F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EB322D" wp14:editId="1958B07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634365</wp:posOffset>
                      </wp:positionV>
                      <wp:extent cx="5105400" cy="1819275"/>
                      <wp:effectExtent l="0" t="0" r="0" b="9525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53"/>
                                    <w:gridCol w:w="961"/>
                                    <w:gridCol w:w="1601"/>
                                  </w:tblGrid>
                                  <w:tr w:rsidR="006B75F1" w:rsidRPr="00101AB3" w14:paraId="51B00C56" w14:textId="77777777" w:rsidTr="00193293">
                                    <w:trPr>
                                      <w:cantSplit/>
                                      <w:trHeight w:val="568"/>
                                    </w:trPr>
                                    <w:tc>
                                      <w:tcPr>
                                        <w:tcW w:w="425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05352B3" w14:textId="77777777" w:rsidR="006B75F1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57986615" w14:textId="77777777" w:rsidR="006B75F1" w:rsidRPr="005D39DD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C91114B" w14:textId="77777777" w:rsidR="006B75F1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4511FAC" w14:textId="77777777" w:rsidR="006B75F1" w:rsidRPr="005D39DD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A65745E" w14:textId="77777777" w:rsidR="006B75F1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12E20E0" w14:textId="77777777" w:rsidR="006B75F1" w:rsidRPr="005D39DD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6B75F1" w:rsidRPr="00101AB3" w14:paraId="5A615163" w14:textId="77777777" w:rsidTr="00193293">
                                    <w:trPr>
                                      <w:cantSplit/>
                                      <w:trHeight w:val="338"/>
                                    </w:trPr>
                                    <w:tc>
                                      <w:tcPr>
                                        <w:tcW w:w="425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9D62CB6" w14:textId="77777777" w:rsidR="006B75F1" w:rsidRPr="005D39DD" w:rsidRDefault="006B75F1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87E2A6B" w14:textId="77777777" w:rsidR="006B75F1" w:rsidRPr="005D39DD" w:rsidRDefault="006B75F1" w:rsidP="0027408E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12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DCF078C" w14:textId="77777777" w:rsidR="006B75F1" w:rsidRPr="005D39DD" w:rsidRDefault="006B75F1" w:rsidP="0027408E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12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6B75F1" w:rsidRPr="00101AB3" w14:paraId="32F2889D" w14:textId="77777777" w:rsidTr="00193293">
                                    <w:trPr>
                                      <w:cantSplit/>
                                      <w:trHeight w:val="380"/>
                                    </w:trPr>
                                    <w:tc>
                                      <w:tcPr>
                                        <w:tcW w:w="4253" w:type="dxa"/>
                                      </w:tcPr>
                                      <w:p w14:paraId="627C2066" w14:textId="77777777" w:rsidR="006B75F1" w:rsidRPr="0064121C" w:rsidRDefault="006B75F1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4121C"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14:paraId="4EF3D64D" w14:textId="77777777" w:rsidR="006B75F1" w:rsidRPr="005D39DD" w:rsidRDefault="006B75F1" w:rsidP="0027408E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12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1" w:type="dxa"/>
                                      </w:tcPr>
                                      <w:p w14:paraId="54433FC7" w14:textId="77777777" w:rsidR="006B75F1" w:rsidRPr="005D39DD" w:rsidRDefault="006B75F1" w:rsidP="00EE5FE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12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6B75F1" w:rsidRPr="00101AB3" w14:paraId="30FB5E1E" w14:textId="77777777" w:rsidTr="00193293">
                                    <w:trPr>
                                      <w:cantSplit/>
                                      <w:trHeight w:val="757"/>
                                    </w:trPr>
                                    <w:tc>
                                      <w:tcPr>
                                        <w:tcW w:w="425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25ABEB2" w14:textId="77777777" w:rsidR="006B75F1" w:rsidRPr="008C6B79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E52A6A6" w14:textId="77777777" w:rsidR="006B75F1" w:rsidRPr="005D39DD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665A4AFB" w14:textId="77777777" w:rsidR="006B75F1" w:rsidRPr="005D39DD" w:rsidRDefault="006B75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3656840F" w14:textId="77777777" w:rsidR="00C91B5F" w:rsidRPr="00101AB3" w:rsidRDefault="00C91B5F" w:rsidP="00C91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820B7">
                                    <w:rPr>
                                      <w:sz w:val="18"/>
                                      <w:szCs w:val="18"/>
                                    </w:rPr>
                                    <w:t xml:space="preserve">South Australia is contributing funding to the </w:t>
                                  </w:r>
                                  <w:proofErr w:type="gramStart"/>
                                  <w:r w:rsidR="00A820B7">
                                    <w:rPr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  <w:proofErr w:type="gramEnd"/>
                                  <w:r w:rsidR="002263C3">
                                    <w:rPr>
                                      <w:sz w:val="18"/>
                                      <w:szCs w:val="18"/>
                                    </w:rPr>
                                    <w:t xml:space="preserve"> but the specific amount is unknown</w:t>
                                  </w:r>
                                  <w:r w:rsidR="00D751D7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49.95pt;width:402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W1IQIAAB4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3pvCwpMUxj&#10;k57EGMg7GEkZ9RmsrzDs0WJgGPEa+5xq9fYB+HdPDGx7ZvbizjkYesFa5FfEzOwqdcLxEaQZPkGL&#10;z7BDgAQ0dk5H8VAOgujYp9OlN5EKx8tFkS/mObo4+oplsSpvFukNVj2nW+fDBwGaxENNHTY/wbPj&#10;gw+RDqueQ+JrHpRsd1KpZLh9s1WOHBkOyi6tM/pvYcqQoaarRblIyAZifpohLQMOspK6pss8rpjO&#10;qijHe9Omc2BSTWdkosxZnyjJJE4YmxEDo2gNtCdUysE0sPjB8NCD+0nJgMNaU//jwJygRH00qPaq&#10;mM/jdCdjvrgp0XDXnubawwxHqJoGSqbjNqQfEfkauMOudDLp9cLkzBWHMMl4/jBxyq/tFPXyrTe/&#10;AAAA//8DAFBLAwQUAAYACAAAACEAX1Kj3N4AAAAJAQAADwAAAGRycy9kb3ducmV2LnhtbEyPQU+D&#10;QBSE7yb+h81r4sW0ixWhizwaNdF4be0PWOAVSNm3hN0W+u9dT/Y4mcnMN/l2Nr240Og6ywhPqwgE&#10;cWXrjhuEw8/ncgPCec217i0TwpUcbIv7u1xntZ14R5e9b0QoYZdphNb7IZPSVS0Z7VZ2IA7e0Y5G&#10;+yDHRtajnkK56eU6ihJpdMdhodUDfbRUnfZng3D8nh5f1FR++UO6i5N33aWlvSI+LOa3VxCeZv8f&#10;hj/8gA5FYCrtmWsneoSlCuQeQSkFIvipitcgSoTnTRKDLHJ5+6D4BQAA//8DAFBLAQItABQABgAI&#10;AAAAIQC2gziS/gAAAOEBAAATAAAAAAAAAAAAAAAAAAAAAABbQ29udGVudF9UeXBlc10ueG1sUEsB&#10;Ai0AFAAGAAgAAAAhADj9If/WAAAAlAEAAAsAAAAAAAAAAAAAAAAALwEAAF9yZWxzLy5yZWxzUEsB&#10;Ai0AFAAGAAgAAAAhAPau1bUhAgAAHgQAAA4AAAAAAAAAAAAAAAAALgIAAGRycy9lMm9Eb2MueG1s&#10;UEsBAi0AFAAGAAgAAAAhAF9So9zeAAAACQEAAA8AAAAAAAAAAAAAAAAAewQAAGRycy9kb3ducmV2&#10;LnhtbFBLBQYAAAAABAAEAPMAAACGBQAAAAA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961"/>
                              <w:gridCol w:w="1601"/>
                            </w:tblGrid>
                            <w:tr w:rsidR="006B75F1" w:rsidRPr="00101AB3" w14:paraId="51B00C56" w14:textId="77777777" w:rsidTr="00193293">
                              <w:trPr>
                                <w:cantSplit/>
                                <w:trHeight w:val="568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05352B3" w14:textId="77777777" w:rsidR="006B75F1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57986615" w14:textId="77777777" w:rsidR="006B75F1" w:rsidRPr="005D39DD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C91114B" w14:textId="77777777" w:rsidR="006B75F1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4511FAC" w14:textId="77777777" w:rsidR="006B75F1" w:rsidRPr="005D39DD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A65745E" w14:textId="77777777" w:rsidR="006B75F1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12E20E0" w14:textId="77777777" w:rsidR="006B75F1" w:rsidRPr="005D39DD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B75F1" w:rsidRPr="00101AB3" w14:paraId="5A615163" w14:textId="77777777" w:rsidTr="00193293">
                              <w:trPr>
                                <w:cantSplit/>
                                <w:trHeight w:val="338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9D62CB6" w14:textId="77777777" w:rsidR="006B75F1" w:rsidRPr="005D39DD" w:rsidRDefault="006B75F1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87E2A6B" w14:textId="77777777" w:rsidR="006B75F1" w:rsidRPr="005D39DD" w:rsidRDefault="006B75F1" w:rsidP="0027408E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DCF078C" w14:textId="77777777" w:rsidR="006B75F1" w:rsidRPr="005D39DD" w:rsidRDefault="006B75F1" w:rsidP="0027408E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75F1" w:rsidRPr="00101AB3" w14:paraId="32F2889D" w14:textId="77777777" w:rsidTr="00193293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627C2066" w14:textId="77777777" w:rsidR="006B75F1" w:rsidRPr="0064121C" w:rsidRDefault="006B75F1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64121C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EF3D64D" w14:textId="77777777" w:rsidR="006B75F1" w:rsidRPr="005D39DD" w:rsidRDefault="006B75F1" w:rsidP="0027408E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14:paraId="54433FC7" w14:textId="77777777" w:rsidR="006B75F1" w:rsidRPr="005D39DD" w:rsidRDefault="006B75F1" w:rsidP="00EE5FE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75F1" w:rsidRPr="00101AB3" w14:paraId="30FB5E1E" w14:textId="77777777" w:rsidTr="00193293"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25ABEB2" w14:textId="77777777" w:rsidR="006B75F1" w:rsidRPr="008C6B79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E52A6A6" w14:textId="77777777" w:rsidR="006B75F1" w:rsidRPr="005D39DD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665A4AFB" w14:textId="77777777" w:rsidR="006B75F1" w:rsidRPr="005D39DD" w:rsidRDefault="006B75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3656840F" w14:textId="77777777" w:rsidR="00C91B5F" w:rsidRPr="00101AB3" w:rsidRDefault="00C91B5F" w:rsidP="00C91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AB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20B7">
                              <w:rPr>
                                <w:sz w:val="18"/>
                                <w:szCs w:val="18"/>
                              </w:rPr>
                              <w:t xml:space="preserve">South Australia is contributing funding to the </w:t>
                            </w:r>
                            <w:proofErr w:type="gramStart"/>
                            <w:r w:rsidR="00A820B7">
                              <w:rPr>
                                <w:sz w:val="18"/>
                                <w:szCs w:val="18"/>
                              </w:rPr>
                              <w:t>program</w:t>
                            </w:r>
                            <w:proofErr w:type="gramEnd"/>
                            <w:r w:rsidR="002263C3">
                              <w:rPr>
                                <w:sz w:val="18"/>
                                <w:szCs w:val="18"/>
                              </w:rPr>
                              <w:t xml:space="preserve"> but the specific amount is unknown</w:t>
                            </w:r>
                            <w:r w:rsidR="00D751D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 xml:space="preserve">The Commonwealth will provide </w:t>
            </w:r>
            <w:r w:rsidR="0081736F">
              <w:rPr>
                <w:color w:val="auto"/>
              </w:rPr>
              <w:t>a</w:t>
            </w:r>
            <w:r w:rsidR="00C91B5F" w:rsidRPr="00F00A18">
              <w:rPr>
                <w:color w:val="auto"/>
              </w:rPr>
              <w:t xml:space="preserve"> total financial</w:t>
            </w:r>
            <w:r w:rsidR="00C33562">
              <w:rPr>
                <w:color w:val="auto"/>
              </w:rPr>
              <w:t xml:space="preserve"> contribution to </w:t>
            </w:r>
            <w:r w:rsidR="00C447ED">
              <w:rPr>
                <w:color w:val="auto"/>
              </w:rPr>
              <w:t>South Australia</w:t>
            </w:r>
            <w:r w:rsidR="00C33562">
              <w:rPr>
                <w:color w:val="auto"/>
              </w:rPr>
              <w:t xml:space="preserve"> of </w:t>
            </w:r>
            <w:r w:rsidR="00C91B5F" w:rsidRPr="00F00A18">
              <w:rPr>
                <w:color w:val="auto"/>
              </w:rPr>
              <w:t>$</w:t>
            </w:r>
            <w:r w:rsidR="00C368F6">
              <w:rPr>
                <w:color w:val="auto"/>
              </w:rPr>
              <w:t>12.2</w:t>
            </w:r>
            <w:r w:rsidR="00C33562">
              <w:rPr>
                <w:color w:val="auto"/>
              </w:rPr>
              <w:t>m</w:t>
            </w:r>
            <w:r w:rsidR="00C91B5F" w:rsidRPr="00F00A18">
              <w:rPr>
                <w:color w:val="auto"/>
              </w:rPr>
              <w:t xml:space="preserve"> in respect of this Schedule.</w:t>
            </w:r>
          </w:p>
        </w:tc>
      </w:tr>
      <w:tr w:rsidR="00C91B5F" w:rsidRPr="00F00A18" w14:paraId="74FDDB72" w14:textId="77777777" w:rsidTr="00FA7A16">
        <w:trPr>
          <w:trHeight w:val="406"/>
        </w:trPr>
        <w:tc>
          <w:tcPr>
            <w:tcW w:w="1691" w:type="dxa"/>
            <w:shd w:val="clear" w:color="auto" w:fill="auto"/>
          </w:tcPr>
          <w:p w14:paraId="30D9F682" w14:textId="77777777" w:rsidR="00C91B5F" w:rsidRPr="00F00A18" w:rsidRDefault="00E766B3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34D29BB0" w14:textId="77777777" w:rsidR="00A83363" w:rsidRDefault="002B310C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South Australia is responsible for the </w:t>
            </w:r>
            <w:proofErr w:type="spellStart"/>
            <w:r>
              <w:rPr>
                <w:color w:val="auto"/>
              </w:rPr>
              <w:t>operationalisation</w:t>
            </w:r>
            <w:proofErr w:type="spellEnd"/>
            <w:r>
              <w:rPr>
                <w:color w:val="auto"/>
              </w:rPr>
              <w:t xml:space="preserve"> of the Application and supporting trials in other jurisdictions. </w:t>
            </w:r>
          </w:p>
          <w:p w14:paraId="0EAB8D33" w14:textId="77777777" w:rsidR="00187FF3" w:rsidRDefault="0081736F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 and participating j</w:t>
            </w:r>
            <w:r w:rsidR="002B310C">
              <w:rPr>
                <w:color w:val="auto"/>
              </w:rPr>
              <w:t>urisdictions are responsible for privacy and security protections</w:t>
            </w:r>
            <w:r w:rsidR="00A83363">
              <w:rPr>
                <w:color w:val="auto"/>
              </w:rPr>
              <w:t xml:space="preserve"> under relevant state and territory laws</w:t>
            </w:r>
            <w:r w:rsidR="002B310C">
              <w:rPr>
                <w:color w:val="auto"/>
              </w:rPr>
              <w:t>. The Commonwealth will ensure appropriate data privacy and security protections for any Commonwealth shared data through data-sharing agreements with the relevant jurisdictions as required.</w:t>
            </w:r>
            <w:r w:rsidR="00EC6A79">
              <w:rPr>
                <w:color w:val="auto"/>
              </w:rPr>
              <w:t xml:space="preserve"> </w:t>
            </w:r>
          </w:p>
          <w:p w14:paraId="583143AB" w14:textId="1689D7B8" w:rsidR="00C91B5F" w:rsidRPr="002B310C" w:rsidRDefault="00157AA4" w:rsidP="00C015C0">
            <w:pPr>
              <w:pStyle w:val="Tableformat"/>
              <w:rPr>
                <w:color w:val="auto"/>
              </w:rPr>
            </w:pPr>
            <w:r w:rsidRPr="00157AA4">
              <w:rPr>
                <w:color w:val="auto"/>
              </w:rPr>
              <w:t>South Australia and participating jurisdictions</w:t>
            </w:r>
            <w:r w:rsidR="00187FF3">
              <w:rPr>
                <w:color w:val="auto"/>
              </w:rPr>
              <w:t xml:space="preserve"> are responsible for funding additional features within the Application beyond the purpose of supporting home quarantine.</w:t>
            </w:r>
          </w:p>
        </w:tc>
      </w:tr>
    </w:tbl>
    <w:p w14:paraId="49D8ACEF" w14:textId="77777777" w:rsidR="00C91B5F" w:rsidRPr="00F00A18" w:rsidRDefault="00C91B5F" w:rsidP="00C91B5F"/>
    <w:p w14:paraId="65C43B57" w14:textId="77777777" w:rsidR="00C91B5F" w:rsidRPr="00F00A18" w:rsidRDefault="00C91B5F" w:rsidP="00C91B5F">
      <w:pPr>
        <w:sectPr w:rsidR="00C91B5F" w:rsidRPr="00F00A18" w:rsidSect="00187FF3">
          <w:footerReference w:type="even" r:id="rId13"/>
          <w:footerReference w:type="default" r:id="rId14"/>
          <w:footerReference w:type="first" r:id="rId15"/>
          <w:pgSz w:w="11906" w:h="16838" w:code="9"/>
          <w:pgMar w:top="851" w:right="1134" w:bottom="709" w:left="1134" w:header="709" w:footer="413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7783"/>
        <w:gridCol w:w="1804"/>
        <w:gridCol w:w="1699"/>
      </w:tblGrid>
      <w:tr w:rsidR="00C91B5F" w:rsidRPr="00F00A18" w14:paraId="1B5C3D19" w14:textId="77777777" w:rsidTr="005D3905">
        <w:tc>
          <w:tcPr>
            <w:tcW w:w="14550" w:type="dxa"/>
            <w:gridSpan w:val="4"/>
            <w:shd w:val="clear" w:color="auto" w:fill="DEEAF6" w:themeFill="accent1" w:themeFillTint="33"/>
          </w:tcPr>
          <w:p w14:paraId="34257091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0A475358" w14:textId="77777777" w:rsidTr="007B6045">
        <w:tc>
          <w:tcPr>
            <w:tcW w:w="3264" w:type="dxa"/>
            <w:shd w:val="clear" w:color="auto" w:fill="F2F2F2" w:themeFill="background1" w:themeFillShade="F2"/>
          </w:tcPr>
          <w:p w14:paraId="3CA0BA6E" w14:textId="77777777" w:rsidR="00C91B5F" w:rsidRPr="00F00A18" w:rsidRDefault="00C91B5F" w:rsidP="00A820B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783" w:type="dxa"/>
            <w:shd w:val="clear" w:color="auto" w:fill="F2F2F2" w:themeFill="background1" w:themeFillShade="F2"/>
          </w:tcPr>
          <w:p w14:paraId="7D1CD956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56CAAE1A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38861102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E45F42" w:rsidRPr="00F00A18" w14:paraId="1AA5CB64" w14:textId="77777777" w:rsidTr="00DE666B">
        <w:tc>
          <w:tcPr>
            <w:tcW w:w="326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6D5513BC" w14:textId="260B688D" w:rsidR="00E45F42" w:rsidRDefault="00E45F42" w:rsidP="009B105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E45F42">
              <w:rPr>
                <w:color w:val="auto"/>
              </w:rPr>
              <w:t>evelop</w:t>
            </w:r>
            <w:r>
              <w:rPr>
                <w:color w:val="auto"/>
              </w:rPr>
              <w:t xml:space="preserve">ment </w:t>
            </w:r>
            <w:r w:rsidR="006A3C8C">
              <w:rPr>
                <w:color w:val="auto"/>
              </w:rPr>
              <w:t xml:space="preserve">of </w:t>
            </w:r>
            <w:r w:rsidR="006A3C8C" w:rsidRPr="00E45F42">
              <w:rPr>
                <w:color w:val="auto"/>
              </w:rPr>
              <w:t>the</w:t>
            </w:r>
            <w:r w:rsidRPr="00E45F42">
              <w:rPr>
                <w:color w:val="auto"/>
              </w:rPr>
              <w:t xml:space="preserve"> South Australian Home Quarantine Application for COVID-19 home quarantine trial</w:t>
            </w:r>
            <w:r>
              <w:rPr>
                <w:color w:val="auto"/>
              </w:rPr>
              <w:t xml:space="preserve">s and if required to </w:t>
            </w:r>
            <w:r w:rsidRPr="00E45F42">
              <w:rPr>
                <w:color w:val="auto"/>
              </w:rPr>
              <w:t xml:space="preserve">adapt and scale the application and to provide technical support for the use of the application in home quarantine trials in other jurisdictions. </w:t>
            </w:r>
          </w:p>
        </w:tc>
        <w:tc>
          <w:tcPr>
            <w:tcW w:w="7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2F90C" w14:textId="2350D162" w:rsidR="00E45F42" w:rsidRDefault="00C00CCC" w:rsidP="007B604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Execution of the Federation Funding Agreement schedule</w:t>
            </w:r>
            <w:r w:rsidR="00E45F42">
              <w:rPr>
                <w:color w:val="auto"/>
              </w:rPr>
              <w:t xml:space="preserve"> </w:t>
            </w:r>
          </w:p>
        </w:tc>
        <w:tc>
          <w:tcPr>
            <w:tcW w:w="1804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7934F9" w14:textId="77777777" w:rsidR="00E45F42" w:rsidRDefault="00E45F42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5F218C8" w14:textId="77777777" w:rsidR="00E45F42" w:rsidRPr="00F00A18" w:rsidRDefault="00E45F42" w:rsidP="00EC6A79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12</w:t>
            </w:r>
            <w:r w:rsidRPr="00F00A18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  <w:r w:rsidRPr="00F00A18">
              <w:rPr>
                <w:color w:val="auto"/>
              </w:rPr>
              <w:t>m</w:t>
            </w:r>
          </w:p>
          <w:p w14:paraId="63ADB92C" w14:textId="77777777" w:rsidR="00E45F42" w:rsidRPr="00F00A18" w:rsidRDefault="00E45F42" w:rsidP="005D3905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E45F42" w:rsidRPr="00F00A18" w14:paraId="75B814AA" w14:textId="77777777" w:rsidTr="00DE666B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5787F36" w14:textId="0693F5A8" w:rsidR="00E45F42" w:rsidRPr="00F00A18" w:rsidRDefault="00E45F42" w:rsidP="009B1055">
            <w:pPr>
              <w:pStyle w:val="Milestonetable"/>
              <w:rPr>
                <w:color w:val="auto"/>
              </w:rPr>
            </w:pPr>
          </w:p>
        </w:tc>
        <w:tc>
          <w:tcPr>
            <w:tcW w:w="7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B52A2F" w14:textId="77777777" w:rsidR="00E45F42" w:rsidRDefault="00E45F42" w:rsidP="007B604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Fit for purpose application released to Apple and Android App Stores </w:t>
            </w:r>
            <w:proofErr w:type="gramStart"/>
            <w:r>
              <w:rPr>
                <w:color w:val="auto"/>
              </w:rPr>
              <w:t>so as to</w:t>
            </w:r>
            <w:proofErr w:type="gramEnd"/>
            <w:r>
              <w:rPr>
                <w:color w:val="auto"/>
              </w:rPr>
              <w:t xml:space="preserve"> be accessible to home quarantine trial participants.</w:t>
            </w:r>
          </w:p>
          <w:p w14:paraId="732038AB" w14:textId="77777777" w:rsidR="00E45F42" w:rsidRPr="00F00A18" w:rsidRDefault="00E45F42" w:rsidP="007B604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Application compliant with all applicable laws and Codes of Practice.</w:t>
            </w:r>
          </w:p>
        </w:tc>
        <w:tc>
          <w:tcPr>
            <w:tcW w:w="180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62AF208" w14:textId="77777777" w:rsidR="00E45F42" w:rsidRPr="00F00A18" w:rsidRDefault="00E45F42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30/12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2021</w:t>
            </w:r>
          </w:p>
          <w:p w14:paraId="2893E4C4" w14:textId="77777777" w:rsidR="00E45F42" w:rsidRPr="00F00A18" w:rsidRDefault="00E45F42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CBBEE19" w14:textId="77777777" w:rsidR="00E45F42" w:rsidRPr="00F00A18" w:rsidRDefault="00E45F42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0.0</w:t>
            </w:r>
          </w:p>
          <w:p w14:paraId="60AA0614" w14:textId="77777777" w:rsidR="00E45F42" w:rsidRPr="00F00A18" w:rsidRDefault="00E45F42" w:rsidP="005D3905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E45F42" w:rsidRPr="00F00A18" w14:paraId="4E7230FD" w14:textId="77777777" w:rsidTr="00DE666B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1FDB113" w14:textId="5A50997A" w:rsidR="00E45F42" w:rsidRPr="00F00A18" w:rsidRDefault="00E45F42" w:rsidP="009B1055">
            <w:pPr>
              <w:pStyle w:val="Milestonetable"/>
              <w:rPr>
                <w:color w:val="auto"/>
              </w:rPr>
            </w:pPr>
          </w:p>
        </w:tc>
        <w:tc>
          <w:tcPr>
            <w:tcW w:w="7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7EEE5B" w14:textId="77777777" w:rsidR="00E45F42" w:rsidRDefault="00E45F42" w:rsidP="007B604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Application adapted to meet home quarantine policy requirements (if any) of participating jurisdictions (currently, but not limited to, NSW and Victoria).</w:t>
            </w:r>
          </w:p>
          <w:p w14:paraId="5C8B0BB3" w14:textId="77777777" w:rsidR="00E45F42" w:rsidRPr="00F00A18" w:rsidRDefault="00E45F42" w:rsidP="007B604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In-use capability and capacity (including back-end capability) able to meet demand of participating jurisdictions, ensuring reliable continuous service.</w:t>
            </w:r>
          </w:p>
        </w:tc>
        <w:tc>
          <w:tcPr>
            <w:tcW w:w="1804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D4CA891" w14:textId="77777777" w:rsidR="00E45F42" w:rsidRPr="00F00A18" w:rsidRDefault="00E45F42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0EBBB02" w14:textId="77777777" w:rsidR="00E45F42" w:rsidRPr="00F00A18" w:rsidRDefault="00E45F42" w:rsidP="005D3905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E45F42" w:rsidRPr="00F00A18" w14:paraId="40921000" w14:textId="77777777" w:rsidTr="00DE666B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DCE3E05" w14:textId="5B87027F" w:rsidR="00E45F42" w:rsidRPr="00F00A18" w:rsidRDefault="00E45F42" w:rsidP="009B1055">
            <w:pPr>
              <w:pStyle w:val="Milestonetable"/>
              <w:rPr>
                <w:color w:val="auto"/>
              </w:rPr>
            </w:pPr>
          </w:p>
        </w:tc>
        <w:tc>
          <w:tcPr>
            <w:tcW w:w="7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2DECB4" w14:textId="77777777" w:rsidR="00E45F42" w:rsidRPr="00F00A18" w:rsidRDefault="00E45F42" w:rsidP="004B685A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Administrative support, technical support and data management support provided to facilitate trials of the application for home quarantine consistent with agreements made between South Australia and participating jurisdictions.</w:t>
            </w:r>
          </w:p>
        </w:tc>
        <w:tc>
          <w:tcPr>
            <w:tcW w:w="1804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8DE99A5" w14:textId="77777777" w:rsidR="00E45F42" w:rsidRPr="00F00A18" w:rsidRDefault="00E45F42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EB92A22" w14:textId="77777777" w:rsidR="00E45F42" w:rsidRPr="00F00A18" w:rsidRDefault="00E45F42" w:rsidP="005D3905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E45F42" w:rsidRPr="00F00A18" w14:paraId="5468068E" w14:textId="77777777" w:rsidTr="00DE666B">
        <w:tc>
          <w:tcPr>
            <w:tcW w:w="3264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7CABF0" w14:textId="7F9FEDCA" w:rsidR="00E45F42" w:rsidRPr="00F00A18" w:rsidRDefault="00E45F42" w:rsidP="009B1055">
            <w:pPr>
              <w:pStyle w:val="Milestonetable"/>
              <w:rPr>
                <w:color w:val="auto"/>
              </w:rPr>
            </w:pPr>
          </w:p>
        </w:tc>
        <w:tc>
          <w:tcPr>
            <w:tcW w:w="7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DCEB28" w14:textId="77777777" w:rsidR="00E45F42" w:rsidRPr="00F00A18" w:rsidRDefault="00E45F42" w:rsidP="007D527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Consolidated report on use of the </w:t>
            </w:r>
            <w:r w:rsidRPr="00277D95">
              <w:rPr>
                <w:color w:val="auto"/>
              </w:rPr>
              <w:t xml:space="preserve">home quarantine application </w:t>
            </w:r>
            <w:r>
              <w:rPr>
                <w:color w:val="auto"/>
              </w:rPr>
              <w:t xml:space="preserve">in trials in South Australia and other participating jurisdictions, addressing as a minimum the outcomes (effectiveness and utility), supporting administrative requirements (and services), user experience and scalability of the application (both front and back-end) for large cohorts. </w:t>
            </w:r>
          </w:p>
        </w:tc>
        <w:tc>
          <w:tcPr>
            <w:tcW w:w="180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36369E" w14:textId="77777777" w:rsidR="00E45F42" w:rsidRPr="00F00A18" w:rsidRDefault="00E45F42" w:rsidP="00187FF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31/01/2022</w:t>
            </w:r>
          </w:p>
        </w:tc>
        <w:tc>
          <w:tcPr>
            <w:tcW w:w="169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DA4A7A" w14:textId="77777777" w:rsidR="00E45F42" w:rsidRPr="00F00A18" w:rsidRDefault="00E45F42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$0.0</w:t>
            </w:r>
          </w:p>
        </w:tc>
      </w:tr>
    </w:tbl>
    <w:p w14:paraId="35D0666E" w14:textId="77777777" w:rsidR="00C91B5F" w:rsidRDefault="00C91B5F" w:rsidP="00C91B5F"/>
    <w:p w14:paraId="16F65292" w14:textId="77777777" w:rsidR="00280436" w:rsidRDefault="00280436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02CA5EE5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28A71EFB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678"/>
      </w:tblGrid>
      <w:tr w:rsidR="00C91B5F" w:rsidRPr="00A50751" w14:paraId="688B521A" w14:textId="77777777" w:rsidTr="002F78FC">
        <w:trPr>
          <w:cantSplit/>
          <w:jc w:val="center"/>
        </w:trPr>
        <w:tc>
          <w:tcPr>
            <w:tcW w:w="4536" w:type="dxa"/>
          </w:tcPr>
          <w:p w14:paraId="2E5C47F9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2541DC32" w14:textId="77777777" w:rsidR="00C91B5F" w:rsidRPr="00A50751" w:rsidRDefault="00C91B5F" w:rsidP="005D3905">
            <w:pPr>
              <w:pStyle w:val="LineForSignature"/>
            </w:pPr>
            <w:r>
              <w:br/>
            </w:r>
            <w:r>
              <w:tab/>
            </w:r>
          </w:p>
          <w:p w14:paraId="6AA9419A" w14:textId="77777777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2F78FC">
              <w:rPr>
                <w:rStyle w:val="Bold"/>
              </w:rPr>
              <w:t>Greg Hunt</w:t>
            </w:r>
            <w:r>
              <w:rPr>
                <w:rStyle w:val="Bold"/>
              </w:rPr>
              <w:t xml:space="preserve"> MP</w:t>
            </w:r>
          </w:p>
          <w:p w14:paraId="7A46B02C" w14:textId="77777777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2F78FC">
              <w:rPr>
                <w:lang w:val="en-GB"/>
              </w:rPr>
              <w:t>Health and Aged Care</w:t>
            </w:r>
            <w:r>
              <w:rPr>
                <w:lang w:val="en-GB"/>
              </w:rPr>
              <w:t xml:space="preserve"> </w:t>
            </w:r>
          </w:p>
          <w:p w14:paraId="04E17229" w14:textId="77777777" w:rsidR="00C91B5F" w:rsidRDefault="00C91B5F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7E55134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678" w:type="dxa"/>
          </w:tcPr>
          <w:p w14:paraId="13692E95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State of </w:t>
            </w:r>
            <w:r w:rsidR="002F78FC">
              <w:t>South Australia</w:t>
            </w:r>
            <w:r w:rsidRPr="004A0AE7">
              <w:t xml:space="preserve"> by</w:t>
            </w:r>
          </w:p>
          <w:p w14:paraId="452CB2D1" w14:textId="77777777" w:rsidR="00C91B5F" w:rsidRPr="00A50751" w:rsidRDefault="00C91B5F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5ED4C79A" w14:textId="5F98F1C9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6659EC">
              <w:rPr>
                <w:rStyle w:val="Bold"/>
              </w:rPr>
              <w:t>Steven Marshall</w:t>
            </w:r>
            <w:r>
              <w:rPr>
                <w:rStyle w:val="Bold"/>
              </w:rPr>
              <w:t xml:space="preserve"> MP</w:t>
            </w:r>
          </w:p>
          <w:p w14:paraId="23FA4A52" w14:textId="34BB49FB" w:rsidR="00C91B5F" w:rsidRDefault="006659EC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Premier of South Australia</w:t>
            </w:r>
          </w:p>
          <w:p w14:paraId="5401EA6E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</w:tr>
    </w:tbl>
    <w:p w14:paraId="604F4E11" w14:textId="77777777" w:rsidR="00884E8F" w:rsidRPr="00F00A18" w:rsidRDefault="00884E8F" w:rsidP="00EC6A79">
      <w:pPr>
        <w:sectPr w:rsidR="00884E8F" w:rsidRPr="00F00A18" w:rsidSect="007E44E6">
          <w:headerReference w:type="even" r:id="rId16"/>
          <w:headerReference w:type="default" r:id="rId17"/>
          <w:headerReference w:type="first" r:id="rId18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5D72BBB7" w14:textId="77777777" w:rsidR="00884E8F" w:rsidRPr="00095546" w:rsidRDefault="00884E8F" w:rsidP="002F7426">
      <w:pPr>
        <w:rPr>
          <w:color w:val="FF0000"/>
          <w:sz w:val="20"/>
          <w:lang w:val="en-GB"/>
        </w:rPr>
      </w:pPr>
    </w:p>
    <w:sectPr w:rsidR="00884E8F" w:rsidRPr="00095546" w:rsidSect="0088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C6DD" w14:textId="77777777" w:rsidR="007D2F39" w:rsidRDefault="007D2F39">
      <w:r>
        <w:separator/>
      </w:r>
    </w:p>
  </w:endnote>
  <w:endnote w:type="continuationSeparator" w:id="0">
    <w:p w14:paraId="5CA20C7C" w14:textId="77777777" w:rsidR="007D2F39" w:rsidRDefault="007D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1C88" w14:textId="77777777" w:rsidR="00815B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821" w14:textId="77777777" w:rsidR="00815B50" w:rsidRDefault="006659EC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C86" w14:textId="77777777" w:rsidR="00815B50" w:rsidRPr="00CA24B0" w:rsidRDefault="006659EC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37A5" w14:textId="77777777" w:rsidR="007D2F39" w:rsidRDefault="007D2F39">
      <w:r>
        <w:separator/>
      </w:r>
    </w:p>
  </w:footnote>
  <w:footnote w:type="continuationSeparator" w:id="0">
    <w:p w14:paraId="0B9B7875" w14:textId="77777777" w:rsidR="007D2F39" w:rsidRDefault="007D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6625" w14:textId="77777777" w:rsidR="00884E8F" w:rsidRDefault="00884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805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1F88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3A67"/>
    <w:multiLevelType w:val="hybridMultilevel"/>
    <w:tmpl w:val="9A0AF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635B"/>
    <w:multiLevelType w:val="hybridMultilevel"/>
    <w:tmpl w:val="E76E2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03C2"/>
    <w:multiLevelType w:val="hybridMultilevel"/>
    <w:tmpl w:val="B364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4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34A9B"/>
    <w:rsid w:val="00051FC7"/>
    <w:rsid w:val="00096BCC"/>
    <w:rsid w:val="000F7E14"/>
    <w:rsid w:val="00101F13"/>
    <w:rsid w:val="00107CA7"/>
    <w:rsid w:val="001358EB"/>
    <w:rsid w:val="00152DDA"/>
    <w:rsid w:val="00157AA4"/>
    <w:rsid w:val="00164A1E"/>
    <w:rsid w:val="001818D9"/>
    <w:rsid w:val="001858CF"/>
    <w:rsid w:val="00187FF3"/>
    <w:rsid w:val="00193293"/>
    <w:rsid w:val="002263C3"/>
    <w:rsid w:val="0027408E"/>
    <w:rsid w:val="00277D95"/>
    <w:rsid w:val="00280436"/>
    <w:rsid w:val="002B0193"/>
    <w:rsid w:val="002B310C"/>
    <w:rsid w:val="002C661C"/>
    <w:rsid w:val="002D3AA7"/>
    <w:rsid w:val="002F7426"/>
    <w:rsid w:val="002F78FC"/>
    <w:rsid w:val="00316DFD"/>
    <w:rsid w:val="00317FB3"/>
    <w:rsid w:val="003B1E80"/>
    <w:rsid w:val="003F19EE"/>
    <w:rsid w:val="004369DA"/>
    <w:rsid w:val="004B685A"/>
    <w:rsid w:val="004E4625"/>
    <w:rsid w:val="005B0AD0"/>
    <w:rsid w:val="005C7082"/>
    <w:rsid w:val="005F535A"/>
    <w:rsid w:val="006048A1"/>
    <w:rsid w:val="0064121C"/>
    <w:rsid w:val="006659EC"/>
    <w:rsid w:val="006A0572"/>
    <w:rsid w:val="006A3C8C"/>
    <w:rsid w:val="006B26C6"/>
    <w:rsid w:val="006B6E73"/>
    <w:rsid w:val="006B75F1"/>
    <w:rsid w:val="00751233"/>
    <w:rsid w:val="007B6045"/>
    <w:rsid w:val="007D2F39"/>
    <w:rsid w:val="007D5273"/>
    <w:rsid w:val="0081736F"/>
    <w:rsid w:val="00884E8F"/>
    <w:rsid w:val="008C06E3"/>
    <w:rsid w:val="008E62E2"/>
    <w:rsid w:val="009424C5"/>
    <w:rsid w:val="009B1055"/>
    <w:rsid w:val="009C3443"/>
    <w:rsid w:val="009D5BA6"/>
    <w:rsid w:val="00A020B2"/>
    <w:rsid w:val="00A5360B"/>
    <w:rsid w:val="00A53C7D"/>
    <w:rsid w:val="00A65C44"/>
    <w:rsid w:val="00A7101C"/>
    <w:rsid w:val="00A820B7"/>
    <w:rsid w:val="00A83363"/>
    <w:rsid w:val="00AF2DC9"/>
    <w:rsid w:val="00B63981"/>
    <w:rsid w:val="00B76A39"/>
    <w:rsid w:val="00BB0778"/>
    <w:rsid w:val="00BD6E01"/>
    <w:rsid w:val="00C00CCC"/>
    <w:rsid w:val="00C015C0"/>
    <w:rsid w:val="00C33562"/>
    <w:rsid w:val="00C368F6"/>
    <w:rsid w:val="00C447ED"/>
    <w:rsid w:val="00C5768A"/>
    <w:rsid w:val="00C704D2"/>
    <w:rsid w:val="00C91B5F"/>
    <w:rsid w:val="00CA54E0"/>
    <w:rsid w:val="00CF0B25"/>
    <w:rsid w:val="00D273BF"/>
    <w:rsid w:val="00D340EF"/>
    <w:rsid w:val="00D54783"/>
    <w:rsid w:val="00D72A49"/>
    <w:rsid w:val="00D751D7"/>
    <w:rsid w:val="00D8284E"/>
    <w:rsid w:val="00DB549F"/>
    <w:rsid w:val="00DE0037"/>
    <w:rsid w:val="00DE13B9"/>
    <w:rsid w:val="00E44FE5"/>
    <w:rsid w:val="00E45F42"/>
    <w:rsid w:val="00E766B3"/>
    <w:rsid w:val="00EA02C0"/>
    <w:rsid w:val="00EB400A"/>
    <w:rsid w:val="00EC6A79"/>
    <w:rsid w:val="00EE5FE1"/>
    <w:rsid w:val="00F83FF1"/>
    <w:rsid w:val="00FA3B8E"/>
    <w:rsid w:val="00FA7A16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0D77D9AD"/>
  <w15:chartTrackingRefBased/>
  <w15:docId w15:val="{9DFF7502-E5FE-4E11-B99E-E62EBCA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1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10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2022FG-64-102741</_dlc_DocId>
    <_dlc_DocIdUrl xmlns="0f563589-9cf9-4143-b1eb-fb0534803d38">
      <Url>http://tweb/sites/fg/csrd/_layouts/15/DocIdRedir.aspx?ID=2022FG-64-102741</Url>
      <Description>2022FG-64-102741</Description>
    </_dlc_DocIdUrl>
  </documentManagement>
</p:properties>
</file>

<file path=customXml/item3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4098" ma:contentTypeDescription=" " ma:contentTypeScope="" ma:versionID="acdf49d9cfa3de647ae1bfcdef434fd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7E25A-4A0F-4064-9AA3-BC512B33075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FD900B8-6070-407E-B433-89E316A15907}">
  <ds:schemaRefs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F65ACE-AD7D-4F61-BF0B-28C2AA570E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571649-D103-48E0-9B5F-BAA18E6DBC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DA643BB-6913-48BC-8429-68CD936FF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Shi, Tian Xiao</cp:lastModifiedBy>
  <cp:revision>2</cp:revision>
  <dcterms:created xsi:type="dcterms:W3CDTF">2022-01-26T23:40:00Z</dcterms:created>
  <dcterms:modified xsi:type="dcterms:W3CDTF">2022-01-26T23:40:00Z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23da73d4-855e-4724-af41-8a391eb56484</vt:lpwstr>
  </property>
</Properties>
</file>