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2AE" w14:textId="0D5E7876"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4B00541B" w:rsidR="00C91B5F" w:rsidRPr="001E20F4" w:rsidRDefault="00D9348D" w:rsidP="00C91B5F">
      <w:pPr>
        <w:pStyle w:val="Title"/>
      </w:pPr>
      <w:r w:rsidRPr="00D9348D">
        <w:t>Dengue and Other Disease Mitigation through Mosquito Control in Tennant Creek</w:t>
      </w:r>
    </w:p>
    <w:p w14:paraId="028FB178" w14:textId="5E6F3DF2" w:rsidR="00C91B5F" w:rsidRPr="00BE249A" w:rsidRDefault="00D54783" w:rsidP="00C91B5F">
      <w:pPr>
        <w:pStyle w:val="Subtitle"/>
      </w:pPr>
      <w:r>
        <w:t>FEDERATION FUNDING AGREEMENT – HEALTH</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5D3905">
        <w:tc>
          <w:tcPr>
            <w:tcW w:w="9629" w:type="dxa"/>
            <w:gridSpan w:val="2"/>
            <w:shd w:val="clear" w:color="auto" w:fill="DEEAF6" w:themeFill="accent1" w:themeFillTint="33"/>
          </w:tcPr>
          <w:p w14:paraId="5D980595" w14:textId="77777777" w:rsidR="00C91B5F" w:rsidRPr="00F00A18" w:rsidRDefault="00C91B5F" w:rsidP="005D3905">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5D3905">
            <w:pPr>
              <w:pStyle w:val="Tableformat"/>
              <w:rPr>
                <w:color w:val="auto"/>
              </w:rPr>
            </w:pPr>
            <w:r w:rsidRPr="00F00A18">
              <w:rPr>
                <w:color w:val="auto"/>
              </w:rPr>
              <w:t>Commonwealth</w:t>
            </w:r>
          </w:p>
          <w:p w14:paraId="73502BB0" w14:textId="03D85979" w:rsidR="00C91B5F" w:rsidRPr="00F00A18" w:rsidRDefault="00D9348D" w:rsidP="005D3905">
            <w:pPr>
              <w:pStyle w:val="Tableformat"/>
              <w:rPr>
                <w:color w:val="auto"/>
              </w:rPr>
            </w:pPr>
            <w:r>
              <w:rPr>
                <w:color w:val="auto"/>
              </w:rPr>
              <w:t>Northern Territory</w:t>
            </w:r>
            <w:r w:rsidR="00C91B5F"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7938" w:type="dxa"/>
            <w:shd w:val="clear" w:color="auto" w:fill="auto"/>
          </w:tcPr>
          <w:p w14:paraId="689A6E64" w14:textId="1DED22CB" w:rsidR="00C91B5F" w:rsidRPr="00F00A18" w:rsidRDefault="00C91B5F" w:rsidP="005D3905">
            <w:pPr>
              <w:pStyle w:val="Tableformat"/>
              <w:rPr>
                <w:color w:val="auto"/>
              </w:rPr>
            </w:pPr>
            <w:r w:rsidRPr="00F00A18">
              <w:rPr>
                <w:color w:val="auto"/>
              </w:rPr>
              <w:t xml:space="preserve">This Schedule is expected to expire on </w:t>
            </w:r>
            <w:r w:rsidR="00D9348D">
              <w:rPr>
                <w:color w:val="auto"/>
              </w:rPr>
              <w:t>30 June 20</w:t>
            </w:r>
            <w:r w:rsidR="00252D9F">
              <w:rPr>
                <w:color w:val="auto"/>
              </w:rPr>
              <w:t>23</w:t>
            </w:r>
            <w:r w:rsidRPr="00F00A18">
              <w:rPr>
                <w:color w:val="auto"/>
              </w:rPr>
              <w:t>.</w:t>
            </w:r>
          </w:p>
        </w:tc>
      </w:tr>
      <w:tr w:rsidR="00C91B5F" w:rsidRPr="00F00A18" w14:paraId="516BC532" w14:textId="77777777" w:rsidTr="00317FB3">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7938" w:type="dxa"/>
            <w:shd w:val="clear" w:color="auto" w:fill="auto"/>
          </w:tcPr>
          <w:p w14:paraId="36CF7FEF" w14:textId="5121A02E" w:rsidR="00C91B5F" w:rsidRPr="00F00A18" w:rsidRDefault="006F1BF9" w:rsidP="008704E3">
            <w:pPr>
              <w:pStyle w:val="Tableformat"/>
              <w:rPr>
                <w:color w:val="auto"/>
              </w:rPr>
            </w:pPr>
            <w:r>
              <w:rPr>
                <w:color w:val="auto"/>
              </w:rPr>
              <w:t>T</w:t>
            </w:r>
            <w:r w:rsidRPr="006F1BF9">
              <w:rPr>
                <w:color w:val="auto"/>
              </w:rPr>
              <w:t xml:space="preserve">o </w:t>
            </w:r>
            <w:r>
              <w:rPr>
                <w:color w:val="auto"/>
              </w:rPr>
              <w:t>protect public health by mitigating</w:t>
            </w:r>
            <w:r w:rsidRPr="006F1BF9">
              <w:rPr>
                <w:color w:val="auto"/>
              </w:rPr>
              <w:t xml:space="preserve"> the risk of disease transmission</w:t>
            </w:r>
            <w:r>
              <w:rPr>
                <w:color w:val="auto"/>
              </w:rPr>
              <w:t>, t</w:t>
            </w:r>
            <w:r w:rsidR="00C91B5F" w:rsidRPr="00F00A18">
              <w:rPr>
                <w:color w:val="auto"/>
              </w:rPr>
              <w:t xml:space="preserve">his Schedule will support the </w:t>
            </w:r>
            <w:r w:rsidR="00D9348D">
              <w:rPr>
                <w:color w:val="auto"/>
              </w:rPr>
              <w:t xml:space="preserve">surveillance, control and, where possible, elimination of </w:t>
            </w:r>
            <w:r w:rsidR="00D9348D">
              <w:rPr>
                <w:i/>
                <w:color w:val="auto"/>
              </w:rPr>
              <w:t xml:space="preserve">Aedes aegypti </w:t>
            </w:r>
            <w:r w:rsidR="00D9348D">
              <w:rPr>
                <w:color w:val="auto"/>
              </w:rPr>
              <w:t>mosquitos</w:t>
            </w:r>
            <w:r>
              <w:rPr>
                <w:color w:val="auto"/>
              </w:rPr>
              <w:t xml:space="preserve"> (known for transmitting dengue)</w:t>
            </w:r>
            <w:r w:rsidR="00D9348D">
              <w:rPr>
                <w:color w:val="auto"/>
              </w:rPr>
              <w:t xml:space="preserve"> in Tennant Creek and the wider Barkly region of the Northern Territory</w:t>
            </w:r>
            <w:r w:rsidR="00AB36B4">
              <w:rPr>
                <w:color w:val="auto"/>
              </w:rPr>
              <w:t xml:space="preserve">; and </w:t>
            </w:r>
            <w:r>
              <w:rPr>
                <w:color w:val="auto"/>
              </w:rPr>
              <w:t xml:space="preserve">efforts to </w:t>
            </w:r>
            <w:r w:rsidR="00AB36B4">
              <w:rPr>
                <w:color w:val="auto"/>
              </w:rPr>
              <w:t>increas</w:t>
            </w:r>
            <w:r>
              <w:rPr>
                <w:color w:val="auto"/>
              </w:rPr>
              <w:t>e</w:t>
            </w:r>
            <w:r w:rsidR="00AB36B4">
              <w:rPr>
                <w:color w:val="auto"/>
              </w:rPr>
              <w:t xml:space="preserve"> awareness in communities regarding mosquito </w:t>
            </w:r>
            <w:r w:rsidR="0082342B">
              <w:rPr>
                <w:color w:val="auto"/>
              </w:rPr>
              <w:t>control</w:t>
            </w:r>
            <w:r w:rsidR="00AB36B4">
              <w:rPr>
                <w:color w:val="auto"/>
              </w:rPr>
              <w:t xml:space="preserve"> practices</w:t>
            </w:r>
            <w:r w:rsidR="00C91B5F" w:rsidRPr="00F00A18">
              <w:rPr>
                <w:color w:val="auto"/>
              </w:rPr>
              <w:t>.</w:t>
            </w:r>
          </w:p>
        </w:tc>
      </w:tr>
      <w:tr w:rsidR="00C91B5F" w:rsidRPr="00F00A18" w14:paraId="2C63A902" w14:textId="77777777" w:rsidTr="002C24C2">
        <w:trPr>
          <w:trHeight w:val="4488"/>
        </w:trPr>
        <w:tc>
          <w:tcPr>
            <w:tcW w:w="1691" w:type="dxa"/>
            <w:shd w:val="clear" w:color="auto" w:fill="auto"/>
          </w:tcPr>
          <w:p w14:paraId="2E78F30B" w14:textId="77777777" w:rsidR="00C91B5F" w:rsidRPr="00F00A18" w:rsidRDefault="00C91B5F" w:rsidP="005D3905">
            <w:pPr>
              <w:pStyle w:val="Tableformat"/>
              <w:rPr>
                <w:color w:val="auto"/>
              </w:rPr>
            </w:pPr>
            <w:r w:rsidRPr="00F00A18">
              <w:rPr>
                <w:color w:val="auto"/>
              </w:rPr>
              <w:t>Estimated financial contributions</w:t>
            </w:r>
          </w:p>
        </w:tc>
        <w:tc>
          <w:tcPr>
            <w:tcW w:w="7938" w:type="dxa"/>
            <w:shd w:val="clear" w:color="auto" w:fill="auto"/>
          </w:tcPr>
          <w:p w14:paraId="7110CBB4" w14:textId="6BCBE97B" w:rsidR="00C91B5F" w:rsidRPr="00F00A18" w:rsidRDefault="006F1BF9" w:rsidP="002C24C2">
            <w:pPr>
              <w:pStyle w:val="Tableformat"/>
              <w:rPr>
                <w:color w:val="auto"/>
              </w:rPr>
            </w:pPr>
            <w:r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00F62119">
                      <wp:simplePos x="0" y="0"/>
                      <wp:positionH relativeFrom="column">
                        <wp:posOffset>-62230</wp:posOffset>
                      </wp:positionH>
                      <wp:positionV relativeFrom="paragraph">
                        <wp:posOffset>766445</wp:posOffset>
                      </wp:positionV>
                      <wp:extent cx="5090160" cy="2010410"/>
                      <wp:effectExtent l="0" t="0" r="0" b="889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2010410"/>
                              </a:xfrm>
                              <a:prstGeom prst="rect">
                                <a:avLst/>
                              </a:prstGeom>
                              <a:solidFill>
                                <a:srgbClr val="FFFFFF"/>
                              </a:solidFill>
                              <a:ln w="9525">
                                <a:noFill/>
                                <a:miter lim="800000"/>
                                <a:headEnd/>
                                <a:tailEnd/>
                              </a:ln>
                            </wps:spPr>
                            <wps:txbx>
                              <w:txbxContent>
                                <w:tbl>
                                  <w:tblPr>
                                    <w:tblW w:w="0" w:type="auto"/>
                                    <w:tblLayout w:type="fixed"/>
                                    <w:tblLook w:val="01E0" w:firstRow="1" w:lastRow="1" w:firstColumn="1" w:lastColumn="1" w:noHBand="0" w:noVBand="0"/>
                                  </w:tblPr>
                                  <w:tblGrid>
                                    <w:gridCol w:w="2859"/>
                                    <w:gridCol w:w="1361"/>
                                    <w:gridCol w:w="1361"/>
                                    <w:gridCol w:w="1361"/>
                                  </w:tblGrid>
                                  <w:tr w:rsidR="000D6C18" w:rsidRPr="00101AB3" w14:paraId="533FE7BA" w14:textId="77777777" w:rsidTr="00C576FF">
                                    <w:trPr>
                                      <w:cantSplit/>
                                      <w:trHeight w:val="286"/>
                                    </w:trPr>
                                    <w:tc>
                                      <w:tcPr>
                                        <w:tcW w:w="2859" w:type="dxa"/>
                                        <w:tcBorders>
                                          <w:top w:val="single" w:sz="4" w:space="0" w:color="000080"/>
                                          <w:bottom w:val="single" w:sz="4" w:space="0" w:color="000080"/>
                                        </w:tcBorders>
                                      </w:tcPr>
                                      <w:p w14:paraId="6430D4A7" w14:textId="64CC398B" w:rsidR="000D6C18" w:rsidRPr="00030BD1" w:rsidRDefault="000D6C18" w:rsidP="002C24C2">
                                        <w:pPr>
                                          <w:keepNext/>
                                          <w:keepLines/>
                                          <w:spacing w:before="40" w:after="40"/>
                                          <w:ind w:left="-111"/>
                                          <w:rPr>
                                            <w:rFonts w:ascii="Corbel" w:hAnsi="Corbel"/>
                                            <w:b/>
                                            <w:sz w:val="21"/>
                                            <w:szCs w:val="21"/>
                                          </w:rPr>
                                        </w:pPr>
                                        <w:r w:rsidRPr="00030BD1">
                                          <w:rPr>
                                            <w:rFonts w:ascii="Corbel" w:hAnsi="Corbel"/>
                                            <w:b/>
                                            <w:sz w:val="21"/>
                                            <w:szCs w:val="21"/>
                                          </w:rPr>
                                          <w:t>($ million)</w:t>
                                        </w:r>
                                      </w:p>
                                    </w:tc>
                                    <w:tc>
                                      <w:tcPr>
                                        <w:tcW w:w="1361" w:type="dxa"/>
                                        <w:tcBorders>
                                          <w:top w:val="single" w:sz="4" w:space="0" w:color="000080"/>
                                          <w:bottom w:val="single" w:sz="4" w:space="0" w:color="000080"/>
                                        </w:tcBorders>
                                        <w:vAlign w:val="bottom"/>
                                      </w:tcPr>
                                      <w:p w14:paraId="405AF358" w14:textId="31EFE8F1" w:rsidR="000D6C18" w:rsidRPr="00030BD1" w:rsidRDefault="000D6C18" w:rsidP="00FD21D6">
                                        <w:pPr>
                                          <w:keepNext/>
                                          <w:keepLines/>
                                          <w:spacing w:before="40" w:after="40"/>
                                          <w:jc w:val="right"/>
                                          <w:rPr>
                                            <w:rFonts w:ascii="Corbel" w:hAnsi="Corbel"/>
                                            <w:b/>
                                            <w:sz w:val="21"/>
                                            <w:szCs w:val="21"/>
                                          </w:rPr>
                                        </w:pPr>
                                        <w:r w:rsidRPr="00030BD1">
                                          <w:rPr>
                                            <w:rFonts w:ascii="Corbel" w:hAnsi="Corbel"/>
                                            <w:b/>
                                            <w:sz w:val="21"/>
                                            <w:szCs w:val="21"/>
                                          </w:rPr>
                                          <w:t>2021-22</w:t>
                                        </w:r>
                                      </w:p>
                                    </w:tc>
                                    <w:tc>
                                      <w:tcPr>
                                        <w:tcW w:w="1361" w:type="dxa"/>
                                        <w:tcBorders>
                                          <w:top w:val="single" w:sz="4" w:space="0" w:color="000080"/>
                                          <w:bottom w:val="single" w:sz="4" w:space="0" w:color="000080"/>
                                        </w:tcBorders>
                                      </w:tcPr>
                                      <w:p w14:paraId="7C36474A" w14:textId="1074F7E3" w:rsidR="000D6C18" w:rsidRPr="00030BD1" w:rsidRDefault="000D6C18" w:rsidP="002C24C2">
                                        <w:pPr>
                                          <w:keepNext/>
                                          <w:keepLines/>
                                          <w:spacing w:before="40" w:after="40"/>
                                          <w:jc w:val="right"/>
                                          <w:rPr>
                                            <w:rFonts w:ascii="Corbel" w:hAnsi="Corbel"/>
                                            <w:b/>
                                            <w:sz w:val="21"/>
                                            <w:szCs w:val="21"/>
                                          </w:rPr>
                                        </w:pPr>
                                        <w:r w:rsidRPr="00030BD1">
                                          <w:rPr>
                                            <w:rFonts w:ascii="Corbel" w:hAnsi="Corbel"/>
                                            <w:b/>
                                            <w:sz w:val="21"/>
                                            <w:szCs w:val="21"/>
                                          </w:rPr>
                                          <w:t>2022-23</w:t>
                                        </w:r>
                                      </w:p>
                                    </w:tc>
                                    <w:tc>
                                      <w:tcPr>
                                        <w:tcW w:w="1361" w:type="dxa"/>
                                        <w:tcBorders>
                                          <w:top w:val="single" w:sz="4" w:space="0" w:color="000080"/>
                                          <w:bottom w:val="single" w:sz="4" w:space="0" w:color="000080"/>
                                        </w:tcBorders>
                                      </w:tcPr>
                                      <w:p w14:paraId="710B22B8" w14:textId="13BB93A1" w:rsidR="000D6C18" w:rsidRPr="00030BD1" w:rsidRDefault="000D6C18" w:rsidP="002C24C2">
                                        <w:pPr>
                                          <w:keepNext/>
                                          <w:keepLines/>
                                          <w:spacing w:before="40" w:after="40"/>
                                          <w:ind w:right="16"/>
                                          <w:jc w:val="right"/>
                                          <w:rPr>
                                            <w:rFonts w:ascii="Corbel" w:hAnsi="Corbel"/>
                                            <w:b/>
                                            <w:sz w:val="21"/>
                                            <w:szCs w:val="21"/>
                                          </w:rPr>
                                        </w:pPr>
                                        <w:r w:rsidRPr="00030BD1">
                                          <w:rPr>
                                            <w:rFonts w:ascii="Corbel" w:hAnsi="Corbel"/>
                                            <w:b/>
                                            <w:sz w:val="21"/>
                                            <w:szCs w:val="21"/>
                                          </w:rPr>
                                          <w:t>Total</w:t>
                                        </w:r>
                                      </w:p>
                                    </w:tc>
                                  </w:tr>
                                  <w:tr w:rsidR="000D6C18" w:rsidRPr="00101AB3" w14:paraId="54AEFD11" w14:textId="77777777" w:rsidTr="00C576FF">
                                    <w:trPr>
                                      <w:cantSplit/>
                                      <w:trHeight w:val="546"/>
                                    </w:trPr>
                                    <w:tc>
                                      <w:tcPr>
                                        <w:tcW w:w="2859" w:type="dxa"/>
                                        <w:tcBorders>
                                          <w:top w:val="single" w:sz="4" w:space="0" w:color="000080"/>
                                        </w:tcBorders>
                                      </w:tcPr>
                                      <w:p w14:paraId="55A9A036" w14:textId="77777777" w:rsidR="000D6C18" w:rsidRPr="00030BD1" w:rsidRDefault="000D6C18" w:rsidP="002C24C2">
                                        <w:pPr>
                                          <w:keepNext/>
                                          <w:keepLines/>
                                          <w:spacing w:before="60" w:after="60"/>
                                          <w:ind w:left="-111"/>
                                          <w:rPr>
                                            <w:rFonts w:ascii="Corbel" w:hAnsi="Corbel"/>
                                            <w:b/>
                                            <w:sz w:val="21"/>
                                            <w:szCs w:val="21"/>
                                          </w:rPr>
                                        </w:pPr>
                                        <w:r w:rsidRPr="00030BD1">
                                          <w:rPr>
                                            <w:rFonts w:ascii="Corbel" w:hAnsi="Corbel"/>
                                            <w:b/>
                                            <w:sz w:val="21"/>
                                            <w:szCs w:val="21"/>
                                          </w:rPr>
                                          <w:t>Estimated total budget</w:t>
                                        </w:r>
                                      </w:p>
                                    </w:tc>
                                    <w:tc>
                                      <w:tcPr>
                                        <w:tcW w:w="1361" w:type="dxa"/>
                                        <w:tcBorders>
                                          <w:top w:val="single" w:sz="4" w:space="0" w:color="000080"/>
                                        </w:tcBorders>
                                      </w:tcPr>
                                      <w:p w14:paraId="6774290E" w14:textId="46F82F76" w:rsidR="000D6C18" w:rsidRPr="00030BD1" w:rsidRDefault="000D6C18" w:rsidP="002C24C2">
                                        <w:pPr>
                                          <w:keepNext/>
                                          <w:keepLines/>
                                          <w:spacing w:before="40" w:after="40"/>
                                          <w:jc w:val="right"/>
                                          <w:rPr>
                                            <w:rFonts w:ascii="Corbel" w:hAnsi="Corbel"/>
                                            <w:b/>
                                            <w:sz w:val="21"/>
                                            <w:szCs w:val="21"/>
                                          </w:rPr>
                                        </w:pPr>
                                        <w:r w:rsidRPr="00030BD1">
                                          <w:rPr>
                                            <w:rFonts w:ascii="Corbel" w:hAnsi="Corbel"/>
                                            <w:b/>
                                            <w:sz w:val="21"/>
                                            <w:szCs w:val="21"/>
                                          </w:rPr>
                                          <w:t>1.574</w:t>
                                        </w:r>
                                      </w:p>
                                    </w:tc>
                                    <w:tc>
                                      <w:tcPr>
                                        <w:tcW w:w="1361" w:type="dxa"/>
                                        <w:tcBorders>
                                          <w:top w:val="single" w:sz="4" w:space="0" w:color="000080"/>
                                        </w:tcBorders>
                                      </w:tcPr>
                                      <w:p w14:paraId="6E57FE70" w14:textId="032A32FB" w:rsidR="000D6C18" w:rsidRPr="00030BD1" w:rsidRDefault="000D6C18" w:rsidP="002C24C2">
                                        <w:pPr>
                                          <w:keepNext/>
                                          <w:keepLines/>
                                          <w:spacing w:before="40" w:after="40"/>
                                          <w:jc w:val="right"/>
                                          <w:rPr>
                                            <w:rFonts w:ascii="Corbel" w:hAnsi="Corbel"/>
                                            <w:b/>
                                            <w:sz w:val="21"/>
                                            <w:szCs w:val="21"/>
                                          </w:rPr>
                                        </w:pPr>
                                        <w:r w:rsidRPr="00030BD1">
                                          <w:rPr>
                                            <w:rFonts w:ascii="Corbel" w:hAnsi="Corbel"/>
                                            <w:b/>
                                            <w:sz w:val="21"/>
                                            <w:szCs w:val="21"/>
                                          </w:rPr>
                                          <w:t>1.272</w:t>
                                        </w:r>
                                      </w:p>
                                    </w:tc>
                                    <w:tc>
                                      <w:tcPr>
                                        <w:tcW w:w="1361" w:type="dxa"/>
                                        <w:tcBorders>
                                          <w:top w:val="single" w:sz="4" w:space="0" w:color="000080"/>
                                        </w:tcBorders>
                                      </w:tcPr>
                                      <w:p w14:paraId="08FC5E01" w14:textId="42D9098E" w:rsidR="000D6C18" w:rsidRPr="00030BD1" w:rsidRDefault="000D6C18" w:rsidP="002C24C2">
                                        <w:pPr>
                                          <w:keepNext/>
                                          <w:keepLines/>
                                          <w:spacing w:before="40" w:after="40"/>
                                          <w:ind w:right="16"/>
                                          <w:jc w:val="right"/>
                                          <w:rPr>
                                            <w:rFonts w:ascii="Corbel" w:hAnsi="Corbel"/>
                                            <w:b/>
                                            <w:sz w:val="21"/>
                                            <w:szCs w:val="21"/>
                                          </w:rPr>
                                        </w:pPr>
                                        <w:r w:rsidRPr="00030BD1">
                                          <w:rPr>
                                            <w:rFonts w:ascii="Corbel" w:hAnsi="Corbel"/>
                                            <w:b/>
                                            <w:sz w:val="21"/>
                                            <w:szCs w:val="21"/>
                                          </w:rPr>
                                          <w:t>2.846</w:t>
                                        </w:r>
                                      </w:p>
                                    </w:tc>
                                  </w:tr>
                                  <w:tr w:rsidR="000D6C18" w:rsidRPr="00101AB3" w14:paraId="4D48DC1E" w14:textId="77777777" w:rsidTr="00C576FF">
                                    <w:trPr>
                                      <w:cantSplit/>
                                      <w:trHeight w:val="767"/>
                                    </w:trPr>
                                    <w:tc>
                                      <w:tcPr>
                                        <w:tcW w:w="2859" w:type="dxa"/>
                                      </w:tcPr>
                                      <w:p w14:paraId="582F5190" w14:textId="77777777" w:rsidR="000D6C18" w:rsidRPr="00030BD1" w:rsidRDefault="000D6C18" w:rsidP="002C24C2">
                                        <w:pPr>
                                          <w:keepNext/>
                                          <w:keepLines/>
                                          <w:spacing w:before="60" w:after="60"/>
                                          <w:ind w:left="-111"/>
                                          <w:rPr>
                                            <w:rFonts w:ascii="Corbel" w:hAnsi="Corbel"/>
                                            <w:sz w:val="21"/>
                                            <w:szCs w:val="21"/>
                                          </w:rPr>
                                        </w:pPr>
                                        <w:r w:rsidRPr="00030BD1">
                                          <w:rPr>
                                            <w:rFonts w:ascii="Corbel" w:hAnsi="Corbel"/>
                                            <w:sz w:val="21"/>
                                            <w:szCs w:val="21"/>
                                          </w:rPr>
                                          <w:t xml:space="preserve">Less estimated National Partnership Payments </w:t>
                                        </w:r>
                                      </w:p>
                                    </w:tc>
                                    <w:tc>
                                      <w:tcPr>
                                        <w:tcW w:w="1361" w:type="dxa"/>
                                      </w:tcPr>
                                      <w:p w14:paraId="2A58D9BB" w14:textId="644A4339" w:rsidR="000D6C18" w:rsidRPr="00030BD1" w:rsidRDefault="000D6C18" w:rsidP="002C24C2">
                                        <w:pPr>
                                          <w:keepNext/>
                                          <w:keepLines/>
                                          <w:spacing w:before="40" w:after="40"/>
                                          <w:jc w:val="right"/>
                                          <w:rPr>
                                            <w:rFonts w:ascii="Corbel" w:hAnsi="Corbel"/>
                                            <w:sz w:val="21"/>
                                            <w:szCs w:val="21"/>
                                          </w:rPr>
                                        </w:pPr>
                                        <w:r w:rsidRPr="00030BD1">
                                          <w:rPr>
                                            <w:rFonts w:ascii="Corbel" w:hAnsi="Corbel"/>
                                            <w:sz w:val="21"/>
                                            <w:szCs w:val="21"/>
                                          </w:rPr>
                                          <w:t>0.787</w:t>
                                        </w:r>
                                      </w:p>
                                    </w:tc>
                                    <w:tc>
                                      <w:tcPr>
                                        <w:tcW w:w="1361" w:type="dxa"/>
                                      </w:tcPr>
                                      <w:p w14:paraId="2DA59B4C" w14:textId="31755221" w:rsidR="000D6C18" w:rsidRPr="00030BD1" w:rsidRDefault="000D6C18" w:rsidP="00C244E3">
                                        <w:pPr>
                                          <w:keepNext/>
                                          <w:keepLines/>
                                          <w:spacing w:before="40" w:after="40"/>
                                          <w:jc w:val="right"/>
                                          <w:rPr>
                                            <w:rFonts w:ascii="Corbel" w:hAnsi="Corbel"/>
                                            <w:sz w:val="21"/>
                                            <w:szCs w:val="21"/>
                                          </w:rPr>
                                        </w:pPr>
                                        <w:r w:rsidRPr="00030BD1">
                                          <w:rPr>
                                            <w:rFonts w:ascii="Corbel" w:hAnsi="Corbel"/>
                                            <w:sz w:val="21"/>
                                            <w:szCs w:val="21"/>
                                          </w:rPr>
                                          <w:t>0.636</w:t>
                                        </w:r>
                                      </w:p>
                                    </w:tc>
                                    <w:tc>
                                      <w:tcPr>
                                        <w:tcW w:w="1361" w:type="dxa"/>
                                      </w:tcPr>
                                      <w:p w14:paraId="4E7A84E3" w14:textId="7CDC783A" w:rsidR="000D6C18" w:rsidRPr="00030BD1" w:rsidRDefault="000D6C18" w:rsidP="002C24C2">
                                        <w:pPr>
                                          <w:keepNext/>
                                          <w:keepLines/>
                                          <w:spacing w:before="40" w:after="40"/>
                                          <w:ind w:right="16"/>
                                          <w:jc w:val="right"/>
                                          <w:rPr>
                                            <w:rFonts w:ascii="Corbel" w:hAnsi="Corbel"/>
                                            <w:sz w:val="21"/>
                                            <w:szCs w:val="21"/>
                                          </w:rPr>
                                        </w:pPr>
                                        <w:r w:rsidRPr="00030BD1">
                                          <w:rPr>
                                            <w:rFonts w:ascii="Corbel" w:hAnsi="Corbel"/>
                                            <w:sz w:val="21"/>
                                            <w:szCs w:val="21"/>
                                          </w:rPr>
                                          <w:t>1.423</w:t>
                                        </w:r>
                                      </w:p>
                                    </w:tc>
                                  </w:tr>
                                  <w:tr w:rsidR="000D6C18" w:rsidRPr="00101AB3" w14:paraId="406CC52C" w14:textId="77777777" w:rsidTr="00C576FF">
                                    <w:trPr>
                                      <w:cantSplit/>
                                      <w:trHeight w:val="728"/>
                                    </w:trPr>
                                    <w:tc>
                                      <w:tcPr>
                                        <w:tcW w:w="2859" w:type="dxa"/>
                                        <w:tcBorders>
                                          <w:bottom w:val="single" w:sz="4" w:space="0" w:color="000080"/>
                                        </w:tcBorders>
                                      </w:tcPr>
                                      <w:p w14:paraId="7DF3D17D" w14:textId="77777777" w:rsidR="000D6C18" w:rsidRPr="00030BD1" w:rsidRDefault="000D6C18" w:rsidP="002C24C2">
                                        <w:pPr>
                                          <w:keepNext/>
                                          <w:keepLines/>
                                          <w:spacing w:before="40" w:after="40"/>
                                          <w:ind w:left="-111"/>
                                          <w:rPr>
                                            <w:rFonts w:ascii="Corbel" w:hAnsi="Corbel"/>
                                            <w:sz w:val="21"/>
                                            <w:szCs w:val="21"/>
                                          </w:rPr>
                                        </w:pPr>
                                        <w:r w:rsidRPr="00030BD1">
                                          <w:rPr>
                                            <w:rFonts w:ascii="Corbel" w:hAnsi="Corbel"/>
                                            <w:sz w:val="21"/>
                                            <w:szCs w:val="21"/>
                                          </w:rPr>
                                          <w:t>Balance of non-Commonwealth contributions</w:t>
                                        </w:r>
                                      </w:p>
                                    </w:tc>
                                    <w:tc>
                                      <w:tcPr>
                                        <w:tcW w:w="1361" w:type="dxa"/>
                                        <w:tcBorders>
                                          <w:bottom w:val="single" w:sz="4" w:space="0" w:color="000080"/>
                                        </w:tcBorders>
                                      </w:tcPr>
                                      <w:p w14:paraId="0DB89270" w14:textId="30FD4AC6" w:rsidR="000D6C18" w:rsidRPr="00030BD1" w:rsidRDefault="000D6C18" w:rsidP="00384D90">
                                        <w:pPr>
                                          <w:keepNext/>
                                          <w:keepLines/>
                                          <w:spacing w:before="40" w:after="40"/>
                                          <w:jc w:val="right"/>
                                          <w:rPr>
                                            <w:rFonts w:ascii="Corbel" w:hAnsi="Corbel"/>
                                            <w:sz w:val="21"/>
                                            <w:szCs w:val="21"/>
                                          </w:rPr>
                                        </w:pPr>
                                        <w:r w:rsidRPr="00030BD1">
                                          <w:rPr>
                                            <w:rFonts w:ascii="Corbel" w:hAnsi="Corbel"/>
                                            <w:sz w:val="21"/>
                                            <w:szCs w:val="21"/>
                                          </w:rPr>
                                          <w:t>0.787</w:t>
                                        </w:r>
                                      </w:p>
                                    </w:tc>
                                    <w:tc>
                                      <w:tcPr>
                                        <w:tcW w:w="1361" w:type="dxa"/>
                                        <w:tcBorders>
                                          <w:bottom w:val="single" w:sz="4" w:space="0" w:color="000080"/>
                                        </w:tcBorders>
                                      </w:tcPr>
                                      <w:p w14:paraId="7CD6870F" w14:textId="002A5198" w:rsidR="000D6C18" w:rsidRPr="00030BD1" w:rsidRDefault="000D6C18" w:rsidP="00C244E3">
                                        <w:pPr>
                                          <w:keepNext/>
                                          <w:keepLines/>
                                          <w:spacing w:before="40" w:after="40"/>
                                          <w:jc w:val="right"/>
                                          <w:rPr>
                                            <w:rFonts w:ascii="Corbel" w:hAnsi="Corbel"/>
                                            <w:sz w:val="21"/>
                                            <w:szCs w:val="21"/>
                                          </w:rPr>
                                        </w:pPr>
                                        <w:r w:rsidRPr="00030BD1">
                                          <w:rPr>
                                            <w:rFonts w:ascii="Corbel" w:hAnsi="Corbel"/>
                                            <w:sz w:val="21"/>
                                            <w:szCs w:val="21"/>
                                          </w:rPr>
                                          <w:t>0.636</w:t>
                                        </w:r>
                                      </w:p>
                                    </w:tc>
                                    <w:tc>
                                      <w:tcPr>
                                        <w:tcW w:w="1361" w:type="dxa"/>
                                        <w:tcBorders>
                                          <w:bottom w:val="single" w:sz="4" w:space="0" w:color="000080"/>
                                        </w:tcBorders>
                                      </w:tcPr>
                                      <w:p w14:paraId="51C9A932" w14:textId="7288E884" w:rsidR="000D6C18" w:rsidRPr="00030BD1" w:rsidRDefault="000D6C18" w:rsidP="00C244E3">
                                        <w:pPr>
                                          <w:keepNext/>
                                          <w:keepLines/>
                                          <w:spacing w:before="40" w:after="40"/>
                                          <w:ind w:right="16"/>
                                          <w:jc w:val="right"/>
                                          <w:rPr>
                                            <w:rFonts w:ascii="Corbel" w:hAnsi="Corbel"/>
                                            <w:sz w:val="21"/>
                                            <w:szCs w:val="21"/>
                                          </w:rPr>
                                        </w:pPr>
                                        <w:r w:rsidRPr="00030BD1">
                                          <w:rPr>
                                            <w:rFonts w:ascii="Corbel" w:hAnsi="Corbel"/>
                                            <w:sz w:val="21"/>
                                            <w:szCs w:val="21"/>
                                          </w:rPr>
                                          <w:t>1.423</w:t>
                                        </w:r>
                                      </w:p>
                                    </w:tc>
                                  </w:tr>
                                </w:tbl>
                                <w:p w14:paraId="27D4F2F1" w14:textId="15B2AC50" w:rsidR="00C91B5F" w:rsidRPr="00101AB3" w:rsidRDefault="00C91B5F" w:rsidP="002C24C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60.35pt;width:400.8pt;height:15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PuHwIAAB4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" stroked="f">
                      <v:textbox>
                        <w:txbxContent>
                          <w:tbl>
                            <w:tblPr>
                              <w:tblW w:w="0" w:type="auto"/>
                              <w:tblLayout w:type="fixed"/>
                              <w:tblLook w:val="01E0" w:firstRow="1" w:lastRow="1" w:firstColumn="1" w:lastColumn="1" w:noHBand="0" w:noVBand="0"/>
                            </w:tblPr>
                            <w:tblGrid>
                              <w:gridCol w:w="2859"/>
                              <w:gridCol w:w="1361"/>
                              <w:gridCol w:w="1361"/>
                              <w:gridCol w:w="1361"/>
                            </w:tblGrid>
                            <w:tr w:rsidR="000D6C18" w:rsidRPr="00101AB3" w14:paraId="533FE7BA" w14:textId="77777777" w:rsidTr="00C576FF">
                              <w:trPr>
                                <w:cantSplit/>
                                <w:trHeight w:val="286"/>
                              </w:trPr>
                              <w:tc>
                                <w:tcPr>
                                  <w:tcW w:w="2859" w:type="dxa"/>
                                  <w:tcBorders>
                                    <w:top w:val="single" w:sz="4" w:space="0" w:color="000080"/>
                                    <w:bottom w:val="single" w:sz="4" w:space="0" w:color="000080"/>
                                  </w:tcBorders>
                                </w:tcPr>
                                <w:p w14:paraId="6430D4A7" w14:textId="64CC398B" w:rsidR="000D6C18" w:rsidRPr="00030BD1" w:rsidRDefault="000D6C18" w:rsidP="002C24C2">
                                  <w:pPr>
                                    <w:keepNext/>
                                    <w:keepLines/>
                                    <w:spacing w:before="40" w:after="40"/>
                                    <w:ind w:left="-111"/>
                                    <w:rPr>
                                      <w:rFonts w:ascii="Corbel" w:hAnsi="Corbel"/>
                                      <w:b/>
                                      <w:sz w:val="21"/>
                                      <w:szCs w:val="21"/>
                                    </w:rPr>
                                  </w:pPr>
                                  <w:r w:rsidRPr="00030BD1">
                                    <w:rPr>
                                      <w:rFonts w:ascii="Corbel" w:hAnsi="Corbel"/>
                                      <w:b/>
                                      <w:sz w:val="21"/>
                                      <w:szCs w:val="21"/>
                                    </w:rPr>
                                    <w:t>($ million)</w:t>
                                  </w:r>
                                </w:p>
                              </w:tc>
                              <w:tc>
                                <w:tcPr>
                                  <w:tcW w:w="1361" w:type="dxa"/>
                                  <w:tcBorders>
                                    <w:top w:val="single" w:sz="4" w:space="0" w:color="000080"/>
                                    <w:bottom w:val="single" w:sz="4" w:space="0" w:color="000080"/>
                                  </w:tcBorders>
                                  <w:vAlign w:val="bottom"/>
                                </w:tcPr>
                                <w:p w14:paraId="405AF358" w14:textId="31EFE8F1" w:rsidR="000D6C18" w:rsidRPr="00030BD1" w:rsidRDefault="000D6C18" w:rsidP="00FD21D6">
                                  <w:pPr>
                                    <w:keepNext/>
                                    <w:keepLines/>
                                    <w:spacing w:before="40" w:after="40"/>
                                    <w:jc w:val="right"/>
                                    <w:rPr>
                                      <w:rFonts w:ascii="Corbel" w:hAnsi="Corbel"/>
                                      <w:b/>
                                      <w:sz w:val="21"/>
                                      <w:szCs w:val="21"/>
                                    </w:rPr>
                                  </w:pPr>
                                  <w:r w:rsidRPr="00030BD1">
                                    <w:rPr>
                                      <w:rFonts w:ascii="Corbel" w:hAnsi="Corbel"/>
                                      <w:b/>
                                      <w:sz w:val="21"/>
                                      <w:szCs w:val="21"/>
                                    </w:rPr>
                                    <w:t>2021-22</w:t>
                                  </w:r>
                                </w:p>
                              </w:tc>
                              <w:tc>
                                <w:tcPr>
                                  <w:tcW w:w="1361" w:type="dxa"/>
                                  <w:tcBorders>
                                    <w:top w:val="single" w:sz="4" w:space="0" w:color="000080"/>
                                    <w:bottom w:val="single" w:sz="4" w:space="0" w:color="000080"/>
                                  </w:tcBorders>
                                </w:tcPr>
                                <w:p w14:paraId="7C36474A" w14:textId="1074F7E3" w:rsidR="000D6C18" w:rsidRPr="00030BD1" w:rsidRDefault="000D6C18" w:rsidP="002C24C2">
                                  <w:pPr>
                                    <w:keepNext/>
                                    <w:keepLines/>
                                    <w:spacing w:before="40" w:after="40"/>
                                    <w:jc w:val="right"/>
                                    <w:rPr>
                                      <w:rFonts w:ascii="Corbel" w:hAnsi="Corbel"/>
                                      <w:b/>
                                      <w:sz w:val="21"/>
                                      <w:szCs w:val="21"/>
                                    </w:rPr>
                                  </w:pPr>
                                  <w:r w:rsidRPr="00030BD1">
                                    <w:rPr>
                                      <w:rFonts w:ascii="Corbel" w:hAnsi="Corbel"/>
                                      <w:b/>
                                      <w:sz w:val="21"/>
                                      <w:szCs w:val="21"/>
                                    </w:rPr>
                                    <w:t>2022-23</w:t>
                                  </w:r>
                                </w:p>
                              </w:tc>
                              <w:tc>
                                <w:tcPr>
                                  <w:tcW w:w="1361" w:type="dxa"/>
                                  <w:tcBorders>
                                    <w:top w:val="single" w:sz="4" w:space="0" w:color="000080"/>
                                    <w:bottom w:val="single" w:sz="4" w:space="0" w:color="000080"/>
                                  </w:tcBorders>
                                </w:tcPr>
                                <w:p w14:paraId="710B22B8" w14:textId="13BB93A1" w:rsidR="000D6C18" w:rsidRPr="00030BD1" w:rsidRDefault="000D6C18" w:rsidP="002C24C2">
                                  <w:pPr>
                                    <w:keepNext/>
                                    <w:keepLines/>
                                    <w:spacing w:before="40" w:after="40"/>
                                    <w:ind w:right="16"/>
                                    <w:jc w:val="right"/>
                                    <w:rPr>
                                      <w:rFonts w:ascii="Corbel" w:hAnsi="Corbel"/>
                                      <w:b/>
                                      <w:sz w:val="21"/>
                                      <w:szCs w:val="21"/>
                                    </w:rPr>
                                  </w:pPr>
                                  <w:r w:rsidRPr="00030BD1">
                                    <w:rPr>
                                      <w:rFonts w:ascii="Corbel" w:hAnsi="Corbel"/>
                                      <w:b/>
                                      <w:sz w:val="21"/>
                                      <w:szCs w:val="21"/>
                                    </w:rPr>
                                    <w:t>Total</w:t>
                                  </w:r>
                                </w:p>
                              </w:tc>
                            </w:tr>
                            <w:tr w:rsidR="000D6C18" w:rsidRPr="00101AB3" w14:paraId="54AEFD11" w14:textId="77777777" w:rsidTr="00C576FF">
                              <w:trPr>
                                <w:cantSplit/>
                                <w:trHeight w:val="546"/>
                              </w:trPr>
                              <w:tc>
                                <w:tcPr>
                                  <w:tcW w:w="2859" w:type="dxa"/>
                                  <w:tcBorders>
                                    <w:top w:val="single" w:sz="4" w:space="0" w:color="000080"/>
                                  </w:tcBorders>
                                </w:tcPr>
                                <w:p w14:paraId="55A9A036" w14:textId="77777777" w:rsidR="000D6C18" w:rsidRPr="00030BD1" w:rsidRDefault="000D6C18" w:rsidP="002C24C2">
                                  <w:pPr>
                                    <w:keepNext/>
                                    <w:keepLines/>
                                    <w:spacing w:before="60" w:after="60"/>
                                    <w:ind w:left="-111"/>
                                    <w:rPr>
                                      <w:rFonts w:ascii="Corbel" w:hAnsi="Corbel"/>
                                      <w:b/>
                                      <w:sz w:val="21"/>
                                      <w:szCs w:val="21"/>
                                    </w:rPr>
                                  </w:pPr>
                                  <w:r w:rsidRPr="00030BD1">
                                    <w:rPr>
                                      <w:rFonts w:ascii="Corbel" w:hAnsi="Corbel"/>
                                      <w:b/>
                                      <w:sz w:val="21"/>
                                      <w:szCs w:val="21"/>
                                    </w:rPr>
                                    <w:t>Estimated total budget</w:t>
                                  </w:r>
                                </w:p>
                              </w:tc>
                              <w:tc>
                                <w:tcPr>
                                  <w:tcW w:w="1361" w:type="dxa"/>
                                  <w:tcBorders>
                                    <w:top w:val="single" w:sz="4" w:space="0" w:color="000080"/>
                                  </w:tcBorders>
                                </w:tcPr>
                                <w:p w14:paraId="6774290E" w14:textId="46F82F76" w:rsidR="000D6C18" w:rsidRPr="00030BD1" w:rsidRDefault="000D6C18" w:rsidP="002C24C2">
                                  <w:pPr>
                                    <w:keepNext/>
                                    <w:keepLines/>
                                    <w:spacing w:before="40" w:after="40"/>
                                    <w:jc w:val="right"/>
                                    <w:rPr>
                                      <w:rFonts w:ascii="Corbel" w:hAnsi="Corbel"/>
                                      <w:b/>
                                      <w:sz w:val="21"/>
                                      <w:szCs w:val="21"/>
                                    </w:rPr>
                                  </w:pPr>
                                  <w:r w:rsidRPr="00030BD1">
                                    <w:rPr>
                                      <w:rFonts w:ascii="Corbel" w:hAnsi="Corbel"/>
                                      <w:b/>
                                      <w:sz w:val="21"/>
                                      <w:szCs w:val="21"/>
                                    </w:rPr>
                                    <w:t>1.574</w:t>
                                  </w:r>
                                </w:p>
                              </w:tc>
                              <w:tc>
                                <w:tcPr>
                                  <w:tcW w:w="1361" w:type="dxa"/>
                                  <w:tcBorders>
                                    <w:top w:val="single" w:sz="4" w:space="0" w:color="000080"/>
                                  </w:tcBorders>
                                </w:tcPr>
                                <w:p w14:paraId="6E57FE70" w14:textId="032A32FB" w:rsidR="000D6C18" w:rsidRPr="00030BD1" w:rsidRDefault="000D6C18" w:rsidP="002C24C2">
                                  <w:pPr>
                                    <w:keepNext/>
                                    <w:keepLines/>
                                    <w:spacing w:before="40" w:after="40"/>
                                    <w:jc w:val="right"/>
                                    <w:rPr>
                                      <w:rFonts w:ascii="Corbel" w:hAnsi="Corbel"/>
                                      <w:b/>
                                      <w:sz w:val="21"/>
                                      <w:szCs w:val="21"/>
                                    </w:rPr>
                                  </w:pPr>
                                  <w:r w:rsidRPr="00030BD1">
                                    <w:rPr>
                                      <w:rFonts w:ascii="Corbel" w:hAnsi="Corbel"/>
                                      <w:b/>
                                      <w:sz w:val="21"/>
                                      <w:szCs w:val="21"/>
                                    </w:rPr>
                                    <w:t>1.272</w:t>
                                  </w:r>
                                </w:p>
                              </w:tc>
                              <w:tc>
                                <w:tcPr>
                                  <w:tcW w:w="1361" w:type="dxa"/>
                                  <w:tcBorders>
                                    <w:top w:val="single" w:sz="4" w:space="0" w:color="000080"/>
                                  </w:tcBorders>
                                </w:tcPr>
                                <w:p w14:paraId="08FC5E01" w14:textId="42D9098E" w:rsidR="000D6C18" w:rsidRPr="00030BD1" w:rsidRDefault="000D6C18" w:rsidP="002C24C2">
                                  <w:pPr>
                                    <w:keepNext/>
                                    <w:keepLines/>
                                    <w:spacing w:before="40" w:after="40"/>
                                    <w:ind w:right="16"/>
                                    <w:jc w:val="right"/>
                                    <w:rPr>
                                      <w:rFonts w:ascii="Corbel" w:hAnsi="Corbel"/>
                                      <w:b/>
                                      <w:sz w:val="21"/>
                                      <w:szCs w:val="21"/>
                                    </w:rPr>
                                  </w:pPr>
                                  <w:r w:rsidRPr="00030BD1">
                                    <w:rPr>
                                      <w:rFonts w:ascii="Corbel" w:hAnsi="Corbel"/>
                                      <w:b/>
                                      <w:sz w:val="21"/>
                                      <w:szCs w:val="21"/>
                                    </w:rPr>
                                    <w:t>2.846</w:t>
                                  </w:r>
                                </w:p>
                              </w:tc>
                            </w:tr>
                            <w:tr w:rsidR="000D6C18" w:rsidRPr="00101AB3" w14:paraId="4D48DC1E" w14:textId="77777777" w:rsidTr="00C576FF">
                              <w:trPr>
                                <w:cantSplit/>
                                <w:trHeight w:val="767"/>
                              </w:trPr>
                              <w:tc>
                                <w:tcPr>
                                  <w:tcW w:w="2859" w:type="dxa"/>
                                </w:tcPr>
                                <w:p w14:paraId="582F5190" w14:textId="77777777" w:rsidR="000D6C18" w:rsidRPr="00030BD1" w:rsidRDefault="000D6C18" w:rsidP="002C24C2">
                                  <w:pPr>
                                    <w:keepNext/>
                                    <w:keepLines/>
                                    <w:spacing w:before="60" w:after="60"/>
                                    <w:ind w:left="-111"/>
                                    <w:rPr>
                                      <w:rFonts w:ascii="Corbel" w:hAnsi="Corbel"/>
                                      <w:sz w:val="21"/>
                                      <w:szCs w:val="21"/>
                                    </w:rPr>
                                  </w:pPr>
                                  <w:r w:rsidRPr="00030BD1">
                                    <w:rPr>
                                      <w:rFonts w:ascii="Corbel" w:hAnsi="Corbel"/>
                                      <w:sz w:val="21"/>
                                      <w:szCs w:val="21"/>
                                    </w:rPr>
                                    <w:t xml:space="preserve">Less estimated National Partnership Payments </w:t>
                                  </w:r>
                                </w:p>
                              </w:tc>
                              <w:tc>
                                <w:tcPr>
                                  <w:tcW w:w="1361" w:type="dxa"/>
                                </w:tcPr>
                                <w:p w14:paraId="2A58D9BB" w14:textId="644A4339" w:rsidR="000D6C18" w:rsidRPr="00030BD1" w:rsidRDefault="000D6C18" w:rsidP="002C24C2">
                                  <w:pPr>
                                    <w:keepNext/>
                                    <w:keepLines/>
                                    <w:spacing w:before="40" w:after="40"/>
                                    <w:jc w:val="right"/>
                                    <w:rPr>
                                      <w:rFonts w:ascii="Corbel" w:hAnsi="Corbel"/>
                                      <w:sz w:val="21"/>
                                      <w:szCs w:val="21"/>
                                    </w:rPr>
                                  </w:pPr>
                                  <w:r w:rsidRPr="00030BD1">
                                    <w:rPr>
                                      <w:rFonts w:ascii="Corbel" w:hAnsi="Corbel"/>
                                      <w:sz w:val="21"/>
                                      <w:szCs w:val="21"/>
                                    </w:rPr>
                                    <w:t>0.787</w:t>
                                  </w:r>
                                </w:p>
                              </w:tc>
                              <w:tc>
                                <w:tcPr>
                                  <w:tcW w:w="1361" w:type="dxa"/>
                                </w:tcPr>
                                <w:p w14:paraId="2DA59B4C" w14:textId="31755221" w:rsidR="000D6C18" w:rsidRPr="00030BD1" w:rsidRDefault="000D6C18" w:rsidP="00C244E3">
                                  <w:pPr>
                                    <w:keepNext/>
                                    <w:keepLines/>
                                    <w:spacing w:before="40" w:after="40"/>
                                    <w:jc w:val="right"/>
                                    <w:rPr>
                                      <w:rFonts w:ascii="Corbel" w:hAnsi="Corbel"/>
                                      <w:sz w:val="21"/>
                                      <w:szCs w:val="21"/>
                                    </w:rPr>
                                  </w:pPr>
                                  <w:r w:rsidRPr="00030BD1">
                                    <w:rPr>
                                      <w:rFonts w:ascii="Corbel" w:hAnsi="Corbel"/>
                                      <w:sz w:val="21"/>
                                      <w:szCs w:val="21"/>
                                    </w:rPr>
                                    <w:t>0.636</w:t>
                                  </w:r>
                                </w:p>
                              </w:tc>
                              <w:tc>
                                <w:tcPr>
                                  <w:tcW w:w="1361" w:type="dxa"/>
                                </w:tcPr>
                                <w:p w14:paraId="4E7A84E3" w14:textId="7CDC783A" w:rsidR="000D6C18" w:rsidRPr="00030BD1" w:rsidRDefault="000D6C18" w:rsidP="002C24C2">
                                  <w:pPr>
                                    <w:keepNext/>
                                    <w:keepLines/>
                                    <w:spacing w:before="40" w:after="40"/>
                                    <w:ind w:right="16"/>
                                    <w:jc w:val="right"/>
                                    <w:rPr>
                                      <w:rFonts w:ascii="Corbel" w:hAnsi="Corbel"/>
                                      <w:sz w:val="21"/>
                                      <w:szCs w:val="21"/>
                                    </w:rPr>
                                  </w:pPr>
                                  <w:r w:rsidRPr="00030BD1">
                                    <w:rPr>
                                      <w:rFonts w:ascii="Corbel" w:hAnsi="Corbel"/>
                                      <w:sz w:val="21"/>
                                      <w:szCs w:val="21"/>
                                    </w:rPr>
                                    <w:t>1.423</w:t>
                                  </w:r>
                                </w:p>
                              </w:tc>
                            </w:tr>
                            <w:tr w:rsidR="000D6C18" w:rsidRPr="00101AB3" w14:paraId="406CC52C" w14:textId="77777777" w:rsidTr="00C576FF">
                              <w:trPr>
                                <w:cantSplit/>
                                <w:trHeight w:val="728"/>
                              </w:trPr>
                              <w:tc>
                                <w:tcPr>
                                  <w:tcW w:w="2859" w:type="dxa"/>
                                  <w:tcBorders>
                                    <w:bottom w:val="single" w:sz="4" w:space="0" w:color="000080"/>
                                  </w:tcBorders>
                                </w:tcPr>
                                <w:p w14:paraId="7DF3D17D" w14:textId="77777777" w:rsidR="000D6C18" w:rsidRPr="00030BD1" w:rsidRDefault="000D6C18" w:rsidP="002C24C2">
                                  <w:pPr>
                                    <w:keepNext/>
                                    <w:keepLines/>
                                    <w:spacing w:before="40" w:after="40"/>
                                    <w:ind w:left="-111"/>
                                    <w:rPr>
                                      <w:rFonts w:ascii="Corbel" w:hAnsi="Corbel"/>
                                      <w:sz w:val="21"/>
                                      <w:szCs w:val="21"/>
                                    </w:rPr>
                                  </w:pPr>
                                  <w:r w:rsidRPr="00030BD1">
                                    <w:rPr>
                                      <w:rFonts w:ascii="Corbel" w:hAnsi="Corbel"/>
                                      <w:sz w:val="21"/>
                                      <w:szCs w:val="21"/>
                                    </w:rPr>
                                    <w:t>Balance of non-Commonwealth contributions</w:t>
                                  </w:r>
                                </w:p>
                              </w:tc>
                              <w:tc>
                                <w:tcPr>
                                  <w:tcW w:w="1361" w:type="dxa"/>
                                  <w:tcBorders>
                                    <w:bottom w:val="single" w:sz="4" w:space="0" w:color="000080"/>
                                  </w:tcBorders>
                                </w:tcPr>
                                <w:p w14:paraId="0DB89270" w14:textId="30FD4AC6" w:rsidR="000D6C18" w:rsidRPr="00030BD1" w:rsidRDefault="000D6C18" w:rsidP="00384D90">
                                  <w:pPr>
                                    <w:keepNext/>
                                    <w:keepLines/>
                                    <w:spacing w:before="40" w:after="40"/>
                                    <w:jc w:val="right"/>
                                    <w:rPr>
                                      <w:rFonts w:ascii="Corbel" w:hAnsi="Corbel"/>
                                      <w:sz w:val="21"/>
                                      <w:szCs w:val="21"/>
                                    </w:rPr>
                                  </w:pPr>
                                  <w:r w:rsidRPr="00030BD1">
                                    <w:rPr>
                                      <w:rFonts w:ascii="Corbel" w:hAnsi="Corbel"/>
                                      <w:sz w:val="21"/>
                                      <w:szCs w:val="21"/>
                                    </w:rPr>
                                    <w:t>0.787</w:t>
                                  </w:r>
                                </w:p>
                              </w:tc>
                              <w:tc>
                                <w:tcPr>
                                  <w:tcW w:w="1361" w:type="dxa"/>
                                  <w:tcBorders>
                                    <w:bottom w:val="single" w:sz="4" w:space="0" w:color="000080"/>
                                  </w:tcBorders>
                                </w:tcPr>
                                <w:p w14:paraId="7CD6870F" w14:textId="002A5198" w:rsidR="000D6C18" w:rsidRPr="00030BD1" w:rsidRDefault="000D6C18" w:rsidP="00C244E3">
                                  <w:pPr>
                                    <w:keepNext/>
                                    <w:keepLines/>
                                    <w:spacing w:before="40" w:after="40"/>
                                    <w:jc w:val="right"/>
                                    <w:rPr>
                                      <w:rFonts w:ascii="Corbel" w:hAnsi="Corbel"/>
                                      <w:sz w:val="21"/>
                                      <w:szCs w:val="21"/>
                                    </w:rPr>
                                  </w:pPr>
                                  <w:r w:rsidRPr="00030BD1">
                                    <w:rPr>
                                      <w:rFonts w:ascii="Corbel" w:hAnsi="Corbel"/>
                                      <w:sz w:val="21"/>
                                      <w:szCs w:val="21"/>
                                    </w:rPr>
                                    <w:t>0.636</w:t>
                                  </w:r>
                                </w:p>
                              </w:tc>
                              <w:tc>
                                <w:tcPr>
                                  <w:tcW w:w="1361" w:type="dxa"/>
                                  <w:tcBorders>
                                    <w:bottom w:val="single" w:sz="4" w:space="0" w:color="000080"/>
                                  </w:tcBorders>
                                </w:tcPr>
                                <w:p w14:paraId="51C9A932" w14:textId="7288E884" w:rsidR="000D6C18" w:rsidRPr="00030BD1" w:rsidRDefault="000D6C18" w:rsidP="00C244E3">
                                  <w:pPr>
                                    <w:keepNext/>
                                    <w:keepLines/>
                                    <w:spacing w:before="40" w:after="40"/>
                                    <w:ind w:right="16"/>
                                    <w:jc w:val="right"/>
                                    <w:rPr>
                                      <w:rFonts w:ascii="Corbel" w:hAnsi="Corbel"/>
                                      <w:sz w:val="21"/>
                                      <w:szCs w:val="21"/>
                                    </w:rPr>
                                  </w:pPr>
                                  <w:r w:rsidRPr="00030BD1">
                                    <w:rPr>
                                      <w:rFonts w:ascii="Corbel" w:hAnsi="Corbel"/>
                                      <w:sz w:val="21"/>
                                      <w:szCs w:val="21"/>
                                    </w:rPr>
                                    <w:t>1.423</w:t>
                                  </w:r>
                                </w:p>
                              </w:tc>
                            </w:tr>
                          </w:tbl>
                          <w:p w14:paraId="27D4F2F1" w14:textId="15B2AC50" w:rsidR="00C91B5F" w:rsidRPr="00101AB3" w:rsidRDefault="00C91B5F" w:rsidP="002C24C2">
                            <w:pPr>
                              <w:rPr>
                                <w:sz w:val="18"/>
                                <w:szCs w:val="18"/>
                              </w:rPr>
                            </w:pPr>
                          </w:p>
                        </w:txbxContent>
                      </v:textbox>
                      <w10:wrap type="square"/>
                    </v:shape>
                  </w:pict>
                </mc:Fallback>
              </mc:AlternateContent>
            </w:r>
            <w:r w:rsidR="00C91B5F" w:rsidRPr="00F00A18">
              <w:rPr>
                <w:color w:val="auto"/>
              </w:rPr>
              <w:t xml:space="preserve">The Commonwealth will provide an estimated total financial contribution to the </w:t>
            </w:r>
            <w:r w:rsidR="002C24C2">
              <w:rPr>
                <w:color w:val="auto"/>
              </w:rPr>
              <w:t>Northern Territory</w:t>
            </w:r>
            <w:r w:rsidR="002C24C2" w:rsidRPr="00F00A18">
              <w:rPr>
                <w:color w:val="auto"/>
              </w:rPr>
              <w:t xml:space="preserve"> </w:t>
            </w:r>
            <w:r w:rsidR="00C91B5F" w:rsidRPr="00F00A18">
              <w:rPr>
                <w:color w:val="auto"/>
              </w:rPr>
              <w:t>of $</w:t>
            </w:r>
            <w:r w:rsidR="00816CBA">
              <w:rPr>
                <w:color w:val="auto"/>
              </w:rPr>
              <w:t>1</w:t>
            </w:r>
            <w:r w:rsidR="00C91B5F" w:rsidRPr="00F00A18">
              <w:rPr>
                <w:color w:val="auto"/>
              </w:rPr>
              <w:t>.</w:t>
            </w:r>
            <w:r w:rsidR="00816CBA">
              <w:rPr>
                <w:color w:val="auto"/>
              </w:rPr>
              <w:t>42</w:t>
            </w:r>
            <w:r w:rsidR="00305093">
              <w:rPr>
                <w:color w:val="auto"/>
              </w:rPr>
              <w:t>3</w:t>
            </w:r>
            <w:r w:rsidR="00C91B5F" w:rsidRPr="00F00A18">
              <w:rPr>
                <w:color w:val="auto"/>
              </w:rPr>
              <w:t>m in respect of this Schedule.</w:t>
            </w:r>
          </w:p>
        </w:tc>
      </w:tr>
      <w:tr w:rsidR="00C91B5F" w:rsidRPr="00F00A18" w14:paraId="21E3D649" w14:textId="77777777" w:rsidTr="00317FB3">
        <w:tc>
          <w:tcPr>
            <w:tcW w:w="1691" w:type="dxa"/>
            <w:shd w:val="clear" w:color="auto" w:fill="auto"/>
          </w:tcPr>
          <w:p w14:paraId="06578BDF" w14:textId="0BDB8492" w:rsidR="00C91B5F" w:rsidRPr="00F00A18" w:rsidRDefault="00C91B5F" w:rsidP="005D3905">
            <w:pPr>
              <w:pStyle w:val="Tableformat"/>
              <w:rPr>
                <w:color w:val="auto"/>
              </w:rPr>
            </w:pPr>
            <w:r w:rsidRPr="00F00A18">
              <w:rPr>
                <w:color w:val="auto"/>
              </w:rPr>
              <w:t>Additional terms</w:t>
            </w:r>
          </w:p>
        </w:tc>
        <w:tc>
          <w:tcPr>
            <w:tcW w:w="7938" w:type="dxa"/>
            <w:shd w:val="clear" w:color="auto" w:fill="auto"/>
          </w:tcPr>
          <w:p w14:paraId="679D8AD4" w14:textId="53E06CA0" w:rsidR="00C91B5F" w:rsidRPr="00030BD1" w:rsidRDefault="00252D9F" w:rsidP="005D3905">
            <w:pPr>
              <w:pStyle w:val="Tableformat"/>
              <w:rPr>
                <w:color w:val="auto"/>
              </w:rPr>
            </w:pPr>
            <w:r w:rsidRPr="008704E3">
              <w:rPr>
                <w:color w:val="auto"/>
              </w:rPr>
              <w:t>Nil</w:t>
            </w:r>
            <w:r w:rsidR="004E5498">
              <w:rPr>
                <w:color w:val="auto"/>
              </w:rPr>
              <w:t xml:space="preserve"> </w:t>
            </w:r>
          </w:p>
        </w:tc>
      </w:tr>
    </w:tbl>
    <w:p w14:paraId="3CA07E3E" w14:textId="77777777" w:rsidR="00C91B5F" w:rsidRPr="00F00A18" w:rsidRDefault="00C91B5F" w:rsidP="00C91B5F"/>
    <w:p w14:paraId="7417F48D" w14:textId="77777777" w:rsidR="00C91B5F" w:rsidRPr="00F00A18" w:rsidRDefault="00C91B5F" w:rsidP="0062493F">
      <w:pPr>
        <w:pStyle w:val="Tableformat"/>
        <w:rPr>
          <w:iCs w:val="0"/>
        </w:rPr>
        <w:sectPr w:rsidR="00C91B5F" w:rsidRPr="00F00A18" w:rsidSect="00FD7C4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010"/>
        <w:gridCol w:w="5697"/>
        <w:gridCol w:w="1635"/>
        <w:gridCol w:w="1596"/>
      </w:tblGrid>
      <w:tr w:rsidR="00C91B5F" w:rsidRPr="00F00A18" w14:paraId="666D7A2C" w14:textId="77777777" w:rsidTr="002440B5">
        <w:tc>
          <w:tcPr>
            <w:tcW w:w="13938" w:type="dxa"/>
            <w:gridSpan w:val="4"/>
            <w:shd w:val="clear" w:color="auto" w:fill="DEEAF6" w:themeFill="accent1" w:themeFillTint="33"/>
          </w:tcPr>
          <w:p w14:paraId="560DB1DE" w14:textId="77777777" w:rsidR="00C91B5F" w:rsidRPr="00F00A18" w:rsidRDefault="00C91B5F" w:rsidP="005D3905">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2440B5">
        <w:tc>
          <w:tcPr>
            <w:tcW w:w="5010" w:type="dxa"/>
            <w:shd w:val="clear" w:color="auto" w:fill="F2F2F2" w:themeFill="background1" w:themeFillShade="F2"/>
          </w:tcPr>
          <w:p w14:paraId="10F4D2BD" w14:textId="3B79F4BE" w:rsidR="00C91B5F" w:rsidRPr="00F00A18" w:rsidRDefault="00C91B5F" w:rsidP="008704E3">
            <w:pPr>
              <w:pStyle w:val="Tableformat"/>
              <w:rPr>
                <w:b/>
                <w:color w:val="auto"/>
              </w:rPr>
            </w:pPr>
            <w:r w:rsidRPr="00F00A18">
              <w:rPr>
                <w:b/>
                <w:color w:val="auto"/>
              </w:rPr>
              <w:t>Output</w:t>
            </w:r>
          </w:p>
        </w:tc>
        <w:tc>
          <w:tcPr>
            <w:tcW w:w="5697"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635"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596"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F85360" w:rsidRPr="00F00A18" w14:paraId="6D142D4F" w14:textId="77777777" w:rsidTr="002440B5">
        <w:tc>
          <w:tcPr>
            <w:tcW w:w="5010" w:type="dxa"/>
            <w:vMerge w:val="restart"/>
            <w:tcBorders>
              <w:top w:val="single" w:sz="8" w:space="0" w:color="4F81BD"/>
              <w:left w:val="single" w:sz="8" w:space="0" w:color="4F81BD"/>
              <w:right w:val="single" w:sz="8" w:space="0" w:color="4F81BD"/>
            </w:tcBorders>
          </w:tcPr>
          <w:p w14:paraId="68BA39B5" w14:textId="77777777" w:rsidR="00F85360" w:rsidRDefault="00F85360" w:rsidP="005D3905">
            <w:pPr>
              <w:pStyle w:val="Milestonetable"/>
              <w:rPr>
                <w:color w:val="auto"/>
              </w:rPr>
            </w:pPr>
            <w:r>
              <w:rPr>
                <w:color w:val="auto"/>
              </w:rPr>
              <w:t>The output of this schedule will be:</w:t>
            </w:r>
          </w:p>
          <w:p w14:paraId="5685966E" w14:textId="258B87C5" w:rsidR="00F85360" w:rsidRDefault="00F85360" w:rsidP="00030BD1">
            <w:pPr>
              <w:pStyle w:val="Milestonetable"/>
              <w:numPr>
                <w:ilvl w:val="0"/>
                <w:numId w:val="3"/>
              </w:numPr>
              <w:rPr>
                <w:color w:val="auto"/>
              </w:rPr>
            </w:pPr>
            <w:r>
              <w:rPr>
                <w:color w:val="auto"/>
              </w:rPr>
              <w:t xml:space="preserve">Surveillance, control and, where possible, elimination of </w:t>
            </w:r>
            <w:r w:rsidRPr="00030BD1">
              <w:rPr>
                <w:i/>
                <w:color w:val="auto"/>
              </w:rPr>
              <w:t>Aedes aegypti</w:t>
            </w:r>
            <w:r>
              <w:rPr>
                <w:color w:val="auto"/>
              </w:rPr>
              <w:t xml:space="preserve"> </w:t>
            </w:r>
            <w:r w:rsidR="006F1BF9">
              <w:rPr>
                <w:color w:val="auto"/>
              </w:rPr>
              <w:t>in</w:t>
            </w:r>
            <w:r>
              <w:rPr>
                <w:color w:val="auto"/>
              </w:rPr>
              <w:t xml:space="preserve"> Tennant Creek and the wider Barkley region, to prevent the spread and establishment of this dengue vector in n</w:t>
            </w:r>
            <w:r w:rsidR="004957E2">
              <w:rPr>
                <w:color w:val="auto"/>
              </w:rPr>
              <w:t>orthern Australia; and</w:t>
            </w:r>
          </w:p>
          <w:p w14:paraId="281DFB8E" w14:textId="3D51AABC" w:rsidR="00F85360" w:rsidRDefault="00D12D7D" w:rsidP="00030BD1">
            <w:pPr>
              <w:pStyle w:val="Milestonetable"/>
              <w:numPr>
                <w:ilvl w:val="0"/>
                <w:numId w:val="3"/>
              </w:numPr>
              <w:rPr>
                <w:color w:val="auto"/>
              </w:rPr>
            </w:pPr>
            <w:r>
              <w:rPr>
                <w:color w:val="auto"/>
              </w:rPr>
              <w:t>Development of a stakeholder communication plan that aims to i</w:t>
            </w:r>
            <w:r w:rsidR="00F85360">
              <w:rPr>
                <w:color w:val="auto"/>
              </w:rPr>
              <w:t>ncreas</w:t>
            </w:r>
            <w:r w:rsidR="00D931AF">
              <w:rPr>
                <w:color w:val="auto"/>
              </w:rPr>
              <w:t>e</w:t>
            </w:r>
            <w:r w:rsidR="00F85360">
              <w:rPr>
                <w:color w:val="auto"/>
              </w:rPr>
              <w:t xml:space="preserve"> awareness in Tennant Creek and the Barkly region regarding dengue and other mosquito-</w:t>
            </w:r>
            <w:r w:rsidR="004957E2">
              <w:rPr>
                <w:color w:val="auto"/>
              </w:rPr>
              <w:t>borne</w:t>
            </w:r>
            <w:r w:rsidR="00F85360">
              <w:rPr>
                <w:color w:val="auto"/>
              </w:rPr>
              <w:t xml:space="preserve"> diseases, including through increased community activity in controlling container-breeding mosquitoes.</w:t>
            </w:r>
          </w:p>
          <w:p w14:paraId="472B37C8" w14:textId="77777777" w:rsidR="00F85360" w:rsidRDefault="00F85360" w:rsidP="008704E3">
            <w:pPr>
              <w:pStyle w:val="Milestonetable"/>
              <w:rPr>
                <w:color w:val="auto"/>
              </w:rPr>
            </w:pPr>
            <w:r>
              <w:rPr>
                <w:color w:val="auto"/>
              </w:rPr>
              <w:t xml:space="preserve">For the purposes of this Schedule, control of </w:t>
            </w:r>
            <w:r>
              <w:rPr>
                <w:i/>
                <w:color w:val="auto"/>
              </w:rPr>
              <w:t xml:space="preserve">Aedes aegypti </w:t>
            </w:r>
            <w:r>
              <w:rPr>
                <w:color w:val="auto"/>
              </w:rPr>
              <w:t>in Tennant Creek will be achieved through the following activities:</w:t>
            </w:r>
          </w:p>
          <w:p w14:paraId="5BFCEC2B" w14:textId="10FD1506" w:rsidR="00F85360" w:rsidRDefault="00F92ECA" w:rsidP="00030BD1">
            <w:pPr>
              <w:pStyle w:val="Milestonetable"/>
              <w:numPr>
                <w:ilvl w:val="0"/>
                <w:numId w:val="4"/>
              </w:numPr>
              <w:rPr>
                <w:color w:val="auto"/>
              </w:rPr>
            </w:pPr>
            <w:r>
              <w:rPr>
                <w:color w:val="auto"/>
              </w:rPr>
              <w:t xml:space="preserve">Monitoring and responding to current distributions of </w:t>
            </w:r>
            <w:r>
              <w:rPr>
                <w:i/>
                <w:color w:val="auto"/>
              </w:rPr>
              <w:t xml:space="preserve">Aedes aegypti </w:t>
            </w:r>
            <w:r>
              <w:rPr>
                <w:color w:val="auto"/>
              </w:rPr>
              <w:t xml:space="preserve">in Tennant Creek and the Barkly </w:t>
            </w:r>
            <w:proofErr w:type="gramStart"/>
            <w:r>
              <w:rPr>
                <w:color w:val="auto"/>
              </w:rPr>
              <w:t>region;</w:t>
            </w:r>
            <w:proofErr w:type="gramEnd"/>
          </w:p>
          <w:p w14:paraId="6E7D75A1" w14:textId="4C797CDD" w:rsidR="00F92ECA" w:rsidRDefault="00F92ECA" w:rsidP="00030BD1">
            <w:pPr>
              <w:pStyle w:val="Milestonetable"/>
              <w:numPr>
                <w:ilvl w:val="0"/>
                <w:numId w:val="4"/>
              </w:numPr>
              <w:rPr>
                <w:color w:val="auto"/>
              </w:rPr>
            </w:pPr>
            <w:r>
              <w:rPr>
                <w:color w:val="auto"/>
              </w:rPr>
              <w:t xml:space="preserve">Applying, developing and evaluating best-practice tools to prevent the expansion of </w:t>
            </w:r>
            <w:r>
              <w:rPr>
                <w:i/>
                <w:color w:val="auto"/>
              </w:rPr>
              <w:t xml:space="preserve">Aedes aegypti </w:t>
            </w:r>
            <w:r>
              <w:rPr>
                <w:color w:val="auto"/>
              </w:rPr>
              <w:t xml:space="preserve">beyond Tennant </w:t>
            </w:r>
            <w:proofErr w:type="gramStart"/>
            <w:r>
              <w:rPr>
                <w:color w:val="auto"/>
              </w:rPr>
              <w:t>Creek;</w:t>
            </w:r>
            <w:proofErr w:type="gramEnd"/>
          </w:p>
          <w:p w14:paraId="71CAD1E8" w14:textId="76307439" w:rsidR="000A7B64" w:rsidRDefault="00F92ECA" w:rsidP="00030BD1">
            <w:pPr>
              <w:pStyle w:val="Milestonetable"/>
              <w:numPr>
                <w:ilvl w:val="0"/>
                <w:numId w:val="4"/>
              </w:numPr>
              <w:rPr>
                <w:color w:val="auto"/>
              </w:rPr>
            </w:pPr>
            <w:r>
              <w:rPr>
                <w:color w:val="auto"/>
              </w:rPr>
              <w:t>Increasing stakeholder activity in controlling container-breeding mosquitos in the region</w:t>
            </w:r>
            <w:r w:rsidR="000A7B64">
              <w:rPr>
                <w:color w:val="auto"/>
              </w:rPr>
              <w:t xml:space="preserve"> and</w:t>
            </w:r>
            <w:r>
              <w:rPr>
                <w:color w:val="auto"/>
              </w:rPr>
              <w:t xml:space="preserve"> </w:t>
            </w:r>
            <w:r w:rsidR="00127A60">
              <w:rPr>
                <w:color w:val="auto"/>
              </w:rPr>
              <w:t xml:space="preserve">to </w:t>
            </w:r>
            <w:r w:rsidR="00127A60">
              <w:rPr>
                <w:color w:val="auto"/>
              </w:rPr>
              <w:lastRenderedPageBreak/>
              <w:t xml:space="preserve">raise community awareness and </w:t>
            </w:r>
            <w:proofErr w:type="spellStart"/>
            <w:r w:rsidR="00127A60">
              <w:rPr>
                <w:color w:val="auto"/>
              </w:rPr>
              <w:t>mobilisation</w:t>
            </w:r>
            <w:proofErr w:type="spellEnd"/>
            <w:r w:rsidR="00127A60">
              <w:rPr>
                <w:color w:val="auto"/>
              </w:rPr>
              <w:t xml:space="preserve"> efforts</w:t>
            </w:r>
            <w:r w:rsidR="000A7B64">
              <w:rPr>
                <w:color w:val="auto"/>
              </w:rPr>
              <w:t>; and</w:t>
            </w:r>
          </w:p>
          <w:p w14:paraId="269DD648" w14:textId="0D340D5D" w:rsidR="000A7B64" w:rsidRDefault="000A7B64" w:rsidP="00030BD1">
            <w:pPr>
              <w:pStyle w:val="Milestonetable"/>
              <w:numPr>
                <w:ilvl w:val="0"/>
                <w:numId w:val="4"/>
              </w:numPr>
              <w:rPr>
                <w:color w:val="auto"/>
              </w:rPr>
            </w:pPr>
            <w:r>
              <w:rPr>
                <w:color w:val="auto"/>
              </w:rPr>
              <w:t>Working in partnership with Aboriginal and Torres Strait Islander</w:t>
            </w:r>
            <w:r w:rsidR="00127A60">
              <w:rPr>
                <w:color w:val="auto"/>
              </w:rPr>
              <w:t xml:space="preserve"> </w:t>
            </w:r>
            <w:r w:rsidR="002B0B2A">
              <w:rPr>
                <w:color w:val="auto"/>
              </w:rPr>
              <w:t>stakeholder</w:t>
            </w:r>
            <w:r>
              <w:rPr>
                <w:color w:val="auto"/>
              </w:rPr>
              <w:t>s to deliver activities for controlling container-breeding mosquitos in the region.</w:t>
            </w:r>
          </w:p>
          <w:p w14:paraId="480725A2" w14:textId="335AE91C" w:rsidR="00127A60" w:rsidRDefault="000A7B64" w:rsidP="002E0DEE">
            <w:pPr>
              <w:pStyle w:val="Milestonetable"/>
              <w:rPr>
                <w:color w:val="auto"/>
              </w:rPr>
            </w:pPr>
            <w:r>
              <w:rPr>
                <w:color w:val="auto"/>
              </w:rPr>
              <w:t xml:space="preserve">Stakeholders </w:t>
            </w:r>
            <w:r w:rsidR="00F92ECA">
              <w:rPr>
                <w:color w:val="auto"/>
              </w:rPr>
              <w:t>includ</w:t>
            </w:r>
            <w:r>
              <w:rPr>
                <w:color w:val="auto"/>
              </w:rPr>
              <w:t>e</w:t>
            </w:r>
            <w:r w:rsidR="00127A60">
              <w:rPr>
                <w:color w:val="auto"/>
              </w:rPr>
              <w:t>:</w:t>
            </w:r>
          </w:p>
          <w:p w14:paraId="00B526CC" w14:textId="02DAB7A7" w:rsidR="00127A60" w:rsidRDefault="00F92ECA" w:rsidP="001500B7">
            <w:pPr>
              <w:pStyle w:val="Milestonetable"/>
              <w:numPr>
                <w:ilvl w:val="1"/>
                <w:numId w:val="4"/>
              </w:numPr>
              <w:ind w:left="731"/>
              <w:rPr>
                <w:color w:val="auto"/>
              </w:rPr>
            </w:pPr>
            <w:r>
              <w:rPr>
                <w:color w:val="auto"/>
              </w:rPr>
              <w:t xml:space="preserve">Barkly Regional </w:t>
            </w:r>
            <w:proofErr w:type="gramStart"/>
            <w:r>
              <w:rPr>
                <w:color w:val="auto"/>
              </w:rPr>
              <w:t>Council</w:t>
            </w:r>
            <w:r w:rsidR="004104B6">
              <w:rPr>
                <w:color w:val="auto"/>
              </w:rPr>
              <w:t>;</w:t>
            </w:r>
            <w:proofErr w:type="gramEnd"/>
          </w:p>
          <w:p w14:paraId="1295C843" w14:textId="2901D168" w:rsidR="00127A60" w:rsidRDefault="00DF0816" w:rsidP="001500B7">
            <w:pPr>
              <w:pStyle w:val="Milestonetable"/>
              <w:numPr>
                <w:ilvl w:val="1"/>
                <w:numId w:val="4"/>
              </w:numPr>
              <w:ind w:left="731"/>
              <w:rPr>
                <w:color w:val="auto"/>
              </w:rPr>
            </w:pPr>
            <w:r>
              <w:rPr>
                <w:color w:val="auto"/>
              </w:rPr>
              <w:t>Aboriginal</w:t>
            </w:r>
            <w:r w:rsidR="00F92ECA">
              <w:rPr>
                <w:color w:val="auto"/>
              </w:rPr>
              <w:t xml:space="preserve"> and Torres Strait Islander</w:t>
            </w:r>
            <w:r w:rsidR="004104B6">
              <w:rPr>
                <w:color w:val="auto"/>
              </w:rPr>
              <w:t xml:space="preserve"> </w:t>
            </w:r>
            <w:proofErr w:type="spellStart"/>
            <w:r w:rsidR="00F92ECA">
              <w:rPr>
                <w:color w:val="auto"/>
              </w:rPr>
              <w:t>organisations</w:t>
            </w:r>
            <w:proofErr w:type="spellEnd"/>
            <w:r w:rsidR="00F92ECA">
              <w:rPr>
                <w:color w:val="auto"/>
              </w:rPr>
              <w:t xml:space="preserve"> such as </w:t>
            </w:r>
            <w:proofErr w:type="spellStart"/>
            <w:r w:rsidR="00F92ECA" w:rsidRPr="00F92ECA">
              <w:rPr>
                <w:color w:val="auto"/>
              </w:rPr>
              <w:t>Anyinginyi</w:t>
            </w:r>
            <w:proofErr w:type="spellEnd"/>
            <w:r w:rsidR="00F92ECA" w:rsidRPr="00F92ECA">
              <w:rPr>
                <w:color w:val="auto"/>
              </w:rPr>
              <w:t xml:space="preserve"> Health Aboriginal Corporation</w:t>
            </w:r>
            <w:r w:rsidR="000A7B64">
              <w:rPr>
                <w:color w:val="auto"/>
              </w:rPr>
              <w:t xml:space="preserve"> and </w:t>
            </w:r>
            <w:proofErr w:type="spellStart"/>
            <w:r w:rsidR="000A7B64" w:rsidRPr="000A7B64">
              <w:rPr>
                <w:color w:val="auto"/>
              </w:rPr>
              <w:t>Julalikari</w:t>
            </w:r>
            <w:proofErr w:type="spellEnd"/>
            <w:r w:rsidR="000A7B64" w:rsidRPr="001A0B73">
              <w:rPr>
                <w:color w:val="auto"/>
              </w:rPr>
              <w:t xml:space="preserve"> Council Aboriginal Corporation</w:t>
            </w:r>
            <w:r w:rsidR="004104B6">
              <w:rPr>
                <w:color w:val="auto"/>
              </w:rPr>
              <w:t>;</w:t>
            </w:r>
            <w:r w:rsidR="004957E2">
              <w:rPr>
                <w:color w:val="auto"/>
              </w:rPr>
              <w:t xml:space="preserve"> and </w:t>
            </w:r>
          </w:p>
          <w:p w14:paraId="43AC35BA" w14:textId="37D2FD0D" w:rsidR="00785F9E" w:rsidRPr="002B0B2A" w:rsidRDefault="004957E2" w:rsidP="002B0B2A">
            <w:pPr>
              <w:pStyle w:val="Milestonetable"/>
              <w:numPr>
                <w:ilvl w:val="1"/>
                <w:numId w:val="4"/>
              </w:numPr>
              <w:ind w:left="731"/>
              <w:rPr>
                <w:color w:val="auto"/>
              </w:rPr>
            </w:pPr>
            <w:r>
              <w:rPr>
                <w:color w:val="auto"/>
              </w:rPr>
              <w:t>local media outlets</w:t>
            </w:r>
            <w:r w:rsidR="00127A60">
              <w:rPr>
                <w:color w:val="auto"/>
              </w:rPr>
              <w:t>.</w:t>
            </w:r>
          </w:p>
        </w:tc>
        <w:tc>
          <w:tcPr>
            <w:tcW w:w="5697" w:type="dxa"/>
            <w:tcBorders>
              <w:top w:val="single" w:sz="8" w:space="0" w:color="4F81BD"/>
              <w:left w:val="single" w:sz="8" w:space="0" w:color="4F81BD"/>
              <w:bottom w:val="single" w:sz="8" w:space="0" w:color="4F81BD"/>
              <w:right w:val="single" w:sz="8" w:space="0" w:color="4F81BD"/>
            </w:tcBorders>
            <w:shd w:val="clear" w:color="auto" w:fill="auto"/>
          </w:tcPr>
          <w:p w14:paraId="4095F697" w14:textId="4DD250CA" w:rsidR="00F85360" w:rsidRPr="008704E3" w:rsidRDefault="00EE6198" w:rsidP="008704E3">
            <w:pPr>
              <w:pStyle w:val="Milestonetable"/>
              <w:rPr>
                <w:color w:val="auto"/>
              </w:rPr>
            </w:pPr>
            <w:r>
              <w:rPr>
                <w:color w:val="auto"/>
              </w:rPr>
              <w:lastRenderedPageBreak/>
              <w:t>A</w:t>
            </w:r>
            <w:r w:rsidR="00F85360">
              <w:rPr>
                <w:color w:val="auto"/>
              </w:rPr>
              <w:t xml:space="preserve">cceptance of </w:t>
            </w:r>
            <w:r w:rsidR="001500B7">
              <w:rPr>
                <w:color w:val="auto"/>
              </w:rPr>
              <w:t xml:space="preserve">Northern Territory Health’s </w:t>
            </w:r>
            <w:r w:rsidR="00F85360">
              <w:rPr>
                <w:color w:val="auto"/>
              </w:rPr>
              <w:t>Dengue Mosquito Elimination Program Tennant Creek Operational Plan 2021-2023.</w:t>
            </w:r>
          </w:p>
        </w:tc>
        <w:tc>
          <w:tcPr>
            <w:tcW w:w="1635" w:type="dxa"/>
            <w:tcBorders>
              <w:top w:val="single" w:sz="8" w:space="0" w:color="4F81BD"/>
              <w:left w:val="single" w:sz="8" w:space="0" w:color="4F81BD"/>
              <w:bottom w:val="single" w:sz="8" w:space="0" w:color="4F81BD"/>
              <w:right w:val="single" w:sz="8" w:space="0" w:color="4F81BD"/>
            </w:tcBorders>
            <w:shd w:val="clear" w:color="auto" w:fill="auto"/>
          </w:tcPr>
          <w:p w14:paraId="0D6333B6" w14:textId="479A4627" w:rsidR="00F85360" w:rsidRDefault="00355DCA" w:rsidP="00355DCA">
            <w:pPr>
              <w:pStyle w:val="Milestonetable"/>
              <w:rPr>
                <w:color w:val="auto"/>
              </w:rPr>
            </w:pPr>
            <w:r>
              <w:rPr>
                <w:color w:val="auto"/>
              </w:rPr>
              <w:t>1 July 2021</w:t>
            </w:r>
          </w:p>
          <w:p w14:paraId="5421C669" w14:textId="6B357CE3" w:rsidR="00355DCA" w:rsidRPr="00F00A18" w:rsidRDefault="00355DCA" w:rsidP="00E40B57">
            <w:pPr>
              <w:pStyle w:val="Milestonetable"/>
              <w:rPr>
                <w:color w:val="auto"/>
              </w:rPr>
            </w:pPr>
            <w:r>
              <w:rPr>
                <w:color w:val="auto"/>
              </w:rPr>
              <w:t xml:space="preserve">Payment on </w:t>
            </w:r>
            <w:r w:rsidR="000D6C18">
              <w:rPr>
                <w:color w:val="auto"/>
              </w:rPr>
              <w:t>acceptance o</w:t>
            </w:r>
            <w:r w:rsidR="008B0F4F">
              <w:rPr>
                <w:color w:val="auto"/>
              </w:rPr>
              <w:t>f</w:t>
            </w:r>
            <w:r w:rsidR="000D6C18">
              <w:rPr>
                <w:color w:val="auto"/>
              </w:rPr>
              <w:t xml:space="preserve"> report</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2EC595E5" w14:textId="23CB0A48" w:rsidR="00F85360" w:rsidRPr="00F00A18" w:rsidRDefault="00F85360" w:rsidP="008704E3">
            <w:pPr>
              <w:pStyle w:val="Milestonetable"/>
              <w:jc w:val="right"/>
              <w:rPr>
                <w:color w:val="auto"/>
              </w:rPr>
            </w:pPr>
            <w:r w:rsidRPr="00F00A18">
              <w:rPr>
                <w:color w:val="auto"/>
              </w:rPr>
              <w:t>$</w:t>
            </w:r>
            <w:r w:rsidR="00A62005">
              <w:rPr>
                <w:color w:val="auto"/>
              </w:rPr>
              <w:t>786,920.00</w:t>
            </w:r>
          </w:p>
        </w:tc>
      </w:tr>
      <w:tr w:rsidR="00F85360" w:rsidRPr="00F00A18" w14:paraId="31168209" w14:textId="77777777" w:rsidTr="002440B5">
        <w:trPr>
          <w:trHeight w:val="898"/>
        </w:trPr>
        <w:tc>
          <w:tcPr>
            <w:tcW w:w="5010" w:type="dxa"/>
            <w:vMerge/>
            <w:tcBorders>
              <w:left w:val="single" w:sz="8" w:space="0" w:color="4F81BD"/>
              <w:right w:val="single" w:sz="8" w:space="0" w:color="4F81BD"/>
            </w:tcBorders>
          </w:tcPr>
          <w:p w14:paraId="118135B4" w14:textId="77777777" w:rsidR="00F85360" w:rsidRPr="00F00A18" w:rsidRDefault="00F85360" w:rsidP="00252D9F">
            <w:pPr>
              <w:pStyle w:val="Milestonetable"/>
              <w:rPr>
                <w:color w:val="auto"/>
              </w:rPr>
            </w:pPr>
          </w:p>
        </w:tc>
        <w:tc>
          <w:tcPr>
            <w:tcW w:w="5697" w:type="dxa"/>
            <w:tcBorders>
              <w:top w:val="single" w:sz="8" w:space="0" w:color="4F81BD"/>
              <w:left w:val="single" w:sz="8" w:space="0" w:color="4F81BD"/>
              <w:bottom w:val="single" w:sz="8" w:space="0" w:color="4F81BD"/>
              <w:right w:val="single" w:sz="8" w:space="0" w:color="4F81BD"/>
            </w:tcBorders>
            <w:shd w:val="clear" w:color="auto" w:fill="auto"/>
          </w:tcPr>
          <w:p w14:paraId="524B0661" w14:textId="77777777" w:rsidR="00BD053F" w:rsidRPr="00BD053F" w:rsidRDefault="00BD053F" w:rsidP="00BD053F">
            <w:pPr>
              <w:widowControl/>
              <w:spacing w:before="60" w:after="60"/>
              <w:outlineLvl w:val="1"/>
              <w:rPr>
                <w:rFonts w:ascii="Corbel" w:eastAsia="Times New Roman" w:hAnsi="Corbel" w:cs="Arial"/>
                <w:iCs/>
                <w:sz w:val="20"/>
                <w:szCs w:val="20"/>
                <w:lang w:eastAsia="en-AU"/>
              </w:rPr>
            </w:pPr>
            <w:r w:rsidRPr="00BD053F">
              <w:rPr>
                <w:rFonts w:ascii="Corbel" w:eastAsia="Times New Roman" w:hAnsi="Corbel" w:cs="Arial"/>
                <w:iCs/>
                <w:sz w:val="20"/>
                <w:szCs w:val="20"/>
                <w:lang w:eastAsia="en-AU"/>
              </w:rPr>
              <w:t>Performance report on activities delivered in accordance with the output of this schedule over the period 1 March 2021 to 28 February 2022.</w:t>
            </w:r>
          </w:p>
          <w:p w14:paraId="24F5EF98" w14:textId="5BC9CFEE" w:rsidR="00F85360" w:rsidRPr="009075EC" w:rsidRDefault="00BD053F" w:rsidP="00BD053F">
            <w:pPr>
              <w:pStyle w:val="Milestonetable"/>
              <w:rPr>
                <w:color w:val="auto"/>
              </w:rPr>
            </w:pPr>
            <w:r w:rsidRPr="009075EC">
              <w:rPr>
                <w:rFonts w:asciiTheme="minorHAnsi" w:eastAsiaTheme="minorHAnsi" w:hAnsiTheme="minorHAnsi" w:cstheme="minorBidi"/>
                <w:i/>
                <w:iCs w:val="0"/>
                <w:color w:val="auto"/>
                <w:lang w:eastAsia="en-US"/>
              </w:rPr>
              <w:t>Note: Each performance report is to contain a description of actual performance and information that demonstrates and describes activities by the Northern Territory in the period to date, against the project milestones. Each report is to include details of any matter(s) that have arisen which could adversely impact on the delivery of the output, and how the Northern Territory proposes to resolve the matter(s).</w:t>
            </w:r>
          </w:p>
        </w:tc>
        <w:tc>
          <w:tcPr>
            <w:tcW w:w="1635" w:type="dxa"/>
            <w:tcBorders>
              <w:top w:val="single" w:sz="8" w:space="0" w:color="4F81BD"/>
              <w:left w:val="single" w:sz="8" w:space="0" w:color="4F81BD"/>
              <w:bottom w:val="single" w:sz="8" w:space="0" w:color="4F81BD"/>
              <w:right w:val="single" w:sz="8" w:space="0" w:color="4F81BD"/>
            </w:tcBorders>
            <w:shd w:val="clear" w:color="auto" w:fill="auto"/>
          </w:tcPr>
          <w:p w14:paraId="09F5635A" w14:textId="5B9B1CDD" w:rsidR="00F85360" w:rsidRPr="00F00A18" w:rsidRDefault="00792CD4" w:rsidP="00792CD4">
            <w:pPr>
              <w:pStyle w:val="Milestonetable"/>
              <w:rPr>
                <w:color w:val="auto"/>
              </w:rPr>
            </w:pPr>
            <w:r>
              <w:rPr>
                <w:color w:val="auto"/>
              </w:rPr>
              <w:t>1</w:t>
            </w:r>
            <w:r w:rsidR="004D0B7A">
              <w:rPr>
                <w:color w:val="auto"/>
              </w:rPr>
              <w:t xml:space="preserve"> August </w:t>
            </w:r>
            <w:r>
              <w:rPr>
                <w:color w:val="auto"/>
              </w:rPr>
              <w:t>2022</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25F131F6" w14:textId="6FFAFE12" w:rsidR="00F85360" w:rsidRPr="00F00A18" w:rsidRDefault="00FA0F18" w:rsidP="00252D9F">
            <w:pPr>
              <w:pStyle w:val="Milestonetable"/>
              <w:jc w:val="right"/>
              <w:rPr>
                <w:color w:val="auto"/>
              </w:rPr>
            </w:pPr>
            <w:r>
              <w:rPr>
                <w:color w:val="auto"/>
              </w:rPr>
              <w:t>$</w:t>
            </w:r>
            <w:r w:rsidR="00A62005">
              <w:rPr>
                <w:color w:val="auto"/>
              </w:rPr>
              <w:t>318,003.00</w:t>
            </w:r>
          </w:p>
        </w:tc>
      </w:tr>
      <w:tr w:rsidR="00792CD4" w:rsidRPr="00F00A18" w14:paraId="3F21A882" w14:textId="77777777" w:rsidTr="002440B5">
        <w:tc>
          <w:tcPr>
            <w:tcW w:w="5010" w:type="dxa"/>
            <w:vMerge/>
            <w:tcBorders>
              <w:left w:val="single" w:sz="8" w:space="0" w:color="4F81BD"/>
              <w:right w:val="single" w:sz="8" w:space="0" w:color="4F81BD"/>
            </w:tcBorders>
          </w:tcPr>
          <w:p w14:paraId="38968534" w14:textId="77777777" w:rsidR="00792CD4" w:rsidRPr="00F00A18" w:rsidRDefault="00792CD4" w:rsidP="00792CD4">
            <w:pPr>
              <w:pStyle w:val="Milestonetable"/>
              <w:rPr>
                <w:color w:val="auto"/>
              </w:rPr>
            </w:pPr>
          </w:p>
        </w:tc>
        <w:tc>
          <w:tcPr>
            <w:tcW w:w="5697" w:type="dxa"/>
            <w:tcBorders>
              <w:top w:val="single" w:sz="8" w:space="0" w:color="4F81BD"/>
              <w:left w:val="single" w:sz="8" w:space="0" w:color="4F81BD"/>
              <w:bottom w:val="single" w:sz="8" w:space="0" w:color="4F81BD"/>
              <w:right w:val="single" w:sz="8" w:space="0" w:color="4F81BD"/>
            </w:tcBorders>
            <w:shd w:val="clear" w:color="auto" w:fill="auto"/>
          </w:tcPr>
          <w:p w14:paraId="72DE4234" w14:textId="3F563596" w:rsidR="00792CD4" w:rsidRDefault="004D0B7A" w:rsidP="00792CD4">
            <w:pPr>
              <w:pStyle w:val="Milestonetable"/>
              <w:rPr>
                <w:color w:val="auto"/>
              </w:rPr>
            </w:pPr>
            <w:r>
              <w:rPr>
                <w:color w:val="auto"/>
              </w:rPr>
              <w:t xml:space="preserve">Interim </w:t>
            </w:r>
            <w:r w:rsidR="00792CD4">
              <w:rPr>
                <w:color w:val="auto"/>
              </w:rPr>
              <w:t xml:space="preserve">report on activities delivered in accordance with the output of this schedule over the complete period 1 March 2021 to 30 June 2023. </w:t>
            </w:r>
          </w:p>
          <w:p w14:paraId="01810060" w14:textId="539EA83F" w:rsidR="00792CD4" w:rsidRDefault="00792CD4" w:rsidP="00792CD4">
            <w:pPr>
              <w:pStyle w:val="Milestonetable"/>
              <w:rPr>
                <w:color w:val="auto"/>
              </w:rPr>
            </w:pPr>
            <w:r>
              <w:rPr>
                <w:color w:val="auto"/>
              </w:rPr>
              <w:t>Refer to first milestone for details on reporting.</w:t>
            </w:r>
          </w:p>
        </w:tc>
        <w:tc>
          <w:tcPr>
            <w:tcW w:w="1635" w:type="dxa"/>
            <w:tcBorders>
              <w:top w:val="single" w:sz="8" w:space="0" w:color="4F81BD"/>
              <w:left w:val="single" w:sz="8" w:space="0" w:color="4F81BD"/>
              <w:bottom w:val="single" w:sz="8" w:space="0" w:color="4F81BD"/>
              <w:right w:val="single" w:sz="8" w:space="0" w:color="4F81BD"/>
            </w:tcBorders>
            <w:shd w:val="clear" w:color="auto" w:fill="auto"/>
          </w:tcPr>
          <w:p w14:paraId="4CF8063E" w14:textId="695295A1" w:rsidR="00792CD4" w:rsidRDefault="00384D90" w:rsidP="00792CD4">
            <w:pPr>
              <w:pStyle w:val="Milestonetable"/>
              <w:rPr>
                <w:color w:val="auto"/>
              </w:rPr>
            </w:pPr>
            <w:r>
              <w:rPr>
                <w:color w:val="auto"/>
              </w:rPr>
              <w:t>30 April 2023</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214482C" w14:textId="4503F6AB" w:rsidR="00792CD4" w:rsidRDefault="00FA0F18" w:rsidP="00792CD4">
            <w:pPr>
              <w:pStyle w:val="Milestonetable"/>
              <w:jc w:val="right"/>
              <w:rPr>
                <w:color w:val="auto"/>
              </w:rPr>
            </w:pPr>
            <w:r>
              <w:rPr>
                <w:color w:val="auto"/>
              </w:rPr>
              <w:t>$</w:t>
            </w:r>
            <w:r w:rsidR="00A62005">
              <w:rPr>
                <w:color w:val="auto"/>
              </w:rPr>
              <w:t>318,003.00</w:t>
            </w:r>
          </w:p>
        </w:tc>
      </w:tr>
      <w:tr w:rsidR="004D0B7A" w:rsidRPr="00F00A18" w14:paraId="5C770FE6" w14:textId="77777777" w:rsidTr="002440B5">
        <w:tc>
          <w:tcPr>
            <w:tcW w:w="5010" w:type="dxa"/>
            <w:vMerge/>
            <w:tcBorders>
              <w:left w:val="single" w:sz="8" w:space="0" w:color="4F81BD"/>
              <w:right w:val="single" w:sz="8" w:space="0" w:color="4F81BD"/>
            </w:tcBorders>
          </w:tcPr>
          <w:p w14:paraId="3CC5B04A" w14:textId="77777777" w:rsidR="004D0B7A" w:rsidRPr="00F00A18" w:rsidRDefault="004D0B7A" w:rsidP="00792CD4">
            <w:pPr>
              <w:pStyle w:val="Milestonetable"/>
              <w:rPr>
                <w:color w:val="auto"/>
              </w:rPr>
            </w:pPr>
          </w:p>
        </w:tc>
        <w:tc>
          <w:tcPr>
            <w:tcW w:w="5697" w:type="dxa"/>
            <w:tcBorders>
              <w:top w:val="single" w:sz="8" w:space="0" w:color="4F81BD"/>
              <w:left w:val="single" w:sz="8" w:space="0" w:color="4F81BD"/>
              <w:bottom w:val="single" w:sz="8" w:space="0" w:color="4F81BD"/>
              <w:right w:val="single" w:sz="8" w:space="0" w:color="4F81BD"/>
            </w:tcBorders>
            <w:shd w:val="clear" w:color="auto" w:fill="auto"/>
          </w:tcPr>
          <w:p w14:paraId="74425432" w14:textId="6874B344" w:rsidR="004D0B7A" w:rsidRDefault="004D0B7A" w:rsidP="004D0B7A">
            <w:pPr>
              <w:pStyle w:val="Milestonetable"/>
              <w:rPr>
                <w:color w:val="auto"/>
              </w:rPr>
            </w:pPr>
            <w:r>
              <w:rPr>
                <w:color w:val="auto"/>
              </w:rPr>
              <w:t xml:space="preserve">Final report on activities delivered in accordance with the output of this schedule over the complete period 1 March 2021 to 30 June 2023. </w:t>
            </w:r>
          </w:p>
          <w:p w14:paraId="0708E9CB" w14:textId="2FA4ECB7" w:rsidR="004D0B7A" w:rsidDel="004D0B7A" w:rsidRDefault="004D0B7A" w:rsidP="004D0B7A">
            <w:pPr>
              <w:pStyle w:val="Milestonetable"/>
              <w:rPr>
                <w:color w:val="auto"/>
              </w:rPr>
            </w:pPr>
            <w:r>
              <w:rPr>
                <w:color w:val="auto"/>
              </w:rPr>
              <w:t>Refer to first milestone for details on reporting.</w:t>
            </w:r>
          </w:p>
        </w:tc>
        <w:tc>
          <w:tcPr>
            <w:tcW w:w="1635" w:type="dxa"/>
            <w:tcBorders>
              <w:top w:val="single" w:sz="8" w:space="0" w:color="4F81BD"/>
              <w:left w:val="single" w:sz="8" w:space="0" w:color="4F81BD"/>
              <w:bottom w:val="single" w:sz="8" w:space="0" w:color="4F81BD"/>
              <w:right w:val="single" w:sz="8" w:space="0" w:color="4F81BD"/>
            </w:tcBorders>
            <w:shd w:val="clear" w:color="auto" w:fill="auto"/>
          </w:tcPr>
          <w:p w14:paraId="7BFDBB3A" w14:textId="6D82EF96" w:rsidR="004D0B7A" w:rsidDel="00384D90" w:rsidRDefault="004D0B7A" w:rsidP="00792CD4">
            <w:pPr>
              <w:pStyle w:val="Milestonetable"/>
              <w:rPr>
                <w:color w:val="auto"/>
              </w:rPr>
            </w:pPr>
            <w:r>
              <w:rPr>
                <w:color w:val="auto"/>
              </w:rPr>
              <w:t>Within 90 days of the completion of the project</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50049FE6" w14:textId="2EC03797" w:rsidR="004D0B7A" w:rsidRDefault="004D0B7A" w:rsidP="00792CD4">
            <w:pPr>
              <w:pStyle w:val="Milestonetable"/>
              <w:jc w:val="right"/>
              <w:rPr>
                <w:color w:val="auto"/>
              </w:rPr>
            </w:pPr>
            <w:r>
              <w:rPr>
                <w:color w:val="auto"/>
              </w:rPr>
              <w:t>Nil</w:t>
            </w:r>
          </w:p>
        </w:tc>
      </w:tr>
      <w:tr w:rsidR="00792CD4" w:rsidRPr="00F00A18" w14:paraId="75BBB1EE" w14:textId="77777777" w:rsidTr="00A62005">
        <w:trPr>
          <w:cantSplit/>
        </w:trPr>
        <w:tc>
          <w:tcPr>
            <w:tcW w:w="5010" w:type="dxa"/>
            <w:vMerge/>
            <w:tcBorders>
              <w:left w:val="single" w:sz="8" w:space="0" w:color="4F81BD"/>
              <w:right w:val="single" w:sz="8" w:space="0" w:color="4F81BD"/>
            </w:tcBorders>
          </w:tcPr>
          <w:p w14:paraId="47875AAD" w14:textId="77777777" w:rsidR="00792CD4" w:rsidRPr="00F00A18" w:rsidRDefault="00792CD4" w:rsidP="00792CD4">
            <w:pPr>
              <w:pStyle w:val="Milestonetable"/>
              <w:rPr>
                <w:color w:val="auto"/>
              </w:rPr>
            </w:pPr>
          </w:p>
        </w:tc>
        <w:tc>
          <w:tcPr>
            <w:tcW w:w="5697" w:type="dxa"/>
            <w:tcBorders>
              <w:top w:val="single" w:sz="8" w:space="0" w:color="4F81BD"/>
              <w:left w:val="single" w:sz="8" w:space="0" w:color="4F81BD"/>
              <w:bottom w:val="single" w:sz="8" w:space="0" w:color="4F81BD"/>
              <w:right w:val="single" w:sz="8" w:space="0" w:color="4F81BD"/>
            </w:tcBorders>
            <w:shd w:val="clear" w:color="auto" w:fill="auto"/>
          </w:tcPr>
          <w:p w14:paraId="2EAE7CA9" w14:textId="7BD20AC8" w:rsidR="00792CD4" w:rsidRPr="00F00A18" w:rsidRDefault="00792CD4" w:rsidP="00792CD4">
            <w:pPr>
              <w:pStyle w:val="Milestonetable"/>
              <w:rPr>
                <w:color w:val="auto"/>
              </w:rPr>
            </w:pPr>
            <w:r>
              <w:rPr>
                <w:color w:val="auto"/>
              </w:rPr>
              <w:t>Biannual teleconferences to discuss progress and identify any arising issues.</w:t>
            </w:r>
          </w:p>
        </w:tc>
        <w:tc>
          <w:tcPr>
            <w:tcW w:w="1635" w:type="dxa"/>
            <w:tcBorders>
              <w:top w:val="single" w:sz="8" w:space="0" w:color="4F81BD"/>
              <w:left w:val="single" w:sz="8" w:space="0" w:color="4F81BD"/>
              <w:bottom w:val="single" w:sz="8" w:space="0" w:color="4F81BD"/>
              <w:right w:val="single" w:sz="8" w:space="0" w:color="4F81BD"/>
            </w:tcBorders>
            <w:shd w:val="clear" w:color="auto" w:fill="auto"/>
          </w:tcPr>
          <w:p w14:paraId="76F122C1" w14:textId="544DCAED" w:rsidR="00792CD4" w:rsidRPr="00F00A18" w:rsidRDefault="00792CD4" w:rsidP="00792CD4">
            <w:pPr>
              <w:pStyle w:val="Milestonetable"/>
              <w:rPr>
                <w:color w:val="auto"/>
              </w:rPr>
            </w:pPr>
            <w:r>
              <w:rPr>
                <w:color w:val="auto"/>
              </w:rPr>
              <w:t xml:space="preserve">Last week of </w:t>
            </w:r>
            <w:r w:rsidR="00966BD3">
              <w:rPr>
                <w:color w:val="auto"/>
              </w:rPr>
              <w:t>November</w:t>
            </w:r>
            <w:r>
              <w:rPr>
                <w:color w:val="auto"/>
              </w:rPr>
              <w:t xml:space="preserve"> and last week of May of each year</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BCF2B45" w14:textId="19DD1BFC" w:rsidR="00792CD4" w:rsidRPr="00F00A18" w:rsidRDefault="00792CD4" w:rsidP="00792CD4">
            <w:pPr>
              <w:pStyle w:val="Milestonetable"/>
              <w:jc w:val="right"/>
              <w:rPr>
                <w:color w:val="auto"/>
              </w:rPr>
            </w:pPr>
            <w:r>
              <w:rPr>
                <w:color w:val="auto"/>
              </w:rPr>
              <w:t>Nil</w:t>
            </w:r>
          </w:p>
        </w:tc>
      </w:tr>
    </w:tbl>
    <w:p w14:paraId="3CA5FCAF" w14:textId="77777777" w:rsidR="00C91B5F" w:rsidRDefault="00C91B5F" w:rsidP="00C91B5F"/>
    <w:p w14:paraId="7245F9C3" w14:textId="77777777" w:rsidR="00C91B5F" w:rsidRDefault="00C91B5F" w:rsidP="00AA44B9">
      <w:pPr>
        <w:keepNext/>
        <w:rPr>
          <w:lang w:val="en-GB"/>
        </w:rPr>
      </w:pPr>
      <w:r w:rsidRPr="00D115CA">
        <w:rPr>
          <w:lang w:val="en-GB"/>
        </w:rPr>
        <w:t xml:space="preserve">The </w:t>
      </w:r>
      <w:r w:rsidRPr="00D115CA">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127A60">
            <w:pPr>
              <w:pStyle w:val="Signed"/>
              <w:jc w:val="left"/>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A159D5D" w14:textId="70C7B9B9" w:rsidR="00C91B5F" w:rsidRDefault="00C91B5F" w:rsidP="005D3905">
            <w:pPr>
              <w:pStyle w:val="SingleParagraph"/>
              <w:rPr>
                <w:rStyle w:val="Bold"/>
              </w:rPr>
            </w:pPr>
            <w:r>
              <w:rPr>
                <w:rStyle w:val="Bold"/>
              </w:rPr>
              <w:t>The Honourable</w:t>
            </w:r>
            <w:r w:rsidR="00305093">
              <w:rPr>
                <w:rStyle w:val="Bold"/>
              </w:rPr>
              <w:t xml:space="preserve"> Greg Hunt</w:t>
            </w:r>
            <w:r>
              <w:rPr>
                <w:rStyle w:val="Bold"/>
              </w:rPr>
              <w:t xml:space="preserve"> MP</w:t>
            </w:r>
          </w:p>
          <w:p w14:paraId="3A42D2ED" w14:textId="664D8FEC" w:rsidR="00C91B5F" w:rsidRDefault="00C91B5F" w:rsidP="005D3905">
            <w:pPr>
              <w:pStyle w:val="Position"/>
              <w:rPr>
                <w:lang w:val="en-GB"/>
              </w:rPr>
            </w:pPr>
            <w:r>
              <w:rPr>
                <w:lang w:val="en-GB"/>
              </w:rPr>
              <w:t xml:space="preserve">Minister for </w:t>
            </w:r>
            <w:r w:rsidR="00305093">
              <w:rPr>
                <w:lang w:val="en-GB"/>
              </w:rPr>
              <w:t>Health and Aged Care</w:t>
            </w:r>
          </w:p>
          <w:p w14:paraId="30A29548" w14:textId="48974CE4" w:rsidR="00C91B5F" w:rsidRDefault="00C91B5F" w:rsidP="00305093">
            <w:pPr>
              <w:pStyle w:val="SingleParagraph"/>
              <w:tabs>
                <w:tab w:val="num" w:pos="1134"/>
              </w:tabs>
              <w:spacing w:after="240"/>
              <w:rPr>
                <w:b/>
                <w:lang w:val="en-GB"/>
              </w:rPr>
            </w:pPr>
            <w:r>
              <w:rPr>
                <w:lang w:val="en-GB"/>
              </w:rPr>
              <w:t>[</w:t>
            </w:r>
            <w:proofErr w:type="gramStart"/>
            <w:r>
              <w:rPr>
                <w:lang w:val="en-GB"/>
              </w:rPr>
              <w:t>Day]  [</w:t>
            </w:r>
            <w:proofErr w:type="gramEnd"/>
            <w:r>
              <w:rPr>
                <w:lang w:val="en-GB"/>
              </w:rPr>
              <w:t xml:space="preserve">Month]  </w:t>
            </w:r>
            <w:r w:rsidR="00305093">
              <w:rPr>
                <w:lang w:val="en-GB"/>
              </w:rPr>
              <w:t>2021</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5B99F337" w:rsidR="00C91B5F" w:rsidRPr="004A0AE7" w:rsidRDefault="00C91B5F" w:rsidP="00127A60">
            <w:pPr>
              <w:pStyle w:val="Signed"/>
              <w:jc w:val="left"/>
            </w:pPr>
            <w:r>
              <w:rPr>
                <w:rStyle w:val="SignedBold"/>
              </w:rPr>
              <w:t>Signed</w:t>
            </w:r>
            <w:r w:rsidRPr="004A0AE7">
              <w:t xml:space="preserve"> for and on behalf of the</w:t>
            </w:r>
            <w:r>
              <w:t xml:space="preserve"> </w:t>
            </w:r>
            <w:r w:rsidRPr="004A0AE7">
              <w:br/>
            </w:r>
            <w:r w:rsidR="00305093">
              <w:t>Northern Territory</w:t>
            </w:r>
            <w:r w:rsidRPr="004A0AE7">
              <w:t xml:space="preserve"> by</w:t>
            </w:r>
          </w:p>
          <w:p w14:paraId="522400CC" w14:textId="77777777" w:rsidR="00C91B5F" w:rsidRPr="00A50751" w:rsidRDefault="00C91B5F" w:rsidP="005D3905">
            <w:pPr>
              <w:pStyle w:val="LineForSignature"/>
            </w:pPr>
            <w:r>
              <w:br/>
            </w:r>
            <w:r w:rsidRPr="00A50751">
              <w:tab/>
            </w:r>
          </w:p>
          <w:p w14:paraId="4A3F7EC1" w14:textId="75836494" w:rsidR="00C91B5F" w:rsidRDefault="00C91B5F" w:rsidP="005D3905">
            <w:pPr>
              <w:pStyle w:val="SingleParagraph"/>
              <w:rPr>
                <w:rStyle w:val="Bold"/>
              </w:rPr>
            </w:pPr>
            <w:r>
              <w:rPr>
                <w:rStyle w:val="Bold"/>
              </w:rPr>
              <w:t xml:space="preserve">The Honourable </w:t>
            </w:r>
            <w:r w:rsidR="00305093">
              <w:rPr>
                <w:rStyle w:val="Bold"/>
              </w:rPr>
              <w:t xml:space="preserve">Natasha </w:t>
            </w:r>
            <w:proofErr w:type="spellStart"/>
            <w:r w:rsidR="00305093">
              <w:rPr>
                <w:rStyle w:val="Bold"/>
              </w:rPr>
              <w:t>Fyles</w:t>
            </w:r>
            <w:proofErr w:type="spellEnd"/>
            <w:r>
              <w:rPr>
                <w:rStyle w:val="Bold"/>
              </w:rPr>
              <w:t xml:space="preserve"> M</w:t>
            </w:r>
            <w:r w:rsidR="00305093">
              <w:rPr>
                <w:rStyle w:val="Bold"/>
              </w:rPr>
              <w:t>LA</w:t>
            </w:r>
          </w:p>
          <w:p w14:paraId="00EE9A7E" w14:textId="4CB67022" w:rsidR="00C91B5F" w:rsidRDefault="00C91B5F" w:rsidP="005D3905">
            <w:pPr>
              <w:pStyle w:val="Position"/>
              <w:rPr>
                <w:lang w:val="en-GB"/>
              </w:rPr>
            </w:pPr>
            <w:r>
              <w:rPr>
                <w:lang w:val="en-GB"/>
              </w:rPr>
              <w:t xml:space="preserve">Minister for </w:t>
            </w:r>
            <w:r w:rsidR="00305093">
              <w:rPr>
                <w:lang w:val="en-GB"/>
              </w:rPr>
              <w:t>Health</w:t>
            </w:r>
            <w:r>
              <w:rPr>
                <w:lang w:val="en-GB"/>
              </w:rPr>
              <w:t xml:space="preserve"> </w:t>
            </w:r>
          </w:p>
          <w:p w14:paraId="5CA98839" w14:textId="19A91E7D" w:rsidR="00C91B5F" w:rsidRPr="00A50751" w:rsidRDefault="00C91B5F" w:rsidP="005D3905">
            <w:pPr>
              <w:rPr>
                <w:rFonts w:ascii="Book Antiqua" w:hAnsi="Book Antiqua"/>
                <w:lang w:val="en-GB"/>
              </w:rPr>
            </w:pPr>
            <w:r>
              <w:rPr>
                <w:lang w:val="en-GB"/>
              </w:rPr>
              <w:t>[</w:t>
            </w:r>
            <w:proofErr w:type="gramStart"/>
            <w:r w:rsidRPr="00030BD1">
              <w:rPr>
                <w:rFonts w:ascii="Corbel" w:eastAsia="Times New Roman" w:hAnsi="Corbel" w:cs="Times New Roman"/>
                <w:color w:val="000000"/>
                <w:sz w:val="23"/>
                <w:szCs w:val="20"/>
                <w:lang w:val="en-GB" w:eastAsia="en-AU"/>
              </w:rPr>
              <w:t>Day]  [</w:t>
            </w:r>
            <w:proofErr w:type="gramEnd"/>
            <w:r w:rsidRPr="00030BD1">
              <w:rPr>
                <w:rFonts w:ascii="Corbel" w:eastAsia="Times New Roman" w:hAnsi="Corbel" w:cs="Times New Roman"/>
                <w:color w:val="000000"/>
                <w:sz w:val="23"/>
                <w:szCs w:val="20"/>
                <w:lang w:val="en-GB" w:eastAsia="en-AU"/>
              </w:rPr>
              <w:t xml:space="preserve">Month]  </w:t>
            </w:r>
            <w:r w:rsidR="00305093" w:rsidRPr="00030BD1">
              <w:rPr>
                <w:rFonts w:ascii="Corbel" w:eastAsia="Times New Roman" w:hAnsi="Corbel" w:cs="Times New Roman"/>
                <w:color w:val="000000"/>
                <w:sz w:val="23"/>
                <w:szCs w:val="20"/>
                <w:lang w:val="en-GB" w:eastAsia="en-AU"/>
              </w:rPr>
              <w:t>2021</w:t>
            </w:r>
          </w:p>
        </w:tc>
      </w:tr>
    </w:tbl>
    <w:p w14:paraId="673500F4" w14:textId="58124638" w:rsidR="00C91B5F" w:rsidRDefault="00C91B5F">
      <w:r>
        <w:rPr>
          <w:lang w:val="en-GB"/>
        </w:rPr>
        <w:t xml:space="preserve"> </w:t>
      </w:r>
      <w:r w:rsidR="00455309" w:rsidRPr="00F00A18" w:rsidDel="00455309">
        <w:t xml:space="preserve"> </w:t>
      </w:r>
    </w:p>
    <w:sectPr w:rsidR="00C91B5F" w:rsidSect="004E48C5">
      <w:headerReference w:type="even" r:id="rId19"/>
      <w:headerReference w:type="default" r:id="rId20"/>
      <w:head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9E27" w14:textId="77777777" w:rsidR="00570633" w:rsidRDefault="00570633">
      <w:r>
        <w:separator/>
      </w:r>
    </w:p>
  </w:endnote>
  <w:endnote w:type="continuationSeparator" w:id="0">
    <w:p w14:paraId="5DFBBBC2" w14:textId="77777777" w:rsidR="00570633" w:rsidRDefault="0057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01" w14:textId="77777777" w:rsidR="00815B50" w:rsidRDefault="004B2CAF"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1488584029"/>
      <w:docPartObj>
        <w:docPartGallery w:val="Page Numbers (Bottom of Page)"/>
        <w:docPartUnique/>
      </w:docPartObj>
    </w:sdtPr>
    <w:sdtEndPr/>
    <w:sdtContent>
      <w:sdt>
        <w:sdtPr>
          <w:rPr>
            <w:rFonts w:ascii="Corbel" w:hAnsi="Corbel"/>
          </w:rPr>
          <w:id w:val="1728636285"/>
          <w:docPartObj>
            <w:docPartGallery w:val="Page Numbers (Top of Page)"/>
            <w:docPartUnique/>
          </w:docPartObj>
        </w:sdtPr>
        <w:sdtEndPr/>
        <w:sdtContent>
          <w:p w14:paraId="26FDB879" w14:textId="2EA59BF8" w:rsidR="00480D45" w:rsidRPr="00480D45" w:rsidRDefault="00480D45" w:rsidP="00480D45">
            <w:pPr>
              <w:pStyle w:val="Footer"/>
              <w:jc w:val="right"/>
              <w:rPr>
                <w:rFonts w:ascii="Corbel" w:hAnsi="Corbel"/>
              </w:rPr>
            </w:pPr>
            <w:r w:rsidRPr="00480D45">
              <w:rPr>
                <w:rFonts w:ascii="Corbel" w:hAnsi="Corbel"/>
              </w:rPr>
              <w:t xml:space="preserve">Page </w:t>
            </w:r>
            <w:r w:rsidRPr="00480D45">
              <w:rPr>
                <w:rFonts w:ascii="Corbel" w:hAnsi="Corbel"/>
                <w:bCs/>
                <w:sz w:val="24"/>
                <w:szCs w:val="24"/>
              </w:rPr>
              <w:fldChar w:fldCharType="begin"/>
            </w:r>
            <w:r w:rsidRPr="00480D45">
              <w:rPr>
                <w:rFonts w:ascii="Corbel" w:hAnsi="Corbel"/>
                <w:bCs/>
              </w:rPr>
              <w:instrText xml:space="preserve"> PAGE </w:instrText>
            </w:r>
            <w:r w:rsidRPr="00480D45">
              <w:rPr>
                <w:rFonts w:ascii="Corbel" w:hAnsi="Corbel"/>
                <w:bCs/>
                <w:sz w:val="24"/>
                <w:szCs w:val="24"/>
              </w:rPr>
              <w:fldChar w:fldCharType="separate"/>
            </w:r>
            <w:r w:rsidR="00A12FD9">
              <w:rPr>
                <w:rFonts w:ascii="Corbel" w:hAnsi="Corbel"/>
                <w:bCs/>
                <w:noProof/>
              </w:rPr>
              <w:t>1</w:t>
            </w:r>
            <w:r w:rsidRPr="00480D45">
              <w:rPr>
                <w:rFonts w:ascii="Corbel" w:hAnsi="Corbel"/>
                <w:bCs/>
                <w:sz w:val="24"/>
                <w:szCs w:val="24"/>
              </w:rPr>
              <w:fldChar w:fldCharType="end"/>
            </w:r>
            <w:r w:rsidRPr="00480D45">
              <w:rPr>
                <w:rFonts w:ascii="Corbel" w:hAnsi="Corbel"/>
              </w:rPr>
              <w:t xml:space="preserve"> of </w:t>
            </w:r>
            <w:r w:rsidRPr="00480D45">
              <w:rPr>
                <w:rFonts w:ascii="Corbel" w:hAnsi="Corbel"/>
                <w:bCs/>
                <w:sz w:val="24"/>
                <w:szCs w:val="24"/>
              </w:rPr>
              <w:fldChar w:fldCharType="begin"/>
            </w:r>
            <w:r w:rsidRPr="00480D45">
              <w:rPr>
                <w:rFonts w:ascii="Corbel" w:hAnsi="Corbel"/>
                <w:bCs/>
              </w:rPr>
              <w:instrText xml:space="preserve"> NUMPAGES  </w:instrText>
            </w:r>
            <w:r w:rsidRPr="00480D45">
              <w:rPr>
                <w:rFonts w:ascii="Corbel" w:hAnsi="Corbel"/>
                <w:bCs/>
                <w:sz w:val="24"/>
                <w:szCs w:val="24"/>
              </w:rPr>
              <w:fldChar w:fldCharType="separate"/>
            </w:r>
            <w:r w:rsidR="00A12FD9">
              <w:rPr>
                <w:rFonts w:ascii="Corbel" w:hAnsi="Corbel"/>
                <w:bCs/>
                <w:noProof/>
              </w:rPr>
              <w:t>3</w:t>
            </w:r>
            <w:r w:rsidRPr="00480D45">
              <w:rPr>
                <w:rFonts w:ascii="Corbel" w:hAnsi="Corbel"/>
                <w:bCs/>
                <w:sz w:val="24"/>
                <w:szCs w:val="24"/>
              </w:rPr>
              <w:fldChar w:fldCharType="end"/>
            </w:r>
          </w:p>
        </w:sdtContent>
      </w:sdt>
    </w:sdtContent>
  </w:sdt>
  <w:p w14:paraId="657BF7E4" w14:textId="77777777" w:rsidR="00815B50" w:rsidRPr="00CA24B0" w:rsidRDefault="004B2CAF" w:rsidP="007E44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1D65" w14:textId="77777777" w:rsidR="00570633" w:rsidRDefault="00570633">
      <w:r>
        <w:separator/>
      </w:r>
    </w:p>
  </w:footnote>
  <w:footnote w:type="continuationSeparator" w:id="0">
    <w:p w14:paraId="0ED0F96D" w14:textId="77777777" w:rsidR="00570633" w:rsidRDefault="0057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4F7C" w14:textId="77777777" w:rsidR="00A62005" w:rsidRDefault="00A6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D80" w14:textId="77777777" w:rsidR="00A62005" w:rsidRDefault="00A62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83648"/>
      <w:docPartObj>
        <w:docPartGallery w:val="Watermarks"/>
        <w:docPartUnique/>
      </w:docPartObj>
    </w:sdtPr>
    <w:sdtEndPr/>
    <w:sdtContent>
      <w:p w14:paraId="3621292C" w14:textId="7FFEE95F" w:rsidR="00815B50" w:rsidRDefault="004B2CAF">
        <w:pPr>
          <w:pStyle w:val="Header"/>
        </w:pPr>
        <w:r>
          <w:rPr>
            <w:noProof/>
          </w:rPr>
          <w:pict w14:anchorId="5188D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B65" w14:textId="77777777" w:rsidR="00884E8F" w:rsidRDefault="00884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10" w14:textId="3AF16143" w:rsidR="00884E8F" w:rsidRDefault="00884E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4631D174" w:rsidR="00884E8F" w:rsidRPr="00A25058" w:rsidRDefault="00A25058" w:rsidP="00A25058">
    <w:pPr>
      <w:pStyle w:val="Header"/>
      <w:jc w:val="right"/>
      <w:rPr>
        <w:rFonts w:ascii="Corbel" w:hAnsi="Corbel"/>
      </w:rPr>
    </w:pPr>
    <w:r w:rsidRPr="00A25058">
      <w:rPr>
        <w:rFonts w:ascii="Corbel" w:hAnsi="Corbel"/>
      </w:rPr>
      <w:t xml:space="preserve">Federation Funding Agreement - Health – Schedule </w:t>
    </w:r>
    <w:r w:rsidRPr="00A25058">
      <w:rPr>
        <w:rFonts w:ascii="Corbel" w:hAnsi="Corbel"/>
        <w:highlight w:val="yellow"/>
      </w:rPr>
      <w:t>xx</w:t>
    </w:r>
  </w:p>
  <w:p w14:paraId="3A1BD409" w14:textId="16E63577" w:rsidR="00A25058" w:rsidRPr="00A25058" w:rsidRDefault="00A25058" w:rsidP="00A25058">
    <w:pPr>
      <w:pStyle w:val="Header"/>
      <w:jc w:val="right"/>
      <w:rPr>
        <w:rFonts w:ascii="Corbel" w:hAnsi="Corbel"/>
      </w:rPr>
    </w:pPr>
    <w:r w:rsidRPr="00A25058">
      <w:rPr>
        <w:rFonts w:ascii="Corbel" w:hAnsi="Corbel"/>
      </w:rPr>
      <w:t>Dengue and Other Disease Mitigation through Mosquito Control in Tennant Creek</w:t>
    </w:r>
  </w:p>
  <w:p w14:paraId="5B4D6209" w14:textId="77777777" w:rsidR="00A25058" w:rsidRDefault="00A25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50D4"/>
    <w:multiLevelType w:val="hybridMultilevel"/>
    <w:tmpl w:val="270664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AA90735"/>
    <w:multiLevelType w:val="hybridMultilevel"/>
    <w:tmpl w:val="67D23AE0"/>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682"/>
    <w:rsid w:val="00013D35"/>
    <w:rsid w:val="00030BD1"/>
    <w:rsid w:val="00064DC8"/>
    <w:rsid w:val="00093D5F"/>
    <w:rsid w:val="000A7B64"/>
    <w:rsid w:val="000B12DF"/>
    <w:rsid w:val="000D6C18"/>
    <w:rsid w:val="000E37A0"/>
    <w:rsid w:val="00127A60"/>
    <w:rsid w:val="001500B7"/>
    <w:rsid w:val="001F5A45"/>
    <w:rsid w:val="002440B5"/>
    <w:rsid w:val="00252D9F"/>
    <w:rsid w:val="00253BF2"/>
    <w:rsid w:val="002714A1"/>
    <w:rsid w:val="002B0B2A"/>
    <w:rsid w:val="002C24C2"/>
    <w:rsid w:val="002D3A48"/>
    <w:rsid w:val="002E0DEE"/>
    <w:rsid w:val="00305093"/>
    <w:rsid w:val="00317FB3"/>
    <w:rsid w:val="00355DCA"/>
    <w:rsid w:val="003704C4"/>
    <w:rsid w:val="00384D90"/>
    <w:rsid w:val="003C4FF5"/>
    <w:rsid w:val="004104B6"/>
    <w:rsid w:val="00455309"/>
    <w:rsid w:val="00480D45"/>
    <w:rsid w:val="004957E2"/>
    <w:rsid w:val="004B2CAF"/>
    <w:rsid w:val="004C7203"/>
    <w:rsid w:val="004D0B7A"/>
    <w:rsid w:val="004E48C5"/>
    <w:rsid w:val="004E5498"/>
    <w:rsid w:val="00561118"/>
    <w:rsid w:val="00570633"/>
    <w:rsid w:val="005E4CC4"/>
    <w:rsid w:val="0062493F"/>
    <w:rsid w:val="0067105F"/>
    <w:rsid w:val="006B6E73"/>
    <w:rsid w:val="006C1633"/>
    <w:rsid w:val="006D61E0"/>
    <w:rsid w:val="006F1BF9"/>
    <w:rsid w:val="00724D54"/>
    <w:rsid w:val="00782284"/>
    <w:rsid w:val="00785F9E"/>
    <w:rsid w:val="00792CD4"/>
    <w:rsid w:val="007B30C3"/>
    <w:rsid w:val="007B4CB7"/>
    <w:rsid w:val="007D5E47"/>
    <w:rsid w:val="00816CBA"/>
    <w:rsid w:val="0082342B"/>
    <w:rsid w:val="0084763A"/>
    <w:rsid w:val="008704E3"/>
    <w:rsid w:val="00884E8F"/>
    <w:rsid w:val="008B0F4F"/>
    <w:rsid w:val="008E62E2"/>
    <w:rsid w:val="009075EC"/>
    <w:rsid w:val="00966BD3"/>
    <w:rsid w:val="009C3443"/>
    <w:rsid w:val="00A020B2"/>
    <w:rsid w:val="00A12FD9"/>
    <w:rsid w:val="00A25058"/>
    <w:rsid w:val="00A478BF"/>
    <w:rsid w:val="00A5538B"/>
    <w:rsid w:val="00A62005"/>
    <w:rsid w:val="00A7101C"/>
    <w:rsid w:val="00AA44B9"/>
    <w:rsid w:val="00AB36B4"/>
    <w:rsid w:val="00BD053F"/>
    <w:rsid w:val="00BD6E01"/>
    <w:rsid w:val="00C244E3"/>
    <w:rsid w:val="00C576FF"/>
    <w:rsid w:val="00C91B5F"/>
    <w:rsid w:val="00CD546A"/>
    <w:rsid w:val="00CE601A"/>
    <w:rsid w:val="00CF0B25"/>
    <w:rsid w:val="00D115CA"/>
    <w:rsid w:val="00D12D7D"/>
    <w:rsid w:val="00D35C1A"/>
    <w:rsid w:val="00D37DC4"/>
    <w:rsid w:val="00D54783"/>
    <w:rsid w:val="00D72A49"/>
    <w:rsid w:val="00D931AF"/>
    <w:rsid w:val="00D9348D"/>
    <w:rsid w:val="00DC567F"/>
    <w:rsid w:val="00DF0816"/>
    <w:rsid w:val="00E03638"/>
    <w:rsid w:val="00E40B57"/>
    <w:rsid w:val="00E45FCD"/>
    <w:rsid w:val="00E53E74"/>
    <w:rsid w:val="00EC010E"/>
    <w:rsid w:val="00EE6198"/>
    <w:rsid w:val="00F50298"/>
    <w:rsid w:val="00F85360"/>
    <w:rsid w:val="00F85675"/>
    <w:rsid w:val="00F92ECA"/>
    <w:rsid w:val="00FA0F18"/>
    <w:rsid w:val="00FD21D6"/>
    <w:rsid w:val="00FF14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D93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8D"/>
    <w:rPr>
      <w:rFonts w:ascii="Segoe UI" w:hAnsi="Segoe UI" w:cs="Segoe UI"/>
      <w:sz w:val="18"/>
      <w:szCs w:val="18"/>
      <w:lang w:val="en-US"/>
    </w:rPr>
  </w:style>
  <w:style w:type="character" w:styleId="CommentReference">
    <w:name w:val="annotation reference"/>
    <w:basedOn w:val="DefaultParagraphFont"/>
    <w:uiPriority w:val="99"/>
    <w:semiHidden/>
    <w:unhideWhenUsed/>
    <w:rsid w:val="008704E3"/>
    <w:rPr>
      <w:sz w:val="16"/>
      <w:szCs w:val="16"/>
    </w:rPr>
  </w:style>
  <w:style w:type="paragraph" w:styleId="CommentText">
    <w:name w:val="annotation text"/>
    <w:basedOn w:val="Normal"/>
    <w:link w:val="CommentTextChar"/>
    <w:uiPriority w:val="99"/>
    <w:semiHidden/>
    <w:unhideWhenUsed/>
    <w:rsid w:val="008704E3"/>
    <w:rPr>
      <w:sz w:val="20"/>
      <w:szCs w:val="20"/>
    </w:rPr>
  </w:style>
  <w:style w:type="character" w:customStyle="1" w:styleId="CommentTextChar">
    <w:name w:val="Comment Text Char"/>
    <w:basedOn w:val="DefaultParagraphFont"/>
    <w:link w:val="CommentText"/>
    <w:uiPriority w:val="99"/>
    <w:semiHidden/>
    <w:rsid w:val="008704E3"/>
    <w:rPr>
      <w:sz w:val="20"/>
      <w:szCs w:val="20"/>
      <w:lang w:val="en-US"/>
    </w:rPr>
  </w:style>
  <w:style w:type="paragraph" w:styleId="CommentSubject">
    <w:name w:val="annotation subject"/>
    <w:basedOn w:val="CommentText"/>
    <w:next w:val="CommentText"/>
    <w:link w:val="CommentSubjectChar"/>
    <w:uiPriority w:val="99"/>
    <w:semiHidden/>
    <w:unhideWhenUsed/>
    <w:rsid w:val="008704E3"/>
    <w:rPr>
      <w:b/>
      <w:bCs/>
    </w:rPr>
  </w:style>
  <w:style w:type="character" w:customStyle="1" w:styleId="CommentSubjectChar">
    <w:name w:val="Comment Subject Char"/>
    <w:basedOn w:val="CommentTextChar"/>
    <w:link w:val="CommentSubject"/>
    <w:uiPriority w:val="99"/>
    <w:semiHidden/>
    <w:rsid w:val="008704E3"/>
    <w:rPr>
      <w:b/>
      <w:bCs/>
      <w:sz w:val="20"/>
      <w:szCs w:val="20"/>
      <w:lang w:val="en-US"/>
    </w:rPr>
  </w:style>
  <w:style w:type="paragraph" w:styleId="Revision">
    <w:name w:val="Revision"/>
    <w:hidden/>
    <w:uiPriority w:val="99"/>
    <w:semiHidden/>
    <w:rsid w:val="008704E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2022FG-64-104472</_dlc_DocId>
    <_dlc_DocIdUrl xmlns="0f563589-9cf9-4143-b1eb-fb0534803d38">
      <Url>http://tweb/sites/fg/csrd/_layouts/15/DocIdRedir.aspx?ID=2022FG-64-104472</Url>
      <Description>2022FG-64-104472</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4268" ma:contentTypeDescription=" " ma:contentTypeScope="" ma:versionID="1f48084a4f22765329836da4cc779a8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2.xml><?xml version="1.0" encoding="utf-8"?>
<ds:datastoreItem xmlns:ds="http://schemas.openxmlformats.org/officeDocument/2006/customXml" ds:itemID="{FFD900B8-6070-407E-B433-89E316A15907}">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47E25A-4A0F-4064-9AA3-BC512B330750}">
  <ds:schemaRefs>
    <ds:schemaRef ds:uri="office.server.policy"/>
  </ds:schemaRefs>
</ds:datastoreItem>
</file>

<file path=customXml/itemProps4.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5.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6.xml><?xml version="1.0" encoding="utf-8"?>
<ds:datastoreItem xmlns:ds="http://schemas.openxmlformats.org/officeDocument/2006/customXml" ds:itemID="{E618C6AD-AC2B-46E0-8B9D-7B841664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Health - Bilateral/Simple multilateral Schedule Template</vt:lpstr>
    </vt:vector>
  </TitlesOfParts>
  <Company>Department of the Prime Minister and Cabinet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 Bilateral/Simple multilateral Schedule Template</dc:title>
  <dc:subject/>
  <dc:creator>CHRISTIANSEN, Paul</dc:creator>
  <cp:keywords/>
  <dc:description/>
  <cp:lastModifiedBy>Shi, Tian Xiao</cp:lastModifiedBy>
  <cp:revision>2</cp:revision>
  <dcterms:created xsi:type="dcterms:W3CDTF">2022-02-02T23:09:00Z</dcterms:created>
  <dcterms:modified xsi:type="dcterms:W3CDTF">2022-02-02T23:09:00Z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6f1f34ed-796c-4594-8089-c22f088dff07</vt:lpwstr>
  </property>
</Properties>
</file>