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562AE" w14:textId="21990D7A" w:rsidR="00C91B5F" w:rsidRPr="00F1227F" w:rsidRDefault="00317FB3" w:rsidP="00C91B5F">
      <w:pPr>
        <w:pStyle w:val="Heading9"/>
        <w:jc w:val="right"/>
        <w:rPr>
          <w:rStyle w:val="ParagraphnumberingChar"/>
          <w:rFonts w:eastAsiaTheme="majorEastAsia"/>
          <w:i w:val="0"/>
          <w:sz w:val="28"/>
          <w:szCs w:val="28"/>
        </w:rPr>
      </w:pPr>
      <w:r>
        <w:rPr>
          <w:i w:val="0"/>
          <w:sz w:val="28"/>
          <w:szCs w:val="28"/>
        </w:rPr>
        <w:t>Schedule</w:t>
      </w:r>
    </w:p>
    <w:p w14:paraId="52A7986F" w14:textId="23AB0E89" w:rsidR="00C91B5F" w:rsidRPr="001E20F4" w:rsidRDefault="007C69DA" w:rsidP="00C91B5F">
      <w:pPr>
        <w:pStyle w:val="Title"/>
      </w:pPr>
      <w:r>
        <w:t>Implementation of Consumer Data Right IT Infrastructure</w:t>
      </w:r>
      <w:r w:rsidR="00065BBC">
        <w:t xml:space="preserve"> </w:t>
      </w:r>
      <w:r w:rsidR="00631061">
        <w:t>for</w:t>
      </w:r>
      <w:r w:rsidR="006F738B">
        <w:t xml:space="preserve"> energy</w:t>
      </w:r>
      <w:r w:rsidR="00631061">
        <w:t xml:space="preserve"> </w:t>
      </w:r>
      <w:r w:rsidR="00150AC2">
        <w:t>Product Reference Data</w:t>
      </w:r>
    </w:p>
    <w:p w14:paraId="028FB178" w14:textId="65C989C7" w:rsidR="00C91B5F" w:rsidRPr="00BE249A" w:rsidRDefault="00D54783" w:rsidP="00C91B5F">
      <w:pPr>
        <w:pStyle w:val="Subtitle"/>
      </w:pPr>
      <w:r>
        <w:t xml:space="preserve">FEDERATION FUNDING AGREEMENT – </w:t>
      </w:r>
      <w:r w:rsidR="00A65C44" w:rsidRPr="00A65C44">
        <w:t>Affordable Housing, Community Services and Other</w:t>
      </w:r>
    </w:p>
    <w:tbl>
      <w:tblPr>
        <w:tblW w:w="9629"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1691"/>
        <w:gridCol w:w="7938"/>
      </w:tblGrid>
      <w:tr w:rsidR="00C91B5F" w:rsidRPr="00F00A18" w14:paraId="2C1B1FCA" w14:textId="77777777" w:rsidTr="000423F3">
        <w:tc>
          <w:tcPr>
            <w:tcW w:w="9629" w:type="dxa"/>
            <w:gridSpan w:val="2"/>
            <w:shd w:val="clear" w:color="auto" w:fill="DEEAF6" w:themeFill="accent1" w:themeFillTint="33"/>
          </w:tcPr>
          <w:p w14:paraId="5D980595" w14:textId="77777777" w:rsidR="00C91B5F" w:rsidRPr="00F00A18" w:rsidRDefault="00C91B5F" w:rsidP="000423F3">
            <w:pPr>
              <w:pStyle w:val="Tableformat"/>
              <w:rPr>
                <w:b/>
                <w:color w:val="auto"/>
              </w:rPr>
            </w:pPr>
            <w:r w:rsidRPr="00F00A18">
              <w:rPr>
                <w:b/>
                <w:color w:val="auto"/>
              </w:rPr>
              <w:t>Table 1: Formalities and operation of schedule</w:t>
            </w:r>
          </w:p>
        </w:tc>
      </w:tr>
      <w:tr w:rsidR="00C91B5F" w:rsidRPr="00F00A18" w14:paraId="65A8E909" w14:textId="77777777" w:rsidTr="00317FB3">
        <w:tc>
          <w:tcPr>
            <w:tcW w:w="1691" w:type="dxa"/>
            <w:shd w:val="clear" w:color="auto" w:fill="auto"/>
          </w:tcPr>
          <w:p w14:paraId="279F6020" w14:textId="77777777" w:rsidR="00C91B5F" w:rsidRPr="00F00A18" w:rsidRDefault="00C91B5F" w:rsidP="000423F3">
            <w:pPr>
              <w:pStyle w:val="Tableformat"/>
              <w:rPr>
                <w:color w:val="auto"/>
              </w:rPr>
            </w:pPr>
            <w:r w:rsidRPr="00F00A18">
              <w:rPr>
                <w:color w:val="auto"/>
              </w:rPr>
              <w:t>Parties</w:t>
            </w:r>
          </w:p>
        </w:tc>
        <w:tc>
          <w:tcPr>
            <w:tcW w:w="7938" w:type="dxa"/>
            <w:shd w:val="clear" w:color="auto" w:fill="auto"/>
          </w:tcPr>
          <w:p w14:paraId="28377A00" w14:textId="2B4314AF" w:rsidR="00C91B5F" w:rsidRPr="00F00A18" w:rsidRDefault="00C91B5F" w:rsidP="000423F3">
            <w:pPr>
              <w:pStyle w:val="Tableformat"/>
              <w:rPr>
                <w:color w:val="auto"/>
              </w:rPr>
            </w:pPr>
            <w:r w:rsidRPr="00F00A18">
              <w:rPr>
                <w:color w:val="auto"/>
              </w:rPr>
              <w:t>Commonwealth</w:t>
            </w:r>
          </w:p>
          <w:p w14:paraId="73502BB0" w14:textId="2692CDDC" w:rsidR="00C91B5F" w:rsidRPr="00F00A18" w:rsidRDefault="00125F88" w:rsidP="000423F3">
            <w:pPr>
              <w:pStyle w:val="Tableformat"/>
              <w:rPr>
                <w:color w:val="auto"/>
              </w:rPr>
            </w:pPr>
            <w:r>
              <w:rPr>
                <w:color w:val="auto"/>
              </w:rPr>
              <w:t>Victoria</w:t>
            </w:r>
          </w:p>
        </w:tc>
      </w:tr>
      <w:tr w:rsidR="00C91B5F" w:rsidRPr="00F00A18" w14:paraId="0789EB7E" w14:textId="77777777" w:rsidTr="00317FB3">
        <w:tc>
          <w:tcPr>
            <w:tcW w:w="1691" w:type="dxa"/>
            <w:shd w:val="clear" w:color="auto" w:fill="auto"/>
          </w:tcPr>
          <w:p w14:paraId="1C00DFE7" w14:textId="77777777" w:rsidR="00C91B5F" w:rsidRPr="00F00A18" w:rsidRDefault="00C91B5F" w:rsidP="000423F3">
            <w:pPr>
              <w:pStyle w:val="Tableformat"/>
              <w:rPr>
                <w:color w:val="auto"/>
              </w:rPr>
            </w:pPr>
            <w:r w:rsidRPr="00F00A18">
              <w:rPr>
                <w:color w:val="auto"/>
              </w:rPr>
              <w:t>Duration</w:t>
            </w:r>
          </w:p>
        </w:tc>
        <w:tc>
          <w:tcPr>
            <w:tcW w:w="7938" w:type="dxa"/>
            <w:shd w:val="clear" w:color="auto" w:fill="auto"/>
          </w:tcPr>
          <w:p w14:paraId="689A6E64" w14:textId="5C89E895" w:rsidR="00C91B5F" w:rsidRPr="00F00A18" w:rsidRDefault="00C91B5F" w:rsidP="000423F3">
            <w:pPr>
              <w:pStyle w:val="Tableformat"/>
              <w:rPr>
                <w:color w:val="auto"/>
              </w:rPr>
            </w:pPr>
            <w:r w:rsidRPr="00F00A18">
              <w:rPr>
                <w:color w:val="auto"/>
              </w:rPr>
              <w:t>This Schedule is expected to expire on</w:t>
            </w:r>
            <w:r w:rsidR="0005158B">
              <w:rPr>
                <w:color w:val="auto"/>
              </w:rPr>
              <w:t xml:space="preserve"> 30 June 2023</w:t>
            </w:r>
            <w:r w:rsidR="00B36C29">
              <w:rPr>
                <w:color w:val="auto"/>
              </w:rPr>
              <w:t xml:space="preserve">. </w:t>
            </w:r>
          </w:p>
        </w:tc>
      </w:tr>
      <w:tr w:rsidR="00C91B5F" w:rsidRPr="00F00A18" w14:paraId="516BC532" w14:textId="77777777" w:rsidTr="00317FB3">
        <w:tc>
          <w:tcPr>
            <w:tcW w:w="1691" w:type="dxa"/>
            <w:shd w:val="clear" w:color="auto" w:fill="auto"/>
          </w:tcPr>
          <w:p w14:paraId="511BE93C" w14:textId="77777777" w:rsidR="00C91B5F" w:rsidRPr="00F00A18" w:rsidRDefault="00C91B5F" w:rsidP="000423F3">
            <w:pPr>
              <w:pStyle w:val="Tableformat"/>
              <w:rPr>
                <w:color w:val="auto"/>
              </w:rPr>
            </w:pPr>
            <w:r w:rsidRPr="00F00A18">
              <w:rPr>
                <w:color w:val="auto"/>
              </w:rPr>
              <w:t>Purpose</w:t>
            </w:r>
          </w:p>
        </w:tc>
        <w:tc>
          <w:tcPr>
            <w:tcW w:w="7938" w:type="dxa"/>
            <w:shd w:val="clear" w:color="auto" w:fill="auto"/>
          </w:tcPr>
          <w:p w14:paraId="004CEE49" w14:textId="77777777" w:rsidR="00152FCD" w:rsidRPr="00152FCD" w:rsidRDefault="00C91B5F" w:rsidP="00152FCD">
            <w:pPr>
              <w:pStyle w:val="Tableformat"/>
              <w:rPr>
                <w:color w:val="auto"/>
              </w:rPr>
            </w:pPr>
            <w:r w:rsidRPr="00F00A18">
              <w:rPr>
                <w:color w:val="auto"/>
              </w:rPr>
              <w:t>This Schedule will support the delivery of</w:t>
            </w:r>
            <w:r w:rsidR="00F0047E" w:rsidRPr="006E1AB4">
              <w:rPr>
                <w:color w:val="auto"/>
              </w:rPr>
              <w:t xml:space="preserve"> </w:t>
            </w:r>
            <w:r w:rsidR="006E1AB4" w:rsidRPr="006E1AB4">
              <w:rPr>
                <w:color w:val="auto"/>
              </w:rPr>
              <w:t xml:space="preserve">funding </w:t>
            </w:r>
            <w:r w:rsidR="00F0047E" w:rsidRPr="006E1AB4">
              <w:rPr>
                <w:color w:val="auto"/>
              </w:rPr>
              <w:t xml:space="preserve">to the Victorian </w:t>
            </w:r>
            <w:r w:rsidR="00F0047E" w:rsidRPr="00E42058">
              <w:rPr>
                <w:color w:val="auto"/>
              </w:rPr>
              <w:t xml:space="preserve">Government to </w:t>
            </w:r>
            <w:r w:rsidR="002A6DE0" w:rsidRPr="00E42058">
              <w:rPr>
                <w:color w:val="auto"/>
              </w:rPr>
              <w:t>develop and build</w:t>
            </w:r>
            <w:r w:rsidR="00F0047E" w:rsidRPr="00E42058">
              <w:rPr>
                <w:color w:val="auto"/>
              </w:rPr>
              <w:t xml:space="preserve"> </w:t>
            </w:r>
            <w:r w:rsidR="00F8641B" w:rsidRPr="00E42058">
              <w:rPr>
                <w:color w:val="auto"/>
              </w:rPr>
              <w:t xml:space="preserve">new </w:t>
            </w:r>
            <w:r w:rsidR="00F0047E" w:rsidRPr="00E42058">
              <w:rPr>
                <w:color w:val="auto"/>
              </w:rPr>
              <w:t>IT infrastructure to make energy Product Reference Data (PRD) available as part of the roll out of the Consumer Data Right (CDR)</w:t>
            </w:r>
            <w:r w:rsidR="00152FCD">
              <w:rPr>
                <w:color w:val="auto"/>
              </w:rPr>
              <w:t xml:space="preserve"> </w:t>
            </w:r>
            <w:r w:rsidR="00152FCD" w:rsidRPr="00152FCD">
              <w:rPr>
                <w:color w:val="auto"/>
              </w:rPr>
              <w:t>to the energy sector in Australia.</w:t>
            </w:r>
          </w:p>
          <w:p w14:paraId="225E28FC" w14:textId="77777777" w:rsidR="00152FCD" w:rsidRPr="00152FCD" w:rsidRDefault="00152FCD" w:rsidP="00152FCD">
            <w:pPr>
              <w:pStyle w:val="Tableformat"/>
              <w:rPr>
                <w:color w:val="auto"/>
              </w:rPr>
            </w:pPr>
          </w:p>
          <w:p w14:paraId="36CF7FEF" w14:textId="3490DAC6" w:rsidR="00E42058" w:rsidRPr="00D73818" w:rsidRDefault="00152FCD" w:rsidP="00152FCD">
            <w:pPr>
              <w:pStyle w:val="Tableformat"/>
              <w:rPr>
                <w:color w:val="auto"/>
              </w:rPr>
            </w:pPr>
            <w:r w:rsidRPr="00152FCD">
              <w:rPr>
                <w:color w:val="auto"/>
              </w:rPr>
              <w:t xml:space="preserve">The </w:t>
            </w:r>
            <w:r w:rsidR="00AC3737">
              <w:rPr>
                <w:color w:val="auto"/>
              </w:rPr>
              <w:t>CDR</w:t>
            </w:r>
            <w:r w:rsidRPr="00152FCD">
              <w:rPr>
                <w:color w:val="auto"/>
              </w:rPr>
              <w:t xml:space="preserve"> will give consumers the right to safely access certain data about them held by businesses. They will also be able to direct that this information be transferred to accredited, trusted third parties of their choice. The right will allow the consumer to access data about themselves in a readily usable form and a convenient and timely manner. It will also allow consumers better access to information on the products available to them.</w:t>
            </w:r>
          </w:p>
        </w:tc>
      </w:tr>
      <w:tr w:rsidR="00C91B5F" w:rsidRPr="00F00A18" w14:paraId="2C63A902" w14:textId="77777777" w:rsidTr="00317FB3">
        <w:tc>
          <w:tcPr>
            <w:tcW w:w="1691" w:type="dxa"/>
            <w:shd w:val="clear" w:color="auto" w:fill="auto"/>
          </w:tcPr>
          <w:p w14:paraId="2E78F30B" w14:textId="70166397" w:rsidR="00C91B5F" w:rsidRPr="00F00A18" w:rsidRDefault="00C91B5F" w:rsidP="000423F3">
            <w:pPr>
              <w:pStyle w:val="Tableformat"/>
              <w:rPr>
                <w:color w:val="auto"/>
              </w:rPr>
            </w:pPr>
            <w:r w:rsidRPr="00F00A18">
              <w:rPr>
                <w:color w:val="auto"/>
              </w:rPr>
              <w:t>Estimated financial contributions</w:t>
            </w:r>
          </w:p>
        </w:tc>
        <w:tc>
          <w:tcPr>
            <w:tcW w:w="7938" w:type="dxa"/>
            <w:shd w:val="clear" w:color="auto" w:fill="auto"/>
          </w:tcPr>
          <w:p w14:paraId="7110CBB4" w14:textId="2F696560" w:rsidR="00C91B5F" w:rsidRPr="00F00A18" w:rsidRDefault="00823935" w:rsidP="00185EFE">
            <w:pPr>
              <w:pStyle w:val="Tableformat"/>
              <w:rPr>
                <w:color w:val="auto"/>
              </w:rPr>
            </w:pPr>
            <w:r w:rsidRPr="00F00A18">
              <w:rPr>
                <w:noProof/>
                <w:color w:val="auto"/>
                <w:lang w:val="en-AU"/>
              </w:rPr>
              <mc:AlternateContent>
                <mc:Choice Requires="wps">
                  <w:drawing>
                    <wp:anchor distT="45720" distB="45720" distL="114300" distR="114300" simplePos="0" relativeHeight="251658240" behindDoc="0" locked="0" layoutInCell="1" allowOverlap="1" wp14:anchorId="48EB322D" wp14:editId="796B0D17">
                      <wp:simplePos x="0" y="0"/>
                      <wp:positionH relativeFrom="column">
                        <wp:posOffset>-62230</wp:posOffset>
                      </wp:positionH>
                      <wp:positionV relativeFrom="paragraph">
                        <wp:posOffset>789305</wp:posOffset>
                      </wp:positionV>
                      <wp:extent cx="5133340" cy="1966595"/>
                      <wp:effectExtent l="0" t="0" r="0" b="0"/>
                      <wp:wrapSquare wrapText="bothSides"/>
                      <wp:docPr id="4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340" cy="1966595"/>
                              </a:xfrm>
                              <a:prstGeom prst="rect">
                                <a:avLst/>
                              </a:prstGeom>
                              <a:solidFill>
                                <a:srgbClr val="FFFFFF"/>
                              </a:solidFill>
                              <a:ln w="9525">
                                <a:noFill/>
                                <a:miter lim="800000"/>
                                <a:headEnd/>
                                <a:tailEnd/>
                              </a:ln>
                            </wps:spPr>
                            <wps:txbx>
                              <w:txbxContent>
                                <w:tbl>
                                  <w:tblPr>
                                    <w:tblW w:w="0" w:type="auto"/>
                                    <w:tblLook w:val="01E0" w:firstRow="1" w:lastRow="1" w:firstColumn="1" w:lastColumn="1" w:noHBand="0" w:noVBand="0"/>
                                  </w:tblPr>
                                  <w:tblGrid>
                                    <w:gridCol w:w="2127"/>
                                    <w:gridCol w:w="942"/>
                                    <w:gridCol w:w="943"/>
                                    <w:gridCol w:w="942"/>
                                    <w:gridCol w:w="943"/>
                                    <w:gridCol w:w="942"/>
                                    <w:gridCol w:w="943"/>
                                  </w:tblGrid>
                                  <w:tr w:rsidR="008065C6" w:rsidRPr="00101AB3" w14:paraId="066FFA09" w14:textId="77777777" w:rsidTr="000423F3">
                                    <w:trPr>
                                      <w:cantSplit/>
                                    </w:trPr>
                                    <w:tc>
                                      <w:tcPr>
                                        <w:tcW w:w="2127" w:type="dxa"/>
                                        <w:tcBorders>
                                          <w:top w:val="single" w:sz="4" w:space="0" w:color="000080"/>
                                          <w:bottom w:val="single" w:sz="4" w:space="0" w:color="000080"/>
                                        </w:tcBorders>
                                      </w:tcPr>
                                      <w:p w14:paraId="25F789C0" w14:textId="77777777" w:rsidR="008065C6" w:rsidRDefault="008065C6" w:rsidP="000423F3">
                                        <w:pPr>
                                          <w:keepNext/>
                                          <w:keepLines/>
                                          <w:spacing w:before="40" w:after="40"/>
                                          <w:ind w:left="-111"/>
                                          <w:rPr>
                                            <w:b/>
                                            <w:sz w:val="21"/>
                                            <w:szCs w:val="21"/>
                                          </w:rPr>
                                        </w:pPr>
                                        <w:r>
                                          <w:rPr>
                                            <w:b/>
                                            <w:sz w:val="21"/>
                                            <w:szCs w:val="21"/>
                                          </w:rPr>
                                          <w:t>Table 1</w:t>
                                        </w:r>
                                      </w:p>
                                      <w:p w14:paraId="246C5036" w14:textId="77777777" w:rsidR="008065C6" w:rsidRPr="005D39DD" w:rsidRDefault="008065C6" w:rsidP="000423F3">
                                        <w:pPr>
                                          <w:keepNext/>
                                          <w:keepLines/>
                                          <w:spacing w:before="40" w:after="40"/>
                                          <w:ind w:left="-111"/>
                                          <w:rPr>
                                            <w:b/>
                                            <w:sz w:val="21"/>
                                            <w:szCs w:val="21"/>
                                          </w:rPr>
                                        </w:pPr>
                                        <w:r w:rsidRPr="005D39DD">
                                          <w:rPr>
                                            <w:b/>
                                            <w:sz w:val="21"/>
                                            <w:szCs w:val="21"/>
                                          </w:rPr>
                                          <w:t>($ million)</w:t>
                                        </w:r>
                                      </w:p>
                                    </w:tc>
                                    <w:tc>
                                      <w:tcPr>
                                        <w:tcW w:w="942" w:type="dxa"/>
                                        <w:tcBorders>
                                          <w:top w:val="single" w:sz="4" w:space="0" w:color="000080"/>
                                          <w:bottom w:val="single" w:sz="4" w:space="0" w:color="000080"/>
                                        </w:tcBorders>
                                      </w:tcPr>
                                      <w:p w14:paraId="6A4DE9B4" w14:textId="77777777" w:rsidR="008065C6" w:rsidRPr="005D39DD" w:rsidRDefault="008065C6" w:rsidP="000423F3">
                                        <w:pPr>
                                          <w:keepNext/>
                                          <w:keepLines/>
                                          <w:spacing w:before="40" w:after="40"/>
                                          <w:jc w:val="right"/>
                                          <w:rPr>
                                            <w:b/>
                                            <w:sz w:val="21"/>
                                            <w:szCs w:val="21"/>
                                          </w:rPr>
                                        </w:pPr>
                                        <w:r>
                                          <w:rPr>
                                            <w:b/>
                                            <w:sz w:val="21"/>
                                            <w:szCs w:val="21"/>
                                          </w:rPr>
                                          <w:t>2021-22</w:t>
                                        </w:r>
                                      </w:p>
                                    </w:tc>
                                    <w:tc>
                                      <w:tcPr>
                                        <w:tcW w:w="943" w:type="dxa"/>
                                        <w:tcBorders>
                                          <w:top w:val="single" w:sz="4" w:space="0" w:color="000080"/>
                                          <w:bottom w:val="single" w:sz="4" w:space="0" w:color="000080"/>
                                        </w:tcBorders>
                                      </w:tcPr>
                                      <w:p w14:paraId="4A0B802C" w14:textId="77777777" w:rsidR="008065C6" w:rsidRPr="005D39DD" w:rsidRDefault="008065C6" w:rsidP="000423F3">
                                        <w:pPr>
                                          <w:keepNext/>
                                          <w:keepLines/>
                                          <w:spacing w:before="40" w:after="40"/>
                                          <w:jc w:val="right"/>
                                          <w:rPr>
                                            <w:b/>
                                            <w:sz w:val="21"/>
                                            <w:szCs w:val="21"/>
                                          </w:rPr>
                                        </w:pPr>
                                        <w:r>
                                          <w:rPr>
                                            <w:b/>
                                            <w:sz w:val="21"/>
                                            <w:szCs w:val="21"/>
                                          </w:rPr>
                                          <w:t>2022-23</w:t>
                                        </w:r>
                                      </w:p>
                                    </w:tc>
                                    <w:tc>
                                      <w:tcPr>
                                        <w:tcW w:w="942" w:type="dxa"/>
                                        <w:tcBorders>
                                          <w:top w:val="single" w:sz="4" w:space="0" w:color="000080"/>
                                          <w:bottom w:val="single" w:sz="4" w:space="0" w:color="000080"/>
                                        </w:tcBorders>
                                      </w:tcPr>
                                      <w:p w14:paraId="3640F366" w14:textId="77777777" w:rsidR="008065C6" w:rsidRPr="005D39DD" w:rsidRDefault="008065C6" w:rsidP="000423F3">
                                        <w:pPr>
                                          <w:keepNext/>
                                          <w:keepLines/>
                                          <w:spacing w:before="40" w:after="40"/>
                                          <w:jc w:val="right"/>
                                          <w:rPr>
                                            <w:b/>
                                            <w:sz w:val="21"/>
                                            <w:szCs w:val="21"/>
                                          </w:rPr>
                                        </w:pPr>
                                        <w:r>
                                          <w:rPr>
                                            <w:b/>
                                            <w:sz w:val="21"/>
                                            <w:szCs w:val="21"/>
                                          </w:rPr>
                                          <w:t>2023-24</w:t>
                                        </w:r>
                                      </w:p>
                                    </w:tc>
                                    <w:tc>
                                      <w:tcPr>
                                        <w:tcW w:w="943" w:type="dxa"/>
                                        <w:tcBorders>
                                          <w:top w:val="single" w:sz="4" w:space="0" w:color="000080"/>
                                          <w:bottom w:val="single" w:sz="4" w:space="0" w:color="000080"/>
                                        </w:tcBorders>
                                      </w:tcPr>
                                      <w:p w14:paraId="74C65A9B" w14:textId="77777777" w:rsidR="008065C6" w:rsidRPr="005D39DD" w:rsidRDefault="008065C6" w:rsidP="000423F3">
                                        <w:pPr>
                                          <w:keepNext/>
                                          <w:keepLines/>
                                          <w:spacing w:before="40" w:after="40"/>
                                          <w:jc w:val="right"/>
                                          <w:rPr>
                                            <w:b/>
                                            <w:sz w:val="21"/>
                                            <w:szCs w:val="21"/>
                                          </w:rPr>
                                        </w:pPr>
                                        <w:r>
                                          <w:rPr>
                                            <w:b/>
                                            <w:sz w:val="21"/>
                                            <w:szCs w:val="21"/>
                                          </w:rPr>
                                          <w:t>2024-25</w:t>
                                        </w:r>
                                      </w:p>
                                    </w:tc>
                                    <w:tc>
                                      <w:tcPr>
                                        <w:tcW w:w="942" w:type="dxa"/>
                                        <w:tcBorders>
                                          <w:top w:val="single" w:sz="4" w:space="0" w:color="000080"/>
                                          <w:bottom w:val="single" w:sz="4" w:space="0" w:color="000080"/>
                                        </w:tcBorders>
                                      </w:tcPr>
                                      <w:p w14:paraId="788EE23E" w14:textId="77777777" w:rsidR="008065C6" w:rsidRPr="005D39DD" w:rsidRDefault="008065C6" w:rsidP="000423F3">
                                        <w:pPr>
                                          <w:keepNext/>
                                          <w:keepLines/>
                                          <w:spacing w:before="40" w:after="40"/>
                                          <w:jc w:val="right"/>
                                          <w:rPr>
                                            <w:b/>
                                            <w:sz w:val="21"/>
                                            <w:szCs w:val="21"/>
                                          </w:rPr>
                                        </w:pPr>
                                        <w:r>
                                          <w:rPr>
                                            <w:b/>
                                            <w:sz w:val="21"/>
                                            <w:szCs w:val="21"/>
                                          </w:rPr>
                                          <w:t>2025-26</w:t>
                                        </w:r>
                                      </w:p>
                                    </w:tc>
                                    <w:tc>
                                      <w:tcPr>
                                        <w:tcW w:w="943" w:type="dxa"/>
                                        <w:tcBorders>
                                          <w:top w:val="single" w:sz="4" w:space="0" w:color="000080"/>
                                          <w:bottom w:val="single" w:sz="4" w:space="0" w:color="000080"/>
                                        </w:tcBorders>
                                      </w:tcPr>
                                      <w:p w14:paraId="1C8A6122" w14:textId="77777777" w:rsidR="008065C6" w:rsidRDefault="008065C6" w:rsidP="000423F3">
                                        <w:pPr>
                                          <w:keepNext/>
                                          <w:keepLines/>
                                          <w:spacing w:before="40" w:after="40"/>
                                          <w:jc w:val="right"/>
                                          <w:rPr>
                                            <w:b/>
                                            <w:sz w:val="21"/>
                                            <w:szCs w:val="21"/>
                                          </w:rPr>
                                        </w:pPr>
                                      </w:p>
                                      <w:p w14:paraId="03BD0B87" w14:textId="77777777" w:rsidR="008065C6" w:rsidRPr="005D39DD" w:rsidRDefault="008065C6" w:rsidP="000423F3">
                                        <w:pPr>
                                          <w:keepNext/>
                                          <w:keepLines/>
                                          <w:spacing w:before="40" w:after="40"/>
                                          <w:jc w:val="right"/>
                                          <w:rPr>
                                            <w:b/>
                                            <w:sz w:val="21"/>
                                            <w:szCs w:val="21"/>
                                          </w:rPr>
                                        </w:pPr>
                                        <w:r w:rsidRPr="005D39DD">
                                          <w:rPr>
                                            <w:b/>
                                            <w:sz w:val="21"/>
                                            <w:szCs w:val="21"/>
                                          </w:rPr>
                                          <w:t>Total</w:t>
                                        </w:r>
                                      </w:p>
                                    </w:tc>
                                  </w:tr>
                                  <w:tr w:rsidR="008065C6" w:rsidRPr="00101AB3" w14:paraId="7DAE454E" w14:textId="77777777" w:rsidTr="000423F3">
                                    <w:trPr>
                                      <w:cantSplit/>
                                    </w:trPr>
                                    <w:tc>
                                      <w:tcPr>
                                        <w:tcW w:w="2127" w:type="dxa"/>
                                        <w:tcBorders>
                                          <w:top w:val="single" w:sz="4" w:space="0" w:color="000080"/>
                                        </w:tcBorders>
                                      </w:tcPr>
                                      <w:p w14:paraId="10D7E365" w14:textId="77777777" w:rsidR="008065C6" w:rsidRPr="005D39DD" w:rsidRDefault="008065C6" w:rsidP="000423F3">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000080"/>
                                        </w:tcBorders>
                                      </w:tcPr>
                                      <w:p w14:paraId="453B4F0A" w14:textId="77777777" w:rsidR="008065C6" w:rsidRPr="005D39DD" w:rsidRDefault="008065C6" w:rsidP="000423F3">
                                        <w:pPr>
                                          <w:keepNext/>
                                          <w:keepLines/>
                                          <w:spacing w:before="40" w:after="40"/>
                                          <w:jc w:val="right"/>
                                          <w:rPr>
                                            <w:b/>
                                            <w:sz w:val="21"/>
                                            <w:szCs w:val="21"/>
                                          </w:rPr>
                                        </w:pPr>
                                        <w:r>
                                          <w:rPr>
                                            <w:b/>
                                            <w:sz w:val="21"/>
                                            <w:szCs w:val="21"/>
                                          </w:rPr>
                                          <w:t>0.984</w:t>
                                        </w:r>
                                      </w:p>
                                    </w:tc>
                                    <w:tc>
                                      <w:tcPr>
                                        <w:tcW w:w="943" w:type="dxa"/>
                                        <w:tcBorders>
                                          <w:top w:val="single" w:sz="4" w:space="0" w:color="000080"/>
                                        </w:tcBorders>
                                      </w:tcPr>
                                      <w:p w14:paraId="0F541910" w14:textId="77777777" w:rsidR="008065C6" w:rsidRPr="005D39DD" w:rsidRDefault="008065C6" w:rsidP="000423F3">
                                        <w:pPr>
                                          <w:keepNext/>
                                          <w:keepLines/>
                                          <w:spacing w:before="40" w:after="40"/>
                                          <w:jc w:val="right"/>
                                          <w:rPr>
                                            <w:b/>
                                            <w:sz w:val="21"/>
                                            <w:szCs w:val="21"/>
                                          </w:rPr>
                                        </w:pPr>
                                        <w:r>
                                          <w:rPr>
                                            <w:b/>
                                            <w:sz w:val="21"/>
                                            <w:szCs w:val="21"/>
                                          </w:rPr>
                                          <w:t>0.854</w:t>
                                        </w:r>
                                      </w:p>
                                    </w:tc>
                                    <w:tc>
                                      <w:tcPr>
                                        <w:tcW w:w="942" w:type="dxa"/>
                                        <w:tcBorders>
                                          <w:top w:val="single" w:sz="4" w:space="0" w:color="000080"/>
                                        </w:tcBorders>
                                      </w:tcPr>
                                      <w:p w14:paraId="285239E7" w14:textId="77777777" w:rsidR="008065C6" w:rsidRPr="005D39DD" w:rsidRDefault="008065C6" w:rsidP="000423F3">
                                        <w:pPr>
                                          <w:keepNext/>
                                          <w:keepLines/>
                                          <w:spacing w:before="40" w:after="40"/>
                                          <w:jc w:val="right"/>
                                          <w:rPr>
                                            <w:b/>
                                            <w:sz w:val="21"/>
                                            <w:szCs w:val="21"/>
                                          </w:rPr>
                                        </w:pPr>
                                        <w:r>
                                          <w:rPr>
                                            <w:b/>
                                            <w:sz w:val="21"/>
                                            <w:szCs w:val="21"/>
                                          </w:rPr>
                                          <w:t>0</w:t>
                                        </w:r>
                                        <w:r w:rsidRPr="005D39DD">
                                          <w:rPr>
                                            <w:b/>
                                            <w:sz w:val="21"/>
                                            <w:szCs w:val="21"/>
                                          </w:rPr>
                                          <w:t>.0</w:t>
                                        </w:r>
                                      </w:p>
                                    </w:tc>
                                    <w:tc>
                                      <w:tcPr>
                                        <w:tcW w:w="943" w:type="dxa"/>
                                        <w:tcBorders>
                                          <w:top w:val="single" w:sz="4" w:space="0" w:color="000080"/>
                                        </w:tcBorders>
                                      </w:tcPr>
                                      <w:p w14:paraId="75842A82" w14:textId="77777777" w:rsidR="008065C6" w:rsidRPr="005D39DD" w:rsidRDefault="008065C6" w:rsidP="000423F3">
                                        <w:pPr>
                                          <w:keepNext/>
                                          <w:keepLines/>
                                          <w:spacing w:before="40" w:after="40"/>
                                          <w:jc w:val="right"/>
                                          <w:rPr>
                                            <w:b/>
                                            <w:sz w:val="21"/>
                                            <w:szCs w:val="21"/>
                                          </w:rPr>
                                        </w:pPr>
                                        <w:r>
                                          <w:rPr>
                                            <w:b/>
                                            <w:sz w:val="21"/>
                                            <w:szCs w:val="21"/>
                                          </w:rPr>
                                          <w:t>0</w:t>
                                        </w:r>
                                        <w:r w:rsidRPr="005D39DD">
                                          <w:rPr>
                                            <w:b/>
                                            <w:sz w:val="21"/>
                                            <w:szCs w:val="21"/>
                                          </w:rPr>
                                          <w:t>.0</w:t>
                                        </w:r>
                                      </w:p>
                                    </w:tc>
                                    <w:tc>
                                      <w:tcPr>
                                        <w:tcW w:w="942" w:type="dxa"/>
                                        <w:tcBorders>
                                          <w:top w:val="single" w:sz="4" w:space="0" w:color="000080"/>
                                        </w:tcBorders>
                                      </w:tcPr>
                                      <w:p w14:paraId="6A5FA407" w14:textId="77777777" w:rsidR="008065C6" w:rsidRPr="005D39DD" w:rsidRDefault="008065C6" w:rsidP="000423F3">
                                        <w:pPr>
                                          <w:keepNext/>
                                          <w:keepLines/>
                                          <w:spacing w:before="40" w:after="40"/>
                                          <w:jc w:val="right"/>
                                          <w:rPr>
                                            <w:b/>
                                            <w:sz w:val="21"/>
                                            <w:szCs w:val="21"/>
                                          </w:rPr>
                                        </w:pPr>
                                        <w:r w:rsidRPr="005D39DD">
                                          <w:rPr>
                                            <w:b/>
                                            <w:sz w:val="21"/>
                                            <w:szCs w:val="21"/>
                                          </w:rPr>
                                          <w:t>0.0</w:t>
                                        </w:r>
                                      </w:p>
                                    </w:tc>
                                    <w:tc>
                                      <w:tcPr>
                                        <w:tcW w:w="943" w:type="dxa"/>
                                        <w:tcBorders>
                                          <w:top w:val="single" w:sz="4" w:space="0" w:color="000080"/>
                                        </w:tcBorders>
                                      </w:tcPr>
                                      <w:p w14:paraId="72248279" w14:textId="77777777" w:rsidR="008065C6" w:rsidRPr="005D39DD" w:rsidRDefault="008065C6" w:rsidP="000423F3">
                                        <w:pPr>
                                          <w:keepNext/>
                                          <w:keepLines/>
                                          <w:spacing w:before="40" w:after="40"/>
                                          <w:jc w:val="right"/>
                                          <w:rPr>
                                            <w:b/>
                                            <w:sz w:val="21"/>
                                            <w:szCs w:val="21"/>
                                          </w:rPr>
                                        </w:pPr>
                                        <w:r>
                                          <w:rPr>
                                            <w:b/>
                                            <w:sz w:val="21"/>
                                            <w:szCs w:val="21"/>
                                          </w:rPr>
                                          <w:t>1.838</w:t>
                                        </w:r>
                                      </w:p>
                                    </w:tc>
                                  </w:tr>
                                  <w:tr w:rsidR="008065C6" w:rsidRPr="00101AB3" w14:paraId="2F7E529D" w14:textId="77777777" w:rsidTr="000423F3">
                                    <w:trPr>
                                      <w:cantSplit/>
                                    </w:trPr>
                                    <w:tc>
                                      <w:tcPr>
                                        <w:tcW w:w="2127" w:type="dxa"/>
                                      </w:tcPr>
                                      <w:p w14:paraId="21A5AA2A" w14:textId="416AD09D" w:rsidR="008065C6" w:rsidRPr="008C6B79" w:rsidRDefault="008065C6" w:rsidP="000423F3">
                                        <w:pPr>
                                          <w:keepNext/>
                                          <w:keepLines/>
                                          <w:spacing w:before="60" w:after="60"/>
                                          <w:ind w:left="-111"/>
                                          <w:rPr>
                                            <w:sz w:val="21"/>
                                            <w:szCs w:val="21"/>
                                          </w:rPr>
                                        </w:pPr>
                                        <w:r w:rsidRPr="008C6B79">
                                          <w:rPr>
                                            <w:sz w:val="21"/>
                                            <w:szCs w:val="21"/>
                                          </w:rPr>
                                          <w:t xml:space="preserve">Less estimated National Partnership </w:t>
                                        </w:r>
                                        <w:r w:rsidR="00AD5170">
                                          <w:rPr>
                                            <w:sz w:val="21"/>
                                            <w:szCs w:val="21"/>
                                          </w:rPr>
                                          <w:t>p</w:t>
                                        </w:r>
                                        <w:r w:rsidRPr="008C6B79">
                                          <w:rPr>
                                            <w:sz w:val="21"/>
                                            <w:szCs w:val="21"/>
                                          </w:rPr>
                                          <w:t xml:space="preserve">ayments </w:t>
                                        </w:r>
                                      </w:p>
                                    </w:tc>
                                    <w:tc>
                                      <w:tcPr>
                                        <w:tcW w:w="942" w:type="dxa"/>
                                      </w:tcPr>
                                      <w:p w14:paraId="6B7DC53A" w14:textId="77777777" w:rsidR="008065C6" w:rsidRPr="005D39DD" w:rsidRDefault="008065C6" w:rsidP="000423F3">
                                        <w:pPr>
                                          <w:keepNext/>
                                          <w:keepLines/>
                                          <w:spacing w:before="40" w:after="40"/>
                                          <w:jc w:val="right"/>
                                          <w:rPr>
                                            <w:sz w:val="21"/>
                                            <w:szCs w:val="21"/>
                                          </w:rPr>
                                        </w:pPr>
                                        <w:r>
                                          <w:rPr>
                                            <w:sz w:val="21"/>
                                            <w:szCs w:val="21"/>
                                          </w:rPr>
                                          <w:t>0.984</w:t>
                                        </w:r>
                                      </w:p>
                                    </w:tc>
                                    <w:tc>
                                      <w:tcPr>
                                        <w:tcW w:w="943" w:type="dxa"/>
                                      </w:tcPr>
                                      <w:p w14:paraId="53043635" w14:textId="2091CA58" w:rsidR="008065C6" w:rsidRPr="005D39DD" w:rsidRDefault="008065C6" w:rsidP="000423F3">
                                        <w:pPr>
                                          <w:keepNext/>
                                          <w:keepLines/>
                                          <w:spacing w:before="40" w:after="40"/>
                                          <w:jc w:val="right"/>
                                          <w:rPr>
                                            <w:sz w:val="21"/>
                                            <w:szCs w:val="21"/>
                                          </w:rPr>
                                        </w:pPr>
                                        <w:r>
                                          <w:rPr>
                                            <w:sz w:val="21"/>
                                            <w:szCs w:val="21"/>
                                          </w:rPr>
                                          <w:t>0</w:t>
                                        </w:r>
                                        <w:r w:rsidRPr="005D39DD">
                                          <w:rPr>
                                            <w:sz w:val="21"/>
                                            <w:szCs w:val="21"/>
                                          </w:rPr>
                                          <w:t>.</w:t>
                                        </w:r>
                                        <w:r>
                                          <w:rPr>
                                            <w:sz w:val="21"/>
                                            <w:szCs w:val="21"/>
                                          </w:rPr>
                                          <w:t>854</w:t>
                                        </w:r>
                                      </w:p>
                                    </w:tc>
                                    <w:tc>
                                      <w:tcPr>
                                        <w:tcW w:w="942" w:type="dxa"/>
                                      </w:tcPr>
                                      <w:p w14:paraId="63A07E12" w14:textId="77777777" w:rsidR="008065C6" w:rsidRPr="005D39DD" w:rsidRDefault="008065C6" w:rsidP="000423F3">
                                        <w:pPr>
                                          <w:keepNext/>
                                          <w:keepLines/>
                                          <w:spacing w:before="40" w:after="40"/>
                                          <w:jc w:val="right"/>
                                          <w:rPr>
                                            <w:sz w:val="21"/>
                                            <w:szCs w:val="21"/>
                                          </w:rPr>
                                        </w:pPr>
                                        <w:r>
                                          <w:rPr>
                                            <w:sz w:val="21"/>
                                            <w:szCs w:val="21"/>
                                          </w:rPr>
                                          <w:t>0</w:t>
                                        </w:r>
                                        <w:r w:rsidRPr="005D39DD">
                                          <w:rPr>
                                            <w:sz w:val="21"/>
                                            <w:szCs w:val="21"/>
                                          </w:rPr>
                                          <w:t>.0</w:t>
                                        </w:r>
                                      </w:p>
                                    </w:tc>
                                    <w:tc>
                                      <w:tcPr>
                                        <w:tcW w:w="943" w:type="dxa"/>
                                      </w:tcPr>
                                      <w:p w14:paraId="1F116B2F" w14:textId="77777777" w:rsidR="008065C6" w:rsidRPr="005D39DD" w:rsidRDefault="008065C6" w:rsidP="000423F3">
                                        <w:pPr>
                                          <w:keepNext/>
                                          <w:keepLines/>
                                          <w:spacing w:before="40" w:after="40"/>
                                          <w:jc w:val="right"/>
                                          <w:rPr>
                                            <w:sz w:val="21"/>
                                            <w:szCs w:val="21"/>
                                          </w:rPr>
                                        </w:pPr>
                                        <w:r w:rsidRPr="005D39DD">
                                          <w:rPr>
                                            <w:sz w:val="21"/>
                                            <w:szCs w:val="21"/>
                                          </w:rPr>
                                          <w:t>0.0</w:t>
                                        </w:r>
                                      </w:p>
                                    </w:tc>
                                    <w:tc>
                                      <w:tcPr>
                                        <w:tcW w:w="942" w:type="dxa"/>
                                      </w:tcPr>
                                      <w:p w14:paraId="7A499A1A" w14:textId="77777777" w:rsidR="008065C6" w:rsidRPr="005D39DD" w:rsidRDefault="008065C6" w:rsidP="000423F3">
                                        <w:pPr>
                                          <w:keepNext/>
                                          <w:keepLines/>
                                          <w:spacing w:before="40" w:after="40"/>
                                          <w:jc w:val="right"/>
                                          <w:rPr>
                                            <w:sz w:val="21"/>
                                            <w:szCs w:val="21"/>
                                          </w:rPr>
                                        </w:pPr>
                                        <w:r w:rsidRPr="005D39DD">
                                          <w:rPr>
                                            <w:sz w:val="21"/>
                                            <w:szCs w:val="21"/>
                                          </w:rPr>
                                          <w:t>0.0</w:t>
                                        </w:r>
                                      </w:p>
                                    </w:tc>
                                    <w:tc>
                                      <w:tcPr>
                                        <w:tcW w:w="943" w:type="dxa"/>
                                      </w:tcPr>
                                      <w:p w14:paraId="74A9C1D7" w14:textId="39437062" w:rsidR="008065C6" w:rsidRPr="005D39DD" w:rsidRDefault="008065C6" w:rsidP="000423F3">
                                        <w:pPr>
                                          <w:keepNext/>
                                          <w:keepLines/>
                                          <w:spacing w:before="40" w:after="40"/>
                                          <w:jc w:val="right"/>
                                          <w:rPr>
                                            <w:sz w:val="21"/>
                                            <w:szCs w:val="21"/>
                                          </w:rPr>
                                        </w:pPr>
                                        <w:r>
                                          <w:rPr>
                                            <w:sz w:val="21"/>
                                            <w:szCs w:val="21"/>
                                          </w:rPr>
                                          <w:t>1</w:t>
                                        </w:r>
                                        <w:r w:rsidRPr="005D39DD">
                                          <w:rPr>
                                            <w:sz w:val="21"/>
                                            <w:szCs w:val="21"/>
                                          </w:rPr>
                                          <w:t>.</w:t>
                                        </w:r>
                                        <w:r>
                                          <w:rPr>
                                            <w:sz w:val="21"/>
                                            <w:szCs w:val="21"/>
                                          </w:rPr>
                                          <w:t>838</w:t>
                                        </w:r>
                                      </w:p>
                                    </w:tc>
                                  </w:tr>
                                  <w:tr w:rsidR="008065C6" w:rsidRPr="00101AB3" w14:paraId="7BF52F0C" w14:textId="77777777" w:rsidTr="000423F3">
                                    <w:trPr>
                                      <w:cantSplit/>
                                    </w:trPr>
                                    <w:tc>
                                      <w:tcPr>
                                        <w:tcW w:w="2127" w:type="dxa"/>
                                        <w:tcBorders>
                                          <w:bottom w:val="single" w:sz="4" w:space="0" w:color="000080"/>
                                        </w:tcBorders>
                                      </w:tcPr>
                                      <w:p w14:paraId="1C340E1B" w14:textId="77777777" w:rsidR="008065C6" w:rsidRPr="008C6B79" w:rsidRDefault="008065C6" w:rsidP="000423F3">
                                        <w:pPr>
                                          <w:keepNext/>
                                          <w:keepLines/>
                                          <w:spacing w:before="40" w:after="40"/>
                                          <w:ind w:left="-111"/>
                                          <w:rPr>
                                            <w:sz w:val="21"/>
                                            <w:szCs w:val="21"/>
                                          </w:rPr>
                                        </w:pPr>
                                        <w:r w:rsidRPr="008C6B79">
                                          <w:rPr>
                                            <w:sz w:val="21"/>
                                            <w:szCs w:val="21"/>
                                          </w:rPr>
                                          <w:t>Balance of non-Commonwealth contributions</w:t>
                                        </w:r>
                                      </w:p>
                                    </w:tc>
                                    <w:tc>
                                      <w:tcPr>
                                        <w:tcW w:w="942" w:type="dxa"/>
                                        <w:tcBorders>
                                          <w:bottom w:val="single" w:sz="4" w:space="0" w:color="000080"/>
                                        </w:tcBorders>
                                      </w:tcPr>
                                      <w:p w14:paraId="140DD6B6" w14:textId="77777777" w:rsidR="008065C6" w:rsidRPr="005D39DD" w:rsidRDefault="008065C6" w:rsidP="000423F3">
                                        <w:pPr>
                                          <w:keepNext/>
                                          <w:keepLines/>
                                          <w:spacing w:before="40" w:after="40"/>
                                          <w:jc w:val="right"/>
                                          <w:rPr>
                                            <w:sz w:val="21"/>
                                            <w:szCs w:val="21"/>
                                          </w:rPr>
                                        </w:pPr>
                                        <w:r w:rsidRPr="005D39DD">
                                          <w:rPr>
                                            <w:sz w:val="21"/>
                                            <w:szCs w:val="21"/>
                                          </w:rPr>
                                          <w:t>0.0</w:t>
                                        </w:r>
                                      </w:p>
                                    </w:tc>
                                    <w:tc>
                                      <w:tcPr>
                                        <w:tcW w:w="943" w:type="dxa"/>
                                        <w:tcBorders>
                                          <w:bottom w:val="single" w:sz="4" w:space="0" w:color="000080"/>
                                        </w:tcBorders>
                                      </w:tcPr>
                                      <w:p w14:paraId="71F2C0BB" w14:textId="77777777" w:rsidR="008065C6" w:rsidRPr="005D39DD" w:rsidRDefault="008065C6" w:rsidP="000423F3">
                                        <w:pPr>
                                          <w:keepNext/>
                                          <w:keepLines/>
                                          <w:spacing w:before="40" w:after="40"/>
                                          <w:jc w:val="right"/>
                                          <w:rPr>
                                            <w:sz w:val="21"/>
                                            <w:szCs w:val="21"/>
                                          </w:rPr>
                                        </w:pPr>
                                        <w:r w:rsidRPr="005D39DD">
                                          <w:rPr>
                                            <w:sz w:val="21"/>
                                            <w:szCs w:val="21"/>
                                          </w:rPr>
                                          <w:t>0.0</w:t>
                                        </w:r>
                                      </w:p>
                                    </w:tc>
                                    <w:tc>
                                      <w:tcPr>
                                        <w:tcW w:w="942" w:type="dxa"/>
                                        <w:tcBorders>
                                          <w:bottom w:val="single" w:sz="4" w:space="0" w:color="000080"/>
                                        </w:tcBorders>
                                      </w:tcPr>
                                      <w:p w14:paraId="08D8C41E" w14:textId="77777777" w:rsidR="008065C6" w:rsidRPr="005D39DD" w:rsidRDefault="008065C6" w:rsidP="000423F3">
                                        <w:pPr>
                                          <w:keepNext/>
                                          <w:keepLines/>
                                          <w:spacing w:before="40" w:after="40"/>
                                          <w:jc w:val="right"/>
                                          <w:rPr>
                                            <w:sz w:val="21"/>
                                            <w:szCs w:val="21"/>
                                          </w:rPr>
                                        </w:pPr>
                                        <w:r>
                                          <w:rPr>
                                            <w:sz w:val="21"/>
                                            <w:szCs w:val="21"/>
                                          </w:rPr>
                                          <w:t>0</w:t>
                                        </w:r>
                                        <w:r w:rsidRPr="005D39DD">
                                          <w:rPr>
                                            <w:sz w:val="21"/>
                                            <w:szCs w:val="21"/>
                                          </w:rPr>
                                          <w:t>.0</w:t>
                                        </w:r>
                                      </w:p>
                                    </w:tc>
                                    <w:tc>
                                      <w:tcPr>
                                        <w:tcW w:w="943" w:type="dxa"/>
                                        <w:tcBorders>
                                          <w:bottom w:val="single" w:sz="4" w:space="0" w:color="000080"/>
                                        </w:tcBorders>
                                      </w:tcPr>
                                      <w:p w14:paraId="7EE861E0" w14:textId="77777777" w:rsidR="008065C6" w:rsidRPr="005D39DD" w:rsidRDefault="008065C6" w:rsidP="000423F3">
                                        <w:pPr>
                                          <w:keepNext/>
                                          <w:keepLines/>
                                          <w:spacing w:before="40" w:after="40"/>
                                          <w:jc w:val="right"/>
                                          <w:rPr>
                                            <w:sz w:val="21"/>
                                            <w:szCs w:val="21"/>
                                          </w:rPr>
                                        </w:pPr>
                                        <w:r>
                                          <w:rPr>
                                            <w:sz w:val="21"/>
                                            <w:szCs w:val="21"/>
                                          </w:rPr>
                                          <w:t>0</w:t>
                                        </w:r>
                                        <w:r w:rsidRPr="005D39DD">
                                          <w:rPr>
                                            <w:sz w:val="21"/>
                                            <w:szCs w:val="21"/>
                                          </w:rPr>
                                          <w:t>.0</w:t>
                                        </w:r>
                                      </w:p>
                                    </w:tc>
                                    <w:tc>
                                      <w:tcPr>
                                        <w:tcW w:w="942" w:type="dxa"/>
                                        <w:tcBorders>
                                          <w:bottom w:val="single" w:sz="4" w:space="0" w:color="000080"/>
                                        </w:tcBorders>
                                      </w:tcPr>
                                      <w:p w14:paraId="33FFCA4F" w14:textId="77777777" w:rsidR="008065C6" w:rsidRPr="005D39DD" w:rsidRDefault="008065C6" w:rsidP="000423F3">
                                        <w:pPr>
                                          <w:keepNext/>
                                          <w:keepLines/>
                                          <w:spacing w:before="40" w:after="40"/>
                                          <w:jc w:val="right"/>
                                          <w:rPr>
                                            <w:sz w:val="21"/>
                                            <w:szCs w:val="21"/>
                                          </w:rPr>
                                        </w:pPr>
                                        <w:r>
                                          <w:rPr>
                                            <w:sz w:val="21"/>
                                            <w:szCs w:val="21"/>
                                          </w:rPr>
                                          <w:t>0</w:t>
                                        </w:r>
                                        <w:r w:rsidRPr="005D39DD">
                                          <w:rPr>
                                            <w:sz w:val="21"/>
                                            <w:szCs w:val="21"/>
                                          </w:rPr>
                                          <w:t>.0</w:t>
                                        </w:r>
                                      </w:p>
                                    </w:tc>
                                    <w:tc>
                                      <w:tcPr>
                                        <w:tcW w:w="943" w:type="dxa"/>
                                        <w:tcBorders>
                                          <w:bottom w:val="single" w:sz="4" w:space="0" w:color="000080"/>
                                        </w:tcBorders>
                                      </w:tcPr>
                                      <w:p w14:paraId="7700FCF5" w14:textId="77777777" w:rsidR="008065C6" w:rsidRPr="005D39DD" w:rsidRDefault="008065C6" w:rsidP="000423F3">
                                        <w:pPr>
                                          <w:keepNext/>
                                          <w:keepLines/>
                                          <w:spacing w:before="40" w:after="40"/>
                                          <w:jc w:val="right"/>
                                          <w:rPr>
                                            <w:sz w:val="21"/>
                                            <w:szCs w:val="21"/>
                                          </w:rPr>
                                        </w:pPr>
                                        <w:r>
                                          <w:rPr>
                                            <w:sz w:val="21"/>
                                            <w:szCs w:val="21"/>
                                          </w:rPr>
                                          <w:t>0</w:t>
                                        </w:r>
                                        <w:r w:rsidRPr="005D39DD">
                                          <w:rPr>
                                            <w:sz w:val="21"/>
                                            <w:szCs w:val="21"/>
                                          </w:rPr>
                                          <w:t>.0</w:t>
                                        </w:r>
                                      </w:p>
                                    </w:tc>
                                  </w:tr>
                                </w:tbl>
                                <w:p w14:paraId="081ADCDE" w14:textId="77777777" w:rsidR="008065C6" w:rsidRPr="00101AB3" w:rsidRDefault="008065C6" w:rsidP="003454F0">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8EB322D" id="_x0000_t202" coordsize="21600,21600" o:spt="202" path="m,l,21600r21600,l21600,xe">
                      <v:stroke joinstyle="miter"/>
                      <v:path gradientshapeok="t" o:connecttype="rect"/>
                    </v:shapetype>
                    <v:shape id="Text Box 2" o:spid="_x0000_s1026" type="#_x0000_t202" style="position:absolute;margin-left:-4.9pt;margin-top:62.15pt;width:404.2pt;height:154.8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Kr3IgIAAB4EAAAOAAAAZHJzL2Uyb0RvYy54bWysU9uO2yAQfa/Uf0C8N06cON1YcVbbbFNV&#10;2l6k3X4AxjhGBYYCiZ1+fQeczabtW1UeEMPMHM6cGda3g1bkKJyXYCo6m0wpEYZDI82+ot+edm9u&#10;KPGBmYYpMKKiJ+Hp7eb1q3VvS5FDB6oRjiCI8WVvK9qFYMss87wTmvkJWGHQ2YLTLKDp9lnjWI/o&#10;WmX5dLrMenCNdcCF93h7PzrpJuG3reDhS9t6EYiqKHILaXdpr+Oebdas3DtmO8nPNNg/sNBMGnz0&#10;AnXPAiMHJ/+C0pI78NCGCQedQdtKLlINWM1s+kc1jx2zItWC4nh7kcn/P1j++fjVEdlUdJHnlBim&#10;sUlPYgjkHQwkj/r01pcY9mgxMAx4jX1OtXr7APy7Jwa2HTN7cecc9J1gDfKbxczsKnXE8RGk7j9B&#10;g8+wQ4AENLROR/FQDoLo2KfTpTeRCsfLYjafzxfo4uibrZbLYlWkN1j5nG6dDx8EaBIPFXXY/ATP&#10;jg8+RDqsfA6Jr3lQstlJpZLh9vVWOXJkOCi7tM7ov4UpQ/qKroq8SMgGYn6aIS0DDrKSuqI307hi&#10;OiujHO9Nk86BSTWekYkyZ32iJKM4YagHDIyi1dCcUCkH48DiB8NDB+4nJT0Oa0X9jwNzghL10aDa&#10;q9kiShOSsSje5mi4a0997WGGI1RFAyXjcRvSj4h8DdxhV1qZ9HphcuaKQ5hkPH+YOOXXdop6+dab&#10;XwAAAP//AwBQSwMEFAAGAAgAAAAhABkYdkLfAAAACgEAAA8AAABkcnMvZG93bnJldi54bWxMj8FO&#10;wzAQRO9I/IO1SFxQ69CGpEnjVIAE4trSD3DibRI1Xkex26R/z3KC486OZt4Uu9n24oqj7xwpeF5G&#10;IJBqZzpqFBy/PxYbED5oMrp3hApu6GFX3t8VOjduoj1eD6ERHEI+1wraEIZcSl+3aLVfugGJfyc3&#10;Wh34HBtpRj1xuO3lKooSaXVH3NDqAd9brM+Hi1Vw+pqeXrKp+gzHdB8nb7pLK3dT6vFhft2CCDiH&#10;PzP84jM6lMxUuQsZL3oFi4zJA+ureA2CDWm2SUBUCuJ1HIEsC/l/QvkDAAD//wMAUEsBAi0AFAAG&#10;AAgAAAAhALaDOJL+AAAA4QEAABMAAAAAAAAAAAAAAAAAAAAAAFtDb250ZW50X1R5cGVzXS54bWxQ&#10;SwECLQAUAAYACAAAACEAOP0h/9YAAACUAQAACwAAAAAAAAAAAAAAAAAvAQAAX3JlbHMvLnJlbHNQ&#10;SwECLQAUAAYACAAAACEA32yq9yICAAAeBAAADgAAAAAAAAAAAAAAAAAuAgAAZHJzL2Uyb0RvYy54&#10;bWxQSwECLQAUAAYACAAAACEAGRh2Qt8AAAAKAQAADwAAAAAAAAAAAAAAAAB8BAAAZHJzL2Rvd25y&#10;ZXYueG1sUEsFBgAAAAAEAAQA8wAAAIgFAAAAAA==&#10;" stroked="f">
                      <v:textbox>
                        <w:txbxContent>
                          <w:tbl>
                            <w:tblPr>
                              <w:tblW w:w="0" w:type="auto"/>
                              <w:tblLook w:val="01E0" w:firstRow="1" w:lastRow="1" w:firstColumn="1" w:lastColumn="1" w:noHBand="0" w:noVBand="0"/>
                            </w:tblPr>
                            <w:tblGrid>
                              <w:gridCol w:w="2127"/>
                              <w:gridCol w:w="942"/>
                              <w:gridCol w:w="943"/>
                              <w:gridCol w:w="942"/>
                              <w:gridCol w:w="943"/>
                              <w:gridCol w:w="942"/>
                              <w:gridCol w:w="943"/>
                            </w:tblGrid>
                            <w:tr w:rsidR="008065C6" w:rsidRPr="00101AB3" w14:paraId="066FFA09" w14:textId="77777777" w:rsidTr="000423F3">
                              <w:trPr>
                                <w:cantSplit/>
                              </w:trPr>
                              <w:tc>
                                <w:tcPr>
                                  <w:tcW w:w="2127" w:type="dxa"/>
                                  <w:tcBorders>
                                    <w:top w:val="single" w:sz="4" w:space="0" w:color="000080"/>
                                    <w:bottom w:val="single" w:sz="4" w:space="0" w:color="000080"/>
                                  </w:tcBorders>
                                </w:tcPr>
                                <w:p w14:paraId="25F789C0" w14:textId="77777777" w:rsidR="008065C6" w:rsidRDefault="008065C6" w:rsidP="000423F3">
                                  <w:pPr>
                                    <w:keepNext/>
                                    <w:keepLines/>
                                    <w:spacing w:before="40" w:after="40"/>
                                    <w:ind w:left="-111"/>
                                    <w:rPr>
                                      <w:b/>
                                      <w:sz w:val="21"/>
                                      <w:szCs w:val="21"/>
                                    </w:rPr>
                                  </w:pPr>
                                  <w:r>
                                    <w:rPr>
                                      <w:b/>
                                      <w:sz w:val="21"/>
                                      <w:szCs w:val="21"/>
                                    </w:rPr>
                                    <w:t>Table 1</w:t>
                                  </w:r>
                                </w:p>
                                <w:p w14:paraId="246C5036" w14:textId="77777777" w:rsidR="008065C6" w:rsidRPr="005D39DD" w:rsidRDefault="008065C6" w:rsidP="000423F3">
                                  <w:pPr>
                                    <w:keepNext/>
                                    <w:keepLines/>
                                    <w:spacing w:before="40" w:after="40"/>
                                    <w:ind w:left="-111"/>
                                    <w:rPr>
                                      <w:b/>
                                      <w:sz w:val="21"/>
                                      <w:szCs w:val="21"/>
                                    </w:rPr>
                                  </w:pPr>
                                  <w:r w:rsidRPr="005D39DD">
                                    <w:rPr>
                                      <w:b/>
                                      <w:sz w:val="21"/>
                                      <w:szCs w:val="21"/>
                                    </w:rPr>
                                    <w:t>($ million)</w:t>
                                  </w:r>
                                </w:p>
                              </w:tc>
                              <w:tc>
                                <w:tcPr>
                                  <w:tcW w:w="942" w:type="dxa"/>
                                  <w:tcBorders>
                                    <w:top w:val="single" w:sz="4" w:space="0" w:color="000080"/>
                                    <w:bottom w:val="single" w:sz="4" w:space="0" w:color="000080"/>
                                  </w:tcBorders>
                                </w:tcPr>
                                <w:p w14:paraId="6A4DE9B4" w14:textId="77777777" w:rsidR="008065C6" w:rsidRPr="005D39DD" w:rsidRDefault="008065C6" w:rsidP="000423F3">
                                  <w:pPr>
                                    <w:keepNext/>
                                    <w:keepLines/>
                                    <w:spacing w:before="40" w:after="40"/>
                                    <w:jc w:val="right"/>
                                    <w:rPr>
                                      <w:b/>
                                      <w:sz w:val="21"/>
                                      <w:szCs w:val="21"/>
                                    </w:rPr>
                                  </w:pPr>
                                  <w:r>
                                    <w:rPr>
                                      <w:b/>
                                      <w:sz w:val="21"/>
                                      <w:szCs w:val="21"/>
                                    </w:rPr>
                                    <w:t>2021-22</w:t>
                                  </w:r>
                                </w:p>
                              </w:tc>
                              <w:tc>
                                <w:tcPr>
                                  <w:tcW w:w="943" w:type="dxa"/>
                                  <w:tcBorders>
                                    <w:top w:val="single" w:sz="4" w:space="0" w:color="000080"/>
                                    <w:bottom w:val="single" w:sz="4" w:space="0" w:color="000080"/>
                                  </w:tcBorders>
                                </w:tcPr>
                                <w:p w14:paraId="4A0B802C" w14:textId="77777777" w:rsidR="008065C6" w:rsidRPr="005D39DD" w:rsidRDefault="008065C6" w:rsidP="000423F3">
                                  <w:pPr>
                                    <w:keepNext/>
                                    <w:keepLines/>
                                    <w:spacing w:before="40" w:after="40"/>
                                    <w:jc w:val="right"/>
                                    <w:rPr>
                                      <w:b/>
                                      <w:sz w:val="21"/>
                                      <w:szCs w:val="21"/>
                                    </w:rPr>
                                  </w:pPr>
                                  <w:r>
                                    <w:rPr>
                                      <w:b/>
                                      <w:sz w:val="21"/>
                                      <w:szCs w:val="21"/>
                                    </w:rPr>
                                    <w:t>2022-23</w:t>
                                  </w:r>
                                </w:p>
                              </w:tc>
                              <w:tc>
                                <w:tcPr>
                                  <w:tcW w:w="942" w:type="dxa"/>
                                  <w:tcBorders>
                                    <w:top w:val="single" w:sz="4" w:space="0" w:color="000080"/>
                                    <w:bottom w:val="single" w:sz="4" w:space="0" w:color="000080"/>
                                  </w:tcBorders>
                                </w:tcPr>
                                <w:p w14:paraId="3640F366" w14:textId="77777777" w:rsidR="008065C6" w:rsidRPr="005D39DD" w:rsidRDefault="008065C6" w:rsidP="000423F3">
                                  <w:pPr>
                                    <w:keepNext/>
                                    <w:keepLines/>
                                    <w:spacing w:before="40" w:after="40"/>
                                    <w:jc w:val="right"/>
                                    <w:rPr>
                                      <w:b/>
                                      <w:sz w:val="21"/>
                                      <w:szCs w:val="21"/>
                                    </w:rPr>
                                  </w:pPr>
                                  <w:r>
                                    <w:rPr>
                                      <w:b/>
                                      <w:sz w:val="21"/>
                                      <w:szCs w:val="21"/>
                                    </w:rPr>
                                    <w:t>2023-24</w:t>
                                  </w:r>
                                </w:p>
                              </w:tc>
                              <w:tc>
                                <w:tcPr>
                                  <w:tcW w:w="943" w:type="dxa"/>
                                  <w:tcBorders>
                                    <w:top w:val="single" w:sz="4" w:space="0" w:color="000080"/>
                                    <w:bottom w:val="single" w:sz="4" w:space="0" w:color="000080"/>
                                  </w:tcBorders>
                                </w:tcPr>
                                <w:p w14:paraId="74C65A9B" w14:textId="77777777" w:rsidR="008065C6" w:rsidRPr="005D39DD" w:rsidRDefault="008065C6" w:rsidP="000423F3">
                                  <w:pPr>
                                    <w:keepNext/>
                                    <w:keepLines/>
                                    <w:spacing w:before="40" w:after="40"/>
                                    <w:jc w:val="right"/>
                                    <w:rPr>
                                      <w:b/>
                                      <w:sz w:val="21"/>
                                      <w:szCs w:val="21"/>
                                    </w:rPr>
                                  </w:pPr>
                                  <w:r>
                                    <w:rPr>
                                      <w:b/>
                                      <w:sz w:val="21"/>
                                      <w:szCs w:val="21"/>
                                    </w:rPr>
                                    <w:t>2024-25</w:t>
                                  </w:r>
                                </w:p>
                              </w:tc>
                              <w:tc>
                                <w:tcPr>
                                  <w:tcW w:w="942" w:type="dxa"/>
                                  <w:tcBorders>
                                    <w:top w:val="single" w:sz="4" w:space="0" w:color="000080"/>
                                    <w:bottom w:val="single" w:sz="4" w:space="0" w:color="000080"/>
                                  </w:tcBorders>
                                </w:tcPr>
                                <w:p w14:paraId="788EE23E" w14:textId="77777777" w:rsidR="008065C6" w:rsidRPr="005D39DD" w:rsidRDefault="008065C6" w:rsidP="000423F3">
                                  <w:pPr>
                                    <w:keepNext/>
                                    <w:keepLines/>
                                    <w:spacing w:before="40" w:after="40"/>
                                    <w:jc w:val="right"/>
                                    <w:rPr>
                                      <w:b/>
                                      <w:sz w:val="21"/>
                                      <w:szCs w:val="21"/>
                                    </w:rPr>
                                  </w:pPr>
                                  <w:r>
                                    <w:rPr>
                                      <w:b/>
                                      <w:sz w:val="21"/>
                                      <w:szCs w:val="21"/>
                                    </w:rPr>
                                    <w:t>2025-26</w:t>
                                  </w:r>
                                </w:p>
                              </w:tc>
                              <w:tc>
                                <w:tcPr>
                                  <w:tcW w:w="943" w:type="dxa"/>
                                  <w:tcBorders>
                                    <w:top w:val="single" w:sz="4" w:space="0" w:color="000080"/>
                                    <w:bottom w:val="single" w:sz="4" w:space="0" w:color="000080"/>
                                  </w:tcBorders>
                                </w:tcPr>
                                <w:p w14:paraId="1C8A6122" w14:textId="77777777" w:rsidR="008065C6" w:rsidRDefault="008065C6" w:rsidP="000423F3">
                                  <w:pPr>
                                    <w:keepNext/>
                                    <w:keepLines/>
                                    <w:spacing w:before="40" w:after="40"/>
                                    <w:jc w:val="right"/>
                                    <w:rPr>
                                      <w:b/>
                                      <w:sz w:val="21"/>
                                      <w:szCs w:val="21"/>
                                    </w:rPr>
                                  </w:pPr>
                                </w:p>
                                <w:p w14:paraId="03BD0B87" w14:textId="77777777" w:rsidR="008065C6" w:rsidRPr="005D39DD" w:rsidRDefault="008065C6" w:rsidP="000423F3">
                                  <w:pPr>
                                    <w:keepNext/>
                                    <w:keepLines/>
                                    <w:spacing w:before="40" w:after="40"/>
                                    <w:jc w:val="right"/>
                                    <w:rPr>
                                      <w:b/>
                                      <w:sz w:val="21"/>
                                      <w:szCs w:val="21"/>
                                    </w:rPr>
                                  </w:pPr>
                                  <w:r w:rsidRPr="005D39DD">
                                    <w:rPr>
                                      <w:b/>
                                      <w:sz w:val="21"/>
                                      <w:szCs w:val="21"/>
                                    </w:rPr>
                                    <w:t>Total</w:t>
                                  </w:r>
                                </w:p>
                              </w:tc>
                            </w:tr>
                            <w:tr w:rsidR="008065C6" w:rsidRPr="00101AB3" w14:paraId="7DAE454E" w14:textId="77777777" w:rsidTr="000423F3">
                              <w:trPr>
                                <w:cantSplit/>
                              </w:trPr>
                              <w:tc>
                                <w:tcPr>
                                  <w:tcW w:w="2127" w:type="dxa"/>
                                  <w:tcBorders>
                                    <w:top w:val="single" w:sz="4" w:space="0" w:color="000080"/>
                                  </w:tcBorders>
                                </w:tcPr>
                                <w:p w14:paraId="10D7E365" w14:textId="77777777" w:rsidR="008065C6" w:rsidRPr="005D39DD" w:rsidRDefault="008065C6" w:rsidP="000423F3">
                                  <w:pPr>
                                    <w:keepNext/>
                                    <w:keepLines/>
                                    <w:spacing w:before="60" w:after="60"/>
                                    <w:ind w:left="-111"/>
                                    <w:rPr>
                                      <w:b/>
                                      <w:sz w:val="21"/>
                                      <w:szCs w:val="21"/>
                                    </w:rPr>
                                  </w:pPr>
                                  <w:r w:rsidRPr="005D39DD">
                                    <w:rPr>
                                      <w:b/>
                                      <w:sz w:val="21"/>
                                      <w:szCs w:val="21"/>
                                    </w:rPr>
                                    <w:t>Estimated total budget</w:t>
                                  </w:r>
                                </w:p>
                              </w:tc>
                              <w:tc>
                                <w:tcPr>
                                  <w:tcW w:w="942" w:type="dxa"/>
                                  <w:tcBorders>
                                    <w:top w:val="single" w:sz="4" w:space="0" w:color="000080"/>
                                  </w:tcBorders>
                                </w:tcPr>
                                <w:p w14:paraId="453B4F0A" w14:textId="77777777" w:rsidR="008065C6" w:rsidRPr="005D39DD" w:rsidRDefault="008065C6" w:rsidP="000423F3">
                                  <w:pPr>
                                    <w:keepNext/>
                                    <w:keepLines/>
                                    <w:spacing w:before="40" w:after="40"/>
                                    <w:jc w:val="right"/>
                                    <w:rPr>
                                      <w:b/>
                                      <w:sz w:val="21"/>
                                      <w:szCs w:val="21"/>
                                    </w:rPr>
                                  </w:pPr>
                                  <w:r>
                                    <w:rPr>
                                      <w:b/>
                                      <w:sz w:val="21"/>
                                      <w:szCs w:val="21"/>
                                    </w:rPr>
                                    <w:t>0.984</w:t>
                                  </w:r>
                                </w:p>
                              </w:tc>
                              <w:tc>
                                <w:tcPr>
                                  <w:tcW w:w="943" w:type="dxa"/>
                                  <w:tcBorders>
                                    <w:top w:val="single" w:sz="4" w:space="0" w:color="000080"/>
                                  </w:tcBorders>
                                </w:tcPr>
                                <w:p w14:paraId="0F541910" w14:textId="77777777" w:rsidR="008065C6" w:rsidRPr="005D39DD" w:rsidRDefault="008065C6" w:rsidP="000423F3">
                                  <w:pPr>
                                    <w:keepNext/>
                                    <w:keepLines/>
                                    <w:spacing w:before="40" w:after="40"/>
                                    <w:jc w:val="right"/>
                                    <w:rPr>
                                      <w:b/>
                                      <w:sz w:val="21"/>
                                      <w:szCs w:val="21"/>
                                    </w:rPr>
                                  </w:pPr>
                                  <w:r>
                                    <w:rPr>
                                      <w:b/>
                                      <w:sz w:val="21"/>
                                      <w:szCs w:val="21"/>
                                    </w:rPr>
                                    <w:t>0.854</w:t>
                                  </w:r>
                                </w:p>
                              </w:tc>
                              <w:tc>
                                <w:tcPr>
                                  <w:tcW w:w="942" w:type="dxa"/>
                                  <w:tcBorders>
                                    <w:top w:val="single" w:sz="4" w:space="0" w:color="000080"/>
                                  </w:tcBorders>
                                </w:tcPr>
                                <w:p w14:paraId="285239E7" w14:textId="77777777" w:rsidR="008065C6" w:rsidRPr="005D39DD" w:rsidRDefault="008065C6" w:rsidP="000423F3">
                                  <w:pPr>
                                    <w:keepNext/>
                                    <w:keepLines/>
                                    <w:spacing w:before="40" w:after="40"/>
                                    <w:jc w:val="right"/>
                                    <w:rPr>
                                      <w:b/>
                                      <w:sz w:val="21"/>
                                      <w:szCs w:val="21"/>
                                    </w:rPr>
                                  </w:pPr>
                                  <w:r>
                                    <w:rPr>
                                      <w:b/>
                                      <w:sz w:val="21"/>
                                      <w:szCs w:val="21"/>
                                    </w:rPr>
                                    <w:t>0</w:t>
                                  </w:r>
                                  <w:r w:rsidRPr="005D39DD">
                                    <w:rPr>
                                      <w:b/>
                                      <w:sz w:val="21"/>
                                      <w:szCs w:val="21"/>
                                    </w:rPr>
                                    <w:t>.0</w:t>
                                  </w:r>
                                </w:p>
                              </w:tc>
                              <w:tc>
                                <w:tcPr>
                                  <w:tcW w:w="943" w:type="dxa"/>
                                  <w:tcBorders>
                                    <w:top w:val="single" w:sz="4" w:space="0" w:color="000080"/>
                                  </w:tcBorders>
                                </w:tcPr>
                                <w:p w14:paraId="75842A82" w14:textId="77777777" w:rsidR="008065C6" w:rsidRPr="005D39DD" w:rsidRDefault="008065C6" w:rsidP="000423F3">
                                  <w:pPr>
                                    <w:keepNext/>
                                    <w:keepLines/>
                                    <w:spacing w:before="40" w:after="40"/>
                                    <w:jc w:val="right"/>
                                    <w:rPr>
                                      <w:b/>
                                      <w:sz w:val="21"/>
                                      <w:szCs w:val="21"/>
                                    </w:rPr>
                                  </w:pPr>
                                  <w:r>
                                    <w:rPr>
                                      <w:b/>
                                      <w:sz w:val="21"/>
                                      <w:szCs w:val="21"/>
                                    </w:rPr>
                                    <w:t>0</w:t>
                                  </w:r>
                                  <w:r w:rsidRPr="005D39DD">
                                    <w:rPr>
                                      <w:b/>
                                      <w:sz w:val="21"/>
                                      <w:szCs w:val="21"/>
                                    </w:rPr>
                                    <w:t>.0</w:t>
                                  </w:r>
                                </w:p>
                              </w:tc>
                              <w:tc>
                                <w:tcPr>
                                  <w:tcW w:w="942" w:type="dxa"/>
                                  <w:tcBorders>
                                    <w:top w:val="single" w:sz="4" w:space="0" w:color="000080"/>
                                  </w:tcBorders>
                                </w:tcPr>
                                <w:p w14:paraId="6A5FA407" w14:textId="77777777" w:rsidR="008065C6" w:rsidRPr="005D39DD" w:rsidRDefault="008065C6" w:rsidP="000423F3">
                                  <w:pPr>
                                    <w:keepNext/>
                                    <w:keepLines/>
                                    <w:spacing w:before="40" w:after="40"/>
                                    <w:jc w:val="right"/>
                                    <w:rPr>
                                      <w:b/>
                                      <w:sz w:val="21"/>
                                      <w:szCs w:val="21"/>
                                    </w:rPr>
                                  </w:pPr>
                                  <w:r w:rsidRPr="005D39DD">
                                    <w:rPr>
                                      <w:b/>
                                      <w:sz w:val="21"/>
                                      <w:szCs w:val="21"/>
                                    </w:rPr>
                                    <w:t>0.0</w:t>
                                  </w:r>
                                </w:p>
                              </w:tc>
                              <w:tc>
                                <w:tcPr>
                                  <w:tcW w:w="943" w:type="dxa"/>
                                  <w:tcBorders>
                                    <w:top w:val="single" w:sz="4" w:space="0" w:color="000080"/>
                                  </w:tcBorders>
                                </w:tcPr>
                                <w:p w14:paraId="72248279" w14:textId="77777777" w:rsidR="008065C6" w:rsidRPr="005D39DD" w:rsidRDefault="008065C6" w:rsidP="000423F3">
                                  <w:pPr>
                                    <w:keepNext/>
                                    <w:keepLines/>
                                    <w:spacing w:before="40" w:after="40"/>
                                    <w:jc w:val="right"/>
                                    <w:rPr>
                                      <w:b/>
                                      <w:sz w:val="21"/>
                                      <w:szCs w:val="21"/>
                                    </w:rPr>
                                  </w:pPr>
                                  <w:r>
                                    <w:rPr>
                                      <w:b/>
                                      <w:sz w:val="21"/>
                                      <w:szCs w:val="21"/>
                                    </w:rPr>
                                    <w:t>1.838</w:t>
                                  </w:r>
                                </w:p>
                              </w:tc>
                            </w:tr>
                            <w:tr w:rsidR="008065C6" w:rsidRPr="00101AB3" w14:paraId="2F7E529D" w14:textId="77777777" w:rsidTr="000423F3">
                              <w:trPr>
                                <w:cantSplit/>
                              </w:trPr>
                              <w:tc>
                                <w:tcPr>
                                  <w:tcW w:w="2127" w:type="dxa"/>
                                </w:tcPr>
                                <w:p w14:paraId="21A5AA2A" w14:textId="416AD09D" w:rsidR="008065C6" w:rsidRPr="008C6B79" w:rsidRDefault="008065C6" w:rsidP="000423F3">
                                  <w:pPr>
                                    <w:keepNext/>
                                    <w:keepLines/>
                                    <w:spacing w:before="60" w:after="60"/>
                                    <w:ind w:left="-111"/>
                                    <w:rPr>
                                      <w:sz w:val="21"/>
                                      <w:szCs w:val="21"/>
                                    </w:rPr>
                                  </w:pPr>
                                  <w:r w:rsidRPr="008C6B79">
                                    <w:rPr>
                                      <w:sz w:val="21"/>
                                      <w:szCs w:val="21"/>
                                    </w:rPr>
                                    <w:t xml:space="preserve">Less estimated National Partnership </w:t>
                                  </w:r>
                                  <w:r w:rsidR="00AD5170">
                                    <w:rPr>
                                      <w:sz w:val="21"/>
                                      <w:szCs w:val="21"/>
                                    </w:rPr>
                                    <w:t>p</w:t>
                                  </w:r>
                                  <w:r w:rsidRPr="008C6B79">
                                    <w:rPr>
                                      <w:sz w:val="21"/>
                                      <w:szCs w:val="21"/>
                                    </w:rPr>
                                    <w:t xml:space="preserve">ayments </w:t>
                                  </w:r>
                                </w:p>
                              </w:tc>
                              <w:tc>
                                <w:tcPr>
                                  <w:tcW w:w="942" w:type="dxa"/>
                                </w:tcPr>
                                <w:p w14:paraId="6B7DC53A" w14:textId="77777777" w:rsidR="008065C6" w:rsidRPr="005D39DD" w:rsidRDefault="008065C6" w:rsidP="000423F3">
                                  <w:pPr>
                                    <w:keepNext/>
                                    <w:keepLines/>
                                    <w:spacing w:before="40" w:after="40"/>
                                    <w:jc w:val="right"/>
                                    <w:rPr>
                                      <w:sz w:val="21"/>
                                      <w:szCs w:val="21"/>
                                    </w:rPr>
                                  </w:pPr>
                                  <w:r>
                                    <w:rPr>
                                      <w:sz w:val="21"/>
                                      <w:szCs w:val="21"/>
                                    </w:rPr>
                                    <w:t>0.984</w:t>
                                  </w:r>
                                </w:p>
                              </w:tc>
                              <w:tc>
                                <w:tcPr>
                                  <w:tcW w:w="943" w:type="dxa"/>
                                </w:tcPr>
                                <w:p w14:paraId="53043635" w14:textId="2091CA58" w:rsidR="008065C6" w:rsidRPr="005D39DD" w:rsidRDefault="008065C6" w:rsidP="000423F3">
                                  <w:pPr>
                                    <w:keepNext/>
                                    <w:keepLines/>
                                    <w:spacing w:before="40" w:after="40"/>
                                    <w:jc w:val="right"/>
                                    <w:rPr>
                                      <w:sz w:val="21"/>
                                      <w:szCs w:val="21"/>
                                    </w:rPr>
                                  </w:pPr>
                                  <w:r>
                                    <w:rPr>
                                      <w:sz w:val="21"/>
                                      <w:szCs w:val="21"/>
                                    </w:rPr>
                                    <w:t>0</w:t>
                                  </w:r>
                                  <w:r w:rsidRPr="005D39DD">
                                    <w:rPr>
                                      <w:sz w:val="21"/>
                                      <w:szCs w:val="21"/>
                                    </w:rPr>
                                    <w:t>.</w:t>
                                  </w:r>
                                  <w:r>
                                    <w:rPr>
                                      <w:sz w:val="21"/>
                                      <w:szCs w:val="21"/>
                                    </w:rPr>
                                    <w:t>854</w:t>
                                  </w:r>
                                </w:p>
                              </w:tc>
                              <w:tc>
                                <w:tcPr>
                                  <w:tcW w:w="942" w:type="dxa"/>
                                </w:tcPr>
                                <w:p w14:paraId="63A07E12" w14:textId="77777777" w:rsidR="008065C6" w:rsidRPr="005D39DD" w:rsidRDefault="008065C6" w:rsidP="000423F3">
                                  <w:pPr>
                                    <w:keepNext/>
                                    <w:keepLines/>
                                    <w:spacing w:before="40" w:after="40"/>
                                    <w:jc w:val="right"/>
                                    <w:rPr>
                                      <w:sz w:val="21"/>
                                      <w:szCs w:val="21"/>
                                    </w:rPr>
                                  </w:pPr>
                                  <w:r>
                                    <w:rPr>
                                      <w:sz w:val="21"/>
                                      <w:szCs w:val="21"/>
                                    </w:rPr>
                                    <w:t>0</w:t>
                                  </w:r>
                                  <w:r w:rsidRPr="005D39DD">
                                    <w:rPr>
                                      <w:sz w:val="21"/>
                                      <w:szCs w:val="21"/>
                                    </w:rPr>
                                    <w:t>.0</w:t>
                                  </w:r>
                                </w:p>
                              </w:tc>
                              <w:tc>
                                <w:tcPr>
                                  <w:tcW w:w="943" w:type="dxa"/>
                                </w:tcPr>
                                <w:p w14:paraId="1F116B2F" w14:textId="77777777" w:rsidR="008065C6" w:rsidRPr="005D39DD" w:rsidRDefault="008065C6" w:rsidP="000423F3">
                                  <w:pPr>
                                    <w:keepNext/>
                                    <w:keepLines/>
                                    <w:spacing w:before="40" w:after="40"/>
                                    <w:jc w:val="right"/>
                                    <w:rPr>
                                      <w:sz w:val="21"/>
                                      <w:szCs w:val="21"/>
                                    </w:rPr>
                                  </w:pPr>
                                  <w:r w:rsidRPr="005D39DD">
                                    <w:rPr>
                                      <w:sz w:val="21"/>
                                      <w:szCs w:val="21"/>
                                    </w:rPr>
                                    <w:t>0.0</w:t>
                                  </w:r>
                                </w:p>
                              </w:tc>
                              <w:tc>
                                <w:tcPr>
                                  <w:tcW w:w="942" w:type="dxa"/>
                                </w:tcPr>
                                <w:p w14:paraId="7A499A1A" w14:textId="77777777" w:rsidR="008065C6" w:rsidRPr="005D39DD" w:rsidRDefault="008065C6" w:rsidP="000423F3">
                                  <w:pPr>
                                    <w:keepNext/>
                                    <w:keepLines/>
                                    <w:spacing w:before="40" w:after="40"/>
                                    <w:jc w:val="right"/>
                                    <w:rPr>
                                      <w:sz w:val="21"/>
                                      <w:szCs w:val="21"/>
                                    </w:rPr>
                                  </w:pPr>
                                  <w:r w:rsidRPr="005D39DD">
                                    <w:rPr>
                                      <w:sz w:val="21"/>
                                      <w:szCs w:val="21"/>
                                    </w:rPr>
                                    <w:t>0.0</w:t>
                                  </w:r>
                                </w:p>
                              </w:tc>
                              <w:tc>
                                <w:tcPr>
                                  <w:tcW w:w="943" w:type="dxa"/>
                                </w:tcPr>
                                <w:p w14:paraId="74A9C1D7" w14:textId="39437062" w:rsidR="008065C6" w:rsidRPr="005D39DD" w:rsidRDefault="008065C6" w:rsidP="000423F3">
                                  <w:pPr>
                                    <w:keepNext/>
                                    <w:keepLines/>
                                    <w:spacing w:before="40" w:after="40"/>
                                    <w:jc w:val="right"/>
                                    <w:rPr>
                                      <w:sz w:val="21"/>
                                      <w:szCs w:val="21"/>
                                    </w:rPr>
                                  </w:pPr>
                                  <w:r>
                                    <w:rPr>
                                      <w:sz w:val="21"/>
                                      <w:szCs w:val="21"/>
                                    </w:rPr>
                                    <w:t>1</w:t>
                                  </w:r>
                                  <w:r w:rsidRPr="005D39DD">
                                    <w:rPr>
                                      <w:sz w:val="21"/>
                                      <w:szCs w:val="21"/>
                                    </w:rPr>
                                    <w:t>.</w:t>
                                  </w:r>
                                  <w:r>
                                    <w:rPr>
                                      <w:sz w:val="21"/>
                                      <w:szCs w:val="21"/>
                                    </w:rPr>
                                    <w:t>838</w:t>
                                  </w:r>
                                </w:p>
                              </w:tc>
                            </w:tr>
                            <w:tr w:rsidR="008065C6" w:rsidRPr="00101AB3" w14:paraId="7BF52F0C" w14:textId="77777777" w:rsidTr="000423F3">
                              <w:trPr>
                                <w:cantSplit/>
                              </w:trPr>
                              <w:tc>
                                <w:tcPr>
                                  <w:tcW w:w="2127" w:type="dxa"/>
                                  <w:tcBorders>
                                    <w:bottom w:val="single" w:sz="4" w:space="0" w:color="000080"/>
                                  </w:tcBorders>
                                </w:tcPr>
                                <w:p w14:paraId="1C340E1B" w14:textId="77777777" w:rsidR="008065C6" w:rsidRPr="008C6B79" w:rsidRDefault="008065C6" w:rsidP="000423F3">
                                  <w:pPr>
                                    <w:keepNext/>
                                    <w:keepLines/>
                                    <w:spacing w:before="40" w:after="40"/>
                                    <w:ind w:left="-111"/>
                                    <w:rPr>
                                      <w:sz w:val="21"/>
                                      <w:szCs w:val="21"/>
                                    </w:rPr>
                                  </w:pPr>
                                  <w:r w:rsidRPr="008C6B79">
                                    <w:rPr>
                                      <w:sz w:val="21"/>
                                      <w:szCs w:val="21"/>
                                    </w:rPr>
                                    <w:t>Balance of non-Commonwealth contributions</w:t>
                                  </w:r>
                                </w:p>
                              </w:tc>
                              <w:tc>
                                <w:tcPr>
                                  <w:tcW w:w="942" w:type="dxa"/>
                                  <w:tcBorders>
                                    <w:bottom w:val="single" w:sz="4" w:space="0" w:color="000080"/>
                                  </w:tcBorders>
                                </w:tcPr>
                                <w:p w14:paraId="140DD6B6" w14:textId="77777777" w:rsidR="008065C6" w:rsidRPr="005D39DD" w:rsidRDefault="008065C6" w:rsidP="000423F3">
                                  <w:pPr>
                                    <w:keepNext/>
                                    <w:keepLines/>
                                    <w:spacing w:before="40" w:after="40"/>
                                    <w:jc w:val="right"/>
                                    <w:rPr>
                                      <w:sz w:val="21"/>
                                      <w:szCs w:val="21"/>
                                    </w:rPr>
                                  </w:pPr>
                                  <w:r w:rsidRPr="005D39DD">
                                    <w:rPr>
                                      <w:sz w:val="21"/>
                                      <w:szCs w:val="21"/>
                                    </w:rPr>
                                    <w:t>0.0</w:t>
                                  </w:r>
                                </w:p>
                              </w:tc>
                              <w:tc>
                                <w:tcPr>
                                  <w:tcW w:w="943" w:type="dxa"/>
                                  <w:tcBorders>
                                    <w:bottom w:val="single" w:sz="4" w:space="0" w:color="000080"/>
                                  </w:tcBorders>
                                </w:tcPr>
                                <w:p w14:paraId="71F2C0BB" w14:textId="77777777" w:rsidR="008065C6" w:rsidRPr="005D39DD" w:rsidRDefault="008065C6" w:rsidP="000423F3">
                                  <w:pPr>
                                    <w:keepNext/>
                                    <w:keepLines/>
                                    <w:spacing w:before="40" w:after="40"/>
                                    <w:jc w:val="right"/>
                                    <w:rPr>
                                      <w:sz w:val="21"/>
                                      <w:szCs w:val="21"/>
                                    </w:rPr>
                                  </w:pPr>
                                  <w:r w:rsidRPr="005D39DD">
                                    <w:rPr>
                                      <w:sz w:val="21"/>
                                      <w:szCs w:val="21"/>
                                    </w:rPr>
                                    <w:t>0.0</w:t>
                                  </w:r>
                                </w:p>
                              </w:tc>
                              <w:tc>
                                <w:tcPr>
                                  <w:tcW w:w="942" w:type="dxa"/>
                                  <w:tcBorders>
                                    <w:bottom w:val="single" w:sz="4" w:space="0" w:color="000080"/>
                                  </w:tcBorders>
                                </w:tcPr>
                                <w:p w14:paraId="08D8C41E" w14:textId="77777777" w:rsidR="008065C6" w:rsidRPr="005D39DD" w:rsidRDefault="008065C6" w:rsidP="000423F3">
                                  <w:pPr>
                                    <w:keepNext/>
                                    <w:keepLines/>
                                    <w:spacing w:before="40" w:after="40"/>
                                    <w:jc w:val="right"/>
                                    <w:rPr>
                                      <w:sz w:val="21"/>
                                      <w:szCs w:val="21"/>
                                    </w:rPr>
                                  </w:pPr>
                                  <w:r>
                                    <w:rPr>
                                      <w:sz w:val="21"/>
                                      <w:szCs w:val="21"/>
                                    </w:rPr>
                                    <w:t>0</w:t>
                                  </w:r>
                                  <w:r w:rsidRPr="005D39DD">
                                    <w:rPr>
                                      <w:sz w:val="21"/>
                                      <w:szCs w:val="21"/>
                                    </w:rPr>
                                    <w:t>.0</w:t>
                                  </w:r>
                                </w:p>
                              </w:tc>
                              <w:tc>
                                <w:tcPr>
                                  <w:tcW w:w="943" w:type="dxa"/>
                                  <w:tcBorders>
                                    <w:bottom w:val="single" w:sz="4" w:space="0" w:color="000080"/>
                                  </w:tcBorders>
                                </w:tcPr>
                                <w:p w14:paraId="7EE861E0" w14:textId="77777777" w:rsidR="008065C6" w:rsidRPr="005D39DD" w:rsidRDefault="008065C6" w:rsidP="000423F3">
                                  <w:pPr>
                                    <w:keepNext/>
                                    <w:keepLines/>
                                    <w:spacing w:before="40" w:after="40"/>
                                    <w:jc w:val="right"/>
                                    <w:rPr>
                                      <w:sz w:val="21"/>
                                      <w:szCs w:val="21"/>
                                    </w:rPr>
                                  </w:pPr>
                                  <w:r>
                                    <w:rPr>
                                      <w:sz w:val="21"/>
                                      <w:szCs w:val="21"/>
                                    </w:rPr>
                                    <w:t>0</w:t>
                                  </w:r>
                                  <w:r w:rsidRPr="005D39DD">
                                    <w:rPr>
                                      <w:sz w:val="21"/>
                                      <w:szCs w:val="21"/>
                                    </w:rPr>
                                    <w:t>.0</w:t>
                                  </w:r>
                                </w:p>
                              </w:tc>
                              <w:tc>
                                <w:tcPr>
                                  <w:tcW w:w="942" w:type="dxa"/>
                                  <w:tcBorders>
                                    <w:bottom w:val="single" w:sz="4" w:space="0" w:color="000080"/>
                                  </w:tcBorders>
                                </w:tcPr>
                                <w:p w14:paraId="33FFCA4F" w14:textId="77777777" w:rsidR="008065C6" w:rsidRPr="005D39DD" w:rsidRDefault="008065C6" w:rsidP="000423F3">
                                  <w:pPr>
                                    <w:keepNext/>
                                    <w:keepLines/>
                                    <w:spacing w:before="40" w:after="40"/>
                                    <w:jc w:val="right"/>
                                    <w:rPr>
                                      <w:sz w:val="21"/>
                                      <w:szCs w:val="21"/>
                                    </w:rPr>
                                  </w:pPr>
                                  <w:r>
                                    <w:rPr>
                                      <w:sz w:val="21"/>
                                      <w:szCs w:val="21"/>
                                    </w:rPr>
                                    <w:t>0</w:t>
                                  </w:r>
                                  <w:r w:rsidRPr="005D39DD">
                                    <w:rPr>
                                      <w:sz w:val="21"/>
                                      <w:szCs w:val="21"/>
                                    </w:rPr>
                                    <w:t>.0</w:t>
                                  </w:r>
                                </w:p>
                              </w:tc>
                              <w:tc>
                                <w:tcPr>
                                  <w:tcW w:w="943" w:type="dxa"/>
                                  <w:tcBorders>
                                    <w:bottom w:val="single" w:sz="4" w:space="0" w:color="000080"/>
                                  </w:tcBorders>
                                </w:tcPr>
                                <w:p w14:paraId="7700FCF5" w14:textId="77777777" w:rsidR="008065C6" w:rsidRPr="005D39DD" w:rsidRDefault="008065C6" w:rsidP="000423F3">
                                  <w:pPr>
                                    <w:keepNext/>
                                    <w:keepLines/>
                                    <w:spacing w:before="40" w:after="40"/>
                                    <w:jc w:val="right"/>
                                    <w:rPr>
                                      <w:sz w:val="21"/>
                                      <w:szCs w:val="21"/>
                                    </w:rPr>
                                  </w:pPr>
                                  <w:r>
                                    <w:rPr>
                                      <w:sz w:val="21"/>
                                      <w:szCs w:val="21"/>
                                    </w:rPr>
                                    <w:t>0</w:t>
                                  </w:r>
                                  <w:r w:rsidRPr="005D39DD">
                                    <w:rPr>
                                      <w:sz w:val="21"/>
                                      <w:szCs w:val="21"/>
                                    </w:rPr>
                                    <w:t>.0</w:t>
                                  </w:r>
                                </w:p>
                              </w:tc>
                            </w:tr>
                          </w:tbl>
                          <w:p w14:paraId="081ADCDE" w14:textId="77777777" w:rsidR="008065C6" w:rsidRPr="00101AB3" w:rsidRDefault="008065C6" w:rsidP="003454F0">
                            <w:pPr>
                              <w:rPr>
                                <w:sz w:val="18"/>
                                <w:szCs w:val="18"/>
                              </w:rPr>
                            </w:pPr>
                          </w:p>
                        </w:txbxContent>
                      </v:textbox>
                      <w10:wrap type="square"/>
                    </v:shape>
                  </w:pict>
                </mc:Fallback>
              </mc:AlternateContent>
            </w:r>
            <w:r w:rsidR="00C91B5F" w:rsidRPr="00F00A18">
              <w:rPr>
                <w:color w:val="auto"/>
              </w:rPr>
              <w:t xml:space="preserve">The Commonwealth will provide an estimated total financial contribution to </w:t>
            </w:r>
            <w:r w:rsidR="007B7E7C">
              <w:rPr>
                <w:color w:val="auto"/>
              </w:rPr>
              <w:t>V</w:t>
            </w:r>
            <w:r w:rsidR="00AD5170">
              <w:rPr>
                <w:color w:val="auto"/>
              </w:rPr>
              <w:t>ictoria</w:t>
            </w:r>
            <w:r w:rsidR="00C91B5F" w:rsidRPr="00EA5589">
              <w:rPr>
                <w:color w:val="auto"/>
              </w:rPr>
              <w:t xml:space="preserve"> of $</w:t>
            </w:r>
            <w:r w:rsidR="004E4DCD" w:rsidRPr="00EA5589">
              <w:rPr>
                <w:color w:val="auto"/>
              </w:rPr>
              <w:t>1.8</w:t>
            </w:r>
            <w:r w:rsidR="00C91B5F" w:rsidRPr="00EA5589">
              <w:rPr>
                <w:color w:val="auto"/>
              </w:rPr>
              <w:t>m in respect</w:t>
            </w:r>
            <w:r w:rsidR="00C91B5F" w:rsidRPr="00F00A18">
              <w:rPr>
                <w:color w:val="auto"/>
              </w:rPr>
              <w:t xml:space="preserve"> of this Schedule.</w:t>
            </w:r>
          </w:p>
        </w:tc>
      </w:tr>
      <w:tr w:rsidR="00C91B5F" w:rsidRPr="00F00A18" w14:paraId="21E3D649" w14:textId="77777777" w:rsidTr="00317FB3">
        <w:tc>
          <w:tcPr>
            <w:tcW w:w="1691" w:type="dxa"/>
            <w:shd w:val="clear" w:color="auto" w:fill="auto"/>
          </w:tcPr>
          <w:p w14:paraId="06578BDF" w14:textId="03F07E5B" w:rsidR="00C91B5F" w:rsidRPr="00F00A18" w:rsidRDefault="00C91B5F" w:rsidP="000423F3">
            <w:pPr>
              <w:pStyle w:val="Tableformat"/>
              <w:rPr>
                <w:color w:val="auto"/>
              </w:rPr>
            </w:pPr>
            <w:r w:rsidRPr="00F00A18">
              <w:rPr>
                <w:color w:val="auto"/>
              </w:rPr>
              <w:t>Additional terms</w:t>
            </w:r>
          </w:p>
        </w:tc>
        <w:tc>
          <w:tcPr>
            <w:tcW w:w="7938" w:type="dxa"/>
            <w:shd w:val="clear" w:color="auto" w:fill="auto"/>
          </w:tcPr>
          <w:p w14:paraId="392B0551" w14:textId="77777777" w:rsidR="00134B53" w:rsidRDefault="00E97384" w:rsidP="00621D14">
            <w:pPr>
              <w:pStyle w:val="Tableformat"/>
              <w:numPr>
                <w:ilvl w:val="0"/>
                <w:numId w:val="7"/>
              </w:numPr>
              <w:rPr>
                <w:iCs w:val="0"/>
                <w:color w:val="auto"/>
              </w:rPr>
            </w:pPr>
            <w:r w:rsidRPr="00185EFE">
              <w:rPr>
                <w:iCs w:val="0"/>
                <w:color w:val="auto"/>
              </w:rPr>
              <w:t xml:space="preserve">The parties agree that </w:t>
            </w:r>
            <w:r w:rsidR="00A1011A" w:rsidRPr="00185EFE">
              <w:rPr>
                <w:iCs w:val="0"/>
                <w:color w:val="auto"/>
              </w:rPr>
              <w:t xml:space="preserve">the </w:t>
            </w:r>
            <w:r w:rsidRPr="00185EFE">
              <w:rPr>
                <w:iCs w:val="0"/>
                <w:color w:val="auto"/>
              </w:rPr>
              <w:t xml:space="preserve">Commonwealth funding for </w:t>
            </w:r>
            <w:r w:rsidR="0041027F" w:rsidRPr="00185EFE">
              <w:rPr>
                <w:iCs w:val="0"/>
                <w:color w:val="auto"/>
              </w:rPr>
              <w:t>the</w:t>
            </w:r>
            <w:r w:rsidRPr="00185EFE">
              <w:rPr>
                <w:iCs w:val="0"/>
                <w:color w:val="auto"/>
              </w:rPr>
              <w:t xml:space="preserve"> </w:t>
            </w:r>
            <w:r w:rsidR="0041027F" w:rsidRPr="00185EFE">
              <w:rPr>
                <w:iCs w:val="0"/>
                <w:color w:val="auto"/>
              </w:rPr>
              <w:t xml:space="preserve">PRD </w:t>
            </w:r>
            <w:r w:rsidRPr="00185EFE">
              <w:rPr>
                <w:iCs w:val="0"/>
                <w:color w:val="auto"/>
              </w:rPr>
              <w:t xml:space="preserve">IT infrastructure </w:t>
            </w:r>
            <w:r w:rsidR="00A1011A" w:rsidRPr="00185EFE">
              <w:rPr>
                <w:iCs w:val="0"/>
                <w:color w:val="auto"/>
              </w:rPr>
              <w:t xml:space="preserve">build </w:t>
            </w:r>
            <w:r w:rsidRPr="00185EFE">
              <w:rPr>
                <w:iCs w:val="0"/>
                <w:color w:val="auto"/>
              </w:rPr>
              <w:t xml:space="preserve">is </w:t>
            </w:r>
            <w:r w:rsidR="00B602F0" w:rsidRPr="00185EFE">
              <w:rPr>
                <w:iCs w:val="0"/>
                <w:color w:val="auto"/>
              </w:rPr>
              <w:t>subject to</w:t>
            </w:r>
            <w:r w:rsidRPr="00185EFE">
              <w:rPr>
                <w:iCs w:val="0"/>
                <w:color w:val="auto"/>
              </w:rPr>
              <w:t xml:space="preserve"> the Victorian Government’s agreement that the </w:t>
            </w:r>
            <w:r w:rsidR="00AC3737">
              <w:rPr>
                <w:iCs w:val="0"/>
                <w:color w:val="auto"/>
              </w:rPr>
              <w:t xml:space="preserve">Department of State administered by the Minister of Victoria administering the </w:t>
            </w:r>
            <w:r w:rsidR="00AC3737" w:rsidRPr="00AC3737">
              <w:rPr>
                <w:i/>
                <w:color w:val="auto"/>
              </w:rPr>
              <w:t xml:space="preserve">National Electricity (Victoria) </w:t>
            </w:r>
            <w:r w:rsidR="00AC3737" w:rsidRPr="00AC3737">
              <w:rPr>
                <w:i/>
                <w:color w:val="auto"/>
              </w:rPr>
              <w:lastRenderedPageBreak/>
              <w:t>Ac</w:t>
            </w:r>
            <w:r w:rsidR="00AC3737">
              <w:rPr>
                <w:i/>
                <w:color w:val="auto"/>
              </w:rPr>
              <w:t>t</w:t>
            </w:r>
            <w:r w:rsidR="00AC3737" w:rsidRPr="00AC3737">
              <w:rPr>
                <w:i/>
                <w:color w:val="auto"/>
              </w:rPr>
              <w:t xml:space="preserve"> 2005 </w:t>
            </w:r>
            <w:r w:rsidR="00AC3737" w:rsidRPr="00AC3737">
              <w:rPr>
                <w:iCs w:val="0"/>
                <w:color w:val="auto"/>
              </w:rPr>
              <w:t>(Vic)</w:t>
            </w:r>
            <w:r w:rsidRPr="00185EFE">
              <w:rPr>
                <w:iCs w:val="0"/>
                <w:color w:val="auto"/>
              </w:rPr>
              <w:t xml:space="preserve"> </w:t>
            </w:r>
            <w:r w:rsidR="00134B53">
              <w:rPr>
                <w:iCs w:val="0"/>
                <w:color w:val="auto"/>
              </w:rPr>
              <w:t xml:space="preserve">is a participating entity under Part IVD of the </w:t>
            </w:r>
            <w:r w:rsidR="00134B53" w:rsidRPr="00134B53">
              <w:rPr>
                <w:i/>
                <w:color w:val="auto"/>
              </w:rPr>
              <w:t>Competition and Consumer Act 2010.</w:t>
            </w:r>
          </w:p>
          <w:p w14:paraId="679D8AD4" w14:textId="39E154C2" w:rsidR="00E45C00" w:rsidRPr="00134B53" w:rsidRDefault="009265DC" w:rsidP="00134B53">
            <w:pPr>
              <w:pStyle w:val="Tableformat"/>
              <w:numPr>
                <w:ilvl w:val="0"/>
                <w:numId w:val="7"/>
              </w:numPr>
              <w:rPr>
                <w:iCs w:val="0"/>
                <w:color w:val="auto"/>
              </w:rPr>
            </w:pPr>
            <w:r w:rsidRPr="00185EFE">
              <w:rPr>
                <w:iCs w:val="0"/>
                <w:color w:val="auto"/>
              </w:rPr>
              <w:t xml:space="preserve">The parties agree that the provision of data will be in accordance with Part IVD of the </w:t>
            </w:r>
            <w:r w:rsidRPr="00134B53">
              <w:rPr>
                <w:i/>
                <w:color w:val="auto"/>
              </w:rPr>
              <w:t>Competition and Consumer Act 2010</w:t>
            </w:r>
            <w:r w:rsidR="006E4076" w:rsidRPr="00185EFE">
              <w:rPr>
                <w:iCs w:val="0"/>
                <w:color w:val="auto"/>
              </w:rPr>
              <w:t xml:space="preserve">. The data </w:t>
            </w:r>
            <w:r w:rsidR="00A1011A" w:rsidRPr="00185EFE">
              <w:rPr>
                <w:iCs w:val="0"/>
                <w:color w:val="auto"/>
              </w:rPr>
              <w:t>will</w:t>
            </w:r>
            <w:r w:rsidR="002A6DE0" w:rsidRPr="00185EFE">
              <w:rPr>
                <w:iCs w:val="0"/>
                <w:color w:val="auto"/>
              </w:rPr>
              <w:t xml:space="preserve"> </w:t>
            </w:r>
            <w:r w:rsidRPr="00185EFE">
              <w:rPr>
                <w:iCs w:val="0"/>
                <w:color w:val="auto"/>
              </w:rPr>
              <w:t xml:space="preserve">be limited to </w:t>
            </w:r>
            <w:r w:rsidR="002A6DE0" w:rsidRPr="00185EFE">
              <w:rPr>
                <w:iCs w:val="0"/>
                <w:color w:val="auto"/>
              </w:rPr>
              <w:t>PRD</w:t>
            </w:r>
            <w:r w:rsidRPr="00185EFE">
              <w:rPr>
                <w:iCs w:val="0"/>
                <w:color w:val="auto"/>
              </w:rPr>
              <w:t xml:space="preserve"> </w:t>
            </w:r>
            <w:r w:rsidR="00EA36F5" w:rsidRPr="00185EFE">
              <w:rPr>
                <w:iCs w:val="0"/>
                <w:color w:val="auto"/>
              </w:rPr>
              <w:t xml:space="preserve">in the possession of </w:t>
            </w:r>
            <w:r w:rsidR="00134B53">
              <w:rPr>
                <w:iCs w:val="0"/>
                <w:color w:val="auto"/>
              </w:rPr>
              <w:t xml:space="preserve">the Department of State administered by the Minister of Victoria administering the </w:t>
            </w:r>
            <w:r w:rsidR="00134B53" w:rsidRPr="00AC3737">
              <w:rPr>
                <w:i/>
                <w:color w:val="auto"/>
              </w:rPr>
              <w:t>National Electricity (Victoria) Ac</w:t>
            </w:r>
            <w:r w:rsidR="00134B53">
              <w:rPr>
                <w:i/>
                <w:color w:val="auto"/>
              </w:rPr>
              <w:t>t</w:t>
            </w:r>
            <w:r w:rsidR="00134B53" w:rsidRPr="00AC3737">
              <w:rPr>
                <w:i/>
                <w:color w:val="auto"/>
              </w:rPr>
              <w:t xml:space="preserve"> 2005 </w:t>
            </w:r>
            <w:r w:rsidR="00134B53" w:rsidRPr="00AC3737">
              <w:rPr>
                <w:iCs w:val="0"/>
                <w:color w:val="auto"/>
              </w:rPr>
              <w:t>(Vic)</w:t>
            </w:r>
            <w:r w:rsidR="00134B53">
              <w:rPr>
                <w:iCs w:val="0"/>
                <w:color w:val="auto"/>
              </w:rPr>
              <w:t>,</w:t>
            </w:r>
            <w:r w:rsidR="00EA36F5" w:rsidRPr="00185EFE">
              <w:rPr>
                <w:iCs w:val="0"/>
                <w:color w:val="auto"/>
              </w:rPr>
              <w:t xml:space="preserve"> </w:t>
            </w:r>
            <w:r w:rsidR="00B432AB" w:rsidRPr="00185EFE">
              <w:rPr>
                <w:iCs w:val="0"/>
                <w:color w:val="auto"/>
              </w:rPr>
              <w:t>and</w:t>
            </w:r>
            <w:r w:rsidR="002300F5" w:rsidRPr="00185EFE">
              <w:rPr>
                <w:iCs w:val="0"/>
                <w:color w:val="auto"/>
              </w:rPr>
              <w:t xml:space="preserve"> will be</w:t>
            </w:r>
            <w:r w:rsidR="00B432AB" w:rsidRPr="00185EFE">
              <w:rPr>
                <w:iCs w:val="0"/>
                <w:color w:val="auto"/>
              </w:rPr>
              <w:t xml:space="preserve"> in relation to</w:t>
            </w:r>
            <w:r w:rsidR="0041027F" w:rsidRPr="00185EFE">
              <w:rPr>
                <w:iCs w:val="0"/>
                <w:color w:val="auto"/>
              </w:rPr>
              <w:t xml:space="preserve"> the Victorian</w:t>
            </w:r>
            <w:r w:rsidR="00AD5170" w:rsidRPr="00185EFE">
              <w:rPr>
                <w:iCs w:val="0"/>
                <w:color w:val="auto"/>
              </w:rPr>
              <w:t xml:space="preserve"> Government’s</w:t>
            </w:r>
            <w:r w:rsidR="0041027F" w:rsidRPr="00185EFE">
              <w:rPr>
                <w:iCs w:val="0"/>
                <w:color w:val="auto"/>
              </w:rPr>
              <w:t xml:space="preserve"> electricity and gas markets.</w:t>
            </w:r>
          </w:p>
        </w:tc>
      </w:tr>
    </w:tbl>
    <w:p w14:paraId="3CA07E3E" w14:textId="77777777" w:rsidR="00C91B5F" w:rsidRPr="00F00A18" w:rsidRDefault="00C91B5F" w:rsidP="00C91B5F"/>
    <w:p w14:paraId="7417F48D" w14:textId="77777777" w:rsidR="00C91B5F" w:rsidRPr="00F00A18" w:rsidRDefault="00C91B5F" w:rsidP="00C91B5F">
      <w:pPr>
        <w:sectPr w:rsidR="00C91B5F" w:rsidRPr="00F00A18" w:rsidSect="000423F3">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pgNumType w:chapStyle="9"/>
          <w:cols w:space="708"/>
          <w:titlePg/>
          <w:docGrid w:linePitch="360"/>
        </w:sectPr>
      </w:pPr>
    </w:p>
    <w:tbl>
      <w:tblPr>
        <w:tblW w:w="5000" w:type="pct"/>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264"/>
        <w:gridCol w:w="7658"/>
        <w:gridCol w:w="1929"/>
        <w:gridCol w:w="1699"/>
      </w:tblGrid>
      <w:tr w:rsidR="00C91B5F" w:rsidRPr="00F00A18" w14:paraId="666D7A2C" w14:textId="77777777" w:rsidTr="000423F3">
        <w:tc>
          <w:tcPr>
            <w:tcW w:w="14550" w:type="dxa"/>
            <w:gridSpan w:val="4"/>
            <w:shd w:val="clear" w:color="auto" w:fill="DEEAF6" w:themeFill="accent1" w:themeFillTint="33"/>
          </w:tcPr>
          <w:p w14:paraId="560DB1DE" w14:textId="77777777" w:rsidR="00C91B5F" w:rsidRPr="00F00A18" w:rsidRDefault="00C91B5F" w:rsidP="000423F3">
            <w:pPr>
              <w:pStyle w:val="Tableformat"/>
              <w:rPr>
                <w:b/>
                <w:color w:val="auto"/>
              </w:rPr>
            </w:pPr>
            <w:r w:rsidRPr="00F00A18">
              <w:rPr>
                <w:b/>
                <w:color w:val="auto"/>
              </w:rPr>
              <w:lastRenderedPageBreak/>
              <w:t>Table 2: Performance requirements, reporting and payment summary</w:t>
            </w:r>
          </w:p>
        </w:tc>
      </w:tr>
      <w:tr w:rsidR="00C91B5F" w:rsidRPr="00F00A18" w14:paraId="45D97D64" w14:textId="77777777" w:rsidTr="000423F3">
        <w:tc>
          <w:tcPr>
            <w:tcW w:w="3264" w:type="dxa"/>
            <w:shd w:val="clear" w:color="auto" w:fill="F2F2F2" w:themeFill="background1" w:themeFillShade="F2"/>
          </w:tcPr>
          <w:p w14:paraId="10F4D2BD" w14:textId="0D1B0CEA" w:rsidR="00C91B5F" w:rsidRPr="00F00A18" w:rsidRDefault="00C91B5F" w:rsidP="000423F3">
            <w:pPr>
              <w:pStyle w:val="Tableformat"/>
              <w:rPr>
                <w:b/>
                <w:color w:val="auto"/>
              </w:rPr>
            </w:pPr>
            <w:r w:rsidRPr="00F00A18">
              <w:rPr>
                <w:b/>
                <w:color w:val="auto"/>
              </w:rPr>
              <w:t>Output</w:t>
            </w:r>
          </w:p>
        </w:tc>
        <w:tc>
          <w:tcPr>
            <w:tcW w:w="7658" w:type="dxa"/>
            <w:shd w:val="clear" w:color="auto" w:fill="F2F2F2" w:themeFill="background1" w:themeFillShade="F2"/>
          </w:tcPr>
          <w:p w14:paraId="1B454D97" w14:textId="77777777" w:rsidR="00C91B5F" w:rsidRPr="00F00A18" w:rsidRDefault="00C91B5F" w:rsidP="000423F3">
            <w:pPr>
              <w:pStyle w:val="Tableformat"/>
              <w:rPr>
                <w:b/>
                <w:color w:val="auto"/>
              </w:rPr>
            </w:pPr>
            <w:r w:rsidRPr="00F00A18">
              <w:rPr>
                <w:b/>
                <w:color w:val="auto"/>
              </w:rPr>
              <w:t>Performance milestones</w:t>
            </w:r>
          </w:p>
        </w:tc>
        <w:tc>
          <w:tcPr>
            <w:tcW w:w="1929" w:type="dxa"/>
            <w:shd w:val="clear" w:color="auto" w:fill="F2F2F2" w:themeFill="background1" w:themeFillShade="F2"/>
          </w:tcPr>
          <w:p w14:paraId="4CBE64C9" w14:textId="18F43BE2" w:rsidR="00C91B5F" w:rsidRPr="00F00A18" w:rsidRDefault="00C91B5F" w:rsidP="000423F3">
            <w:pPr>
              <w:pStyle w:val="Tableformat"/>
              <w:rPr>
                <w:b/>
                <w:color w:val="auto"/>
              </w:rPr>
            </w:pPr>
            <w:r w:rsidRPr="00F00A18">
              <w:rPr>
                <w:b/>
                <w:color w:val="auto"/>
              </w:rPr>
              <w:t>Report due</w:t>
            </w:r>
          </w:p>
        </w:tc>
        <w:tc>
          <w:tcPr>
            <w:tcW w:w="1699" w:type="dxa"/>
            <w:shd w:val="clear" w:color="auto" w:fill="F2F2F2" w:themeFill="background1" w:themeFillShade="F2"/>
          </w:tcPr>
          <w:p w14:paraId="3F2D3F12" w14:textId="2720A011" w:rsidR="00C91B5F" w:rsidRPr="00F00A18" w:rsidRDefault="00C91B5F" w:rsidP="000423F3">
            <w:pPr>
              <w:pStyle w:val="Tableformat"/>
              <w:rPr>
                <w:b/>
                <w:color w:val="auto"/>
              </w:rPr>
            </w:pPr>
            <w:r w:rsidRPr="00F00A18">
              <w:rPr>
                <w:b/>
                <w:color w:val="auto"/>
              </w:rPr>
              <w:t>Payment</w:t>
            </w:r>
          </w:p>
        </w:tc>
      </w:tr>
      <w:tr w:rsidR="00EC73F4" w:rsidRPr="00F00A18" w14:paraId="5B09DD9B" w14:textId="77777777" w:rsidTr="006611C4">
        <w:tc>
          <w:tcPr>
            <w:tcW w:w="3264" w:type="dxa"/>
            <w:vMerge w:val="restart"/>
            <w:tcBorders>
              <w:top w:val="single" w:sz="8" w:space="0" w:color="4F81BD"/>
              <w:left w:val="single" w:sz="8" w:space="0" w:color="4F81BD"/>
              <w:right w:val="single" w:sz="8" w:space="0" w:color="4F81BD"/>
            </w:tcBorders>
          </w:tcPr>
          <w:p w14:paraId="058E7890" w14:textId="6552DC19" w:rsidR="00EC73F4" w:rsidRDefault="00BF5D9A" w:rsidP="000423F3">
            <w:pPr>
              <w:pStyle w:val="Milestonetable"/>
              <w:rPr>
                <w:color w:val="auto"/>
              </w:rPr>
            </w:pPr>
            <w:r w:rsidRPr="00BF5D9A">
              <w:rPr>
                <w:color w:val="auto"/>
              </w:rPr>
              <w:t xml:space="preserve">Implementation of </w:t>
            </w:r>
            <w:r w:rsidR="00EC73F4" w:rsidRPr="00EC73F4">
              <w:rPr>
                <w:color w:val="auto"/>
              </w:rPr>
              <w:t>Consumer Data Right IT Infrastructure</w:t>
            </w:r>
            <w:r w:rsidR="004301EE">
              <w:rPr>
                <w:color w:val="auto"/>
              </w:rPr>
              <w:t xml:space="preserve"> for PRD</w:t>
            </w: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45B3E6D5" w14:textId="76477856" w:rsidR="00EC73F4" w:rsidRDefault="00EC73F4" w:rsidP="007B2A76">
            <w:pPr>
              <w:pStyle w:val="Milestonetable"/>
              <w:rPr>
                <w:color w:val="auto"/>
              </w:rPr>
            </w:pPr>
            <w:r>
              <w:rPr>
                <w:color w:val="auto"/>
              </w:rPr>
              <w:t>Execution of this Schedule</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21AB4DE6" w14:textId="63BE64B5" w:rsidR="00EC73F4" w:rsidRPr="00F00A18" w:rsidRDefault="00EC73F4" w:rsidP="000423F3">
            <w:pPr>
              <w:pStyle w:val="Milestonetable"/>
              <w:rPr>
                <w:color w:val="auto"/>
              </w:rPr>
            </w:pPr>
            <w:r>
              <w:rPr>
                <w:color w:val="auto"/>
              </w:rPr>
              <w:t>Upon execution of th</w:t>
            </w:r>
            <w:r w:rsidR="00AD5170">
              <w:rPr>
                <w:color w:val="auto"/>
              </w:rPr>
              <w:t>is</w:t>
            </w:r>
            <w:r>
              <w:rPr>
                <w:color w:val="auto"/>
              </w:rPr>
              <w:t xml:space="preserve"> </w:t>
            </w:r>
            <w:r w:rsidR="00AD5170">
              <w:rPr>
                <w:color w:val="auto"/>
              </w:rPr>
              <w:t>S</w:t>
            </w:r>
            <w:r>
              <w:rPr>
                <w:color w:val="auto"/>
              </w:rPr>
              <w:t>chedule</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43D84633" w14:textId="09AF1C8D" w:rsidR="00EC73F4" w:rsidRPr="00F00A18" w:rsidRDefault="00EC73F4" w:rsidP="000423F3">
            <w:pPr>
              <w:pStyle w:val="Milestonetable"/>
              <w:jc w:val="right"/>
              <w:rPr>
                <w:color w:val="auto"/>
              </w:rPr>
            </w:pPr>
            <w:r>
              <w:rPr>
                <w:color w:val="auto"/>
              </w:rPr>
              <w:t>$984,000</w:t>
            </w:r>
          </w:p>
        </w:tc>
      </w:tr>
      <w:tr w:rsidR="00EC73F4" w:rsidRPr="00F00A18" w14:paraId="7A3F754E" w14:textId="77777777" w:rsidTr="006611C4">
        <w:tc>
          <w:tcPr>
            <w:tcW w:w="3264" w:type="dxa"/>
            <w:vMerge/>
            <w:tcBorders>
              <w:left w:val="single" w:sz="8" w:space="0" w:color="4F81BD"/>
              <w:bottom w:val="single" w:sz="8" w:space="0" w:color="4F81BD"/>
              <w:right w:val="single" w:sz="8" w:space="0" w:color="4F81BD"/>
            </w:tcBorders>
          </w:tcPr>
          <w:p w14:paraId="3CEA6F61" w14:textId="3F0D050B" w:rsidR="00EC73F4" w:rsidRDefault="00EC73F4" w:rsidP="000423F3">
            <w:pPr>
              <w:pStyle w:val="Milestonetable"/>
              <w:rPr>
                <w:color w:val="auto"/>
              </w:rPr>
            </w:pPr>
          </w:p>
        </w:tc>
        <w:tc>
          <w:tcPr>
            <w:tcW w:w="7658" w:type="dxa"/>
            <w:tcBorders>
              <w:top w:val="single" w:sz="8" w:space="0" w:color="4F81BD"/>
              <w:left w:val="single" w:sz="8" w:space="0" w:color="4F81BD"/>
              <w:bottom w:val="single" w:sz="8" w:space="0" w:color="4F81BD"/>
              <w:right w:val="single" w:sz="8" w:space="0" w:color="4F81BD"/>
            </w:tcBorders>
            <w:shd w:val="clear" w:color="auto" w:fill="auto"/>
          </w:tcPr>
          <w:p w14:paraId="08BFAE70" w14:textId="6F676559" w:rsidR="0099487C" w:rsidRDefault="0099487C" w:rsidP="007B2A76">
            <w:pPr>
              <w:pStyle w:val="Milestonetable"/>
              <w:rPr>
                <w:color w:val="auto"/>
              </w:rPr>
            </w:pPr>
            <w:r>
              <w:rPr>
                <w:color w:val="auto"/>
              </w:rPr>
              <w:t>Confirmation from the Victorian Government</w:t>
            </w:r>
            <w:r w:rsidR="00A66D18" w:rsidRPr="00A66D18">
              <w:rPr>
                <w:color w:val="auto"/>
              </w:rPr>
              <w:t xml:space="preserve">, through an email between </w:t>
            </w:r>
            <w:r w:rsidR="00134B53">
              <w:rPr>
                <w:color w:val="auto"/>
              </w:rPr>
              <w:t>Victorian and  C</w:t>
            </w:r>
            <w:r w:rsidR="00A66D18" w:rsidRPr="00A66D18">
              <w:rPr>
                <w:color w:val="auto"/>
              </w:rPr>
              <w:t>ommonwealth officials, that</w:t>
            </w:r>
            <w:r w:rsidR="00A66D18" w:rsidRPr="00A66D18" w:rsidDel="00A66D18">
              <w:rPr>
                <w:color w:val="auto"/>
              </w:rPr>
              <w:t xml:space="preserve"> </w:t>
            </w:r>
            <w:r>
              <w:rPr>
                <w:color w:val="auto"/>
              </w:rPr>
              <w:t xml:space="preserve">the implementation date as set out in the CDR rules </w:t>
            </w:r>
            <w:r w:rsidR="0092591D">
              <w:rPr>
                <w:color w:val="auto"/>
              </w:rPr>
              <w:t xml:space="preserve">for </w:t>
            </w:r>
            <w:r w:rsidR="009579BE">
              <w:rPr>
                <w:color w:val="auto"/>
              </w:rPr>
              <w:t xml:space="preserve">energy </w:t>
            </w:r>
            <w:r w:rsidR="0092591D">
              <w:rPr>
                <w:color w:val="auto"/>
              </w:rPr>
              <w:t xml:space="preserve">PRD </w:t>
            </w:r>
            <w:r>
              <w:rPr>
                <w:color w:val="auto"/>
              </w:rPr>
              <w:t xml:space="preserve">will be met. </w:t>
            </w:r>
          </w:p>
        </w:tc>
        <w:tc>
          <w:tcPr>
            <w:tcW w:w="1929" w:type="dxa"/>
            <w:tcBorders>
              <w:top w:val="single" w:sz="8" w:space="0" w:color="4F81BD"/>
              <w:left w:val="single" w:sz="8" w:space="0" w:color="4F81BD"/>
              <w:bottom w:val="single" w:sz="8" w:space="0" w:color="4F81BD"/>
              <w:right w:val="single" w:sz="8" w:space="0" w:color="4F81BD"/>
            </w:tcBorders>
            <w:shd w:val="clear" w:color="auto" w:fill="auto"/>
          </w:tcPr>
          <w:p w14:paraId="3C93BC21" w14:textId="068DFA68" w:rsidR="00EC73F4" w:rsidRPr="00F00A18" w:rsidRDefault="00EC73F4" w:rsidP="000423F3">
            <w:pPr>
              <w:pStyle w:val="Milestonetable"/>
              <w:rPr>
                <w:color w:val="auto"/>
              </w:rPr>
            </w:pPr>
            <w:r>
              <w:rPr>
                <w:color w:val="auto"/>
              </w:rPr>
              <w:t>15/07/2022</w:t>
            </w:r>
          </w:p>
        </w:tc>
        <w:tc>
          <w:tcPr>
            <w:tcW w:w="1699" w:type="dxa"/>
            <w:tcBorders>
              <w:top w:val="single" w:sz="8" w:space="0" w:color="4F81BD"/>
              <w:left w:val="single" w:sz="8" w:space="0" w:color="4F81BD"/>
              <w:bottom w:val="single" w:sz="8" w:space="0" w:color="4F81BD"/>
              <w:right w:val="single" w:sz="8" w:space="0" w:color="4F81BD"/>
            </w:tcBorders>
            <w:shd w:val="clear" w:color="auto" w:fill="auto"/>
          </w:tcPr>
          <w:p w14:paraId="0AA515BC" w14:textId="756A22A8" w:rsidR="00EC73F4" w:rsidRPr="00F00A18" w:rsidRDefault="00BF5D9A" w:rsidP="000423F3">
            <w:pPr>
              <w:pStyle w:val="Milestonetable"/>
              <w:jc w:val="right"/>
              <w:rPr>
                <w:color w:val="auto"/>
              </w:rPr>
            </w:pPr>
            <w:r>
              <w:rPr>
                <w:color w:val="auto"/>
              </w:rPr>
              <w:t>$</w:t>
            </w:r>
            <w:r w:rsidR="00EC73F4">
              <w:rPr>
                <w:color w:val="auto"/>
              </w:rPr>
              <w:t>854,000</w:t>
            </w:r>
          </w:p>
        </w:tc>
      </w:tr>
    </w:tbl>
    <w:p w14:paraId="3CA5FCAF" w14:textId="77777777" w:rsidR="00C91B5F" w:rsidRDefault="00C91B5F" w:rsidP="00C91B5F"/>
    <w:p w14:paraId="7245F9C3" w14:textId="77777777" w:rsidR="00C91B5F" w:rsidRDefault="00C91B5F" w:rsidP="00C91B5F">
      <w:pPr>
        <w:rPr>
          <w:lang w:val="en-GB"/>
        </w:rPr>
      </w:pPr>
      <w:r w:rsidRPr="00A50751">
        <w:rPr>
          <w:lang w:val="en-GB"/>
        </w:rPr>
        <w:t>The</w:t>
      </w:r>
      <w:r w:rsidRPr="00185EFE">
        <w:rPr>
          <w:sz w:val="20"/>
          <w:szCs w:val="20"/>
          <w:lang w:val="en-GB"/>
        </w:rPr>
        <w:t xml:space="preserve"> </w:t>
      </w:r>
      <w:r w:rsidRPr="00185EFE">
        <w:t>Parties</w:t>
      </w:r>
      <w:r w:rsidRPr="00A50751">
        <w:rPr>
          <w:lang w:val="en-GB"/>
        </w:rPr>
        <w:t xml:space="preserve"> have confirmed their commitment to this </w:t>
      </w:r>
      <w:r>
        <w:rPr>
          <w:lang w:val="en-GB"/>
        </w:rPr>
        <w:t>schedule</w:t>
      </w:r>
      <w:r w:rsidRPr="00A50751">
        <w:rPr>
          <w:lang w:val="en-GB"/>
        </w:rPr>
        <w:t xml:space="preserve"> as follows:</w:t>
      </w:r>
    </w:p>
    <w:p w14:paraId="018BB34B" w14:textId="77777777" w:rsidR="00C91B5F" w:rsidRDefault="00C91B5F" w:rsidP="00C91B5F">
      <w:pPr>
        <w:rPr>
          <w:lang w:val="en-GB"/>
        </w:rPr>
      </w:pPr>
    </w:p>
    <w:tbl>
      <w:tblPr>
        <w:tblW w:w="0" w:type="auto"/>
        <w:jc w:val="center"/>
        <w:tblLayout w:type="fixed"/>
        <w:tblLook w:val="01E0" w:firstRow="1" w:lastRow="1" w:firstColumn="1" w:lastColumn="1" w:noHBand="0" w:noVBand="0"/>
      </w:tblPr>
      <w:tblGrid>
        <w:gridCol w:w="4536"/>
        <w:gridCol w:w="1701"/>
        <w:gridCol w:w="4536"/>
      </w:tblGrid>
      <w:tr w:rsidR="00C91B5F" w:rsidRPr="00A50751" w14:paraId="6EDBD23D" w14:textId="77777777" w:rsidTr="000423F3">
        <w:trPr>
          <w:cantSplit/>
          <w:jc w:val="center"/>
        </w:trPr>
        <w:tc>
          <w:tcPr>
            <w:tcW w:w="4536" w:type="dxa"/>
          </w:tcPr>
          <w:p w14:paraId="6769E4B0" w14:textId="77777777" w:rsidR="00C91B5F" w:rsidRPr="004A0AE7" w:rsidRDefault="00C91B5F" w:rsidP="000423F3">
            <w:pPr>
              <w:pStyle w:val="Signed"/>
            </w:pPr>
            <w:r>
              <w:rPr>
                <w:rStyle w:val="SignedBold"/>
              </w:rPr>
              <w:t>Signed</w:t>
            </w:r>
            <w:r w:rsidRPr="004A0AE7">
              <w:t xml:space="preserve"> for and on behalf of the</w:t>
            </w:r>
            <w:r>
              <w:t xml:space="preserve"> </w:t>
            </w:r>
            <w:r w:rsidRPr="004A0AE7">
              <w:t xml:space="preserve">Commonwealth of </w:t>
            </w:r>
            <w:smartTag w:uri="urn:schemas-microsoft-com:office:smarttags" w:element="place">
              <w:smartTag w:uri="urn:schemas-microsoft-com:office:smarttags" w:element="country-region">
                <w:r w:rsidRPr="004A0AE7">
                  <w:t>Australia</w:t>
                </w:r>
              </w:smartTag>
            </w:smartTag>
            <w:r w:rsidRPr="004A0AE7">
              <w:t xml:space="preserve"> by</w:t>
            </w:r>
          </w:p>
          <w:p w14:paraId="647726BA" w14:textId="77777777" w:rsidR="00C91B5F" w:rsidRPr="00A50751" w:rsidRDefault="00C91B5F" w:rsidP="000423F3">
            <w:pPr>
              <w:pStyle w:val="LineForSignature"/>
            </w:pPr>
            <w:r>
              <w:br/>
            </w:r>
            <w:r>
              <w:tab/>
            </w:r>
          </w:p>
          <w:p w14:paraId="4A159D5D" w14:textId="7D5C0312" w:rsidR="00C91B5F" w:rsidRPr="003B0D2B" w:rsidRDefault="003B0D2B" w:rsidP="000423F3">
            <w:pPr>
              <w:pStyle w:val="SingleParagraph"/>
              <w:rPr>
                <w:rStyle w:val="Bold"/>
              </w:rPr>
            </w:pPr>
            <w:r w:rsidRPr="003B0D2B">
              <w:rPr>
                <w:rStyle w:val="Bold"/>
              </w:rPr>
              <w:t>The Honourable Jane Hume</w:t>
            </w:r>
            <w:r w:rsidR="00C91B5F" w:rsidRPr="003B0D2B">
              <w:rPr>
                <w:rStyle w:val="Bold"/>
              </w:rPr>
              <w:t xml:space="preserve"> MP</w:t>
            </w:r>
          </w:p>
          <w:p w14:paraId="3A42D2ED" w14:textId="6F296911" w:rsidR="00C91B5F" w:rsidRDefault="003B0D2B" w:rsidP="005F7324">
            <w:pPr>
              <w:pStyle w:val="Position"/>
              <w:spacing w:line="240" w:lineRule="auto"/>
              <w:rPr>
                <w:lang w:val="en-GB"/>
              </w:rPr>
            </w:pPr>
            <w:r w:rsidRPr="003B0D2B">
              <w:rPr>
                <w:lang w:val="en-GB"/>
              </w:rPr>
              <w:t>Minister for Superannuation</w:t>
            </w:r>
            <w:r>
              <w:rPr>
                <w:lang w:val="en-GB"/>
              </w:rPr>
              <w:t>, Financial Services and the Digital Economy</w:t>
            </w:r>
          </w:p>
          <w:p w14:paraId="22B0A983" w14:textId="20CEF7E1" w:rsidR="003B0D2B" w:rsidRDefault="003B0D2B" w:rsidP="005F7324">
            <w:pPr>
              <w:pStyle w:val="Position"/>
              <w:spacing w:line="240" w:lineRule="auto"/>
              <w:rPr>
                <w:lang w:val="en-GB"/>
              </w:rPr>
            </w:pPr>
            <w:r>
              <w:rPr>
                <w:lang w:val="en-GB"/>
              </w:rPr>
              <w:t>Minister for Women’s Economic Security</w:t>
            </w:r>
          </w:p>
          <w:p w14:paraId="30A29548" w14:textId="1A2A54DD" w:rsidR="00C91B5F" w:rsidRDefault="00C91B5F" w:rsidP="000423F3">
            <w:pPr>
              <w:pStyle w:val="SingleParagraph"/>
              <w:tabs>
                <w:tab w:val="num" w:pos="1134"/>
              </w:tabs>
              <w:spacing w:after="240"/>
              <w:rPr>
                <w:b/>
                <w:lang w:val="en-GB"/>
              </w:rPr>
            </w:pPr>
            <w:r w:rsidRPr="00185EFE">
              <w:rPr>
                <w:sz w:val="22"/>
                <w:szCs w:val="18"/>
                <w:lang w:val="en-GB"/>
              </w:rPr>
              <w:t xml:space="preserve">[Day]  [Month]  </w:t>
            </w:r>
            <w:r w:rsidR="00C95611" w:rsidRPr="00185EFE">
              <w:rPr>
                <w:sz w:val="22"/>
                <w:szCs w:val="18"/>
                <w:lang w:val="en-GB"/>
              </w:rPr>
              <w:t>2021</w:t>
            </w:r>
          </w:p>
        </w:tc>
        <w:tc>
          <w:tcPr>
            <w:tcW w:w="1701" w:type="dxa"/>
            <w:tcMar>
              <w:left w:w="0" w:type="dxa"/>
              <w:right w:w="0" w:type="dxa"/>
            </w:tcMar>
          </w:tcPr>
          <w:p w14:paraId="6845B40F" w14:textId="77777777" w:rsidR="00C91B5F" w:rsidRPr="00A50751" w:rsidRDefault="00C91B5F" w:rsidP="000423F3">
            <w:pPr>
              <w:rPr>
                <w:rFonts w:ascii="Book Antiqua" w:hAnsi="Book Antiqua"/>
                <w:lang w:val="en-GB"/>
              </w:rPr>
            </w:pPr>
          </w:p>
        </w:tc>
        <w:tc>
          <w:tcPr>
            <w:tcW w:w="4536" w:type="dxa"/>
          </w:tcPr>
          <w:p w14:paraId="55199989" w14:textId="25341479" w:rsidR="00C91B5F" w:rsidRPr="004A0AE7" w:rsidRDefault="00C91B5F" w:rsidP="000423F3">
            <w:pPr>
              <w:pStyle w:val="Signed"/>
            </w:pPr>
            <w:r>
              <w:rPr>
                <w:rStyle w:val="SignedBold"/>
              </w:rPr>
              <w:t>Signed</w:t>
            </w:r>
            <w:r w:rsidRPr="004A0AE7">
              <w:t xml:space="preserve"> for and on behalf of the</w:t>
            </w:r>
            <w:r>
              <w:t xml:space="preserve"> </w:t>
            </w:r>
            <w:r w:rsidRPr="004A0AE7">
              <w:br/>
              <w:t xml:space="preserve">State of </w:t>
            </w:r>
            <w:r w:rsidR="00CC1DC3">
              <w:t>Victoria</w:t>
            </w:r>
            <w:r w:rsidR="00CC1DC3" w:rsidRPr="004A0AE7">
              <w:t xml:space="preserve"> </w:t>
            </w:r>
            <w:r w:rsidRPr="004A0AE7">
              <w:t>by</w:t>
            </w:r>
          </w:p>
          <w:p w14:paraId="522400CC" w14:textId="77777777" w:rsidR="00C91B5F" w:rsidRPr="00A50751" w:rsidRDefault="00C91B5F" w:rsidP="000423F3">
            <w:pPr>
              <w:pStyle w:val="LineForSignature"/>
            </w:pPr>
            <w:r>
              <w:br/>
            </w:r>
            <w:r w:rsidRPr="00A50751">
              <w:tab/>
            </w:r>
          </w:p>
          <w:p w14:paraId="4A3F7EC1" w14:textId="6E571783" w:rsidR="00C91B5F" w:rsidRPr="005F7324" w:rsidRDefault="005F7324" w:rsidP="000423F3">
            <w:pPr>
              <w:pStyle w:val="SingleParagraph"/>
              <w:rPr>
                <w:rStyle w:val="Bold"/>
              </w:rPr>
            </w:pPr>
            <w:r w:rsidRPr="005F7324">
              <w:rPr>
                <w:rStyle w:val="Bold"/>
              </w:rPr>
              <w:t>The Honourable Lily D’Ambrosio</w:t>
            </w:r>
            <w:r w:rsidR="00C91B5F" w:rsidRPr="005F7324">
              <w:rPr>
                <w:rStyle w:val="Bold"/>
              </w:rPr>
              <w:t xml:space="preserve"> MP</w:t>
            </w:r>
          </w:p>
          <w:p w14:paraId="00EE9A7E" w14:textId="1E15EE25" w:rsidR="00C91B5F" w:rsidRDefault="005F7324" w:rsidP="005F7324">
            <w:pPr>
              <w:pStyle w:val="Position"/>
              <w:spacing w:line="240" w:lineRule="auto"/>
              <w:rPr>
                <w:lang w:val="en-GB"/>
              </w:rPr>
            </w:pPr>
            <w:r w:rsidRPr="005F7324">
              <w:rPr>
                <w:lang w:val="en-GB"/>
              </w:rPr>
              <w:t>Minister for Energy, Environment and Climate</w:t>
            </w:r>
            <w:r>
              <w:rPr>
                <w:lang w:val="en-GB"/>
              </w:rPr>
              <w:t xml:space="preserve"> Change</w:t>
            </w:r>
          </w:p>
          <w:p w14:paraId="4A5DBDF2" w14:textId="6A1D91C6" w:rsidR="005F7324" w:rsidRDefault="005F7324" w:rsidP="005F7324">
            <w:pPr>
              <w:pStyle w:val="Position"/>
              <w:spacing w:line="240" w:lineRule="auto"/>
              <w:rPr>
                <w:lang w:val="en-GB"/>
              </w:rPr>
            </w:pPr>
            <w:r>
              <w:rPr>
                <w:lang w:val="en-GB"/>
              </w:rPr>
              <w:t>Minister for Solar Homes</w:t>
            </w:r>
          </w:p>
          <w:p w14:paraId="5CA98839" w14:textId="65066558" w:rsidR="00C91B5F" w:rsidRPr="00185EFE" w:rsidRDefault="00C91B5F" w:rsidP="000423F3">
            <w:pPr>
              <w:rPr>
                <w:rFonts w:ascii="Corbel" w:hAnsi="Corbel"/>
                <w:lang w:val="en-GB"/>
              </w:rPr>
            </w:pPr>
            <w:r w:rsidRPr="00185EFE">
              <w:rPr>
                <w:rFonts w:ascii="Corbel" w:hAnsi="Corbel"/>
                <w:lang w:val="en-GB"/>
              </w:rPr>
              <w:t xml:space="preserve">[Day]  [Month]  </w:t>
            </w:r>
            <w:r w:rsidR="00C95611" w:rsidRPr="00185EFE">
              <w:rPr>
                <w:rFonts w:ascii="Corbel" w:hAnsi="Corbel"/>
                <w:lang w:val="en-GB"/>
              </w:rPr>
              <w:t>2021</w:t>
            </w:r>
          </w:p>
        </w:tc>
      </w:tr>
    </w:tbl>
    <w:p w14:paraId="75B2AA94" w14:textId="40903DB8" w:rsidR="00884E8F" w:rsidRPr="00F00A18" w:rsidRDefault="00884E8F" w:rsidP="008B6730">
      <w:pPr>
        <w:sectPr w:rsidR="00884E8F" w:rsidRPr="00F00A18" w:rsidSect="000423F3">
          <w:headerReference w:type="even" r:id="rId20"/>
          <w:headerReference w:type="default" r:id="rId21"/>
          <w:headerReference w:type="first" r:id="rId22"/>
          <w:pgSz w:w="16838" w:h="11906" w:orient="landscape" w:code="9"/>
          <w:pgMar w:top="1134" w:right="1134" w:bottom="1134" w:left="1134" w:header="709" w:footer="709" w:gutter="0"/>
          <w:pgNumType w:chapStyle="9"/>
          <w:cols w:space="708"/>
          <w:titlePg/>
          <w:docGrid w:linePitch="360"/>
        </w:sectPr>
      </w:pPr>
    </w:p>
    <w:p w14:paraId="2CD6E0F2" w14:textId="77777777" w:rsidR="00F51216" w:rsidRPr="00F51216" w:rsidRDefault="00F51216" w:rsidP="00F51216"/>
    <w:sectPr w:rsidR="00F51216" w:rsidRPr="00F51216" w:rsidSect="00884E8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A0F04C" w14:textId="77777777" w:rsidR="00796E38" w:rsidRDefault="00796E38">
      <w:r>
        <w:separator/>
      </w:r>
    </w:p>
  </w:endnote>
  <w:endnote w:type="continuationSeparator" w:id="0">
    <w:p w14:paraId="19CDA9AB" w14:textId="77777777" w:rsidR="00796E38" w:rsidRDefault="00796E38">
      <w:r>
        <w:continuationSeparator/>
      </w:r>
    </w:p>
  </w:endnote>
  <w:endnote w:type="continuationNotice" w:id="1">
    <w:p w14:paraId="5A807625" w14:textId="77777777" w:rsidR="00796E38" w:rsidRDefault="00796E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onsolas">
    <w:panose1 w:val="020B0609020204030204"/>
    <w:charset w:val="00"/>
    <w:family w:val="modern"/>
    <w:pitch w:val="fixed"/>
    <w:sig w:usb0="E00006FF" w:usb1="0000F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F6331" w14:textId="77777777" w:rsidR="008065C6" w:rsidRDefault="008065C6">
    <w:pPr>
      <w:pStyle w:val="FooterEven"/>
    </w:pPr>
    <w:r>
      <w:t>Page D-2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3E401" w14:textId="2E23DD5E" w:rsidR="008065C6" w:rsidRDefault="00292457" w:rsidP="000423F3">
    <w:pPr>
      <w:pStyle w:val="Footer"/>
      <w:jc w:val="right"/>
    </w:pPr>
    <w:r>
      <w:rPr>
        <w:noProof/>
      </w:rPr>
      <mc:AlternateContent>
        <mc:Choice Requires="wps">
          <w:drawing>
            <wp:anchor distT="0" distB="0" distL="114300" distR="114300" simplePos="0" relativeHeight="251659264" behindDoc="0" locked="0" layoutInCell="0" allowOverlap="1" wp14:anchorId="30F0376A" wp14:editId="55DE31F8">
              <wp:simplePos x="0" y="0"/>
              <wp:positionH relativeFrom="page">
                <wp:align>center</wp:align>
              </wp:positionH>
              <wp:positionV relativeFrom="page">
                <wp:align>bottom</wp:align>
              </wp:positionV>
              <wp:extent cx="7772400" cy="463550"/>
              <wp:effectExtent l="0" t="0" r="0" b="12700"/>
              <wp:wrapNone/>
              <wp:docPr id="1" name="MSIPCM2ca246009fe44c6113af234d" descr="{&quot;HashCode&quot;:-1264680268,&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4EF581" w14:textId="329B1B41" w:rsidR="00292457" w:rsidRPr="00292457" w:rsidRDefault="00292457" w:rsidP="00292457">
                          <w:pPr>
                            <w:jc w:val="center"/>
                            <w:rPr>
                              <w:rFonts w:ascii="Calibri" w:hAnsi="Calibri" w:cs="Calibri"/>
                              <w:color w:val="000000"/>
                              <w:sz w:val="24"/>
                            </w:rPr>
                          </w:pPr>
                          <w:r w:rsidRPr="0029245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30F0376A" id="_x0000_t202" coordsize="21600,21600" o:spt="202" path="m,l,21600r21600,l21600,xe">
              <v:stroke joinstyle="miter"/>
              <v:path gradientshapeok="t" o:connecttype="rect"/>
            </v:shapetype>
            <v:shape id="MSIPCM2ca246009fe44c6113af234d" o:spid="_x0000_s1027" type="#_x0000_t202" alt="{&quot;HashCode&quot;:-1264680268,&quot;Height&quot;:9999999.0,&quot;Width&quot;:9999999.0,&quot;Placement&quot;:&quot;Footer&quot;,&quot;Index&quot;:&quot;Primary&quot;,&quot;Section&quot;:1,&quot;Top&quot;:0.0,&quot;Left&quot;:0.0}" style="position:absolute;left:0;text-align:left;margin-left:0;margin-top:0;width:612pt;height:36.5pt;z-index:251659264;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KHrAIAAFEFAAAOAAAAZHJzL2Uyb0RvYy54bWysVF9P2zAQf5+072D5YU9bk4ZQoCNFXREb&#10;UoFKZeLZdewmUuIztkvTTfvuOztuYWx7mZYH53z/73d3Pr/o2oY8CWNrUAUdDlJKhOJQ1mpd0K/3&#10;Vx9OKbGOqZI1oERBd8LSi8nbN+dbPRYZVNCUwhB0oux4qwtaOafHSWJ5JVpmB6CFQqEE0zKHV7NO&#10;SsO26L1tkixNR8kWTKkNcGEtci97IZ0E/1IK7u6ktMKRpqCYmwunCefKn8nknI3Xhumq5jEN9g9Z&#10;tKxWGPTg6pI5Rjam/s1VW3MDFqQbcGgTkLLmItSA1QzTV9UsK6ZFqAXBsfoAk/1/bvnt08KQusTe&#10;UaJYiy26WV4vZjcZZ1k+StMzKfKcj4bDIyazo7ykpBSWI4Lf3z1uwH38wmw1g1L0t/GHYTbKR6dp&#10;Njp9HxVEva5cFJ/13yCNwoe6dNVfZIuGcdEKtbft1a4AnDA9HZ1cq1J00Un/W5i6ZWb3i9YSZwGH&#10;NOoNo+096MhJD0nNhdzHROYPPyNbbccI1VIjWK77BJ3HK/ItMn3rO2la/8emEpTjtO0OEyY6Rzgy&#10;T05OsjxFEUdZPjo6Pg4jmDxba2PdZwEt8URBDWYdBos9za3DiKi6V/HBFFzVTROmuFFkW1D0mQaD&#10;gwQtGoWGvoY+V0+5btXFAlZQ7rAuA/12WM2vagw+Z9YtmMF1wHxxxd0dHrIBDAKRoqQC8+1PfK+P&#10;U4pSSra4XgW1jxtmBCXNtcL5PRvmud/HcEHCvOSu9ly1aWeAm4uziVkF0uu6Zk9KA+0DvgBTHw1F&#10;THGMWVDuzP4yc3hHEb4hXEyngcbd08zN1VJz79wD6UG97x6Y0RF5hz27hf0KsvGrBvS6fQumGwey&#10;Dt3x0PZ4RsRxb0PT4hvjH4aX96D1/BJOfgIAAP//AwBQSwMEFAAGAAgAAAAhAL4fCrfaAAAABQEA&#10;AA8AAABkcnMvZG93bnJldi54bWxMj0tPwzAQhO9I/AdrkbhRmxSVKsSpeAgJTqiBS29uvHlAvI5i&#10;tzH/ni0XuKw0mtnZb4tNcoM44hR6TxquFwoEUu1tT62Gj/fnqzWIEA1ZM3hCDd8YYFOenxUmt36m&#10;LR6r2AouoZAbDV2MYy5lqDt0Jiz8iMRe4ydnIsuplXYyM5e7QWZKraQzPfGFzoz42GH9VR0cY/jx&#10;NftczeppmXbVS2reHvrYaH15ke7vQERM8S8MJ3zegZKZ9v5ANohBAz8Sf+fJy7Ib1nsNt0sFsizk&#10;f/ryBwAA//8DAFBLAQItABQABgAIAAAAIQC2gziS/gAAAOEBAAATAAAAAAAAAAAAAAAAAAAAAABb&#10;Q29udGVudF9UeXBlc10ueG1sUEsBAi0AFAAGAAgAAAAhADj9If/WAAAAlAEAAAsAAAAAAAAAAAAA&#10;AAAALwEAAF9yZWxzLy5yZWxzUEsBAi0AFAAGAAgAAAAhACoUAoesAgAAUQUAAA4AAAAAAAAAAAAA&#10;AAAALgIAAGRycy9lMm9Eb2MueG1sUEsBAi0AFAAGAAgAAAAhAL4fCrfaAAAABQEAAA8AAAAAAAAA&#10;AAAAAAAABgUAAGRycy9kb3ducmV2LnhtbFBLBQYAAAAABAAEAPMAAAANBgAAAAA=&#10;" o:allowincell="f" filled="f" stroked="f" strokeweight=".5pt">
              <v:textbox inset=",0,,0">
                <w:txbxContent>
                  <w:p w14:paraId="064EF581" w14:textId="329B1B41" w:rsidR="00292457" w:rsidRPr="00292457" w:rsidRDefault="00292457" w:rsidP="00292457">
                    <w:pPr>
                      <w:jc w:val="center"/>
                      <w:rPr>
                        <w:rFonts w:ascii="Calibri" w:hAnsi="Calibri" w:cs="Calibri"/>
                        <w:color w:val="000000"/>
                        <w:sz w:val="24"/>
                      </w:rPr>
                    </w:pPr>
                    <w:r w:rsidRPr="00292457">
                      <w:rPr>
                        <w:rFonts w:ascii="Calibri" w:hAnsi="Calibri" w:cs="Calibri"/>
                        <w:color w:val="000000"/>
                        <w:sz w:val="24"/>
                      </w:rPr>
                      <w:t>OFFICIAL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BF7E4" w14:textId="6D3E54B1" w:rsidR="008065C6" w:rsidRPr="00CA24B0" w:rsidRDefault="00292457" w:rsidP="000423F3">
    <w:pPr>
      <w:pStyle w:val="Footer"/>
      <w:jc w:val="right"/>
    </w:pPr>
    <w:r>
      <w:rPr>
        <w:noProof/>
      </w:rPr>
      <mc:AlternateContent>
        <mc:Choice Requires="wps">
          <w:drawing>
            <wp:anchor distT="0" distB="0" distL="114300" distR="114300" simplePos="0" relativeHeight="251660288" behindDoc="0" locked="0" layoutInCell="0" allowOverlap="1" wp14:anchorId="0B440363" wp14:editId="64590DCB">
              <wp:simplePos x="0" y="0"/>
              <wp:positionH relativeFrom="page">
                <wp:align>center</wp:align>
              </wp:positionH>
              <wp:positionV relativeFrom="page">
                <wp:align>bottom</wp:align>
              </wp:positionV>
              <wp:extent cx="7772400" cy="463550"/>
              <wp:effectExtent l="0" t="0" r="0" b="12700"/>
              <wp:wrapNone/>
              <wp:docPr id="2" name="MSIPCM14d142eb873914bc244880d9" descr="{&quot;HashCode&quot;:-1264680268,&quot;Height&quot;:9999999.0,&quot;Width&quot;:9999999.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1B774DC" w14:textId="790E0529" w:rsidR="00292457" w:rsidRPr="00292457" w:rsidRDefault="00292457" w:rsidP="00292457">
                          <w:pPr>
                            <w:jc w:val="center"/>
                            <w:rPr>
                              <w:rFonts w:ascii="Calibri" w:hAnsi="Calibri" w:cs="Calibri"/>
                              <w:color w:val="000000"/>
                              <w:sz w:val="24"/>
                            </w:rPr>
                          </w:pPr>
                          <w:r w:rsidRPr="00292457">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B440363" id="_x0000_t202" coordsize="21600,21600" o:spt="202" path="m,l,21600r21600,l21600,xe">
              <v:stroke joinstyle="miter"/>
              <v:path gradientshapeok="t" o:connecttype="rect"/>
            </v:shapetype>
            <v:shape id="MSIPCM14d142eb873914bc244880d9" o:spid="_x0000_s1028" type="#_x0000_t202" alt="{&quot;HashCode&quot;:-1264680268,&quot;Height&quot;:9999999.0,&quot;Width&quot;:9999999.0,&quot;Placement&quot;:&quot;Footer&quot;,&quot;Index&quot;:&quot;FirstPage&quot;,&quot;Section&quot;:1,&quot;Top&quot;:0.0,&quot;Left&quot;:0.0}" style="position:absolute;left:0;text-align:left;margin-left:0;margin-top:0;width:612pt;height:36.5pt;z-index:251660288;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7dZsAIAAFoFAAAOAAAAZHJzL2Uyb0RvYy54bWysVM1u2zAMvg/YOwg67LQmtusmaVanyFJk&#10;K5C2AdKhZ0WWYwO2qEpK427Yu4+S5bTotsswH2SKpPj7kReXbVOTJ6FNBTKj8SCiREgOeSV3Gf12&#10;vzyZUGIskzmrQYqMPgtDL2fv310c1FQkUEKdC03QiDTTg8poaa2aDoeGl6JhZgBKSBQWoBtm8ap3&#10;w1yzA1pv6mESRaPhAXSuNHBhDHKvOiGdeftFIbi9KwojLKkzirFZf2p/bt05nF2w6U4zVVY8hMH+&#10;IYqGVRKdHk1dMcvIXle/mWoqrsFAYQccmiEURcWFzwGziaM32WxKpoTPBYtj1LFM5v+Z5bdPa02q&#10;PKMJJZI12KKbzfV6cROneZwmYjsZn57H6ZYnaTqZRPk5JbkwHCv448PjHuynr8yUC8hFd5uexMko&#10;HU2iZDT5GBREtSttEJ933yAKwocqt+VfZOuacdEI2b/t1JYAVuiODkauZS7aYCQoVdrYNduFqILe&#10;BtGAMA2aceDegwqc6BjWShS9V2T+dCg5KDPFYm0Ulsu2n6FFtPd8g0zX/LbQjftjWwnKEW/PR4yJ&#10;1hKOzPF4nKQRijjK0tHp2ZkH4fDltcLYvwhoiCMyqjFqDy32tDIWI0HVXsU5k7Cs6trjuJbkkFG0&#10;GfkHRwm+qCU+dDl0sTrKttvWd/6YxxbyZ0xPQzcmRvGlK+SKuWJqnAsMG2fd3uFR1IC+IFCUlKC/&#10;/4nv9BGuKKXkgHOWUfO4Z1pQUl9LBDKCK3WD6S9I6Nfcbc+V+2YBOMIxbhPFPel0bd2ThYbmAVfB&#10;3HlDEZMcfWaUW91fFhbvKMJlwsV87mkcQsXsSm4Ud8ZdPV1t79sHplVogMXW3UI/i2z6pg+dbteJ&#10;+d5CUfkmuQp39QyFxwH2vQvLxm2I13ev9bISZ78AAAD//wMAUEsDBBQABgAIAAAAIQC+Hwq32gAA&#10;AAUBAAAPAAAAZHJzL2Rvd25yZXYueG1sTI9LT8MwEITvSPwHa5G4UZsUlSrEqXgICU6ogUtvbrx5&#10;QLyOYrcx/54tF7isNJrZ2W+LTXKDOOIUek8arhcKBFLtbU+tho/356s1iBANWTN4Qg3fGGBTnp8V&#10;Jrd+pi0eq9gKLqGQGw1djGMuZag7dCYs/IjEXuMnZyLLqZV2MjOXu0FmSq2kMz3xhc6M+Nhh/VUd&#10;HGP48TX7XM3qaZl21Utq3h762Gh9eZHu70BETPEvDCd83oGSmfb+QDaIQQM/En/nycuyG9Z7DbdL&#10;BbIs5H/68gcAAP//AwBQSwECLQAUAAYACAAAACEAtoM4kv4AAADhAQAAEwAAAAAAAAAAAAAAAAAA&#10;AAAAW0NvbnRlbnRfVHlwZXNdLnhtbFBLAQItABQABgAIAAAAIQA4/SH/1gAAAJQBAAALAAAAAAAA&#10;AAAAAAAAAC8BAABfcmVscy8ucmVsc1BLAQItABQABgAIAAAAIQDmx7dZsAIAAFoFAAAOAAAAAAAA&#10;AAAAAAAAAC4CAABkcnMvZTJvRG9jLnhtbFBLAQItABQABgAIAAAAIQC+Hwq32gAAAAUBAAAPAAAA&#10;AAAAAAAAAAAAAAoFAABkcnMvZG93bnJldi54bWxQSwUGAAAAAAQABADzAAAAEQYAAAAA&#10;" o:allowincell="f" filled="f" stroked="f" strokeweight=".5pt">
              <v:textbox inset=",0,,0">
                <w:txbxContent>
                  <w:p w14:paraId="31B774DC" w14:textId="790E0529" w:rsidR="00292457" w:rsidRPr="00292457" w:rsidRDefault="00292457" w:rsidP="00292457">
                    <w:pPr>
                      <w:jc w:val="center"/>
                      <w:rPr>
                        <w:rFonts w:ascii="Calibri" w:hAnsi="Calibri" w:cs="Calibri"/>
                        <w:color w:val="000000"/>
                        <w:sz w:val="24"/>
                      </w:rPr>
                    </w:pPr>
                    <w:r w:rsidRPr="00292457">
                      <w:rPr>
                        <w:rFonts w:ascii="Calibri" w:hAnsi="Calibri" w:cs="Calibri"/>
                        <w:color w:val="000000"/>
                        <w:sz w:val="24"/>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1042F" w14:textId="77777777" w:rsidR="00796E38" w:rsidRDefault="00796E38">
      <w:r>
        <w:separator/>
      </w:r>
    </w:p>
  </w:footnote>
  <w:footnote w:type="continuationSeparator" w:id="0">
    <w:p w14:paraId="596315A7" w14:textId="77777777" w:rsidR="00796E38" w:rsidRDefault="00796E38">
      <w:r>
        <w:continuationSeparator/>
      </w:r>
    </w:p>
  </w:footnote>
  <w:footnote w:type="continuationNotice" w:id="1">
    <w:p w14:paraId="1746EBB6" w14:textId="77777777" w:rsidR="00796E38" w:rsidRDefault="00796E3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637F8" w14:textId="77777777" w:rsidR="00292457" w:rsidRDefault="002924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55D93" w14:textId="77777777" w:rsidR="00292457" w:rsidRDefault="002924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D3E06" w14:textId="77777777" w:rsidR="008065C6" w:rsidRDefault="008065C6" w:rsidP="000423F3">
    <w:pPr>
      <w:pStyle w:val="HeaderOdd"/>
      <w:tabs>
        <w:tab w:val="num" w:pos="1134"/>
      </w:tabs>
      <w:rPr>
        <w:color w:val="800000"/>
        <w:sz w:val="30"/>
        <w:szCs w:val="30"/>
      </w:rPr>
    </w:pPr>
  </w:p>
  <w:p w14:paraId="3621292C" w14:textId="77777777" w:rsidR="008065C6" w:rsidRDefault="008065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DDB65" w14:textId="77777777" w:rsidR="008065C6" w:rsidRDefault="008065C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3B0810" w14:textId="77777777" w:rsidR="008065C6" w:rsidRDefault="008065C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AF2C9" w14:textId="77777777" w:rsidR="008065C6" w:rsidRDefault="008065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703878"/>
    <w:multiLevelType w:val="hybridMultilevel"/>
    <w:tmpl w:val="3100351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 w15:restartNumberingAfterBreak="0">
    <w:nsid w:val="2D210FC4"/>
    <w:multiLevelType w:val="hybridMultilevel"/>
    <w:tmpl w:val="09E8768A"/>
    <w:lvl w:ilvl="0" w:tplc="4CD26CB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AB917D1"/>
    <w:multiLevelType w:val="multilevel"/>
    <w:tmpl w:val="D500F5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5126C4F"/>
    <w:multiLevelType w:val="hybridMultilevel"/>
    <w:tmpl w:val="3378D29C"/>
    <w:lvl w:ilvl="0" w:tplc="19D2EBDE">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E2751FA"/>
    <w:multiLevelType w:val="multilevel"/>
    <w:tmpl w:val="DD0CC416"/>
    <w:name w:val="StandardBulletedList"/>
    <w:lvl w:ilvl="0">
      <w:start w:val="1"/>
      <w:numFmt w:val="bullet"/>
      <w:pStyle w:val="Bullet"/>
      <w:lvlText w:val="•"/>
      <w:lvlJc w:val="left"/>
      <w:pPr>
        <w:tabs>
          <w:tab w:val="num" w:pos="472"/>
        </w:tabs>
        <w:ind w:left="472" w:hanging="472"/>
      </w:pPr>
      <w:rPr>
        <w:rFonts w:ascii="Times New Roman" w:hAnsi="Times New Roman" w:cs="Times New Roman"/>
      </w:rPr>
    </w:lvl>
    <w:lvl w:ilvl="1">
      <w:start w:val="1"/>
      <w:numFmt w:val="bullet"/>
      <w:pStyle w:val="Dash"/>
      <w:lvlText w:val="–"/>
      <w:lvlJc w:val="left"/>
      <w:pPr>
        <w:tabs>
          <w:tab w:val="num" w:pos="944"/>
        </w:tabs>
        <w:ind w:left="944" w:hanging="472"/>
      </w:pPr>
      <w:rPr>
        <w:rFonts w:ascii="Times New Roman" w:hAnsi="Times New Roman" w:cs="Times New Roman"/>
      </w:rPr>
    </w:lvl>
    <w:lvl w:ilvl="2">
      <w:start w:val="1"/>
      <w:numFmt w:val="bullet"/>
      <w:pStyle w:val="DoubleDot"/>
      <w:lvlText w:val=":"/>
      <w:lvlJc w:val="left"/>
      <w:pPr>
        <w:tabs>
          <w:tab w:val="num" w:pos="1416"/>
        </w:tabs>
        <w:ind w:left="1416" w:hanging="472"/>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64BF460E"/>
    <w:multiLevelType w:val="hybridMultilevel"/>
    <w:tmpl w:val="D39E0DE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A15666B"/>
    <w:multiLevelType w:val="hybridMultilevel"/>
    <w:tmpl w:val="472E1EA6"/>
    <w:lvl w:ilvl="0" w:tplc="192646DE">
      <w:start w:val="3"/>
      <w:numFmt w:val="bullet"/>
      <w:lvlText w:val="-"/>
      <w:lvlJc w:val="left"/>
      <w:pPr>
        <w:ind w:left="249" w:hanging="360"/>
      </w:pPr>
      <w:rPr>
        <w:rFonts w:ascii="Corbel" w:eastAsia="Times New Roman" w:hAnsi="Corbel" w:cs="Times New Roman" w:hint="default"/>
      </w:rPr>
    </w:lvl>
    <w:lvl w:ilvl="1" w:tplc="0C090003" w:tentative="1">
      <w:start w:val="1"/>
      <w:numFmt w:val="bullet"/>
      <w:lvlText w:val="o"/>
      <w:lvlJc w:val="left"/>
      <w:pPr>
        <w:ind w:left="969" w:hanging="360"/>
      </w:pPr>
      <w:rPr>
        <w:rFonts w:ascii="Courier New" w:hAnsi="Courier New" w:cs="Courier New" w:hint="default"/>
      </w:rPr>
    </w:lvl>
    <w:lvl w:ilvl="2" w:tplc="0C090005" w:tentative="1">
      <w:start w:val="1"/>
      <w:numFmt w:val="bullet"/>
      <w:lvlText w:val=""/>
      <w:lvlJc w:val="left"/>
      <w:pPr>
        <w:ind w:left="1689" w:hanging="360"/>
      </w:pPr>
      <w:rPr>
        <w:rFonts w:ascii="Wingdings" w:hAnsi="Wingdings" w:hint="default"/>
      </w:rPr>
    </w:lvl>
    <w:lvl w:ilvl="3" w:tplc="0C090001" w:tentative="1">
      <w:start w:val="1"/>
      <w:numFmt w:val="bullet"/>
      <w:lvlText w:val=""/>
      <w:lvlJc w:val="left"/>
      <w:pPr>
        <w:ind w:left="2409" w:hanging="360"/>
      </w:pPr>
      <w:rPr>
        <w:rFonts w:ascii="Symbol" w:hAnsi="Symbol" w:hint="default"/>
      </w:rPr>
    </w:lvl>
    <w:lvl w:ilvl="4" w:tplc="0C090003" w:tentative="1">
      <w:start w:val="1"/>
      <w:numFmt w:val="bullet"/>
      <w:lvlText w:val="o"/>
      <w:lvlJc w:val="left"/>
      <w:pPr>
        <w:ind w:left="3129" w:hanging="360"/>
      </w:pPr>
      <w:rPr>
        <w:rFonts w:ascii="Courier New" w:hAnsi="Courier New" w:cs="Courier New" w:hint="default"/>
      </w:rPr>
    </w:lvl>
    <w:lvl w:ilvl="5" w:tplc="0C090005" w:tentative="1">
      <w:start w:val="1"/>
      <w:numFmt w:val="bullet"/>
      <w:lvlText w:val=""/>
      <w:lvlJc w:val="left"/>
      <w:pPr>
        <w:ind w:left="3849" w:hanging="360"/>
      </w:pPr>
      <w:rPr>
        <w:rFonts w:ascii="Wingdings" w:hAnsi="Wingdings" w:hint="default"/>
      </w:rPr>
    </w:lvl>
    <w:lvl w:ilvl="6" w:tplc="0C090001" w:tentative="1">
      <w:start w:val="1"/>
      <w:numFmt w:val="bullet"/>
      <w:lvlText w:val=""/>
      <w:lvlJc w:val="left"/>
      <w:pPr>
        <w:ind w:left="4569" w:hanging="360"/>
      </w:pPr>
      <w:rPr>
        <w:rFonts w:ascii="Symbol" w:hAnsi="Symbol" w:hint="default"/>
      </w:rPr>
    </w:lvl>
    <w:lvl w:ilvl="7" w:tplc="0C090003" w:tentative="1">
      <w:start w:val="1"/>
      <w:numFmt w:val="bullet"/>
      <w:lvlText w:val="o"/>
      <w:lvlJc w:val="left"/>
      <w:pPr>
        <w:ind w:left="5289" w:hanging="360"/>
      </w:pPr>
      <w:rPr>
        <w:rFonts w:ascii="Courier New" w:hAnsi="Courier New" w:cs="Courier New" w:hint="default"/>
      </w:rPr>
    </w:lvl>
    <w:lvl w:ilvl="8" w:tplc="0C090005" w:tentative="1">
      <w:start w:val="1"/>
      <w:numFmt w:val="bullet"/>
      <w:lvlText w:val=""/>
      <w:lvlJc w:val="left"/>
      <w:pPr>
        <w:ind w:left="6009" w:hanging="360"/>
      </w:pPr>
      <w:rPr>
        <w:rFonts w:ascii="Wingdings" w:hAnsi="Wingdings" w:hint="default"/>
      </w:rPr>
    </w:lvl>
  </w:abstractNum>
  <w:abstractNum w:abstractNumId="7"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num w:numId="1">
    <w:abstractNumId w:val="7"/>
  </w:num>
  <w:num w:numId="2">
    <w:abstractNumId w:val="6"/>
  </w:num>
  <w:num w:numId="3">
    <w:abstractNumId w:val="1"/>
  </w:num>
  <w:num w:numId="4">
    <w:abstractNumId w:val="3"/>
  </w:num>
  <w:num w:numId="5">
    <w:abstractNumId w:val="2"/>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B5F"/>
    <w:rsid w:val="0000014B"/>
    <w:rsid w:val="000036D3"/>
    <w:rsid w:val="00006E5F"/>
    <w:rsid w:val="00036A25"/>
    <w:rsid w:val="000377DF"/>
    <w:rsid w:val="000423F3"/>
    <w:rsid w:val="00046F2E"/>
    <w:rsid w:val="0005158B"/>
    <w:rsid w:val="00053702"/>
    <w:rsid w:val="000606E3"/>
    <w:rsid w:val="00065BBC"/>
    <w:rsid w:val="0006756E"/>
    <w:rsid w:val="00080572"/>
    <w:rsid w:val="00084EDE"/>
    <w:rsid w:val="00091A01"/>
    <w:rsid w:val="000A0A12"/>
    <w:rsid w:val="000A2273"/>
    <w:rsid w:val="000A31BB"/>
    <w:rsid w:val="000B5285"/>
    <w:rsid w:val="000C3BE1"/>
    <w:rsid w:val="000C5FF0"/>
    <w:rsid w:val="000D1E21"/>
    <w:rsid w:val="000F18DF"/>
    <w:rsid w:val="000F40B0"/>
    <w:rsid w:val="000F7434"/>
    <w:rsid w:val="00125F88"/>
    <w:rsid w:val="00134B53"/>
    <w:rsid w:val="00150AC2"/>
    <w:rsid w:val="00152DDA"/>
    <w:rsid w:val="00152FCD"/>
    <w:rsid w:val="00164A7B"/>
    <w:rsid w:val="0017067F"/>
    <w:rsid w:val="00171F16"/>
    <w:rsid w:val="00185EFE"/>
    <w:rsid w:val="0018762E"/>
    <w:rsid w:val="001931C5"/>
    <w:rsid w:val="00194B23"/>
    <w:rsid w:val="001974E2"/>
    <w:rsid w:val="00197DD8"/>
    <w:rsid w:val="001A6456"/>
    <w:rsid w:val="001A79E2"/>
    <w:rsid w:val="001B234B"/>
    <w:rsid w:val="001C67BB"/>
    <w:rsid w:val="001E0683"/>
    <w:rsid w:val="001E0C8F"/>
    <w:rsid w:val="001E6A53"/>
    <w:rsid w:val="001F1A4C"/>
    <w:rsid w:val="001F5923"/>
    <w:rsid w:val="0020472A"/>
    <w:rsid w:val="00211113"/>
    <w:rsid w:val="00216ABE"/>
    <w:rsid w:val="00217B27"/>
    <w:rsid w:val="00224B67"/>
    <w:rsid w:val="002262F0"/>
    <w:rsid w:val="002300F5"/>
    <w:rsid w:val="00233017"/>
    <w:rsid w:val="0023678A"/>
    <w:rsid w:val="00264BA4"/>
    <w:rsid w:val="00284F18"/>
    <w:rsid w:val="0029122D"/>
    <w:rsid w:val="00291B16"/>
    <w:rsid w:val="00292457"/>
    <w:rsid w:val="002A6DE0"/>
    <w:rsid w:val="002B1CBB"/>
    <w:rsid w:val="002B4008"/>
    <w:rsid w:val="002B41CC"/>
    <w:rsid w:val="002B516C"/>
    <w:rsid w:val="002B5F09"/>
    <w:rsid w:val="002F7205"/>
    <w:rsid w:val="00304224"/>
    <w:rsid w:val="00316DFD"/>
    <w:rsid w:val="00317FB3"/>
    <w:rsid w:val="00327A21"/>
    <w:rsid w:val="0033568F"/>
    <w:rsid w:val="00341963"/>
    <w:rsid w:val="003454F0"/>
    <w:rsid w:val="00352C2C"/>
    <w:rsid w:val="003531E9"/>
    <w:rsid w:val="003771C4"/>
    <w:rsid w:val="00380191"/>
    <w:rsid w:val="00385A64"/>
    <w:rsid w:val="00394E62"/>
    <w:rsid w:val="00397C2B"/>
    <w:rsid w:val="003A0A1E"/>
    <w:rsid w:val="003A3120"/>
    <w:rsid w:val="003B0D2B"/>
    <w:rsid w:val="003B25CD"/>
    <w:rsid w:val="003B2BFA"/>
    <w:rsid w:val="003B36CF"/>
    <w:rsid w:val="003B50DC"/>
    <w:rsid w:val="003B785A"/>
    <w:rsid w:val="003C2B68"/>
    <w:rsid w:val="003C5B42"/>
    <w:rsid w:val="003C5F2A"/>
    <w:rsid w:val="003C78A2"/>
    <w:rsid w:val="003D09AB"/>
    <w:rsid w:val="003D0AD6"/>
    <w:rsid w:val="003E199A"/>
    <w:rsid w:val="003E4C6C"/>
    <w:rsid w:val="003E57B0"/>
    <w:rsid w:val="003E603B"/>
    <w:rsid w:val="003E6D38"/>
    <w:rsid w:val="003F03F5"/>
    <w:rsid w:val="003F0B4A"/>
    <w:rsid w:val="003F4C33"/>
    <w:rsid w:val="003F6DE7"/>
    <w:rsid w:val="004026FB"/>
    <w:rsid w:val="00405306"/>
    <w:rsid w:val="0041027F"/>
    <w:rsid w:val="00417925"/>
    <w:rsid w:val="0042211C"/>
    <w:rsid w:val="00422708"/>
    <w:rsid w:val="00423699"/>
    <w:rsid w:val="00424E9B"/>
    <w:rsid w:val="004301EE"/>
    <w:rsid w:val="004333AF"/>
    <w:rsid w:val="0047135F"/>
    <w:rsid w:val="00483CB8"/>
    <w:rsid w:val="004918A6"/>
    <w:rsid w:val="004A1022"/>
    <w:rsid w:val="004A3F9E"/>
    <w:rsid w:val="004A74C8"/>
    <w:rsid w:val="004B047F"/>
    <w:rsid w:val="004B5C41"/>
    <w:rsid w:val="004B63F7"/>
    <w:rsid w:val="004B6911"/>
    <w:rsid w:val="004C266A"/>
    <w:rsid w:val="004D214A"/>
    <w:rsid w:val="004E280E"/>
    <w:rsid w:val="004E4DCD"/>
    <w:rsid w:val="004F0E75"/>
    <w:rsid w:val="004F41A7"/>
    <w:rsid w:val="00506FD2"/>
    <w:rsid w:val="00510441"/>
    <w:rsid w:val="00524206"/>
    <w:rsid w:val="0052582B"/>
    <w:rsid w:val="005259E6"/>
    <w:rsid w:val="00531426"/>
    <w:rsid w:val="0053151D"/>
    <w:rsid w:val="00533080"/>
    <w:rsid w:val="00533328"/>
    <w:rsid w:val="00562D54"/>
    <w:rsid w:val="00563FE3"/>
    <w:rsid w:val="005641D8"/>
    <w:rsid w:val="00567E47"/>
    <w:rsid w:val="005867B2"/>
    <w:rsid w:val="005B7FA0"/>
    <w:rsid w:val="005D349C"/>
    <w:rsid w:val="005E33D7"/>
    <w:rsid w:val="005E7F7B"/>
    <w:rsid w:val="005F7324"/>
    <w:rsid w:val="0060746F"/>
    <w:rsid w:val="0060761F"/>
    <w:rsid w:val="00611FDC"/>
    <w:rsid w:val="0061639D"/>
    <w:rsid w:val="00621D14"/>
    <w:rsid w:val="006220C3"/>
    <w:rsid w:val="006224F4"/>
    <w:rsid w:val="00631061"/>
    <w:rsid w:val="00644A7B"/>
    <w:rsid w:val="0064718B"/>
    <w:rsid w:val="00656CBA"/>
    <w:rsid w:val="00657B39"/>
    <w:rsid w:val="0066474E"/>
    <w:rsid w:val="0066528A"/>
    <w:rsid w:val="00666950"/>
    <w:rsid w:val="0067766B"/>
    <w:rsid w:val="006A0CB8"/>
    <w:rsid w:val="006A5C0C"/>
    <w:rsid w:val="006B6E73"/>
    <w:rsid w:val="006C254C"/>
    <w:rsid w:val="006C5354"/>
    <w:rsid w:val="006E1AB4"/>
    <w:rsid w:val="006E4076"/>
    <w:rsid w:val="006E4801"/>
    <w:rsid w:val="006E59F7"/>
    <w:rsid w:val="006F738B"/>
    <w:rsid w:val="006F7E30"/>
    <w:rsid w:val="00717129"/>
    <w:rsid w:val="00735091"/>
    <w:rsid w:val="00744462"/>
    <w:rsid w:val="00763DDC"/>
    <w:rsid w:val="00765575"/>
    <w:rsid w:val="00785DBE"/>
    <w:rsid w:val="00796E38"/>
    <w:rsid w:val="007A3E34"/>
    <w:rsid w:val="007B10C1"/>
    <w:rsid w:val="007B2A76"/>
    <w:rsid w:val="007B7E7C"/>
    <w:rsid w:val="007C0D7F"/>
    <w:rsid w:val="007C69DA"/>
    <w:rsid w:val="007D38EB"/>
    <w:rsid w:val="007D5AD3"/>
    <w:rsid w:val="007E2FF2"/>
    <w:rsid w:val="007E4140"/>
    <w:rsid w:val="007F4F3F"/>
    <w:rsid w:val="008065C6"/>
    <w:rsid w:val="00810AF1"/>
    <w:rsid w:val="00812315"/>
    <w:rsid w:val="00813CD3"/>
    <w:rsid w:val="00816D64"/>
    <w:rsid w:val="00823935"/>
    <w:rsid w:val="00837C9D"/>
    <w:rsid w:val="00854CAD"/>
    <w:rsid w:val="008627BC"/>
    <w:rsid w:val="00867CF2"/>
    <w:rsid w:val="008701B6"/>
    <w:rsid w:val="00871111"/>
    <w:rsid w:val="00871F89"/>
    <w:rsid w:val="00880DE9"/>
    <w:rsid w:val="00884E8F"/>
    <w:rsid w:val="00885B7B"/>
    <w:rsid w:val="00886DC7"/>
    <w:rsid w:val="00891C01"/>
    <w:rsid w:val="008A3762"/>
    <w:rsid w:val="008B6730"/>
    <w:rsid w:val="008C6486"/>
    <w:rsid w:val="008D7DB8"/>
    <w:rsid w:val="008E1AB6"/>
    <w:rsid w:val="008E44DD"/>
    <w:rsid w:val="008E62E2"/>
    <w:rsid w:val="00905935"/>
    <w:rsid w:val="00915361"/>
    <w:rsid w:val="00917AB7"/>
    <w:rsid w:val="00921A7C"/>
    <w:rsid w:val="0092591D"/>
    <w:rsid w:val="009265DC"/>
    <w:rsid w:val="00937716"/>
    <w:rsid w:val="00954F13"/>
    <w:rsid w:val="009579BE"/>
    <w:rsid w:val="00960181"/>
    <w:rsid w:val="00963E1C"/>
    <w:rsid w:val="009721AE"/>
    <w:rsid w:val="0097432C"/>
    <w:rsid w:val="009760A5"/>
    <w:rsid w:val="009873D1"/>
    <w:rsid w:val="0099487C"/>
    <w:rsid w:val="009A3C5C"/>
    <w:rsid w:val="009A6FA4"/>
    <w:rsid w:val="009C3443"/>
    <w:rsid w:val="009C3B13"/>
    <w:rsid w:val="009C4DE6"/>
    <w:rsid w:val="009E69D2"/>
    <w:rsid w:val="009F6339"/>
    <w:rsid w:val="00A00D88"/>
    <w:rsid w:val="00A020B2"/>
    <w:rsid w:val="00A1011A"/>
    <w:rsid w:val="00A110E8"/>
    <w:rsid w:val="00A145E4"/>
    <w:rsid w:val="00A21E76"/>
    <w:rsid w:val="00A258B9"/>
    <w:rsid w:val="00A30B58"/>
    <w:rsid w:val="00A31C92"/>
    <w:rsid w:val="00A33CBF"/>
    <w:rsid w:val="00A403A7"/>
    <w:rsid w:val="00A460D1"/>
    <w:rsid w:val="00A65C44"/>
    <w:rsid w:val="00A66D18"/>
    <w:rsid w:val="00A67A20"/>
    <w:rsid w:val="00A70C5F"/>
    <w:rsid w:val="00A7101C"/>
    <w:rsid w:val="00A853FA"/>
    <w:rsid w:val="00A93AD2"/>
    <w:rsid w:val="00AA7C78"/>
    <w:rsid w:val="00AB56F3"/>
    <w:rsid w:val="00AB7FC6"/>
    <w:rsid w:val="00AC3737"/>
    <w:rsid w:val="00AC5A57"/>
    <w:rsid w:val="00AD5170"/>
    <w:rsid w:val="00AD6D8E"/>
    <w:rsid w:val="00AE1E15"/>
    <w:rsid w:val="00AE3D9F"/>
    <w:rsid w:val="00B00926"/>
    <w:rsid w:val="00B2317A"/>
    <w:rsid w:val="00B349A5"/>
    <w:rsid w:val="00B368B9"/>
    <w:rsid w:val="00B36C29"/>
    <w:rsid w:val="00B36EB6"/>
    <w:rsid w:val="00B432AB"/>
    <w:rsid w:val="00B442DE"/>
    <w:rsid w:val="00B460B7"/>
    <w:rsid w:val="00B46D90"/>
    <w:rsid w:val="00B53210"/>
    <w:rsid w:val="00B602F0"/>
    <w:rsid w:val="00B63981"/>
    <w:rsid w:val="00B72D6F"/>
    <w:rsid w:val="00B847E9"/>
    <w:rsid w:val="00B9012F"/>
    <w:rsid w:val="00B93C57"/>
    <w:rsid w:val="00BB03AE"/>
    <w:rsid w:val="00BB0778"/>
    <w:rsid w:val="00BB0BBA"/>
    <w:rsid w:val="00BB4688"/>
    <w:rsid w:val="00BD207F"/>
    <w:rsid w:val="00BD6E01"/>
    <w:rsid w:val="00BE24B4"/>
    <w:rsid w:val="00BF126E"/>
    <w:rsid w:val="00BF2A2D"/>
    <w:rsid w:val="00BF5D9A"/>
    <w:rsid w:val="00BF61A0"/>
    <w:rsid w:val="00BF6F4F"/>
    <w:rsid w:val="00C05D25"/>
    <w:rsid w:val="00C07279"/>
    <w:rsid w:val="00C127AF"/>
    <w:rsid w:val="00C254C4"/>
    <w:rsid w:val="00C336C4"/>
    <w:rsid w:val="00C655AF"/>
    <w:rsid w:val="00C846CD"/>
    <w:rsid w:val="00C8647F"/>
    <w:rsid w:val="00C90BBC"/>
    <w:rsid w:val="00C91B5F"/>
    <w:rsid w:val="00C95611"/>
    <w:rsid w:val="00CA704F"/>
    <w:rsid w:val="00CB2B3C"/>
    <w:rsid w:val="00CB3566"/>
    <w:rsid w:val="00CB60CD"/>
    <w:rsid w:val="00CC1DC3"/>
    <w:rsid w:val="00CD2D7D"/>
    <w:rsid w:val="00CE2807"/>
    <w:rsid w:val="00CE5F1F"/>
    <w:rsid w:val="00CF0B25"/>
    <w:rsid w:val="00CF2029"/>
    <w:rsid w:val="00CF7DCB"/>
    <w:rsid w:val="00D024DA"/>
    <w:rsid w:val="00D123CE"/>
    <w:rsid w:val="00D14933"/>
    <w:rsid w:val="00D327E5"/>
    <w:rsid w:val="00D34C0D"/>
    <w:rsid w:val="00D36A85"/>
    <w:rsid w:val="00D504B8"/>
    <w:rsid w:val="00D54783"/>
    <w:rsid w:val="00D610C1"/>
    <w:rsid w:val="00D63568"/>
    <w:rsid w:val="00D64130"/>
    <w:rsid w:val="00D653F5"/>
    <w:rsid w:val="00D6630D"/>
    <w:rsid w:val="00D71A26"/>
    <w:rsid w:val="00D71C7C"/>
    <w:rsid w:val="00D72A49"/>
    <w:rsid w:val="00D73818"/>
    <w:rsid w:val="00D747C4"/>
    <w:rsid w:val="00D9030D"/>
    <w:rsid w:val="00D93175"/>
    <w:rsid w:val="00DC03DD"/>
    <w:rsid w:val="00DE0037"/>
    <w:rsid w:val="00DE009F"/>
    <w:rsid w:val="00DE1DD6"/>
    <w:rsid w:val="00DE1F13"/>
    <w:rsid w:val="00DF2B85"/>
    <w:rsid w:val="00E01627"/>
    <w:rsid w:val="00E020A1"/>
    <w:rsid w:val="00E07377"/>
    <w:rsid w:val="00E27227"/>
    <w:rsid w:val="00E3283A"/>
    <w:rsid w:val="00E42058"/>
    <w:rsid w:val="00E45C00"/>
    <w:rsid w:val="00E60423"/>
    <w:rsid w:val="00E643F1"/>
    <w:rsid w:val="00E76CBA"/>
    <w:rsid w:val="00E8187D"/>
    <w:rsid w:val="00E90947"/>
    <w:rsid w:val="00E97384"/>
    <w:rsid w:val="00EA36F5"/>
    <w:rsid w:val="00EA374C"/>
    <w:rsid w:val="00EA5589"/>
    <w:rsid w:val="00EC4D9A"/>
    <w:rsid w:val="00EC73F4"/>
    <w:rsid w:val="00ED39E0"/>
    <w:rsid w:val="00ED51C0"/>
    <w:rsid w:val="00EE188A"/>
    <w:rsid w:val="00EE21DD"/>
    <w:rsid w:val="00EE2CC6"/>
    <w:rsid w:val="00EF3877"/>
    <w:rsid w:val="00F0047E"/>
    <w:rsid w:val="00F02440"/>
    <w:rsid w:val="00F321F9"/>
    <w:rsid w:val="00F322C5"/>
    <w:rsid w:val="00F51216"/>
    <w:rsid w:val="00F56A63"/>
    <w:rsid w:val="00F57968"/>
    <w:rsid w:val="00F76EA0"/>
    <w:rsid w:val="00F80FD8"/>
    <w:rsid w:val="00F832C3"/>
    <w:rsid w:val="00F8641B"/>
    <w:rsid w:val="00F97003"/>
    <w:rsid w:val="00FA09CB"/>
    <w:rsid w:val="00FB797D"/>
    <w:rsid w:val="00FC3A18"/>
    <w:rsid w:val="00FC46D1"/>
    <w:rsid w:val="00FC4D70"/>
    <w:rsid w:val="00FC51F3"/>
    <w:rsid w:val="00FD735D"/>
    <w:rsid w:val="00FE14DF"/>
    <w:rsid w:val="00FE6863"/>
    <w:rsid w:val="00FE6D76"/>
    <w:rsid w:val="00FF05CF"/>
    <w:rsid w:val="00FF2D55"/>
    <w:rsid w:val="00FF51F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6145"/>
    <o:shapelayout v:ext="edit">
      <o:idmap v:ext="edit" data="1"/>
    </o:shapelayout>
  </w:shapeDefaults>
  <w:decimalSymbol w:val="."/>
  <w:listSeparator w:val=","/>
  <w14:docId w14:val="3E0156ED"/>
  <w15:chartTrackingRefBased/>
  <w15:docId w15:val="{9DFF7502-E5FE-4E11-B99E-E62EBCA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91B5F"/>
    <w:pPr>
      <w:widowControl w:val="0"/>
      <w:spacing w:after="0" w:line="240" w:lineRule="auto"/>
    </w:pPr>
    <w:rPr>
      <w:lang w:val="en-US"/>
    </w:rPr>
  </w:style>
  <w:style w:type="paragraph" w:styleId="Heading2">
    <w:name w:val="heading 2"/>
    <w:basedOn w:val="Normal"/>
    <w:next w:val="Normal"/>
    <w:link w:val="Heading2Char"/>
    <w:uiPriority w:val="9"/>
    <w:semiHidden/>
    <w:unhideWhenUsed/>
    <w:qFormat/>
    <w:rsid w:val="00C91B5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9">
    <w:name w:val="heading 9"/>
    <w:basedOn w:val="Normal"/>
    <w:next w:val="Normal"/>
    <w:link w:val="Heading9Char"/>
    <w:uiPriority w:val="9"/>
    <w:semiHidden/>
    <w:unhideWhenUsed/>
    <w:qFormat/>
    <w:rsid w:val="00C91B5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uiPriority w:val="9"/>
    <w:semiHidden/>
    <w:rsid w:val="00C91B5F"/>
    <w:rPr>
      <w:rFonts w:asciiTheme="majorHAnsi" w:eastAsiaTheme="majorEastAsia" w:hAnsiTheme="majorHAnsi" w:cstheme="majorBidi"/>
      <w:i/>
      <w:iCs/>
      <w:color w:val="272727" w:themeColor="text1" w:themeTint="D8"/>
      <w:sz w:val="21"/>
      <w:szCs w:val="21"/>
      <w:lang w:val="en-US"/>
    </w:rPr>
  </w:style>
  <w:style w:type="paragraph" w:styleId="ListParagraph">
    <w:name w:val="List Paragraph"/>
    <w:basedOn w:val="Normal"/>
    <w:uiPriority w:val="1"/>
    <w:qFormat/>
    <w:rsid w:val="00C91B5F"/>
  </w:style>
  <w:style w:type="paragraph" w:styleId="Header">
    <w:name w:val="header"/>
    <w:basedOn w:val="Normal"/>
    <w:link w:val="HeaderChar"/>
    <w:uiPriority w:val="99"/>
    <w:unhideWhenUsed/>
    <w:rsid w:val="00C91B5F"/>
    <w:pPr>
      <w:tabs>
        <w:tab w:val="center" w:pos="4513"/>
        <w:tab w:val="right" w:pos="9026"/>
      </w:tabs>
    </w:pPr>
  </w:style>
  <w:style w:type="character" w:customStyle="1" w:styleId="HeaderChar">
    <w:name w:val="Header Char"/>
    <w:basedOn w:val="DefaultParagraphFont"/>
    <w:link w:val="Header"/>
    <w:uiPriority w:val="99"/>
    <w:rsid w:val="00C91B5F"/>
    <w:rPr>
      <w:lang w:val="en-US"/>
    </w:rPr>
  </w:style>
  <w:style w:type="paragraph" w:styleId="Footer">
    <w:name w:val="footer"/>
    <w:basedOn w:val="Normal"/>
    <w:link w:val="FooterChar"/>
    <w:uiPriority w:val="99"/>
    <w:unhideWhenUsed/>
    <w:rsid w:val="00C91B5F"/>
    <w:pPr>
      <w:tabs>
        <w:tab w:val="center" w:pos="4513"/>
        <w:tab w:val="right" w:pos="9026"/>
      </w:tabs>
    </w:pPr>
  </w:style>
  <w:style w:type="character" w:customStyle="1" w:styleId="FooterChar">
    <w:name w:val="Footer Char"/>
    <w:basedOn w:val="DefaultParagraphFont"/>
    <w:link w:val="Footer"/>
    <w:uiPriority w:val="99"/>
    <w:rsid w:val="00C91B5F"/>
    <w:rPr>
      <w:lang w:val="en-US"/>
    </w:rPr>
  </w:style>
  <w:style w:type="paragraph" w:customStyle="1" w:styleId="SingleParagraph">
    <w:name w:val="Single Paragraph"/>
    <w:basedOn w:val="Normal"/>
    <w:rsid w:val="00C91B5F"/>
    <w:pPr>
      <w:widowControl/>
      <w:spacing w:line="260" w:lineRule="exact"/>
      <w:jc w:val="both"/>
    </w:pPr>
    <w:rPr>
      <w:rFonts w:ascii="Corbel" w:eastAsia="Times New Roman" w:hAnsi="Corbel" w:cs="Times New Roman"/>
      <w:color w:val="000000"/>
      <w:sz w:val="23"/>
      <w:szCs w:val="20"/>
      <w:lang w:val="en-AU" w:eastAsia="en-AU"/>
    </w:rPr>
  </w:style>
  <w:style w:type="character" w:customStyle="1" w:styleId="Bold">
    <w:name w:val="Bold"/>
    <w:rsid w:val="00C91B5F"/>
    <w:rPr>
      <w:b/>
    </w:rPr>
  </w:style>
  <w:style w:type="paragraph" w:customStyle="1" w:styleId="FooterEven">
    <w:name w:val="Footer Even"/>
    <w:basedOn w:val="Footer"/>
    <w:rsid w:val="00C91B5F"/>
    <w:pPr>
      <w:widowControl/>
      <w:tabs>
        <w:tab w:val="clear" w:pos="4513"/>
        <w:tab w:val="clear" w:pos="9026"/>
      </w:tabs>
    </w:pPr>
    <w:rPr>
      <w:rFonts w:ascii="Corbel" w:eastAsia="Times New Roman" w:hAnsi="Corbel" w:cs="Times New Roman"/>
      <w:color w:val="3D4B67"/>
      <w:sz w:val="18"/>
      <w:szCs w:val="20"/>
      <w:lang w:val="en-AU" w:eastAsia="en-AU"/>
    </w:rPr>
  </w:style>
  <w:style w:type="paragraph" w:customStyle="1" w:styleId="HeaderOdd">
    <w:name w:val="Header Odd"/>
    <w:basedOn w:val="Header"/>
    <w:rsid w:val="00C91B5F"/>
    <w:pPr>
      <w:keepNext/>
      <w:widowControl/>
      <w:tabs>
        <w:tab w:val="clear" w:pos="4513"/>
        <w:tab w:val="clear" w:pos="9026"/>
      </w:tabs>
      <w:jc w:val="right"/>
    </w:pPr>
    <w:rPr>
      <w:rFonts w:ascii="Corbel" w:eastAsia="Times New Roman" w:hAnsi="Corbel" w:cs="Times New Roman"/>
      <w:color w:val="3D4B67"/>
      <w:sz w:val="18"/>
      <w:szCs w:val="20"/>
      <w:lang w:val="en-AU" w:eastAsia="en-AU"/>
    </w:rPr>
  </w:style>
  <w:style w:type="paragraph" w:styleId="Subtitle">
    <w:name w:val="Subtitle"/>
    <w:basedOn w:val="Normal"/>
    <w:link w:val="SubtitleChar"/>
    <w:uiPriority w:val="11"/>
    <w:qFormat/>
    <w:rsid w:val="00C91B5F"/>
    <w:pPr>
      <w:widowControl/>
      <w:spacing w:after="300"/>
    </w:pPr>
    <w:rPr>
      <w:rFonts w:ascii="Consolas" w:eastAsia="Times New Roman" w:hAnsi="Consolas" w:cs="Times New Roman"/>
      <w:b/>
      <w:caps/>
      <w:color w:val="C7823E"/>
      <w:spacing w:val="50"/>
      <w:sz w:val="24"/>
      <w:lang w:val="en-AU" w:eastAsia="ja-JP"/>
    </w:rPr>
  </w:style>
  <w:style w:type="character" w:customStyle="1" w:styleId="SubtitleChar">
    <w:name w:val="Subtitle Char"/>
    <w:basedOn w:val="DefaultParagraphFont"/>
    <w:link w:val="Subtitle"/>
    <w:uiPriority w:val="11"/>
    <w:rsid w:val="00C91B5F"/>
    <w:rPr>
      <w:rFonts w:ascii="Consolas" w:eastAsia="Times New Roman" w:hAnsi="Consolas" w:cs="Times New Roman"/>
      <w:b/>
      <w:caps/>
      <w:color w:val="C7823E"/>
      <w:spacing w:val="50"/>
      <w:sz w:val="24"/>
      <w:lang w:eastAsia="ja-JP"/>
    </w:rPr>
  </w:style>
  <w:style w:type="paragraph" w:styleId="Title">
    <w:name w:val="Title"/>
    <w:basedOn w:val="Normal"/>
    <w:next w:val="Subtitle"/>
    <w:link w:val="TitleChar"/>
    <w:uiPriority w:val="10"/>
    <w:qFormat/>
    <w:rsid w:val="00C91B5F"/>
    <w:pPr>
      <w:widowControl/>
    </w:pPr>
    <w:rPr>
      <w:rFonts w:ascii="Corbel" w:eastAsia="Times New Roman" w:hAnsi="Corbel" w:cs="Times New Roman"/>
      <w:color w:val="3D4B67"/>
      <w:sz w:val="40"/>
      <w:szCs w:val="40"/>
      <w:lang w:val="en-AU" w:eastAsia="ja-JP"/>
    </w:rPr>
  </w:style>
  <w:style w:type="character" w:customStyle="1" w:styleId="TitleChar">
    <w:name w:val="Title Char"/>
    <w:basedOn w:val="DefaultParagraphFont"/>
    <w:link w:val="Title"/>
    <w:uiPriority w:val="10"/>
    <w:rsid w:val="00C91B5F"/>
    <w:rPr>
      <w:rFonts w:ascii="Corbel" w:eastAsia="Times New Roman" w:hAnsi="Corbel" w:cs="Times New Roman"/>
      <w:color w:val="3D4B67"/>
      <w:sz w:val="40"/>
      <w:szCs w:val="40"/>
      <w:lang w:eastAsia="ja-JP"/>
    </w:rPr>
  </w:style>
  <w:style w:type="paragraph" w:customStyle="1" w:styleId="Signed">
    <w:name w:val="Signed"/>
    <w:basedOn w:val="Normal"/>
    <w:rsid w:val="00C91B5F"/>
    <w:pPr>
      <w:widowControl/>
      <w:spacing w:after="120"/>
      <w:jc w:val="both"/>
    </w:pPr>
    <w:rPr>
      <w:rFonts w:ascii="Book Antiqua" w:eastAsia="Times New Roman" w:hAnsi="Book Antiqua" w:cs="Times New Roman"/>
      <w:bCs/>
      <w:i/>
      <w:color w:val="000000"/>
      <w:szCs w:val="20"/>
      <w:lang w:val="en-AU" w:eastAsia="en-AU"/>
    </w:rPr>
  </w:style>
  <w:style w:type="paragraph" w:customStyle="1" w:styleId="Position">
    <w:name w:val="Position"/>
    <w:basedOn w:val="Normal"/>
    <w:rsid w:val="00C91B5F"/>
    <w:pPr>
      <w:widowControl/>
      <w:spacing w:after="120" w:line="260" w:lineRule="exact"/>
      <w:jc w:val="both"/>
    </w:pPr>
    <w:rPr>
      <w:rFonts w:ascii="Corbel" w:eastAsia="Times New Roman" w:hAnsi="Corbel" w:cs="Times New Roman"/>
      <w:bCs/>
      <w:color w:val="000000"/>
      <w:sz w:val="20"/>
      <w:szCs w:val="20"/>
      <w:lang w:val="en-AU" w:eastAsia="en-AU"/>
    </w:rPr>
  </w:style>
  <w:style w:type="character" w:customStyle="1" w:styleId="SignedBold">
    <w:name w:val="SignedBold"/>
    <w:rsid w:val="00C91B5F"/>
    <w:rPr>
      <w:b/>
      <w:i/>
    </w:rPr>
  </w:style>
  <w:style w:type="paragraph" w:customStyle="1" w:styleId="LineForSignature">
    <w:name w:val="LineForSignature"/>
    <w:basedOn w:val="Normal"/>
    <w:rsid w:val="00C91B5F"/>
    <w:pPr>
      <w:widowControl/>
      <w:tabs>
        <w:tab w:val="left" w:leader="underscore" w:pos="3686"/>
      </w:tabs>
      <w:spacing w:before="360" w:after="60" w:line="260" w:lineRule="exact"/>
      <w:jc w:val="both"/>
    </w:pPr>
    <w:rPr>
      <w:rFonts w:ascii="Book Antiqua" w:eastAsia="Times New Roman" w:hAnsi="Book Antiqua" w:cs="Times New Roman"/>
      <w:color w:val="C0C0C0"/>
      <w:sz w:val="23"/>
      <w:szCs w:val="20"/>
      <w:lang w:val="en-GB" w:eastAsia="en-AU"/>
    </w:rPr>
  </w:style>
  <w:style w:type="paragraph" w:customStyle="1" w:styleId="Paragraphnumbering">
    <w:name w:val="Paragraph numbering"/>
    <w:basedOn w:val="Normal"/>
    <w:link w:val="ParagraphnumberingChar"/>
    <w:qFormat/>
    <w:rsid w:val="00C91B5F"/>
    <w:pPr>
      <w:widowControl/>
      <w:numPr>
        <w:numId w:val="1"/>
      </w:numPr>
      <w:spacing w:after="240" w:line="260" w:lineRule="exact"/>
      <w:jc w:val="both"/>
    </w:pPr>
    <w:rPr>
      <w:rFonts w:ascii="Corbel" w:eastAsia="Times New Roman" w:hAnsi="Corbel" w:cs="Times New Roman"/>
      <w:color w:val="000000"/>
      <w:sz w:val="23"/>
      <w:szCs w:val="20"/>
      <w:lang w:val="en-AU" w:eastAsia="en-AU"/>
    </w:rPr>
  </w:style>
  <w:style w:type="character" w:customStyle="1" w:styleId="ParagraphnumberingChar">
    <w:name w:val="Paragraph numbering Char"/>
    <w:basedOn w:val="DefaultParagraphFont"/>
    <w:link w:val="Paragraphnumbering"/>
    <w:rsid w:val="00C91B5F"/>
    <w:rPr>
      <w:rFonts w:ascii="Corbel" w:eastAsia="Times New Roman" w:hAnsi="Corbel" w:cs="Times New Roman"/>
      <w:color w:val="000000"/>
      <w:sz w:val="23"/>
      <w:szCs w:val="20"/>
      <w:lang w:eastAsia="en-AU"/>
    </w:rPr>
  </w:style>
  <w:style w:type="paragraph" w:customStyle="1" w:styleId="Tableformat">
    <w:name w:val="Table format"/>
    <w:basedOn w:val="Heading2"/>
    <w:link w:val="TableformatChar"/>
    <w:qFormat/>
    <w:rsid w:val="00C91B5F"/>
    <w:pPr>
      <w:keepNext w:val="0"/>
      <w:keepLines w:val="0"/>
      <w:widowControl/>
      <w:spacing w:before="80" w:after="80"/>
    </w:pPr>
    <w:rPr>
      <w:rFonts w:ascii="Corbel" w:eastAsia="Times New Roman" w:hAnsi="Corbel" w:cs="Arial"/>
      <w:iCs/>
      <w:lang w:eastAsia="en-AU"/>
    </w:rPr>
  </w:style>
  <w:style w:type="character" w:customStyle="1" w:styleId="TableformatChar">
    <w:name w:val="Table format Char"/>
    <w:basedOn w:val="Heading2Char"/>
    <w:link w:val="Tableformat"/>
    <w:rsid w:val="00C91B5F"/>
    <w:rPr>
      <w:rFonts w:ascii="Corbel" w:eastAsia="Times New Roman" w:hAnsi="Corbel" w:cs="Arial"/>
      <w:iCs/>
      <w:color w:val="2E74B5" w:themeColor="accent1" w:themeShade="BF"/>
      <w:sz w:val="26"/>
      <w:szCs w:val="26"/>
      <w:lang w:val="en-US" w:eastAsia="en-AU"/>
    </w:rPr>
  </w:style>
  <w:style w:type="paragraph" w:customStyle="1" w:styleId="Milestonetable">
    <w:name w:val="Milestone table"/>
    <w:basedOn w:val="Tableformat"/>
    <w:link w:val="MilestonetableChar"/>
    <w:qFormat/>
    <w:rsid w:val="00C91B5F"/>
    <w:pPr>
      <w:spacing w:before="60" w:after="60"/>
    </w:pPr>
    <w:rPr>
      <w:sz w:val="20"/>
      <w:szCs w:val="20"/>
    </w:rPr>
  </w:style>
  <w:style w:type="character" w:customStyle="1" w:styleId="MilestonetableChar">
    <w:name w:val="Milestone table Char"/>
    <w:basedOn w:val="TableformatChar"/>
    <w:link w:val="Milestonetable"/>
    <w:rsid w:val="00C91B5F"/>
    <w:rPr>
      <w:rFonts w:ascii="Corbel" w:eastAsia="Times New Roman" w:hAnsi="Corbel" w:cs="Arial"/>
      <w:iCs/>
      <w:color w:val="2E74B5" w:themeColor="accent1" w:themeShade="BF"/>
      <w:sz w:val="20"/>
      <w:szCs w:val="20"/>
      <w:lang w:val="en-US" w:eastAsia="en-AU"/>
    </w:rPr>
  </w:style>
  <w:style w:type="character" w:customStyle="1" w:styleId="Heading2Char">
    <w:name w:val="Heading 2 Char"/>
    <w:basedOn w:val="DefaultParagraphFont"/>
    <w:link w:val="Heading2"/>
    <w:uiPriority w:val="9"/>
    <w:semiHidden/>
    <w:rsid w:val="00C91B5F"/>
    <w:rPr>
      <w:rFonts w:asciiTheme="majorHAnsi" w:eastAsiaTheme="majorEastAsia" w:hAnsiTheme="majorHAnsi" w:cstheme="majorBidi"/>
      <w:color w:val="2E74B5" w:themeColor="accent1" w:themeShade="BF"/>
      <w:sz w:val="26"/>
      <w:szCs w:val="26"/>
      <w:lang w:val="en-US"/>
    </w:rPr>
  </w:style>
  <w:style w:type="character" w:styleId="Hyperlink">
    <w:name w:val="Hyperlink"/>
    <w:basedOn w:val="DefaultParagraphFont"/>
    <w:uiPriority w:val="99"/>
    <w:unhideWhenUsed/>
    <w:rsid w:val="00F0047E"/>
    <w:rPr>
      <w:color w:val="0563C1"/>
      <w:u w:val="single"/>
    </w:rPr>
  </w:style>
  <w:style w:type="paragraph" w:customStyle="1" w:styleId="Default">
    <w:name w:val="Default"/>
    <w:basedOn w:val="Normal"/>
    <w:rsid w:val="00F0047E"/>
    <w:pPr>
      <w:widowControl/>
      <w:autoSpaceDE w:val="0"/>
      <w:autoSpaceDN w:val="0"/>
    </w:pPr>
    <w:rPr>
      <w:rFonts w:ascii="Arial" w:hAnsi="Arial" w:cs="Arial"/>
      <w:color w:val="000000"/>
      <w:sz w:val="24"/>
      <w:szCs w:val="24"/>
      <w:lang w:val="en-AU" w:eastAsia="en-AU"/>
    </w:rPr>
  </w:style>
  <w:style w:type="character" w:styleId="CommentReference">
    <w:name w:val="annotation reference"/>
    <w:basedOn w:val="DefaultParagraphFont"/>
    <w:uiPriority w:val="99"/>
    <w:semiHidden/>
    <w:unhideWhenUsed/>
    <w:rsid w:val="00224B67"/>
    <w:rPr>
      <w:sz w:val="16"/>
      <w:szCs w:val="16"/>
    </w:rPr>
  </w:style>
  <w:style w:type="paragraph" w:styleId="CommentText">
    <w:name w:val="annotation text"/>
    <w:basedOn w:val="Normal"/>
    <w:link w:val="CommentTextChar"/>
    <w:uiPriority w:val="99"/>
    <w:unhideWhenUsed/>
    <w:rsid w:val="00224B67"/>
    <w:rPr>
      <w:sz w:val="20"/>
      <w:szCs w:val="20"/>
    </w:rPr>
  </w:style>
  <w:style w:type="character" w:customStyle="1" w:styleId="CommentTextChar">
    <w:name w:val="Comment Text Char"/>
    <w:basedOn w:val="DefaultParagraphFont"/>
    <w:link w:val="CommentText"/>
    <w:uiPriority w:val="99"/>
    <w:rsid w:val="00224B67"/>
    <w:rPr>
      <w:sz w:val="20"/>
      <w:szCs w:val="20"/>
      <w:lang w:val="en-US"/>
    </w:rPr>
  </w:style>
  <w:style w:type="paragraph" w:styleId="CommentSubject">
    <w:name w:val="annotation subject"/>
    <w:basedOn w:val="CommentText"/>
    <w:next w:val="CommentText"/>
    <w:link w:val="CommentSubjectChar"/>
    <w:uiPriority w:val="99"/>
    <w:semiHidden/>
    <w:unhideWhenUsed/>
    <w:rsid w:val="00224B67"/>
    <w:rPr>
      <w:b/>
      <w:bCs/>
    </w:rPr>
  </w:style>
  <w:style w:type="character" w:customStyle="1" w:styleId="CommentSubjectChar">
    <w:name w:val="Comment Subject Char"/>
    <w:basedOn w:val="CommentTextChar"/>
    <w:link w:val="CommentSubject"/>
    <w:uiPriority w:val="99"/>
    <w:semiHidden/>
    <w:rsid w:val="00224B67"/>
    <w:rPr>
      <w:b/>
      <w:bCs/>
      <w:sz w:val="20"/>
      <w:szCs w:val="20"/>
      <w:lang w:val="en-US"/>
    </w:rPr>
  </w:style>
  <w:style w:type="paragraph" w:styleId="BalloonText">
    <w:name w:val="Balloon Text"/>
    <w:basedOn w:val="Normal"/>
    <w:link w:val="BalloonTextChar"/>
    <w:uiPriority w:val="99"/>
    <w:semiHidden/>
    <w:unhideWhenUsed/>
    <w:rsid w:val="00224B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B67"/>
    <w:rPr>
      <w:rFonts w:ascii="Segoe UI" w:hAnsi="Segoe UI" w:cs="Segoe UI"/>
      <w:sz w:val="18"/>
      <w:szCs w:val="18"/>
      <w:lang w:val="en-US"/>
    </w:rPr>
  </w:style>
  <w:style w:type="paragraph" w:customStyle="1" w:styleId="Bullet">
    <w:name w:val="Bullet"/>
    <w:basedOn w:val="Normal"/>
    <w:link w:val="BulletChar"/>
    <w:rsid w:val="007B2A76"/>
    <w:pPr>
      <w:numPr>
        <w:numId w:val="8"/>
      </w:numPr>
    </w:pPr>
    <w:rPr>
      <w:rFonts w:ascii="Corbel" w:eastAsia="Times New Roman" w:hAnsi="Corbel" w:cs="Arial"/>
      <w:color w:val="2E74B5" w:themeColor="accent1" w:themeShade="BF"/>
      <w:sz w:val="20"/>
      <w:szCs w:val="20"/>
      <w:lang w:eastAsia="en-AU"/>
    </w:rPr>
  </w:style>
  <w:style w:type="character" w:customStyle="1" w:styleId="BulletChar">
    <w:name w:val="Bullet Char"/>
    <w:basedOn w:val="MilestonetableChar"/>
    <w:link w:val="Bullet"/>
    <w:rsid w:val="007B2A76"/>
    <w:rPr>
      <w:rFonts w:ascii="Corbel" w:eastAsia="Times New Roman" w:hAnsi="Corbel" w:cs="Arial"/>
      <w:iCs w:val="0"/>
      <w:color w:val="2E74B5" w:themeColor="accent1" w:themeShade="BF"/>
      <w:sz w:val="20"/>
      <w:szCs w:val="20"/>
      <w:lang w:val="en-US" w:eastAsia="en-AU"/>
    </w:rPr>
  </w:style>
  <w:style w:type="paragraph" w:customStyle="1" w:styleId="Dash">
    <w:name w:val="Dash"/>
    <w:basedOn w:val="Normal"/>
    <w:link w:val="DashChar"/>
    <w:rsid w:val="007B2A76"/>
    <w:pPr>
      <w:numPr>
        <w:ilvl w:val="1"/>
        <w:numId w:val="8"/>
      </w:numPr>
    </w:pPr>
    <w:rPr>
      <w:rFonts w:ascii="Corbel" w:eastAsia="Times New Roman" w:hAnsi="Corbel" w:cs="Arial"/>
      <w:color w:val="2E74B5" w:themeColor="accent1" w:themeShade="BF"/>
      <w:sz w:val="20"/>
      <w:szCs w:val="20"/>
      <w:lang w:eastAsia="en-AU"/>
    </w:rPr>
  </w:style>
  <w:style w:type="character" w:customStyle="1" w:styleId="DashChar">
    <w:name w:val="Dash Char"/>
    <w:basedOn w:val="MilestonetableChar"/>
    <w:link w:val="Dash"/>
    <w:rsid w:val="007B2A76"/>
    <w:rPr>
      <w:rFonts w:ascii="Corbel" w:eastAsia="Times New Roman" w:hAnsi="Corbel" w:cs="Arial"/>
      <w:iCs w:val="0"/>
      <w:color w:val="2E74B5" w:themeColor="accent1" w:themeShade="BF"/>
      <w:sz w:val="20"/>
      <w:szCs w:val="20"/>
      <w:lang w:val="en-US" w:eastAsia="en-AU"/>
    </w:rPr>
  </w:style>
  <w:style w:type="paragraph" w:customStyle="1" w:styleId="DoubleDot">
    <w:name w:val="Double Dot"/>
    <w:basedOn w:val="Normal"/>
    <w:link w:val="DoubleDotChar"/>
    <w:rsid w:val="007B2A76"/>
    <w:pPr>
      <w:numPr>
        <w:ilvl w:val="2"/>
        <w:numId w:val="8"/>
      </w:numPr>
    </w:pPr>
    <w:rPr>
      <w:rFonts w:ascii="Corbel" w:eastAsia="Times New Roman" w:hAnsi="Corbel" w:cs="Arial"/>
      <w:color w:val="2E74B5" w:themeColor="accent1" w:themeShade="BF"/>
      <w:sz w:val="20"/>
      <w:szCs w:val="20"/>
      <w:lang w:eastAsia="en-AU"/>
    </w:rPr>
  </w:style>
  <w:style w:type="character" w:customStyle="1" w:styleId="DoubleDotChar">
    <w:name w:val="Double Dot Char"/>
    <w:basedOn w:val="MilestonetableChar"/>
    <w:link w:val="DoubleDot"/>
    <w:rsid w:val="007B2A76"/>
    <w:rPr>
      <w:rFonts w:ascii="Corbel" w:eastAsia="Times New Roman" w:hAnsi="Corbel" w:cs="Arial"/>
      <w:iCs w:val="0"/>
      <w:color w:val="2E74B5" w:themeColor="accent1" w:themeShade="BF"/>
      <w:sz w:val="20"/>
      <w:szCs w:val="20"/>
      <w:lang w:val="en-US" w:eastAsia="en-AU"/>
    </w:rPr>
  </w:style>
  <w:style w:type="paragraph" w:styleId="Revision">
    <w:name w:val="Revision"/>
    <w:hidden/>
    <w:uiPriority w:val="99"/>
    <w:semiHidden/>
    <w:rsid w:val="002262F0"/>
    <w:pPr>
      <w:spacing w:after="0" w:line="240" w:lineRule="auto"/>
    </w:pPr>
    <w:rPr>
      <w:lang w:val="en-US"/>
    </w:rPr>
  </w:style>
  <w:style w:type="character" w:customStyle="1" w:styleId="UnresolvedMention1">
    <w:name w:val="Unresolved Mention1"/>
    <w:basedOn w:val="DefaultParagraphFont"/>
    <w:uiPriority w:val="99"/>
    <w:semiHidden/>
    <w:unhideWhenUsed/>
    <w:rsid w:val="005E7F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6055881">
      <w:bodyDiv w:val="1"/>
      <w:marLeft w:val="0"/>
      <w:marRight w:val="0"/>
      <w:marTop w:val="0"/>
      <w:marBottom w:val="0"/>
      <w:divBdr>
        <w:top w:val="none" w:sz="0" w:space="0" w:color="auto"/>
        <w:left w:val="none" w:sz="0" w:space="0" w:color="auto"/>
        <w:bottom w:val="none" w:sz="0" w:space="0" w:color="auto"/>
        <w:right w:val="none" w:sz="0" w:space="0" w:color="auto"/>
      </w:divBdr>
    </w:div>
    <w:div w:id="1519273375">
      <w:bodyDiv w:val="1"/>
      <w:marLeft w:val="0"/>
      <w:marRight w:val="0"/>
      <w:marTop w:val="0"/>
      <w:marBottom w:val="0"/>
      <w:divBdr>
        <w:top w:val="none" w:sz="0" w:space="0" w:color="auto"/>
        <w:left w:val="none" w:sz="0" w:space="0" w:color="auto"/>
        <w:bottom w:val="none" w:sz="0" w:space="0" w:color="auto"/>
        <w:right w:val="none" w:sz="0" w:space="0" w:color="auto"/>
      </w:divBdr>
    </w:div>
    <w:div w:id="1542552882">
      <w:bodyDiv w:val="1"/>
      <w:marLeft w:val="0"/>
      <w:marRight w:val="0"/>
      <w:marTop w:val="0"/>
      <w:marBottom w:val="0"/>
      <w:divBdr>
        <w:top w:val="none" w:sz="0" w:space="0" w:color="auto"/>
        <w:left w:val="none" w:sz="0" w:space="0" w:color="auto"/>
        <w:bottom w:val="none" w:sz="0" w:space="0" w:color="auto"/>
        <w:right w:val="none" w:sz="0" w:space="0" w:color="auto"/>
      </w:divBdr>
    </w:div>
    <w:div w:id="2006862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TaxCatchAll xmlns="0f563589-9cf9-4143-b1eb-fb0534803d38">
      <Value>2</Value>
    </TaxCatchAll>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0f563589-9cf9-4143-b1eb-fb0534803d38">2021FG-64-100755</_dlc_DocId>
    <_dlc_DocIdUrl xmlns="0f563589-9cf9-4143-b1eb-fb0534803d38">
      <Url>http://tweb/sites/fg/csrd/_layouts/15/DocIdRedir.aspx?ID=2021FG-64-100755</Url>
      <Description>2021FG-64-100755</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5CDF45B49E80F24CAD80DFC012154DA9" ma:contentTypeVersion="46246" ma:contentTypeDescription=" " ma:contentTypeScope="" ma:versionID="adccb943fb4b1bfe2faa20d95fd9de15">
  <xsd:schema xmlns:xsd="http://www.w3.org/2001/XMLSchema" xmlns:xs="http://www.w3.org/2001/XMLSchema" xmlns:p="http://schemas.microsoft.com/office/2006/metadata/properties" xmlns:ns1="http://schemas.microsoft.com/sharepoint/v3" xmlns:ns2="0f563589-9cf9-4143-b1eb-fb0534803d38" xmlns:ns3="e544e5cc-ab70-42e1-849e-1a0f8bb1f4ef" xmlns:ns5="http://schemas.microsoft.com/sharepoint/v4" targetNamespace="http://schemas.microsoft.com/office/2006/metadata/properties" ma:root="true" ma:fieldsID="2de41cb074d60f016f2d6a24a4e6a081" ns1:_="" ns2:_="" ns3:_="" ns5:_="">
    <xsd:import namespace="http://schemas.microsoft.com/sharepoint/v3"/>
    <xsd:import namespace="0f563589-9cf9-4143-b1eb-fb0534803d38"/>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lb508a4dc5e84436a0fe496b536466aa" minOccurs="0"/>
                <xsd:element ref="ns2:TaxCatchAll" minOccurs="0"/>
                <xsd:element ref="ns2:TaxCatchAllLabel"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bb330c83-4366-417f-afba-a14519698ff5" ContentTypeId="0x010100E726210826AA43828690450C811EB923009CA11FFD1E014DF4B1FA162D0F61129800536EFC5E36A043E99FB960C1AA37427A" PreviousValue="false"/>
</file>

<file path=customXml/item7.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Props1.xml><?xml version="1.0" encoding="utf-8"?>
<ds:datastoreItem xmlns:ds="http://schemas.openxmlformats.org/officeDocument/2006/customXml" ds:itemID="{9AA5C807-6D62-4EBA-953E-A7F56DF3ACB7}">
  <ds:schemaRefs>
    <ds:schemaRef ds:uri="office.server.policy"/>
  </ds:schemaRefs>
</ds:datastoreItem>
</file>

<file path=customXml/itemProps2.xml><?xml version="1.0" encoding="utf-8"?>
<ds:datastoreItem xmlns:ds="http://schemas.openxmlformats.org/officeDocument/2006/customXml" ds:itemID="{B26FF312-1C07-4FE4-926E-5C2B72424FC8}">
  <ds:schemaRefs>
    <ds:schemaRef ds:uri="http://schemas.openxmlformats.org/officeDocument/2006/bibliography"/>
  </ds:schemaRefs>
</ds:datastoreItem>
</file>

<file path=customXml/itemProps3.xml><?xml version="1.0" encoding="utf-8"?>
<ds:datastoreItem xmlns:ds="http://schemas.openxmlformats.org/officeDocument/2006/customXml" ds:itemID="{766DFF39-B1A0-4D6A-871F-52A68E916238}">
  <ds:schemaRefs>
    <ds:schemaRef ds:uri="http://schemas.microsoft.com/sharepoint/v3/contenttype/forms"/>
  </ds:schemaRefs>
</ds:datastoreItem>
</file>

<file path=customXml/itemProps4.xml><?xml version="1.0" encoding="utf-8"?>
<ds:datastoreItem xmlns:ds="http://schemas.openxmlformats.org/officeDocument/2006/customXml" ds:itemID="{FFD900B8-6070-407E-B433-89E316A15907}">
  <ds:schemaRefs>
    <ds:schemaRef ds:uri="http://purl.org/dc/terms/"/>
    <ds:schemaRef ds:uri="http://schemas.openxmlformats.org/package/2006/metadata/core-properties"/>
    <ds:schemaRef ds:uri="http://schemas.microsoft.com/office/2006/documentManagement/types"/>
    <ds:schemaRef ds:uri="e544e5cc-ab70-42e1-849e-1a0f8bb1f4ef"/>
    <ds:schemaRef ds:uri="0f563589-9cf9-4143-b1eb-fb0534803d38"/>
    <ds:schemaRef ds:uri="http://purl.org/dc/elements/1.1/"/>
    <ds:schemaRef ds:uri="http://schemas.microsoft.com/office/2006/metadata/properties"/>
    <ds:schemaRef ds:uri="http://schemas.microsoft.com/sharepoint/v3"/>
    <ds:schemaRef ds:uri="http://schemas.microsoft.com/sharepoint/v4"/>
    <ds:schemaRef ds:uri="http://schemas.microsoft.com/office/infopath/2007/PartnerControls"/>
    <ds:schemaRef ds:uri="http://www.w3.org/XML/1998/namespace"/>
    <ds:schemaRef ds:uri="http://purl.org/dc/dcmitype/"/>
  </ds:schemaRefs>
</ds:datastoreItem>
</file>

<file path=customXml/itemProps5.xml><?xml version="1.0" encoding="utf-8"?>
<ds:datastoreItem xmlns:ds="http://schemas.openxmlformats.org/officeDocument/2006/customXml" ds:itemID="{DB0ECE8E-6D42-4927-92D2-970EABB31C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C699B3BB-785A-41A5-BCF3-4C9316AA7A61}">
  <ds:schemaRefs>
    <ds:schemaRef ds:uri="Microsoft.SharePoint.Taxonomy.ContentTypeSync"/>
  </ds:schemaRefs>
</ds:datastoreItem>
</file>

<file path=customXml/itemProps7.xml><?xml version="1.0" encoding="utf-8"?>
<ds:datastoreItem xmlns:ds="http://schemas.openxmlformats.org/officeDocument/2006/customXml" ds:itemID="{117C5617-C3D1-4718-A1A5-E694047F65C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435</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Affordable Housing, Community Services and Other - Bilateral/Simple multilateral Schedule Template</vt:lpstr>
    </vt:vector>
  </TitlesOfParts>
  <Company>Department of the Prime Minister and Cabinet</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Affordable Housing, Community Services and Other - Bilateral/Simple multilateral Schedule Template</dc:title>
  <dc:subject/>
  <dc:creator>Bartlett, Ashley</dc:creator>
  <cp:keywords/>
  <dc:description/>
  <cp:lastModifiedBy>Pennifold, Lauren</cp:lastModifiedBy>
  <cp:revision>2</cp:revision>
  <dcterms:created xsi:type="dcterms:W3CDTF">2022-04-26T02:58:00Z</dcterms:created>
  <dcterms:modified xsi:type="dcterms:W3CDTF">2022-04-26T02:58:00Z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0x010100348D01E61E107C4DA4B97E380EA20D47005CDF45B49E80F24CAD80DFC012154DA9</vt:lpwstr>
  </property>
  <property fmtid="{D5CDD505-2E9C-101B-9397-08002B2CF9AE}" pid="3" name="TaxKeyword">
    <vt:lpwstr/>
  </property>
  <property fmtid="{D5CDD505-2E9C-101B-9397-08002B2CF9AE}" pid="4" name="TSYRecordClass">
    <vt:lpwstr>2;#TSY RA-8748 - Retain as national archives|243f2231-dbfc-4282-b24a-c9b768286bd0</vt:lpwstr>
  </property>
  <property fmtid="{D5CDD505-2E9C-101B-9397-08002B2CF9AE}" pid="5" name="_dlc_DocIdItemGuid">
    <vt:lpwstr>db33fee1-badb-4b28-a187-6fc69fe854be</vt:lpwstr>
  </property>
  <property fmtid="{D5CDD505-2E9C-101B-9397-08002B2CF9AE}" pid="6" name="MSIP_Label_4257e2ab-f512-40e2-9c9a-c64247360765_Enabled">
    <vt:lpwstr>true</vt:lpwstr>
  </property>
  <property fmtid="{D5CDD505-2E9C-101B-9397-08002B2CF9AE}" pid="7" name="MSIP_Label_4257e2ab-f512-40e2-9c9a-c64247360765_SetDate">
    <vt:lpwstr>2021-10-12T04:27:15Z</vt:lpwstr>
  </property>
  <property fmtid="{D5CDD505-2E9C-101B-9397-08002B2CF9AE}" pid="8" name="MSIP_Label_4257e2ab-f512-40e2-9c9a-c64247360765_Method">
    <vt:lpwstr>Privileged</vt:lpwstr>
  </property>
  <property fmtid="{D5CDD505-2E9C-101B-9397-08002B2CF9AE}" pid="9" name="MSIP_Label_4257e2ab-f512-40e2-9c9a-c64247360765_Name">
    <vt:lpwstr>OFFICIAL</vt:lpwstr>
  </property>
  <property fmtid="{D5CDD505-2E9C-101B-9397-08002B2CF9AE}" pid="10" name="MSIP_Label_4257e2ab-f512-40e2-9c9a-c64247360765_SiteId">
    <vt:lpwstr>e8bdd6f7-fc18-4e48-a554-7f547927223b</vt:lpwstr>
  </property>
  <property fmtid="{D5CDD505-2E9C-101B-9397-08002B2CF9AE}" pid="11" name="MSIP_Label_4257e2ab-f512-40e2-9c9a-c64247360765_ActionId">
    <vt:lpwstr>2c7d6703-b54a-44f3-9102-853b64a9c4fe</vt:lpwstr>
  </property>
  <property fmtid="{D5CDD505-2E9C-101B-9397-08002B2CF9AE}" pid="12" name="MSIP_Label_4257e2ab-f512-40e2-9c9a-c64247360765_ContentBits">
    <vt:lpwstr>2</vt:lpwstr>
  </property>
</Properties>
</file>