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72B52" w14:textId="77777777" w:rsidR="00AD354B" w:rsidRDefault="00F14994"/>
    <w:p w14:paraId="7D0562AE" w14:textId="21990D7A" w:rsidR="00C91B5F" w:rsidRPr="00F1227F" w:rsidRDefault="00317FB3" w:rsidP="00C91B5F">
      <w:pPr>
        <w:pStyle w:val="Heading9"/>
        <w:jc w:val="right"/>
        <w:rPr>
          <w:rStyle w:val="ParagraphnumberingChar"/>
          <w:rFonts w:eastAsiaTheme="majorEastAsia"/>
          <w:i w:val="0"/>
          <w:sz w:val="28"/>
          <w:szCs w:val="28"/>
        </w:rPr>
      </w:pPr>
      <w:r>
        <w:rPr>
          <w:i w:val="0"/>
          <w:sz w:val="28"/>
          <w:szCs w:val="28"/>
        </w:rPr>
        <w:t>Schedule</w:t>
      </w:r>
    </w:p>
    <w:p w14:paraId="52A7986F" w14:textId="3BAEEDCF" w:rsidR="00C91B5F" w:rsidRPr="001E20F4" w:rsidRDefault="00805541" w:rsidP="00C91B5F">
      <w:pPr>
        <w:pStyle w:val="Title"/>
      </w:pPr>
      <w:r>
        <w:t>OPCAT Implementation</w:t>
      </w:r>
    </w:p>
    <w:p w14:paraId="028FB178" w14:textId="65C989C7" w:rsidR="00C91B5F" w:rsidRPr="00BE249A" w:rsidRDefault="00D54783" w:rsidP="00C91B5F">
      <w:pPr>
        <w:pStyle w:val="Subtitle"/>
      </w:pPr>
      <w:r>
        <w:t xml:space="preserve">FEDERATION FUNDING AGREEMENT – </w:t>
      </w:r>
      <w:r w:rsidR="00A65C44" w:rsidRPr="00A65C44">
        <w:t>Affordable Housing, Community Services and Other</w:t>
      </w:r>
    </w:p>
    <w:tbl>
      <w:tblPr>
        <w:tblW w:w="962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691"/>
        <w:gridCol w:w="7938"/>
      </w:tblGrid>
      <w:tr w:rsidR="00C91B5F" w:rsidRPr="00F00A18" w14:paraId="2C1B1FCA" w14:textId="77777777" w:rsidTr="005D3905">
        <w:tc>
          <w:tcPr>
            <w:tcW w:w="9629" w:type="dxa"/>
            <w:gridSpan w:val="2"/>
            <w:shd w:val="clear" w:color="auto" w:fill="DEEAF6" w:themeFill="accent1" w:themeFillTint="33"/>
          </w:tcPr>
          <w:p w14:paraId="5D980595" w14:textId="77777777" w:rsidR="00C91B5F" w:rsidRPr="00F00A18" w:rsidRDefault="00C91B5F" w:rsidP="005D3905">
            <w:pPr>
              <w:pStyle w:val="Tableformat"/>
              <w:rPr>
                <w:b/>
                <w:color w:val="auto"/>
              </w:rPr>
            </w:pPr>
            <w:r w:rsidRPr="00F00A18">
              <w:rPr>
                <w:b/>
                <w:color w:val="auto"/>
              </w:rPr>
              <w:t>Table 1: Formalities and operation of schedule</w:t>
            </w:r>
          </w:p>
        </w:tc>
      </w:tr>
      <w:tr w:rsidR="00C91B5F" w:rsidRPr="00F00A18" w14:paraId="65A8E909" w14:textId="77777777" w:rsidTr="00317FB3">
        <w:tc>
          <w:tcPr>
            <w:tcW w:w="1691" w:type="dxa"/>
            <w:shd w:val="clear" w:color="auto" w:fill="auto"/>
          </w:tcPr>
          <w:p w14:paraId="279F6020" w14:textId="77777777" w:rsidR="00C91B5F" w:rsidRPr="00F00A18" w:rsidRDefault="00C91B5F" w:rsidP="005D3905">
            <w:pPr>
              <w:pStyle w:val="Tableformat"/>
              <w:rPr>
                <w:color w:val="auto"/>
              </w:rPr>
            </w:pPr>
            <w:r w:rsidRPr="00F00A18">
              <w:rPr>
                <w:color w:val="auto"/>
              </w:rPr>
              <w:t>Parties</w:t>
            </w:r>
          </w:p>
        </w:tc>
        <w:tc>
          <w:tcPr>
            <w:tcW w:w="7938" w:type="dxa"/>
            <w:shd w:val="clear" w:color="auto" w:fill="auto"/>
          </w:tcPr>
          <w:p w14:paraId="28377A00" w14:textId="77777777" w:rsidR="00C91B5F" w:rsidRPr="00F00A18" w:rsidRDefault="00C91B5F" w:rsidP="005D3905">
            <w:pPr>
              <w:pStyle w:val="Tableformat"/>
              <w:rPr>
                <w:color w:val="auto"/>
              </w:rPr>
            </w:pPr>
            <w:r w:rsidRPr="00F00A18">
              <w:rPr>
                <w:color w:val="auto"/>
              </w:rPr>
              <w:t>Commonwealth</w:t>
            </w:r>
          </w:p>
          <w:p w14:paraId="73502BB0" w14:textId="3D1E3306" w:rsidR="00C91B5F" w:rsidRPr="00F00A18" w:rsidRDefault="00805541" w:rsidP="005D3905">
            <w:pPr>
              <w:pStyle w:val="Tableformat"/>
              <w:rPr>
                <w:color w:val="auto"/>
              </w:rPr>
            </w:pPr>
            <w:r>
              <w:rPr>
                <w:color w:val="auto"/>
              </w:rPr>
              <w:t>Australian Capital Territory</w:t>
            </w:r>
            <w:r w:rsidR="00C91B5F" w:rsidRPr="00F00A18">
              <w:rPr>
                <w:color w:val="auto"/>
              </w:rPr>
              <w:t xml:space="preserve"> </w:t>
            </w:r>
          </w:p>
        </w:tc>
      </w:tr>
      <w:tr w:rsidR="00C91B5F" w:rsidRPr="00F00A18" w14:paraId="0789EB7E" w14:textId="77777777" w:rsidTr="00317FB3">
        <w:tc>
          <w:tcPr>
            <w:tcW w:w="1691" w:type="dxa"/>
            <w:shd w:val="clear" w:color="auto" w:fill="auto"/>
          </w:tcPr>
          <w:p w14:paraId="1C00DFE7" w14:textId="77777777" w:rsidR="00C91B5F" w:rsidRPr="00F00A18" w:rsidRDefault="00C91B5F" w:rsidP="005D3905">
            <w:pPr>
              <w:pStyle w:val="Tableformat"/>
              <w:rPr>
                <w:color w:val="auto"/>
              </w:rPr>
            </w:pPr>
            <w:r w:rsidRPr="00F00A18">
              <w:rPr>
                <w:color w:val="auto"/>
              </w:rPr>
              <w:t>Duration</w:t>
            </w:r>
          </w:p>
        </w:tc>
        <w:tc>
          <w:tcPr>
            <w:tcW w:w="7938" w:type="dxa"/>
            <w:shd w:val="clear" w:color="auto" w:fill="auto"/>
          </w:tcPr>
          <w:p w14:paraId="689A6E64" w14:textId="7105C072" w:rsidR="00C91B5F" w:rsidRPr="00F00A18" w:rsidRDefault="00C91B5F" w:rsidP="005D3905">
            <w:pPr>
              <w:pStyle w:val="Tableformat"/>
              <w:rPr>
                <w:color w:val="auto"/>
              </w:rPr>
            </w:pPr>
            <w:r w:rsidRPr="00F00A18">
              <w:rPr>
                <w:color w:val="auto"/>
              </w:rPr>
              <w:t xml:space="preserve">This Schedule is expected to expire on </w:t>
            </w:r>
            <w:r w:rsidR="00805541" w:rsidRPr="00805541">
              <w:rPr>
                <w:color w:val="auto"/>
              </w:rPr>
              <w:t>30 June 2023.</w:t>
            </w:r>
          </w:p>
        </w:tc>
      </w:tr>
      <w:tr w:rsidR="00C91B5F" w:rsidRPr="00F00A18" w14:paraId="516BC532" w14:textId="77777777" w:rsidTr="00317FB3">
        <w:tc>
          <w:tcPr>
            <w:tcW w:w="1691" w:type="dxa"/>
            <w:shd w:val="clear" w:color="auto" w:fill="auto"/>
          </w:tcPr>
          <w:p w14:paraId="511BE93C" w14:textId="77777777" w:rsidR="00C91B5F" w:rsidRPr="00F00A18" w:rsidRDefault="00C91B5F" w:rsidP="005D3905">
            <w:pPr>
              <w:pStyle w:val="Tableformat"/>
              <w:rPr>
                <w:color w:val="auto"/>
              </w:rPr>
            </w:pPr>
            <w:r w:rsidRPr="00F00A18">
              <w:rPr>
                <w:color w:val="auto"/>
              </w:rPr>
              <w:t>Purpose</w:t>
            </w:r>
          </w:p>
        </w:tc>
        <w:tc>
          <w:tcPr>
            <w:tcW w:w="7938" w:type="dxa"/>
            <w:shd w:val="clear" w:color="auto" w:fill="auto"/>
          </w:tcPr>
          <w:p w14:paraId="3B33E23E" w14:textId="0B8A9FF5" w:rsidR="00805541" w:rsidRDefault="00805541" w:rsidP="00805541">
            <w:pPr>
              <w:pStyle w:val="Tableformat"/>
              <w:rPr>
                <w:color w:val="auto"/>
              </w:rPr>
            </w:pPr>
            <w:r>
              <w:rPr>
                <w:color w:val="auto"/>
              </w:rPr>
              <w:t>This Schedule will support the designation or establishment of National Preventive Mechanism (NPM) Body/</w:t>
            </w:r>
            <w:proofErr w:type="spellStart"/>
            <w:r>
              <w:rPr>
                <w:color w:val="auto"/>
              </w:rPr>
              <w:t>ies</w:t>
            </w:r>
            <w:proofErr w:type="spellEnd"/>
            <w:r>
              <w:rPr>
                <w:color w:val="auto"/>
              </w:rPr>
              <w:t xml:space="preserve"> in </w:t>
            </w:r>
            <w:r w:rsidRPr="009512AF">
              <w:rPr>
                <w:color w:val="auto"/>
              </w:rPr>
              <w:t>the Australian Capital Territory</w:t>
            </w:r>
            <w:r w:rsidR="009512AF">
              <w:rPr>
                <w:color w:val="auto"/>
              </w:rPr>
              <w:t xml:space="preserve"> (</w:t>
            </w:r>
            <w:r w:rsidR="00907728">
              <w:rPr>
                <w:color w:val="auto"/>
              </w:rPr>
              <w:t xml:space="preserve">the </w:t>
            </w:r>
            <w:r w:rsidR="009512AF">
              <w:rPr>
                <w:color w:val="auto"/>
              </w:rPr>
              <w:t>ACT)</w:t>
            </w:r>
            <w:r>
              <w:rPr>
                <w:color w:val="auto"/>
              </w:rPr>
              <w:t xml:space="preserve">, in accordance with Part 4 of the </w:t>
            </w:r>
            <w:r w:rsidRPr="00805541">
              <w:rPr>
                <w:i/>
                <w:color w:val="auto"/>
              </w:rPr>
              <w:t>Optional Protocol to the Convention against Torture and other Cruel, Inhuman or Degrading Treatment or Punishment</w:t>
            </w:r>
            <w:r>
              <w:rPr>
                <w:color w:val="auto"/>
              </w:rPr>
              <w:t xml:space="preserve"> (OPCAT).</w:t>
            </w:r>
          </w:p>
          <w:p w14:paraId="507B2FFA" w14:textId="77777777" w:rsidR="00805541" w:rsidRDefault="00805541" w:rsidP="00805541">
            <w:pPr>
              <w:pStyle w:val="Tableformat"/>
              <w:rPr>
                <w:color w:val="auto"/>
              </w:rPr>
            </w:pPr>
            <w:r>
              <w:rPr>
                <w:color w:val="auto"/>
              </w:rPr>
              <w:t>Article 17 under Part 4 of the OPCAT provides that ‘Each State Party shall maintain, designate, or establish, at the latest one year after the entry into force of the present Protocol or of its ratification or accession, one or several independent national preventive mechanisms for the prevention of torture at the domestic level.’</w:t>
            </w:r>
          </w:p>
          <w:p w14:paraId="36CF7FEF" w14:textId="20EC604A" w:rsidR="00C91B5F" w:rsidRPr="00F00A18" w:rsidRDefault="00805541" w:rsidP="00805541">
            <w:pPr>
              <w:pStyle w:val="Tableformat"/>
              <w:rPr>
                <w:color w:val="auto"/>
              </w:rPr>
            </w:pPr>
            <w:r w:rsidRPr="00805541">
              <w:rPr>
                <w:color w:val="auto"/>
              </w:rPr>
              <w:t>In the context of Article 17, ‘designate’ means to assign the role of NPM to an existing institution or institutions, and ‘establish’ means to set up a new body or bodies to carry out the functions of an NPM on an ongoing basis.</w:t>
            </w:r>
          </w:p>
        </w:tc>
      </w:tr>
      <w:tr w:rsidR="00C91B5F" w:rsidRPr="00F00A18" w14:paraId="2C63A902" w14:textId="77777777" w:rsidTr="00C704D2">
        <w:trPr>
          <w:trHeight w:val="5538"/>
        </w:trPr>
        <w:tc>
          <w:tcPr>
            <w:tcW w:w="1691" w:type="dxa"/>
            <w:shd w:val="clear" w:color="auto" w:fill="auto"/>
          </w:tcPr>
          <w:p w14:paraId="2E78F30B" w14:textId="77777777" w:rsidR="00C91B5F" w:rsidRPr="00F00A18" w:rsidRDefault="00C91B5F" w:rsidP="005D3905">
            <w:pPr>
              <w:pStyle w:val="Tableformat"/>
              <w:rPr>
                <w:color w:val="auto"/>
              </w:rPr>
            </w:pPr>
            <w:r w:rsidRPr="00F00A18">
              <w:rPr>
                <w:color w:val="auto"/>
              </w:rPr>
              <w:t>Estimated financial contributions</w:t>
            </w:r>
          </w:p>
        </w:tc>
        <w:tc>
          <w:tcPr>
            <w:tcW w:w="7938" w:type="dxa"/>
            <w:shd w:val="clear" w:color="auto" w:fill="auto"/>
          </w:tcPr>
          <w:p w14:paraId="7110CBB4" w14:textId="22C8FD63" w:rsidR="00C91B5F" w:rsidRPr="00F00A18" w:rsidRDefault="0064121C" w:rsidP="005D3905">
            <w:pPr>
              <w:pStyle w:val="Tableformat"/>
              <w:rPr>
                <w:color w:val="auto"/>
              </w:rPr>
            </w:pPr>
            <w:r w:rsidRPr="00F00A18">
              <w:rPr>
                <w:noProof/>
                <w:color w:val="auto"/>
                <w:lang w:val="en-AU"/>
              </w:rPr>
              <mc:AlternateContent>
                <mc:Choice Requires="wps">
                  <w:drawing>
                    <wp:anchor distT="45720" distB="45720" distL="114300" distR="114300" simplePos="0" relativeHeight="251659264" behindDoc="0" locked="0" layoutInCell="1" allowOverlap="1" wp14:anchorId="48EB322D" wp14:editId="34EFA05E">
                      <wp:simplePos x="0" y="0"/>
                      <wp:positionH relativeFrom="column">
                        <wp:posOffset>-62230</wp:posOffset>
                      </wp:positionH>
                      <wp:positionV relativeFrom="paragraph">
                        <wp:posOffset>636905</wp:posOffset>
                      </wp:positionV>
                      <wp:extent cx="5133340" cy="1981200"/>
                      <wp:effectExtent l="0" t="0" r="0" b="0"/>
                      <wp:wrapSquare wrapText="bothSides"/>
                      <wp:docPr id="4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340" cy="1981200"/>
                              </a:xfrm>
                              <a:prstGeom prst="rect">
                                <a:avLst/>
                              </a:prstGeom>
                              <a:solidFill>
                                <a:srgbClr val="FFFFFF"/>
                              </a:solidFill>
                              <a:ln w="9525">
                                <a:noFill/>
                                <a:miter lim="800000"/>
                                <a:headEnd/>
                                <a:tailEnd/>
                              </a:ln>
                            </wps:spPr>
                            <wps:txbx>
                              <w:txbxContent>
                                <w:tbl>
                                  <w:tblPr>
                                    <w:tblW w:w="0" w:type="auto"/>
                                    <w:tblLook w:val="01E0" w:firstRow="1" w:lastRow="1" w:firstColumn="1" w:lastColumn="1" w:noHBand="0" w:noVBand="0"/>
                                  </w:tblPr>
                                  <w:tblGrid>
                                    <w:gridCol w:w="2835"/>
                                    <w:gridCol w:w="1560"/>
                                    <w:gridCol w:w="1275"/>
                                    <w:gridCol w:w="1140"/>
                                  </w:tblGrid>
                                  <w:tr w:rsidR="00805541" w:rsidRPr="00101AB3" w14:paraId="533FE7BA" w14:textId="77777777" w:rsidTr="00805541">
                                    <w:trPr>
                                      <w:cantSplit/>
                                    </w:trPr>
                                    <w:tc>
                                      <w:tcPr>
                                        <w:tcW w:w="2835" w:type="dxa"/>
                                        <w:tcBorders>
                                          <w:top w:val="single" w:sz="4" w:space="0" w:color="000080"/>
                                          <w:bottom w:val="single" w:sz="4" w:space="0" w:color="000080"/>
                                        </w:tcBorders>
                                      </w:tcPr>
                                      <w:p w14:paraId="09C865BD" w14:textId="4FDE1C9C" w:rsidR="00805541" w:rsidRDefault="00805541" w:rsidP="007E44E6">
                                        <w:pPr>
                                          <w:keepNext/>
                                          <w:keepLines/>
                                          <w:spacing w:before="40" w:after="40"/>
                                          <w:ind w:left="-111"/>
                                          <w:rPr>
                                            <w:b/>
                                            <w:sz w:val="21"/>
                                            <w:szCs w:val="21"/>
                                          </w:rPr>
                                        </w:pPr>
                                        <w:r>
                                          <w:rPr>
                                            <w:b/>
                                            <w:sz w:val="21"/>
                                            <w:szCs w:val="21"/>
                                          </w:rPr>
                                          <w:t>Table 1</w:t>
                                        </w:r>
                                      </w:p>
                                      <w:p w14:paraId="6430D4A7" w14:textId="64CC398B" w:rsidR="00805541" w:rsidRPr="005D39DD" w:rsidRDefault="00805541" w:rsidP="007E44E6">
                                        <w:pPr>
                                          <w:keepNext/>
                                          <w:keepLines/>
                                          <w:spacing w:before="40" w:after="40"/>
                                          <w:ind w:left="-111"/>
                                          <w:rPr>
                                            <w:b/>
                                            <w:sz w:val="21"/>
                                            <w:szCs w:val="21"/>
                                          </w:rPr>
                                        </w:pPr>
                                        <w:r w:rsidRPr="005D39DD">
                                          <w:rPr>
                                            <w:b/>
                                            <w:sz w:val="21"/>
                                            <w:szCs w:val="21"/>
                                          </w:rPr>
                                          <w:t>($ million)</w:t>
                                        </w:r>
                                      </w:p>
                                    </w:tc>
                                    <w:tc>
                                      <w:tcPr>
                                        <w:tcW w:w="1560" w:type="dxa"/>
                                        <w:tcBorders>
                                          <w:top w:val="single" w:sz="4" w:space="0" w:color="000080"/>
                                          <w:bottom w:val="single" w:sz="4" w:space="0" w:color="000080"/>
                                        </w:tcBorders>
                                      </w:tcPr>
                                      <w:p w14:paraId="6B65C7BA" w14:textId="77777777" w:rsidR="00805541" w:rsidRDefault="00805541" w:rsidP="007E44E6">
                                        <w:pPr>
                                          <w:keepNext/>
                                          <w:keepLines/>
                                          <w:spacing w:before="40" w:after="40"/>
                                          <w:jc w:val="right"/>
                                          <w:rPr>
                                            <w:b/>
                                            <w:sz w:val="21"/>
                                            <w:szCs w:val="21"/>
                                          </w:rPr>
                                        </w:pPr>
                                      </w:p>
                                      <w:p w14:paraId="405AF358" w14:textId="16439055" w:rsidR="00805541" w:rsidRPr="005D39DD" w:rsidRDefault="00805541" w:rsidP="007E44E6">
                                        <w:pPr>
                                          <w:keepNext/>
                                          <w:keepLines/>
                                          <w:spacing w:before="40" w:after="40"/>
                                          <w:jc w:val="right"/>
                                          <w:rPr>
                                            <w:b/>
                                            <w:sz w:val="21"/>
                                            <w:szCs w:val="21"/>
                                          </w:rPr>
                                        </w:pPr>
                                        <w:r>
                                          <w:rPr>
                                            <w:b/>
                                            <w:sz w:val="21"/>
                                            <w:szCs w:val="21"/>
                                          </w:rPr>
                                          <w:t>2021-22</w:t>
                                        </w:r>
                                      </w:p>
                                    </w:tc>
                                    <w:tc>
                                      <w:tcPr>
                                        <w:tcW w:w="1275" w:type="dxa"/>
                                        <w:tcBorders>
                                          <w:top w:val="single" w:sz="4" w:space="0" w:color="000080"/>
                                          <w:bottom w:val="single" w:sz="4" w:space="0" w:color="000080"/>
                                        </w:tcBorders>
                                      </w:tcPr>
                                      <w:p w14:paraId="7642EA18" w14:textId="77777777" w:rsidR="00805541" w:rsidRDefault="00805541" w:rsidP="007E44E6">
                                        <w:pPr>
                                          <w:keepNext/>
                                          <w:keepLines/>
                                          <w:spacing w:before="40" w:after="40"/>
                                          <w:jc w:val="right"/>
                                          <w:rPr>
                                            <w:b/>
                                            <w:sz w:val="21"/>
                                            <w:szCs w:val="21"/>
                                          </w:rPr>
                                        </w:pPr>
                                      </w:p>
                                      <w:p w14:paraId="7C36474A" w14:textId="3090CED8" w:rsidR="00805541" w:rsidRPr="005D39DD" w:rsidRDefault="00805541" w:rsidP="007E44E6">
                                        <w:pPr>
                                          <w:keepNext/>
                                          <w:keepLines/>
                                          <w:spacing w:before="40" w:after="40"/>
                                          <w:jc w:val="right"/>
                                          <w:rPr>
                                            <w:b/>
                                            <w:sz w:val="21"/>
                                            <w:szCs w:val="21"/>
                                          </w:rPr>
                                        </w:pPr>
                                        <w:r>
                                          <w:rPr>
                                            <w:b/>
                                            <w:sz w:val="21"/>
                                            <w:szCs w:val="21"/>
                                          </w:rPr>
                                          <w:t>2022-23</w:t>
                                        </w:r>
                                      </w:p>
                                    </w:tc>
                                    <w:tc>
                                      <w:tcPr>
                                        <w:tcW w:w="1140" w:type="dxa"/>
                                        <w:tcBorders>
                                          <w:top w:val="single" w:sz="4" w:space="0" w:color="000080"/>
                                          <w:bottom w:val="single" w:sz="4" w:space="0" w:color="000080"/>
                                        </w:tcBorders>
                                      </w:tcPr>
                                      <w:p w14:paraId="1E1B4A7A" w14:textId="77777777" w:rsidR="00805541" w:rsidRDefault="00805541" w:rsidP="007E44E6">
                                        <w:pPr>
                                          <w:keepNext/>
                                          <w:keepLines/>
                                          <w:spacing w:before="40" w:after="40"/>
                                          <w:jc w:val="right"/>
                                          <w:rPr>
                                            <w:b/>
                                            <w:sz w:val="21"/>
                                            <w:szCs w:val="21"/>
                                          </w:rPr>
                                        </w:pPr>
                                      </w:p>
                                      <w:p w14:paraId="710B22B8" w14:textId="13BB93A1" w:rsidR="00805541" w:rsidRPr="005D39DD" w:rsidRDefault="00805541" w:rsidP="007E44E6">
                                        <w:pPr>
                                          <w:keepNext/>
                                          <w:keepLines/>
                                          <w:spacing w:before="40" w:after="40"/>
                                          <w:jc w:val="right"/>
                                          <w:rPr>
                                            <w:b/>
                                            <w:sz w:val="21"/>
                                            <w:szCs w:val="21"/>
                                          </w:rPr>
                                        </w:pPr>
                                        <w:r w:rsidRPr="005D39DD">
                                          <w:rPr>
                                            <w:b/>
                                            <w:sz w:val="21"/>
                                            <w:szCs w:val="21"/>
                                          </w:rPr>
                                          <w:t>Total</w:t>
                                        </w:r>
                                      </w:p>
                                    </w:tc>
                                  </w:tr>
                                  <w:tr w:rsidR="00805541" w:rsidRPr="00101AB3" w14:paraId="54AEFD11" w14:textId="77777777" w:rsidTr="00805541">
                                    <w:trPr>
                                      <w:cantSplit/>
                                    </w:trPr>
                                    <w:tc>
                                      <w:tcPr>
                                        <w:tcW w:w="2835" w:type="dxa"/>
                                        <w:tcBorders>
                                          <w:top w:val="single" w:sz="4" w:space="0" w:color="000080"/>
                                        </w:tcBorders>
                                      </w:tcPr>
                                      <w:p w14:paraId="55A9A036" w14:textId="77777777" w:rsidR="00805541" w:rsidRPr="005D39DD" w:rsidRDefault="00805541" w:rsidP="007E44E6">
                                        <w:pPr>
                                          <w:keepNext/>
                                          <w:keepLines/>
                                          <w:spacing w:before="60" w:after="60"/>
                                          <w:ind w:left="-111"/>
                                          <w:rPr>
                                            <w:b/>
                                            <w:sz w:val="21"/>
                                            <w:szCs w:val="21"/>
                                          </w:rPr>
                                        </w:pPr>
                                        <w:r w:rsidRPr="005D39DD">
                                          <w:rPr>
                                            <w:b/>
                                            <w:sz w:val="21"/>
                                            <w:szCs w:val="21"/>
                                          </w:rPr>
                                          <w:t>Estimated total budget</w:t>
                                        </w:r>
                                      </w:p>
                                    </w:tc>
                                    <w:tc>
                                      <w:tcPr>
                                        <w:tcW w:w="1560" w:type="dxa"/>
                                        <w:tcBorders>
                                          <w:top w:val="single" w:sz="4" w:space="0" w:color="000080"/>
                                        </w:tcBorders>
                                      </w:tcPr>
                                      <w:p w14:paraId="6774290E" w14:textId="35170218" w:rsidR="00805541" w:rsidRPr="005D39DD" w:rsidRDefault="00805541" w:rsidP="007E44E6">
                                        <w:pPr>
                                          <w:keepNext/>
                                          <w:keepLines/>
                                          <w:spacing w:before="40" w:after="40"/>
                                          <w:jc w:val="right"/>
                                          <w:rPr>
                                            <w:b/>
                                            <w:sz w:val="21"/>
                                            <w:szCs w:val="21"/>
                                          </w:rPr>
                                        </w:pPr>
                                        <w:r>
                                          <w:rPr>
                                            <w:b/>
                                            <w:sz w:val="21"/>
                                            <w:szCs w:val="21"/>
                                          </w:rPr>
                                          <w:t>0.143</w:t>
                                        </w:r>
                                      </w:p>
                                    </w:tc>
                                    <w:tc>
                                      <w:tcPr>
                                        <w:tcW w:w="1275" w:type="dxa"/>
                                        <w:tcBorders>
                                          <w:top w:val="single" w:sz="4" w:space="0" w:color="000080"/>
                                        </w:tcBorders>
                                      </w:tcPr>
                                      <w:p w14:paraId="6E57FE70" w14:textId="72FB8615" w:rsidR="00805541" w:rsidRPr="005D39DD" w:rsidRDefault="00805541" w:rsidP="007E44E6">
                                        <w:pPr>
                                          <w:keepNext/>
                                          <w:keepLines/>
                                          <w:spacing w:before="40" w:after="40"/>
                                          <w:jc w:val="right"/>
                                          <w:rPr>
                                            <w:b/>
                                            <w:sz w:val="21"/>
                                            <w:szCs w:val="21"/>
                                          </w:rPr>
                                        </w:pPr>
                                        <w:r>
                                          <w:rPr>
                                            <w:b/>
                                            <w:sz w:val="21"/>
                                            <w:szCs w:val="21"/>
                                          </w:rPr>
                                          <w:t>0.143</w:t>
                                        </w:r>
                                      </w:p>
                                    </w:tc>
                                    <w:tc>
                                      <w:tcPr>
                                        <w:tcW w:w="1140" w:type="dxa"/>
                                        <w:tcBorders>
                                          <w:top w:val="single" w:sz="4" w:space="0" w:color="000080"/>
                                        </w:tcBorders>
                                      </w:tcPr>
                                      <w:p w14:paraId="08FC5E01" w14:textId="3695F46A" w:rsidR="00805541" w:rsidRPr="005D39DD" w:rsidRDefault="00805541" w:rsidP="007E44E6">
                                        <w:pPr>
                                          <w:keepNext/>
                                          <w:keepLines/>
                                          <w:spacing w:before="40" w:after="40"/>
                                          <w:jc w:val="right"/>
                                          <w:rPr>
                                            <w:b/>
                                            <w:sz w:val="21"/>
                                            <w:szCs w:val="21"/>
                                          </w:rPr>
                                        </w:pPr>
                                        <w:r>
                                          <w:rPr>
                                            <w:b/>
                                            <w:sz w:val="21"/>
                                            <w:szCs w:val="21"/>
                                          </w:rPr>
                                          <w:t>0.286</w:t>
                                        </w:r>
                                      </w:p>
                                    </w:tc>
                                  </w:tr>
                                  <w:tr w:rsidR="00805541" w:rsidRPr="00101AB3" w14:paraId="4D48DC1E" w14:textId="77777777" w:rsidTr="00805541">
                                    <w:trPr>
                                      <w:cantSplit/>
                                    </w:trPr>
                                    <w:tc>
                                      <w:tcPr>
                                        <w:tcW w:w="2835" w:type="dxa"/>
                                      </w:tcPr>
                                      <w:p w14:paraId="582F5190" w14:textId="77777777" w:rsidR="00805541" w:rsidRPr="0064121C" w:rsidRDefault="00805541" w:rsidP="007E44E6">
                                        <w:pPr>
                                          <w:keepNext/>
                                          <w:keepLines/>
                                          <w:spacing w:before="60" w:after="60"/>
                                          <w:ind w:left="-111"/>
                                          <w:rPr>
                                            <w:i/>
                                            <w:iCs/>
                                            <w:sz w:val="21"/>
                                            <w:szCs w:val="21"/>
                                          </w:rPr>
                                        </w:pPr>
                                        <w:r w:rsidRPr="0064121C">
                                          <w:rPr>
                                            <w:i/>
                                            <w:iCs/>
                                            <w:sz w:val="21"/>
                                            <w:szCs w:val="21"/>
                                          </w:rPr>
                                          <w:t xml:space="preserve">Less estimated National Partnership Payments </w:t>
                                        </w:r>
                                      </w:p>
                                    </w:tc>
                                    <w:tc>
                                      <w:tcPr>
                                        <w:tcW w:w="1560" w:type="dxa"/>
                                      </w:tcPr>
                                      <w:p w14:paraId="2A58D9BB" w14:textId="25DF406B" w:rsidR="00805541" w:rsidRPr="005D39DD" w:rsidRDefault="00805541" w:rsidP="007E44E6">
                                        <w:pPr>
                                          <w:keepNext/>
                                          <w:keepLines/>
                                          <w:spacing w:before="40" w:after="40"/>
                                          <w:jc w:val="right"/>
                                          <w:rPr>
                                            <w:sz w:val="21"/>
                                            <w:szCs w:val="21"/>
                                          </w:rPr>
                                        </w:pPr>
                                        <w:r>
                                          <w:rPr>
                                            <w:sz w:val="21"/>
                                            <w:szCs w:val="21"/>
                                          </w:rPr>
                                          <w:t>0.0715</w:t>
                                        </w:r>
                                      </w:p>
                                    </w:tc>
                                    <w:tc>
                                      <w:tcPr>
                                        <w:tcW w:w="1275" w:type="dxa"/>
                                      </w:tcPr>
                                      <w:p w14:paraId="2DA59B4C" w14:textId="21E59151" w:rsidR="00805541" w:rsidRPr="005D39DD" w:rsidRDefault="00805541" w:rsidP="007E44E6">
                                        <w:pPr>
                                          <w:keepNext/>
                                          <w:keepLines/>
                                          <w:spacing w:before="40" w:after="40"/>
                                          <w:jc w:val="right"/>
                                          <w:rPr>
                                            <w:sz w:val="21"/>
                                            <w:szCs w:val="21"/>
                                          </w:rPr>
                                        </w:pPr>
                                        <w:r>
                                          <w:rPr>
                                            <w:sz w:val="21"/>
                                            <w:szCs w:val="21"/>
                                          </w:rPr>
                                          <w:t>0.0715</w:t>
                                        </w:r>
                                      </w:p>
                                    </w:tc>
                                    <w:tc>
                                      <w:tcPr>
                                        <w:tcW w:w="1140" w:type="dxa"/>
                                      </w:tcPr>
                                      <w:p w14:paraId="4E7A84E3" w14:textId="5A6EC835" w:rsidR="00805541" w:rsidRPr="005D39DD" w:rsidRDefault="00805541" w:rsidP="007E44E6">
                                        <w:pPr>
                                          <w:keepNext/>
                                          <w:keepLines/>
                                          <w:spacing w:before="40" w:after="40"/>
                                          <w:jc w:val="right"/>
                                          <w:rPr>
                                            <w:sz w:val="21"/>
                                            <w:szCs w:val="21"/>
                                          </w:rPr>
                                        </w:pPr>
                                        <w:r>
                                          <w:rPr>
                                            <w:sz w:val="21"/>
                                            <w:szCs w:val="21"/>
                                          </w:rPr>
                                          <w:t>0.143</w:t>
                                        </w:r>
                                      </w:p>
                                    </w:tc>
                                  </w:tr>
                                  <w:tr w:rsidR="00805541" w:rsidRPr="00101AB3" w14:paraId="07890F67" w14:textId="77777777" w:rsidTr="00805541">
                                    <w:trPr>
                                      <w:cantSplit/>
                                    </w:trPr>
                                    <w:tc>
                                      <w:tcPr>
                                        <w:tcW w:w="2835" w:type="dxa"/>
                                      </w:tcPr>
                                      <w:p w14:paraId="7F315B10" w14:textId="3E672AED" w:rsidR="00805541" w:rsidRPr="008C6B79" w:rsidRDefault="00805541" w:rsidP="00C704D2">
                                        <w:pPr>
                                          <w:pStyle w:val="ListParagraph"/>
                                          <w:keepNext/>
                                          <w:keepLines/>
                                          <w:widowControl/>
                                          <w:numPr>
                                            <w:ilvl w:val="0"/>
                                            <w:numId w:val="2"/>
                                          </w:numPr>
                                          <w:spacing w:before="60" w:after="60"/>
                                          <w:rPr>
                                            <w:rFonts w:ascii="Corbel" w:hAnsi="Corbel"/>
                                            <w:sz w:val="21"/>
                                            <w:szCs w:val="21"/>
                                          </w:rPr>
                                        </w:pPr>
                                        <w:r>
                                          <w:rPr>
                                            <w:rFonts w:ascii="Corbel" w:hAnsi="Corbel"/>
                                            <w:sz w:val="21"/>
                                            <w:szCs w:val="21"/>
                                          </w:rPr>
                                          <w:t>Australian Capital Territory</w:t>
                                        </w:r>
                                      </w:p>
                                    </w:tc>
                                    <w:tc>
                                      <w:tcPr>
                                        <w:tcW w:w="1560" w:type="dxa"/>
                                      </w:tcPr>
                                      <w:p w14:paraId="237F71CC" w14:textId="2D791D1E" w:rsidR="00805541" w:rsidRPr="005D39DD" w:rsidRDefault="00805541" w:rsidP="00C704D2">
                                        <w:pPr>
                                          <w:keepNext/>
                                          <w:keepLines/>
                                          <w:spacing w:before="40" w:after="40"/>
                                          <w:jc w:val="right"/>
                                          <w:rPr>
                                            <w:sz w:val="21"/>
                                            <w:szCs w:val="21"/>
                                          </w:rPr>
                                        </w:pPr>
                                        <w:r>
                                          <w:rPr>
                                            <w:sz w:val="21"/>
                                            <w:szCs w:val="21"/>
                                          </w:rPr>
                                          <w:t>0.0715</w:t>
                                        </w:r>
                                      </w:p>
                                    </w:tc>
                                    <w:tc>
                                      <w:tcPr>
                                        <w:tcW w:w="1275" w:type="dxa"/>
                                      </w:tcPr>
                                      <w:p w14:paraId="6B3D51AF" w14:textId="41F344C4" w:rsidR="00805541" w:rsidRPr="005D39DD" w:rsidRDefault="00805541" w:rsidP="00C704D2">
                                        <w:pPr>
                                          <w:keepNext/>
                                          <w:keepLines/>
                                          <w:spacing w:before="40" w:after="40"/>
                                          <w:jc w:val="right"/>
                                          <w:rPr>
                                            <w:sz w:val="21"/>
                                            <w:szCs w:val="21"/>
                                          </w:rPr>
                                        </w:pPr>
                                        <w:r>
                                          <w:rPr>
                                            <w:sz w:val="21"/>
                                            <w:szCs w:val="21"/>
                                          </w:rPr>
                                          <w:t>0.0715</w:t>
                                        </w:r>
                                      </w:p>
                                    </w:tc>
                                    <w:tc>
                                      <w:tcPr>
                                        <w:tcW w:w="1140" w:type="dxa"/>
                                      </w:tcPr>
                                      <w:p w14:paraId="1461D084" w14:textId="181AEFFB" w:rsidR="00805541" w:rsidRPr="005D39DD" w:rsidRDefault="00805541" w:rsidP="00C704D2">
                                        <w:pPr>
                                          <w:keepNext/>
                                          <w:keepLines/>
                                          <w:spacing w:before="40" w:after="40"/>
                                          <w:jc w:val="right"/>
                                          <w:rPr>
                                            <w:sz w:val="21"/>
                                            <w:szCs w:val="21"/>
                                          </w:rPr>
                                        </w:pPr>
                                        <w:r>
                                          <w:rPr>
                                            <w:sz w:val="21"/>
                                            <w:szCs w:val="21"/>
                                          </w:rPr>
                                          <w:t>0.143</w:t>
                                        </w:r>
                                      </w:p>
                                    </w:tc>
                                  </w:tr>
                                  <w:tr w:rsidR="00805541" w:rsidRPr="00101AB3" w14:paraId="406CC52C" w14:textId="77777777" w:rsidTr="00805541">
                                    <w:trPr>
                                      <w:cantSplit/>
                                    </w:trPr>
                                    <w:tc>
                                      <w:tcPr>
                                        <w:tcW w:w="2835" w:type="dxa"/>
                                        <w:tcBorders>
                                          <w:bottom w:val="single" w:sz="4" w:space="0" w:color="000080"/>
                                        </w:tcBorders>
                                      </w:tcPr>
                                      <w:p w14:paraId="7DF3D17D" w14:textId="77777777" w:rsidR="00805541" w:rsidRPr="008C6B79" w:rsidRDefault="00805541" w:rsidP="007E44E6">
                                        <w:pPr>
                                          <w:keepNext/>
                                          <w:keepLines/>
                                          <w:spacing w:before="40" w:after="40"/>
                                          <w:ind w:left="-111"/>
                                          <w:rPr>
                                            <w:sz w:val="21"/>
                                            <w:szCs w:val="21"/>
                                          </w:rPr>
                                        </w:pPr>
                                        <w:r w:rsidRPr="008C6B79">
                                          <w:rPr>
                                            <w:sz w:val="21"/>
                                            <w:szCs w:val="21"/>
                                          </w:rPr>
                                          <w:t>Balance of non-Commonwealth contributions</w:t>
                                        </w:r>
                                      </w:p>
                                    </w:tc>
                                    <w:tc>
                                      <w:tcPr>
                                        <w:tcW w:w="1560" w:type="dxa"/>
                                        <w:tcBorders>
                                          <w:bottom w:val="single" w:sz="4" w:space="0" w:color="000080"/>
                                        </w:tcBorders>
                                      </w:tcPr>
                                      <w:p w14:paraId="0DB89270" w14:textId="50B3C224" w:rsidR="00805541" w:rsidRPr="005D39DD" w:rsidRDefault="00805541" w:rsidP="007E44E6">
                                        <w:pPr>
                                          <w:keepNext/>
                                          <w:keepLines/>
                                          <w:spacing w:before="40" w:after="40"/>
                                          <w:jc w:val="right"/>
                                          <w:rPr>
                                            <w:sz w:val="21"/>
                                            <w:szCs w:val="21"/>
                                          </w:rPr>
                                        </w:pPr>
                                        <w:r>
                                          <w:rPr>
                                            <w:sz w:val="21"/>
                                            <w:szCs w:val="21"/>
                                          </w:rPr>
                                          <w:t>0.0715</w:t>
                                        </w:r>
                                      </w:p>
                                    </w:tc>
                                    <w:tc>
                                      <w:tcPr>
                                        <w:tcW w:w="1275" w:type="dxa"/>
                                        <w:tcBorders>
                                          <w:bottom w:val="single" w:sz="4" w:space="0" w:color="000080"/>
                                        </w:tcBorders>
                                      </w:tcPr>
                                      <w:p w14:paraId="7CD6870F" w14:textId="780E5948" w:rsidR="00805541" w:rsidRPr="005D39DD" w:rsidRDefault="00805541" w:rsidP="007E44E6">
                                        <w:pPr>
                                          <w:keepNext/>
                                          <w:keepLines/>
                                          <w:spacing w:before="40" w:after="40"/>
                                          <w:jc w:val="right"/>
                                          <w:rPr>
                                            <w:sz w:val="21"/>
                                            <w:szCs w:val="21"/>
                                          </w:rPr>
                                        </w:pPr>
                                        <w:r>
                                          <w:rPr>
                                            <w:sz w:val="21"/>
                                            <w:szCs w:val="21"/>
                                          </w:rPr>
                                          <w:t>0.0715</w:t>
                                        </w:r>
                                      </w:p>
                                    </w:tc>
                                    <w:tc>
                                      <w:tcPr>
                                        <w:tcW w:w="1140" w:type="dxa"/>
                                        <w:tcBorders>
                                          <w:bottom w:val="single" w:sz="4" w:space="0" w:color="000080"/>
                                        </w:tcBorders>
                                      </w:tcPr>
                                      <w:p w14:paraId="51C9A932" w14:textId="619AD2D7" w:rsidR="00805541" w:rsidRPr="005D39DD" w:rsidRDefault="00805541" w:rsidP="007E44E6">
                                        <w:pPr>
                                          <w:keepNext/>
                                          <w:keepLines/>
                                          <w:spacing w:before="40" w:after="40"/>
                                          <w:jc w:val="right"/>
                                          <w:rPr>
                                            <w:sz w:val="21"/>
                                            <w:szCs w:val="21"/>
                                          </w:rPr>
                                        </w:pPr>
                                        <w:r>
                                          <w:rPr>
                                            <w:sz w:val="21"/>
                                            <w:szCs w:val="21"/>
                                          </w:rPr>
                                          <w:t>0.143</w:t>
                                        </w:r>
                                      </w:p>
                                    </w:tc>
                                  </w:tr>
                                </w:tbl>
                                <w:p w14:paraId="27D4F2F1" w14:textId="67E800A0" w:rsidR="00C91B5F" w:rsidRPr="00101AB3" w:rsidRDefault="00C91B5F" w:rsidP="00C91B5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EB322D" id="_x0000_t202" coordsize="21600,21600" o:spt="202" path="m,l,21600r21600,l21600,xe">
                      <v:stroke joinstyle="miter"/>
                      <v:path gradientshapeok="t" o:connecttype="rect"/>
                    </v:shapetype>
                    <v:shape id="Text Box 2" o:spid="_x0000_s1026" type="#_x0000_t202" style="position:absolute;margin-left:-4.9pt;margin-top:50.15pt;width:404.2pt;height:15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" stroked="f">
                      <v:textbox>
                        <w:txbxContent>
                          <w:tbl>
                            <w:tblPr>
                              <w:tblW w:w="0" w:type="auto"/>
                              <w:tblLook w:val="01E0" w:firstRow="1" w:lastRow="1" w:firstColumn="1" w:lastColumn="1" w:noHBand="0" w:noVBand="0"/>
                            </w:tblPr>
                            <w:tblGrid>
                              <w:gridCol w:w="2835"/>
                              <w:gridCol w:w="1560"/>
                              <w:gridCol w:w="1275"/>
                              <w:gridCol w:w="1140"/>
                            </w:tblGrid>
                            <w:tr w:rsidR="00805541" w:rsidRPr="00101AB3" w14:paraId="533FE7BA" w14:textId="77777777" w:rsidTr="00805541">
                              <w:trPr>
                                <w:cantSplit/>
                              </w:trPr>
                              <w:tc>
                                <w:tcPr>
                                  <w:tcW w:w="2835" w:type="dxa"/>
                                  <w:tcBorders>
                                    <w:top w:val="single" w:sz="4" w:space="0" w:color="000080"/>
                                    <w:bottom w:val="single" w:sz="4" w:space="0" w:color="000080"/>
                                  </w:tcBorders>
                                </w:tcPr>
                                <w:p w14:paraId="09C865BD" w14:textId="4FDE1C9C" w:rsidR="00805541" w:rsidRDefault="00805541" w:rsidP="007E44E6">
                                  <w:pPr>
                                    <w:keepNext/>
                                    <w:keepLines/>
                                    <w:spacing w:before="40" w:after="40"/>
                                    <w:ind w:left="-111"/>
                                    <w:rPr>
                                      <w:b/>
                                      <w:sz w:val="21"/>
                                      <w:szCs w:val="21"/>
                                    </w:rPr>
                                  </w:pPr>
                                  <w:r>
                                    <w:rPr>
                                      <w:b/>
                                      <w:sz w:val="21"/>
                                      <w:szCs w:val="21"/>
                                    </w:rPr>
                                    <w:t>Table 1</w:t>
                                  </w:r>
                                </w:p>
                                <w:p w14:paraId="6430D4A7" w14:textId="64CC398B" w:rsidR="00805541" w:rsidRPr="005D39DD" w:rsidRDefault="00805541" w:rsidP="007E44E6">
                                  <w:pPr>
                                    <w:keepNext/>
                                    <w:keepLines/>
                                    <w:spacing w:before="40" w:after="40"/>
                                    <w:ind w:left="-111"/>
                                    <w:rPr>
                                      <w:b/>
                                      <w:sz w:val="21"/>
                                      <w:szCs w:val="21"/>
                                    </w:rPr>
                                  </w:pPr>
                                  <w:r w:rsidRPr="005D39DD">
                                    <w:rPr>
                                      <w:b/>
                                      <w:sz w:val="21"/>
                                      <w:szCs w:val="21"/>
                                    </w:rPr>
                                    <w:t>($ million)</w:t>
                                  </w:r>
                                </w:p>
                              </w:tc>
                              <w:tc>
                                <w:tcPr>
                                  <w:tcW w:w="1560" w:type="dxa"/>
                                  <w:tcBorders>
                                    <w:top w:val="single" w:sz="4" w:space="0" w:color="000080"/>
                                    <w:bottom w:val="single" w:sz="4" w:space="0" w:color="000080"/>
                                  </w:tcBorders>
                                </w:tcPr>
                                <w:p w14:paraId="6B65C7BA" w14:textId="77777777" w:rsidR="00805541" w:rsidRDefault="00805541" w:rsidP="007E44E6">
                                  <w:pPr>
                                    <w:keepNext/>
                                    <w:keepLines/>
                                    <w:spacing w:before="40" w:after="40"/>
                                    <w:jc w:val="right"/>
                                    <w:rPr>
                                      <w:b/>
                                      <w:sz w:val="21"/>
                                      <w:szCs w:val="21"/>
                                    </w:rPr>
                                  </w:pPr>
                                </w:p>
                                <w:p w14:paraId="405AF358" w14:textId="16439055" w:rsidR="00805541" w:rsidRPr="005D39DD" w:rsidRDefault="00805541" w:rsidP="007E44E6">
                                  <w:pPr>
                                    <w:keepNext/>
                                    <w:keepLines/>
                                    <w:spacing w:before="40" w:after="40"/>
                                    <w:jc w:val="right"/>
                                    <w:rPr>
                                      <w:b/>
                                      <w:sz w:val="21"/>
                                      <w:szCs w:val="21"/>
                                    </w:rPr>
                                  </w:pPr>
                                  <w:r>
                                    <w:rPr>
                                      <w:b/>
                                      <w:sz w:val="21"/>
                                      <w:szCs w:val="21"/>
                                    </w:rPr>
                                    <w:t>2021-22</w:t>
                                  </w:r>
                                </w:p>
                              </w:tc>
                              <w:tc>
                                <w:tcPr>
                                  <w:tcW w:w="1275" w:type="dxa"/>
                                  <w:tcBorders>
                                    <w:top w:val="single" w:sz="4" w:space="0" w:color="000080"/>
                                    <w:bottom w:val="single" w:sz="4" w:space="0" w:color="000080"/>
                                  </w:tcBorders>
                                </w:tcPr>
                                <w:p w14:paraId="7642EA18" w14:textId="77777777" w:rsidR="00805541" w:rsidRDefault="00805541" w:rsidP="007E44E6">
                                  <w:pPr>
                                    <w:keepNext/>
                                    <w:keepLines/>
                                    <w:spacing w:before="40" w:after="40"/>
                                    <w:jc w:val="right"/>
                                    <w:rPr>
                                      <w:b/>
                                      <w:sz w:val="21"/>
                                      <w:szCs w:val="21"/>
                                    </w:rPr>
                                  </w:pPr>
                                </w:p>
                                <w:p w14:paraId="7C36474A" w14:textId="3090CED8" w:rsidR="00805541" w:rsidRPr="005D39DD" w:rsidRDefault="00805541" w:rsidP="007E44E6">
                                  <w:pPr>
                                    <w:keepNext/>
                                    <w:keepLines/>
                                    <w:spacing w:before="40" w:after="40"/>
                                    <w:jc w:val="right"/>
                                    <w:rPr>
                                      <w:b/>
                                      <w:sz w:val="21"/>
                                      <w:szCs w:val="21"/>
                                    </w:rPr>
                                  </w:pPr>
                                  <w:r>
                                    <w:rPr>
                                      <w:b/>
                                      <w:sz w:val="21"/>
                                      <w:szCs w:val="21"/>
                                    </w:rPr>
                                    <w:t>2022-23</w:t>
                                  </w:r>
                                </w:p>
                              </w:tc>
                              <w:tc>
                                <w:tcPr>
                                  <w:tcW w:w="1140" w:type="dxa"/>
                                  <w:tcBorders>
                                    <w:top w:val="single" w:sz="4" w:space="0" w:color="000080"/>
                                    <w:bottom w:val="single" w:sz="4" w:space="0" w:color="000080"/>
                                  </w:tcBorders>
                                </w:tcPr>
                                <w:p w14:paraId="1E1B4A7A" w14:textId="77777777" w:rsidR="00805541" w:rsidRDefault="00805541" w:rsidP="007E44E6">
                                  <w:pPr>
                                    <w:keepNext/>
                                    <w:keepLines/>
                                    <w:spacing w:before="40" w:after="40"/>
                                    <w:jc w:val="right"/>
                                    <w:rPr>
                                      <w:b/>
                                      <w:sz w:val="21"/>
                                      <w:szCs w:val="21"/>
                                    </w:rPr>
                                  </w:pPr>
                                </w:p>
                                <w:p w14:paraId="710B22B8" w14:textId="13BB93A1" w:rsidR="00805541" w:rsidRPr="005D39DD" w:rsidRDefault="00805541" w:rsidP="007E44E6">
                                  <w:pPr>
                                    <w:keepNext/>
                                    <w:keepLines/>
                                    <w:spacing w:before="40" w:after="40"/>
                                    <w:jc w:val="right"/>
                                    <w:rPr>
                                      <w:b/>
                                      <w:sz w:val="21"/>
                                      <w:szCs w:val="21"/>
                                    </w:rPr>
                                  </w:pPr>
                                  <w:r w:rsidRPr="005D39DD">
                                    <w:rPr>
                                      <w:b/>
                                      <w:sz w:val="21"/>
                                      <w:szCs w:val="21"/>
                                    </w:rPr>
                                    <w:t>Total</w:t>
                                  </w:r>
                                </w:p>
                              </w:tc>
                            </w:tr>
                            <w:tr w:rsidR="00805541" w:rsidRPr="00101AB3" w14:paraId="54AEFD11" w14:textId="77777777" w:rsidTr="00805541">
                              <w:trPr>
                                <w:cantSplit/>
                              </w:trPr>
                              <w:tc>
                                <w:tcPr>
                                  <w:tcW w:w="2835" w:type="dxa"/>
                                  <w:tcBorders>
                                    <w:top w:val="single" w:sz="4" w:space="0" w:color="000080"/>
                                  </w:tcBorders>
                                </w:tcPr>
                                <w:p w14:paraId="55A9A036" w14:textId="77777777" w:rsidR="00805541" w:rsidRPr="005D39DD" w:rsidRDefault="00805541" w:rsidP="007E44E6">
                                  <w:pPr>
                                    <w:keepNext/>
                                    <w:keepLines/>
                                    <w:spacing w:before="60" w:after="60"/>
                                    <w:ind w:left="-111"/>
                                    <w:rPr>
                                      <w:b/>
                                      <w:sz w:val="21"/>
                                      <w:szCs w:val="21"/>
                                    </w:rPr>
                                  </w:pPr>
                                  <w:r w:rsidRPr="005D39DD">
                                    <w:rPr>
                                      <w:b/>
                                      <w:sz w:val="21"/>
                                      <w:szCs w:val="21"/>
                                    </w:rPr>
                                    <w:t>Estimated total budget</w:t>
                                  </w:r>
                                </w:p>
                              </w:tc>
                              <w:tc>
                                <w:tcPr>
                                  <w:tcW w:w="1560" w:type="dxa"/>
                                  <w:tcBorders>
                                    <w:top w:val="single" w:sz="4" w:space="0" w:color="000080"/>
                                  </w:tcBorders>
                                </w:tcPr>
                                <w:p w14:paraId="6774290E" w14:textId="35170218" w:rsidR="00805541" w:rsidRPr="005D39DD" w:rsidRDefault="00805541" w:rsidP="007E44E6">
                                  <w:pPr>
                                    <w:keepNext/>
                                    <w:keepLines/>
                                    <w:spacing w:before="40" w:after="40"/>
                                    <w:jc w:val="right"/>
                                    <w:rPr>
                                      <w:b/>
                                      <w:sz w:val="21"/>
                                      <w:szCs w:val="21"/>
                                    </w:rPr>
                                  </w:pPr>
                                  <w:r>
                                    <w:rPr>
                                      <w:b/>
                                      <w:sz w:val="21"/>
                                      <w:szCs w:val="21"/>
                                    </w:rPr>
                                    <w:t>0.143</w:t>
                                  </w:r>
                                </w:p>
                              </w:tc>
                              <w:tc>
                                <w:tcPr>
                                  <w:tcW w:w="1275" w:type="dxa"/>
                                  <w:tcBorders>
                                    <w:top w:val="single" w:sz="4" w:space="0" w:color="000080"/>
                                  </w:tcBorders>
                                </w:tcPr>
                                <w:p w14:paraId="6E57FE70" w14:textId="72FB8615" w:rsidR="00805541" w:rsidRPr="005D39DD" w:rsidRDefault="00805541" w:rsidP="007E44E6">
                                  <w:pPr>
                                    <w:keepNext/>
                                    <w:keepLines/>
                                    <w:spacing w:before="40" w:after="40"/>
                                    <w:jc w:val="right"/>
                                    <w:rPr>
                                      <w:b/>
                                      <w:sz w:val="21"/>
                                      <w:szCs w:val="21"/>
                                    </w:rPr>
                                  </w:pPr>
                                  <w:r>
                                    <w:rPr>
                                      <w:b/>
                                      <w:sz w:val="21"/>
                                      <w:szCs w:val="21"/>
                                    </w:rPr>
                                    <w:t>0.143</w:t>
                                  </w:r>
                                </w:p>
                              </w:tc>
                              <w:tc>
                                <w:tcPr>
                                  <w:tcW w:w="1140" w:type="dxa"/>
                                  <w:tcBorders>
                                    <w:top w:val="single" w:sz="4" w:space="0" w:color="000080"/>
                                  </w:tcBorders>
                                </w:tcPr>
                                <w:p w14:paraId="08FC5E01" w14:textId="3695F46A" w:rsidR="00805541" w:rsidRPr="005D39DD" w:rsidRDefault="00805541" w:rsidP="007E44E6">
                                  <w:pPr>
                                    <w:keepNext/>
                                    <w:keepLines/>
                                    <w:spacing w:before="40" w:after="40"/>
                                    <w:jc w:val="right"/>
                                    <w:rPr>
                                      <w:b/>
                                      <w:sz w:val="21"/>
                                      <w:szCs w:val="21"/>
                                    </w:rPr>
                                  </w:pPr>
                                  <w:r>
                                    <w:rPr>
                                      <w:b/>
                                      <w:sz w:val="21"/>
                                      <w:szCs w:val="21"/>
                                    </w:rPr>
                                    <w:t>0.286</w:t>
                                  </w:r>
                                </w:p>
                              </w:tc>
                            </w:tr>
                            <w:tr w:rsidR="00805541" w:rsidRPr="00101AB3" w14:paraId="4D48DC1E" w14:textId="77777777" w:rsidTr="00805541">
                              <w:trPr>
                                <w:cantSplit/>
                              </w:trPr>
                              <w:tc>
                                <w:tcPr>
                                  <w:tcW w:w="2835" w:type="dxa"/>
                                </w:tcPr>
                                <w:p w14:paraId="582F5190" w14:textId="77777777" w:rsidR="00805541" w:rsidRPr="0064121C" w:rsidRDefault="00805541" w:rsidP="007E44E6">
                                  <w:pPr>
                                    <w:keepNext/>
                                    <w:keepLines/>
                                    <w:spacing w:before="60" w:after="60"/>
                                    <w:ind w:left="-111"/>
                                    <w:rPr>
                                      <w:i/>
                                      <w:iCs/>
                                      <w:sz w:val="21"/>
                                      <w:szCs w:val="21"/>
                                    </w:rPr>
                                  </w:pPr>
                                  <w:r w:rsidRPr="0064121C">
                                    <w:rPr>
                                      <w:i/>
                                      <w:iCs/>
                                      <w:sz w:val="21"/>
                                      <w:szCs w:val="21"/>
                                    </w:rPr>
                                    <w:t xml:space="preserve">Less estimated National Partnership Payments </w:t>
                                  </w:r>
                                </w:p>
                              </w:tc>
                              <w:tc>
                                <w:tcPr>
                                  <w:tcW w:w="1560" w:type="dxa"/>
                                </w:tcPr>
                                <w:p w14:paraId="2A58D9BB" w14:textId="25DF406B" w:rsidR="00805541" w:rsidRPr="005D39DD" w:rsidRDefault="00805541" w:rsidP="007E44E6">
                                  <w:pPr>
                                    <w:keepNext/>
                                    <w:keepLines/>
                                    <w:spacing w:before="40" w:after="40"/>
                                    <w:jc w:val="right"/>
                                    <w:rPr>
                                      <w:sz w:val="21"/>
                                      <w:szCs w:val="21"/>
                                    </w:rPr>
                                  </w:pPr>
                                  <w:r>
                                    <w:rPr>
                                      <w:sz w:val="21"/>
                                      <w:szCs w:val="21"/>
                                    </w:rPr>
                                    <w:t>0.0715</w:t>
                                  </w:r>
                                </w:p>
                              </w:tc>
                              <w:tc>
                                <w:tcPr>
                                  <w:tcW w:w="1275" w:type="dxa"/>
                                </w:tcPr>
                                <w:p w14:paraId="2DA59B4C" w14:textId="21E59151" w:rsidR="00805541" w:rsidRPr="005D39DD" w:rsidRDefault="00805541" w:rsidP="007E44E6">
                                  <w:pPr>
                                    <w:keepNext/>
                                    <w:keepLines/>
                                    <w:spacing w:before="40" w:after="40"/>
                                    <w:jc w:val="right"/>
                                    <w:rPr>
                                      <w:sz w:val="21"/>
                                      <w:szCs w:val="21"/>
                                    </w:rPr>
                                  </w:pPr>
                                  <w:r>
                                    <w:rPr>
                                      <w:sz w:val="21"/>
                                      <w:szCs w:val="21"/>
                                    </w:rPr>
                                    <w:t>0.0715</w:t>
                                  </w:r>
                                </w:p>
                              </w:tc>
                              <w:tc>
                                <w:tcPr>
                                  <w:tcW w:w="1140" w:type="dxa"/>
                                </w:tcPr>
                                <w:p w14:paraId="4E7A84E3" w14:textId="5A6EC835" w:rsidR="00805541" w:rsidRPr="005D39DD" w:rsidRDefault="00805541" w:rsidP="007E44E6">
                                  <w:pPr>
                                    <w:keepNext/>
                                    <w:keepLines/>
                                    <w:spacing w:before="40" w:after="40"/>
                                    <w:jc w:val="right"/>
                                    <w:rPr>
                                      <w:sz w:val="21"/>
                                      <w:szCs w:val="21"/>
                                    </w:rPr>
                                  </w:pPr>
                                  <w:r>
                                    <w:rPr>
                                      <w:sz w:val="21"/>
                                      <w:szCs w:val="21"/>
                                    </w:rPr>
                                    <w:t>0.143</w:t>
                                  </w:r>
                                </w:p>
                              </w:tc>
                            </w:tr>
                            <w:tr w:rsidR="00805541" w:rsidRPr="00101AB3" w14:paraId="07890F67" w14:textId="77777777" w:rsidTr="00805541">
                              <w:trPr>
                                <w:cantSplit/>
                              </w:trPr>
                              <w:tc>
                                <w:tcPr>
                                  <w:tcW w:w="2835" w:type="dxa"/>
                                </w:tcPr>
                                <w:p w14:paraId="7F315B10" w14:textId="3E672AED" w:rsidR="00805541" w:rsidRPr="008C6B79" w:rsidRDefault="00805541" w:rsidP="00C704D2">
                                  <w:pPr>
                                    <w:pStyle w:val="ListParagraph"/>
                                    <w:keepNext/>
                                    <w:keepLines/>
                                    <w:widowControl/>
                                    <w:numPr>
                                      <w:ilvl w:val="0"/>
                                      <w:numId w:val="2"/>
                                    </w:numPr>
                                    <w:spacing w:before="60" w:after="60"/>
                                    <w:rPr>
                                      <w:rFonts w:ascii="Corbel" w:hAnsi="Corbel"/>
                                      <w:sz w:val="21"/>
                                      <w:szCs w:val="21"/>
                                    </w:rPr>
                                  </w:pPr>
                                  <w:r>
                                    <w:rPr>
                                      <w:rFonts w:ascii="Corbel" w:hAnsi="Corbel"/>
                                      <w:sz w:val="21"/>
                                      <w:szCs w:val="21"/>
                                    </w:rPr>
                                    <w:t>Australian Capital Territory</w:t>
                                  </w:r>
                                </w:p>
                              </w:tc>
                              <w:tc>
                                <w:tcPr>
                                  <w:tcW w:w="1560" w:type="dxa"/>
                                </w:tcPr>
                                <w:p w14:paraId="237F71CC" w14:textId="2D791D1E" w:rsidR="00805541" w:rsidRPr="005D39DD" w:rsidRDefault="00805541" w:rsidP="00C704D2">
                                  <w:pPr>
                                    <w:keepNext/>
                                    <w:keepLines/>
                                    <w:spacing w:before="40" w:after="40"/>
                                    <w:jc w:val="right"/>
                                    <w:rPr>
                                      <w:sz w:val="21"/>
                                      <w:szCs w:val="21"/>
                                    </w:rPr>
                                  </w:pPr>
                                  <w:r>
                                    <w:rPr>
                                      <w:sz w:val="21"/>
                                      <w:szCs w:val="21"/>
                                    </w:rPr>
                                    <w:t>0.0715</w:t>
                                  </w:r>
                                </w:p>
                              </w:tc>
                              <w:tc>
                                <w:tcPr>
                                  <w:tcW w:w="1275" w:type="dxa"/>
                                </w:tcPr>
                                <w:p w14:paraId="6B3D51AF" w14:textId="41F344C4" w:rsidR="00805541" w:rsidRPr="005D39DD" w:rsidRDefault="00805541" w:rsidP="00C704D2">
                                  <w:pPr>
                                    <w:keepNext/>
                                    <w:keepLines/>
                                    <w:spacing w:before="40" w:after="40"/>
                                    <w:jc w:val="right"/>
                                    <w:rPr>
                                      <w:sz w:val="21"/>
                                      <w:szCs w:val="21"/>
                                    </w:rPr>
                                  </w:pPr>
                                  <w:r>
                                    <w:rPr>
                                      <w:sz w:val="21"/>
                                      <w:szCs w:val="21"/>
                                    </w:rPr>
                                    <w:t>0.0715</w:t>
                                  </w:r>
                                </w:p>
                              </w:tc>
                              <w:tc>
                                <w:tcPr>
                                  <w:tcW w:w="1140" w:type="dxa"/>
                                </w:tcPr>
                                <w:p w14:paraId="1461D084" w14:textId="181AEFFB" w:rsidR="00805541" w:rsidRPr="005D39DD" w:rsidRDefault="00805541" w:rsidP="00C704D2">
                                  <w:pPr>
                                    <w:keepNext/>
                                    <w:keepLines/>
                                    <w:spacing w:before="40" w:after="40"/>
                                    <w:jc w:val="right"/>
                                    <w:rPr>
                                      <w:sz w:val="21"/>
                                      <w:szCs w:val="21"/>
                                    </w:rPr>
                                  </w:pPr>
                                  <w:r>
                                    <w:rPr>
                                      <w:sz w:val="21"/>
                                      <w:szCs w:val="21"/>
                                    </w:rPr>
                                    <w:t>0.143</w:t>
                                  </w:r>
                                </w:p>
                              </w:tc>
                            </w:tr>
                            <w:tr w:rsidR="00805541" w:rsidRPr="00101AB3" w14:paraId="406CC52C" w14:textId="77777777" w:rsidTr="00805541">
                              <w:trPr>
                                <w:cantSplit/>
                              </w:trPr>
                              <w:tc>
                                <w:tcPr>
                                  <w:tcW w:w="2835" w:type="dxa"/>
                                  <w:tcBorders>
                                    <w:bottom w:val="single" w:sz="4" w:space="0" w:color="000080"/>
                                  </w:tcBorders>
                                </w:tcPr>
                                <w:p w14:paraId="7DF3D17D" w14:textId="77777777" w:rsidR="00805541" w:rsidRPr="008C6B79" w:rsidRDefault="00805541" w:rsidP="007E44E6">
                                  <w:pPr>
                                    <w:keepNext/>
                                    <w:keepLines/>
                                    <w:spacing w:before="40" w:after="40"/>
                                    <w:ind w:left="-111"/>
                                    <w:rPr>
                                      <w:sz w:val="21"/>
                                      <w:szCs w:val="21"/>
                                    </w:rPr>
                                  </w:pPr>
                                  <w:r w:rsidRPr="008C6B79">
                                    <w:rPr>
                                      <w:sz w:val="21"/>
                                      <w:szCs w:val="21"/>
                                    </w:rPr>
                                    <w:t>Balance of non-Commonwealth contributions</w:t>
                                  </w:r>
                                </w:p>
                              </w:tc>
                              <w:tc>
                                <w:tcPr>
                                  <w:tcW w:w="1560" w:type="dxa"/>
                                  <w:tcBorders>
                                    <w:bottom w:val="single" w:sz="4" w:space="0" w:color="000080"/>
                                  </w:tcBorders>
                                </w:tcPr>
                                <w:p w14:paraId="0DB89270" w14:textId="50B3C224" w:rsidR="00805541" w:rsidRPr="005D39DD" w:rsidRDefault="00805541" w:rsidP="007E44E6">
                                  <w:pPr>
                                    <w:keepNext/>
                                    <w:keepLines/>
                                    <w:spacing w:before="40" w:after="40"/>
                                    <w:jc w:val="right"/>
                                    <w:rPr>
                                      <w:sz w:val="21"/>
                                      <w:szCs w:val="21"/>
                                    </w:rPr>
                                  </w:pPr>
                                  <w:r>
                                    <w:rPr>
                                      <w:sz w:val="21"/>
                                      <w:szCs w:val="21"/>
                                    </w:rPr>
                                    <w:t>0.0715</w:t>
                                  </w:r>
                                </w:p>
                              </w:tc>
                              <w:tc>
                                <w:tcPr>
                                  <w:tcW w:w="1275" w:type="dxa"/>
                                  <w:tcBorders>
                                    <w:bottom w:val="single" w:sz="4" w:space="0" w:color="000080"/>
                                  </w:tcBorders>
                                </w:tcPr>
                                <w:p w14:paraId="7CD6870F" w14:textId="780E5948" w:rsidR="00805541" w:rsidRPr="005D39DD" w:rsidRDefault="00805541" w:rsidP="007E44E6">
                                  <w:pPr>
                                    <w:keepNext/>
                                    <w:keepLines/>
                                    <w:spacing w:before="40" w:after="40"/>
                                    <w:jc w:val="right"/>
                                    <w:rPr>
                                      <w:sz w:val="21"/>
                                      <w:szCs w:val="21"/>
                                    </w:rPr>
                                  </w:pPr>
                                  <w:r>
                                    <w:rPr>
                                      <w:sz w:val="21"/>
                                      <w:szCs w:val="21"/>
                                    </w:rPr>
                                    <w:t>0.0715</w:t>
                                  </w:r>
                                </w:p>
                              </w:tc>
                              <w:tc>
                                <w:tcPr>
                                  <w:tcW w:w="1140" w:type="dxa"/>
                                  <w:tcBorders>
                                    <w:bottom w:val="single" w:sz="4" w:space="0" w:color="000080"/>
                                  </w:tcBorders>
                                </w:tcPr>
                                <w:p w14:paraId="51C9A932" w14:textId="619AD2D7" w:rsidR="00805541" w:rsidRPr="005D39DD" w:rsidRDefault="00805541" w:rsidP="007E44E6">
                                  <w:pPr>
                                    <w:keepNext/>
                                    <w:keepLines/>
                                    <w:spacing w:before="40" w:after="40"/>
                                    <w:jc w:val="right"/>
                                    <w:rPr>
                                      <w:sz w:val="21"/>
                                      <w:szCs w:val="21"/>
                                    </w:rPr>
                                  </w:pPr>
                                  <w:r>
                                    <w:rPr>
                                      <w:sz w:val="21"/>
                                      <w:szCs w:val="21"/>
                                    </w:rPr>
                                    <w:t>0.143</w:t>
                                  </w:r>
                                </w:p>
                              </w:tc>
                            </w:tr>
                          </w:tbl>
                          <w:p w14:paraId="27D4F2F1" w14:textId="67E800A0" w:rsidR="00C91B5F" w:rsidRPr="00101AB3" w:rsidRDefault="00C91B5F" w:rsidP="00C91B5F">
                            <w:pPr>
                              <w:rPr>
                                <w:sz w:val="18"/>
                                <w:szCs w:val="18"/>
                              </w:rPr>
                            </w:pPr>
                          </w:p>
                        </w:txbxContent>
                      </v:textbox>
                      <w10:wrap type="square"/>
                    </v:shape>
                  </w:pict>
                </mc:Fallback>
              </mc:AlternateContent>
            </w:r>
            <w:r w:rsidR="00C91B5F" w:rsidRPr="00F00A18">
              <w:rPr>
                <w:color w:val="auto"/>
              </w:rPr>
              <w:t xml:space="preserve">The Commonwealth will provide an estimated total financial contribution to the </w:t>
            </w:r>
            <w:r w:rsidR="00173F54">
              <w:rPr>
                <w:color w:val="auto"/>
              </w:rPr>
              <w:t>ACT</w:t>
            </w:r>
            <w:r w:rsidR="00C91B5F" w:rsidRPr="00F00A18">
              <w:rPr>
                <w:color w:val="auto"/>
              </w:rPr>
              <w:t xml:space="preserve"> of $</w:t>
            </w:r>
            <w:r w:rsidR="00805541">
              <w:rPr>
                <w:color w:val="auto"/>
              </w:rPr>
              <w:t>0</w:t>
            </w:r>
            <w:r w:rsidR="00C91B5F" w:rsidRPr="00F00A18">
              <w:rPr>
                <w:color w:val="auto"/>
              </w:rPr>
              <w:t>.</w:t>
            </w:r>
            <w:r w:rsidR="00805541">
              <w:rPr>
                <w:color w:val="auto"/>
              </w:rPr>
              <w:t>143</w:t>
            </w:r>
            <w:r w:rsidR="00C91B5F" w:rsidRPr="00F00A18">
              <w:rPr>
                <w:color w:val="auto"/>
              </w:rPr>
              <w:t>m in respect of this Schedule.</w:t>
            </w:r>
          </w:p>
        </w:tc>
      </w:tr>
      <w:tr w:rsidR="00C91B5F" w:rsidRPr="00F00A18" w14:paraId="21E3D649" w14:textId="77777777" w:rsidTr="00317FB3">
        <w:tc>
          <w:tcPr>
            <w:tcW w:w="1691" w:type="dxa"/>
            <w:shd w:val="clear" w:color="auto" w:fill="auto"/>
          </w:tcPr>
          <w:p w14:paraId="06578BDF" w14:textId="1CD85A82" w:rsidR="00C91B5F" w:rsidRPr="00F00A18" w:rsidRDefault="00C91B5F" w:rsidP="005D3905">
            <w:pPr>
              <w:pStyle w:val="Tableformat"/>
              <w:rPr>
                <w:color w:val="auto"/>
              </w:rPr>
            </w:pPr>
            <w:r w:rsidRPr="00F00A18">
              <w:rPr>
                <w:color w:val="auto"/>
              </w:rPr>
              <w:lastRenderedPageBreak/>
              <w:t>Additional terms</w:t>
            </w:r>
          </w:p>
        </w:tc>
        <w:tc>
          <w:tcPr>
            <w:tcW w:w="7938" w:type="dxa"/>
            <w:shd w:val="clear" w:color="auto" w:fill="auto"/>
          </w:tcPr>
          <w:p w14:paraId="42A62B05" w14:textId="092B3296" w:rsidR="00805541" w:rsidRDefault="00805541" w:rsidP="00805541">
            <w:pPr>
              <w:pStyle w:val="Tableformat"/>
              <w:rPr>
                <w:noProof/>
                <w:color w:val="auto"/>
                <w:lang w:val="en-GB" w:eastAsia="en-GB"/>
              </w:rPr>
            </w:pPr>
            <w:r>
              <w:rPr>
                <w:noProof/>
                <w:color w:val="auto"/>
                <w:lang w:val="en-GB" w:eastAsia="en-GB"/>
              </w:rPr>
              <w:t xml:space="preserve">The ACT will at least </w:t>
            </w:r>
            <w:r w:rsidR="0086325F">
              <w:rPr>
                <w:noProof/>
                <w:color w:val="auto"/>
                <w:lang w:val="en-GB" w:eastAsia="en-GB"/>
              </w:rPr>
              <w:t xml:space="preserve">match the Commonwealth contribution </w:t>
            </w:r>
            <w:r>
              <w:rPr>
                <w:noProof/>
                <w:color w:val="auto"/>
                <w:lang w:val="en-GB" w:eastAsia="en-GB"/>
              </w:rPr>
              <w:t>to support the implementation of this Schedule.</w:t>
            </w:r>
          </w:p>
          <w:p w14:paraId="679D8AD4" w14:textId="62D54351" w:rsidR="00C91B5F" w:rsidRPr="00805541" w:rsidRDefault="00805541" w:rsidP="005D3905">
            <w:pPr>
              <w:pStyle w:val="Tableformat"/>
              <w:rPr>
                <w:noProof/>
                <w:color w:val="auto"/>
                <w:lang w:val="en-GB" w:eastAsia="en-GB"/>
              </w:rPr>
            </w:pPr>
            <w:r w:rsidRPr="00805541">
              <w:rPr>
                <w:noProof/>
                <w:color w:val="auto"/>
                <w:lang w:val="en-GB" w:eastAsia="en-GB"/>
              </w:rPr>
              <w:t xml:space="preserve">If </w:t>
            </w:r>
            <w:r>
              <w:rPr>
                <w:noProof/>
                <w:color w:val="auto"/>
                <w:lang w:val="en-GB" w:eastAsia="en-GB"/>
              </w:rPr>
              <w:t>the ACT</w:t>
            </w:r>
            <w:r w:rsidRPr="00805541">
              <w:rPr>
                <w:noProof/>
                <w:color w:val="auto"/>
                <w:lang w:val="en-GB" w:eastAsia="en-GB"/>
              </w:rPr>
              <w:t xml:space="preserve"> does not at least match the Commonwealth’s full funding commitment of $</w:t>
            </w:r>
            <w:r>
              <w:rPr>
                <w:noProof/>
                <w:color w:val="auto"/>
                <w:lang w:val="en-GB" w:eastAsia="en-GB"/>
              </w:rPr>
              <w:t>0.143</w:t>
            </w:r>
            <w:r w:rsidRPr="00805541">
              <w:rPr>
                <w:noProof/>
                <w:color w:val="auto"/>
                <w:lang w:val="en-GB" w:eastAsia="en-GB"/>
              </w:rPr>
              <w:t xml:space="preserve"> million over two years, the Commonwealth may reduce its funding to match </w:t>
            </w:r>
            <w:r>
              <w:rPr>
                <w:noProof/>
                <w:color w:val="auto"/>
                <w:lang w:val="en-GB" w:eastAsia="en-GB"/>
              </w:rPr>
              <w:t>the ACT</w:t>
            </w:r>
            <w:r w:rsidRPr="00805541">
              <w:rPr>
                <w:noProof/>
                <w:color w:val="auto"/>
                <w:lang w:val="en-GB" w:eastAsia="en-GB"/>
              </w:rPr>
              <w:t>’s contribution or withhold payments until</w:t>
            </w:r>
            <w:r w:rsidR="009512AF">
              <w:rPr>
                <w:noProof/>
                <w:color w:val="auto"/>
                <w:lang w:val="en-GB" w:eastAsia="en-GB"/>
              </w:rPr>
              <w:t xml:space="preserve"> the</w:t>
            </w:r>
            <w:r w:rsidRPr="00805541">
              <w:rPr>
                <w:noProof/>
                <w:color w:val="auto"/>
                <w:lang w:val="en-GB" w:eastAsia="en-GB"/>
              </w:rPr>
              <w:t xml:space="preserve"> matching requirement is met. </w:t>
            </w:r>
          </w:p>
        </w:tc>
      </w:tr>
    </w:tbl>
    <w:p w14:paraId="3CA07E3E" w14:textId="77777777" w:rsidR="00C91B5F" w:rsidRPr="00F00A18" w:rsidRDefault="00C91B5F" w:rsidP="00C91B5F"/>
    <w:p w14:paraId="7417F48D" w14:textId="6A326746" w:rsidR="00C91B5F" w:rsidRPr="00F00A18" w:rsidRDefault="00C91B5F" w:rsidP="00C91B5F">
      <w:pPr>
        <w:sectPr w:rsidR="00C91B5F" w:rsidRPr="00F00A18" w:rsidSect="00FD7C46">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134" w:header="709" w:footer="709" w:gutter="0"/>
          <w:pgNumType w:chapStyle="9"/>
          <w:cols w:space="708"/>
          <w:titlePg/>
          <w:docGrid w:linePitch="360"/>
        </w:sectPr>
      </w:pPr>
    </w:p>
    <w:tbl>
      <w:tblPr>
        <w:tblW w:w="4965"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628"/>
        <w:gridCol w:w="2552"/>
        <w:gridCol w:w="2268"/>
      </w:tblGrid>
      <w:tr w:rsidR="00C91B5F" w:rsidRPr="00F00A18" w14:paraId="666D7A2C" w14:textId="77777777" w:rsidTr="00F502D9">
        <w:tc>
          <w:tcPr>
            <w:tcW w:w="14448" w:type="dxa"/>
            <w:gridSpan w:val="3"/>
            <w:shd w:val="clear" w:color="auto" w:fill="DEEAF6" w:themeFill="accent1" w:themeFillTint="33"/>
          </w:tcPr>
          <w:p w14:paraId="560DB1DE" w14:textId="77777777" w:rsidR="00C91B5F" w:rsidRPr="00F00A18" w:rsidRDefault="00C91B5F" w:rsidP="005D3905">
            <w:pPr>
              <w:pStyle w:val="Tableformat"/>
              <w:rPr>
                <w:b/>
                <w:color w:val="auto"/>
              </w:rPr>
            </w:pPr>
            <w:r w:rsidRPr="00F00A18">
              <w:rPr>
                <w:b/>
                <w:color w:val="auto"/>
              </w:rPr>
              <w:lastRenderedPageBreak/>
              <w:t>Table 2: Performance requirements, reporting and payment summary</w:t>
            </w:r>
          </w:p>
        </w:tc>
      </w:tr>
      <w:tr w:rsidR="00B8246B" w:rsidRPr="00F00A18" w14:paraId="45D97D64" w14:textId="77777777" w:rsidTr="00F502D9">
        <w:tc>
          <w:tcPr>
            <w:tcW w:w="9628" w:type="dxa"/>
            <w:shd w:val="clear" w:color="auto" w:fill="F2F2F2" w:themeFill="background1" w:themeFillShade="F2"/>
          </w:tcPr>
          <w:p w14:paraId="1B454D97" w14:textId="77777777" w:rsidR="00B8246B" w:rsidRPr="00F00A18" w:rsidRDefault="00B8246B" w:rsidP="005D3905">
            <w:pPr>
              <w:pStyle w:val="Tableformat"/>
              <w:rPr>
                <w:b/>
                <w:color w:val="auto"/>
              </w:rPr>
            </w:pPr>
            <w:r w:rsidRPr="00F00A18">
              <w:rPr>
                <w:b/>
                <w:color w:val="auto"/>
              </w:rPr>
              <w:t>Performance milestones</w:t>
            </w:r>
          </w:p>
        </w:tc>
        <w:tc>
          <w:tcPr>
            <w:tcW w:w="2552" w:type="dxa"/>
            <w:shd w:val="clear" w:color="auto" w:fill="F2F2F2" w:themeFill="background1" w:themeFillShade="F2"/>
          </w:tcPr>
          <w:p w14:paraId="4CBE64C9" w14:textId="77777777" w:rsidR="00B8246B" w:rsidRPr="00F00A18" w:rsidRDefault="00B8246B" w:rsidP="005D3905">
            <w:pPr>
              <w:pStyle w:val="Tableformat"/>
              <w:rPr>
                <w:b/>
                <w:color w:val="auto"/>
              </w:rPr>
            </w:pPr>
            <w:r w:rsidRPr="00F00A18">
              <w:rPr>
                <w:b/>
                <w:color w:val="auto"/>
              </w:rPr>
              <w:t>Report due</w:t>
            </w:r>
          </w:p>
        </w:tc>
        <w:tc>
          <w:tcPr>
            <w:tcW w:w="2268" w:type="dxa"/>
            <w:shd w:val="clear" w:color="auto" w:fill="F2F2F2" w:themeFill="background1" w:themeFillShade="F2"/>
          </w:tcPr>
          <w:p w14:paraId="3F2D3F12" w14:textId="77777777" w:rsidR="00B8246B" w:rsidRPr="00F00A18" w:rsidRDefault="00B8246B" w:rsidP="005D3905">
            <w:pPr>
              <w:pStyle w:val="Tableformat"/>
              <w:rPr>
                <w:b/>
                <w:color w:val="auto"/>
              </w:rPr>
            </w:pPr>
            <w:r w:rsidRPr="00F00A18">
              <w:rPr>
                <w:b/>
                <w:color w:val="auto"/>
              </w:rPr>
              <w:t>Payment</w:t>
            </w:r>
          </w:p>
        </w:tc>
      </w:tr>
      <w:tr w:rsidR="00B8246B" w:rsidRPr="00F00A18" w14:paraId="6D142D4F" w14:textId="77777777" w:rsidTr="00F502D9">
        <w:tc>
          <w:tcPr>
            <w:tcW w:w="9628" w:type="dxa"/>
            <w:tcBorders>
              <w:top w:val="single" w:sz="8" w:space="0" w:color="4F81BD"/>
              <w:left w:val="single" w:sz="8" w:space="0" w:color="4F81BD"/>
              <w:bottom w:val="single" w:sz="8" w:space="0" w:color="4F81BD"/>
              <w:right w:val="single" w:sz="8" w:space="0" w:color="4F81BD"/>
            </w:tcBorders>
            <w:shd w:val="clear" w:color="auto" w:fill="auto"/>
          </w:tcPr>
          <w:p w14:paraId="4095F697" w14:textId="0D9F6D5E" w:rsidR="00B8246B" w:rsidRPr="00F00A18" w:rsidRDefault="00F502D9" w:rsidP="005D3905">
            <w:pPr>
              <w:pStyle w:val="Milestonetable"/>
              <w:rPr>
                <w:color w:val="auto"/>
              </w:rPr>
            </w:pPr>
            <w:r w:rsidRPr="00F502D9">
              <w:rPr>
                <w:color w:val="auto"/>
              </w:rPr>
              <w:t xml:space="preserve">Notify the Commonwealth in writing that NPM </w:t>
            </w:r>
            <w:r>
              <w:rPr>
                <w:color w:val="auto"/>
              </w:rPr>
              <w:t>B</w:t>
            </w:r>
            <w:r w:rsidRPr="00F502D9">
              <w:rPr>
                <w:color w:val="auto"/>
              </w:rPr>
              <w:t>ody/</w:t>
            </w:r>
            <w:proofErr w:type="spellStart"/>
            <w:r w:rsidRPr="00F502D9">
              <w:rPr>
                <w:color w:val="auto"/>
              </w:rPr>
              <w:t>ies</w:t>
            </w:r>
            <w:proofErr w:type="spellEnd"/>
            <w:r w:rsidRPr="00F502D9">
              <w:rPr>
                <w:color w:val="auto"/>
              </w:rPr>
              <w:t xml:space="preserve"> have been designated or established, including confirmation that NPM </w:t>
            </w:r>
            <w:r>
              <w:rPr>
                <w:color w:val="auto"/>
              </w:rPr>
              <w:t>B</w:t>
            </w:r>
            <w:r w:rsidRPr="00F502D9">
              <w:rPr>
                <w:color w:val="auto"/>
              </w:rPr>
              <w:t>od</w:t>
            </w:r>
            <w:r>
              <w:rPr>
                <w:color w:val="auto"/>
              </w:rPr>
              <w:t>y/</w:t>
            </w:r>
            <w:proofErr w:type="spellStart"/>
            <w:r w:rsidRPr="00F502D9">
              <w:rPr>
                <w:color w:val="auto"/>
              </w:rPr>
              <w:t>ies</w:t>
            </w:r>
            <w:proofErr w:type="spellEnd"/>
            <w:r w:rsidRPr="00F502D9">
              <w:rPr>
                <w:color w:val="auto"/>
              </w:rPr>
              <w:t xml:space="preserve"> have the necessary mandates in accordance with Part 4 of OPCAT or providing sufficient evidence that they are in the process of putting these in place </w:t>
            </w:r>
            <w:r>
              <w:rPr>
                <w:color w:val="auto"/>
              </w:rPr>
              <w:t>(</w:t>
            </w:r>
            <w:r w:rsidRPr="00F502D9">
              <w:rPr>
                <w:color w:val="auto"/>
              </w:rPr>
              <w:t>such as introducing legislation, seeking Cabinet approvals or other similar actions</w:t>
            </w:r>
            <w:r>
              <w:rPr>
                <w:color w:val="auto"/>
              </w:rPr>
              <w:t>)</w:t>
            </w:r>
            <w:r w:rsidRPr="00F502D9">
              <w:rPr>
                <w:color w:val="auto"/>
              </w:rPr>
              <w:t>.</w:t>
            </w:r>
          </w:p>
        </w:tc>
        <w:tc>
          <w:tcPr>
            <w:tcW w:w="2552" w:type="dxa"/>
            <w:tcBorders>
              <w:top w:val="single" w:sz="8" w:space="0" w:color="4F81BD"/>
              <w:left w:val="single" w:sz="8" w:space="0" w:color="4F81BD"/>
              <w:bottom w:val="single" w:sz="8" w:space="0" w:color="4F81BD"/>
              <w:right w:val="single" w:sz="8" w:space="0" w:color="4F81BD"/>
            </w:tcBorders>
            <w:shd w:val="clear" w:color="auto" w:fill="auto"/>
          </w:tcPr>
          <w:p w14:paraId="5421C669" w14:textId="568AEDDD" w:rsidR="00B8246B" w:rsidRPr="00F00A18" w:rsidRDefault="00B8246B" w:rsidP="005D3905">
            <w:pPr>
              <w:pStyle w:val="Milestonetable"/>
              <w:rPr>
                <w:color w:val="auto"/>
              </w:rPr>
            </w:pPr>
            <w:r w:rsidRPr="00B8246B">
              <w:rPr>
                <w:color w:val="auto"/>
              </w:rPr>
              <w:t>20 January 2022</w:t>
            </w:r>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2EC595E5" w14:textId="54F02A33" w:rsidR="00B8246B" w:rsidRPr="00F00A18" w:rsidRDefault="00B8246B" w:rsidP="00B8246B">
            <w:pPr>
              <w:pStyle w:val="Milestonetable"/>
              <w:jc w:val="right"/>
              <w:rPr>
                <w:color w:val="auto"/>
              </w:rPr>
            </w:pPr>
            <w:r w:rsidRPr="00B8246B">
              <w:rPr>
                <w:color w:val="auto"/>
              </w:rPr>
              <w:t>$71,500</w:t>
            </w:r>
          </w:p>
        </w:tc>
      </w:tr>
      <w:tr w:rsidR="00173F54" w:rsidRPr="00F00A18" w14:paraId="02A510C6" w14:textId="77777777" w:rsidTr="008C3934">
        <w:tc>
          <w:tcPr>
            <w:tcW w:w="9628" w:type="dxa"/>
            <w:tcBorders>
              <w:top w:val="single" w:sz="8" w:space="0" w:color="4F81BD"/>
              <w:left w:val="single" w:sz="8" w:space="0" w:color="4F81BD"/>
              <w:bottom w:val="single" w:sz="8" w:space="0" w:color="4F81BD"/>
              <w:right w:val="single" w:sz="8" w:space="0" w:color="4F81BD"/>
            </w:tcBorders>
            <w:shd w:val="clear" w:color="auto" w:fill="auto"/>
          </w:tcPr>
          <w:p w14:paraId="4D949C14" w14:textId="6A642456" w:rsidR="00173F54" w:rsidRDefault="00173F54" w:rsidP="005D3905">
            <w:pPr>
              <w:pStyle w:val="Milestonetable"/>
              <w:rPr>
                <w:color w:val="auto"/>
              </w:rPr>
            </w:pPr>
            <w:r w:rsidRPr="00F502D9">
              <w:rPr>
                <w:color w:val="auto"/>
              </w:rPr>
              <w:t xml:space="preserve">Provide a summary of activities and progress made by NPM </w:t>
            </w:r>
            <w:r>
              <w:rPr>
                <w:color w:val="auto"/>
              </w:rPr>
              <w:t>B</w:t>
            </w:r>
            <w:r w:rsidRPr="00F502D9">
              <w:rPr>
                <w:color w:val="auto"/>
              </w:rPr>
              <w:t>ody/</w:t>
            </w:r>
            <w:proofErr w:type="spellStart"/>
            <w:r w:rsidRPr="00F502D9">
              <w:rPr>
                <w:color w:val="auto"/>
              </w:rPr>
              <w:t>ies</w:t>
            </w:r>
            <w:proofErr w:type="spellEnd"/>
            <w:r w:rsidRPr="00F502D9">
              <w:rPr>
                <w:color w:val="auto"/>
              </w:rPr>
              <w:t xml:space="preserve"> over the first 12 months from 20 January 2022</w:t>
            </w:r>
            <w:r>
              <w:rPr>
                <w:color w:val="auto"/>
              </w:rPr>
              <w:t>, when Australia’s NPM obligations under OPCAT commence</w:t>
            </w:r>
            <w:r w:rsidRPr="00F502D9">
              <w:rPr>
                <w:color w:val="auto"/>
              </w:rPr>
              <w:t xml:space="preserve">. </w:t>
            </w:r>
            <w:r>
              <w:rPr>
                <w:color w:val="auto"/>
              </w:rPr>
              <w:t>The summary</w:t>
            </w:r>
            <w:r w:rsidRPr="00F502D9">
              <w:rPr>
                <w:color w:val="auto"/>
              </w:rPr>
              <w:t xml:space="preserve"> </w:t>
            </w:r>
            <w:r>
              <w:rPr>
                <w:color w:val="auto"/>
              </w:rPr>
              <w:t>should</w:t>
            </w:r>
            <w:r w:rsidRPr="00F502D9">
              <w:rPr>
                <w:color w:val="auto"/>
              </w:rPr>
              <w:t xml:space="preserve"> include, where applicable:</w:t>
            </w:r>
          </w:p>
          <w:p w14:paraId="1A8616FF" w14:textId="78F3FD38" w:rsidR="00173F54" w:rsidRPr="00F502D9" w:rsidRDefault="00173F54" w:rsidP="00F502D9">
            <w:pPr>
              <w:pStyle w:val="Milestonetable"/>
              <w:numPr>
                <w:ilvl w:val="0"/>
                <w:numId w:val="3"/>
              </w:numPr>
              <w:rPr>
                <w:color w:val="auto"/>
              </w:rPr>
            </w:pPr>
            <w:r w:rsidRPr="00F502D9">
              <w:rPr>
                <w:color w:val="auto"/>
              </w:rPr>
              <w:t>the monitoring activities undertaken</w:t>
            </w:r>
          </w:p>
          <w:p w14:paraId="252CEF9B" w14:textId="62287DD0" w:rsidR="00173F54" w:rsidRPr="00F502D9" w:rsidRDefault="00173F54" w:rsidP="00F502D9">
            <w:pPr>
              <w:pStyle w:val="Milestonetable"/>
              <w:numPr>
                <w:ilvl w:val="0"/>
                <w:numId w:val="3"/>
              </w:numPr>
              <w:rPr>
                <w:color w:val="auto"/>
              </w:rPr>
            </w:pPr>
            <w:r w:rsidRPr="00F502D9">
              <w:rPr>
                <w:color w:val="auto"/>
              </w:rPr>
              <w:t>observations and findings, including</w:t>
            </w:r>
            <w:r>
              <w:rPr>
                <w:color w:val="auto"/>
              </w:rPr>
              <w:t>:</w:t>
            </w:r>
            <w:r w:rsidRPr="00F502D9">
              <w:rPr>
                <w:color w:val="auto"/>
              </w:rPr>
              <w:t xml:space="preserve"> </w:t>
            </w:r>
          </w:p>
          <w:p w14:paraId="47F0E546" w14:textId="774B515F" w:rsidR="00173F54" w:rsidRPr="00F502D9" w:rsidRDefault="00173F54" w:rsidP="00F502D9">
            <w:pPr>
              <w:pStyle w:val="Milestonetable"/>
              <w:numPr>
                <w:ilvl w:val="1"/>
                <w:numId w:val="3"/>
              </w:numPr>
              <w:rPr>
                <w:color w:val="auto"/>
              </w:rPr>
            </w:pPr>
            <w:r w:rsidRPr="00F502D9">
              <w:rPr>
                <w:color w:val="auto"/>
              </w:rPr>
              <w:t>analysis of any torture prevention issues, and</w:t>
            </w:r>
          </w:p>
          <w:p w14:paraId="7F9891B5" w14:textId="2ADFAB17" w:rsidR="00173F54" w:rsidRPr="00F502D9" w:rsidRDefault="00173F54" w:rsidP="00F502D9">
            <w:pPr>
              <w:pStyle w:val="Milestonetable"/>
              <w:numPr>
                <w:ilvl w:val="1"/>
                <w:numId w:val="3"/>
              </w:numPr>
              <w:rPr>
                <w:color w:val="auto"/>
              </w:rPr>
            </w:pPr>
            <w:r w:rsidRPr="00F502D9">
              <w:rPr>
                <w:color w:val="auto"/>
              </w:rPr>
              <w:t>challenges to the effective execution of the NPM</w:t>
            </w:r>
            <w:r>
              <w:rPr>
                <w:color w:val="auto"/>
              </w:rPr>
              <w:t xml:space="preserve"> Body/</w:t>
            </w:r>
            <w:proofErr w:type="spellStart"/>
            <w:r>
              <w:rPr>
                <w:color w:val="auto"/>
              </w:rPr>
              <w:t>ie</w:t>
            </w:r>
            <w:r w:rsidRPr="00F502D9">
              <w:rPr>
                <w:color w:val="auto"/>
              </w:rPr>
              <w:t>s</w:t>
            </w:r>
            <w:r>
              <w:rPr>
                <w:color w:val="auto"/>
              </w:rPr>
              <w:t>’</w:t>
            </w:r>
            <w:proofErr w:type="spellEnd"/>
            <w:r w:rsidRPr="00F502D9">
              <w:rPr>
                <w:color w:val="auto"/>
              </w:rPr>
              <w:t xml:space="preserve"> mandate</w:t>
            </w:r>
          </w:p>
          <w:p w14:paraId="1B1AC072" w14:textId="3E59B0C0" w:rsidR="00173F54" w:rsidRPr="00F502D9" w:rsidRDefault="00173F54" w:rsidP="00F502D9">
            <w:pPr>
              <w:pStyle w:val="Milestonetable"/>
              <w:numPr>
                <w:ilvl w:val="0"/>
                <w:numId w:val="3"/>
              </w:numPr>
              <w:rPr>
                <w:color w:val="auto"/>
              </w:rPr>
            </w:pPr>
            <w:r w:rsidRPr="00F502D9">
              <w:rPr>
                <w:color w:val="auto"/>
              </w:rPr>
              <w:t>recommendations to address risks of ill treatment of people in places of detention</w:t>
            </w:r>
          </w:p>
          <w:p w14:paraId="6C559A45" w14:textId="7D62EB05" w:rsidR="00173F54" w:rsidRPr="00F502D9" w:rsidRDefault="00173F54" w:rsidP="00F502D9">
            <w:pPr>
              <w:pStyle w:val="Milestonetable"/>
              <w:numPr>
                <w:ilvl w:val="0"/>
                <w:numId w:val="3"/>
              </w:numPr>
              <w:rPr>
                <w:color w:val="auto"/>
              </w:rPr>
            </w:pPr>
            <w:r>
              <w:rPr>
                <w:color w:val="auto"/>
              </w:rPr>
              <w:t>a</w:t>
            </w:r>
            <w:r w:rsidRPr="00F502D9">
              <w:rPr>
                <w:color w:val="auto"/>
              </w:rPr>
              <w:t>n overview of all other activities and outcomes</w:t>
            </w:r>
          </w:p>
          <w:p w14:paraId="39ED6F07" w14:textId="12C8A306" w:rsidR="00173F54" w:rsidRDefault="00173F54" w:rsidP="001A3166">
            <w:pPr>
              <w:pStyle w:val="Milestonetable"/>
              <w:numPr>
                <w:ilvl w:val="0"/>
                <w:numId w:val="3"/>
              </w:numPr>
              <w:rPr>
                <w:color w:val="auto"/>
              </w:rPr>
            </w:pPr>
            <w:r>
              <w:rPr>
                <w:color w:val="auto"/>
              </w:rPr>
              <w:t>a</w:t>
            </w:r>
            <w:r w:rsidRPr="00F502D9">
              <w:rPr>
                <w:color w:val="auto"/>
              </w:rPr>
              <w:t>n overview of the structures and resources made available to the</w:t>
            </w:r>
            <w:r>
              <w:rPr>
                <w:color w:val="auto"/>
              </w:rPr>
              <w:t xml:space="preserve"> NPM Body/</w:t>
            </w:r>
            <w:proofErr w:type="spellStart"/>
            <w:r>
              <w:rPr>
                <w:color w:val="auto"/>
              </w:rPr>
              <w:t>ies</w:t>
            </w:r>
            <w:proofErr w:type="spellEnd"/>
            <w:r>
              <w:rPr>
                <w:color w:val="auto"/>
              </w:rPr>
              <w:t xml:space="preserve">, </w:t>
            </w:r>
            <w:r w:rsidRPr="00F502D9">
              <w:rPr>
                <w:color w:val="auto"/>
              </w:rPr>
              <w:t>including any short</w:t>
            </w:r>
            <w:r>
              <w:rPr>
                <w:color w:val="auto"/>
              </w:rPr>
              <w:noBreakHyphen/>
            </w:r>
            <w:r w:rsidRPr="00F502D9">
              <w:rPr>
                <w:color w:val="auto"/>
              </w:rPr>
              <w:t xml:space="preserve">term or long-term plans, and </w:t>
            </w:r>
          </w:p>
          <w:p w14:paraId="255E47AA" w14:textId="55070B75" w:rsidR="00173F54" w:rsidRDefault="00173F54" w:rsidP="001A3166">
            <w:pPr>
              <w:pStyle w:val="Milestonetable"/>
              <w:numPr>
                <w:ilvl w:val="0"/>
                <w:numId w:val="3"/>
              </w:numPr>
              <w:rPr>
                <w:color w:val="auto"/>
              </w:rPr>
            </w:pPr>
            <w:r w:rsidRPr="00F502D9">
              <w:rPr>
                <w:color w:val="auto"/>
              </w:rPr>
              <w:t>any future priorities for the NPM</w:t>
            </w:r>
            <w:r>
              <w:rPr>
                <w:color w:val="auto"/>
              </w:rPr>
              <w:t xml:space="preserve"> Body/</w:t>
            </w:r>
            <w:proofErr w:type="spellStart"/>
            <w:r>
              <w:rPr>
                <w:color w:val="auto"/>
              </w:rPr>
              <w:t>ies</w:t>
            </w:r>
            <w:proofErr w:type="spellEnd"/>
            <w:r w:rsidRPr="00F502D9">
              <w:rPr>
                <w:color w:val="auto"/>
              </w:rPr>
              <w:t xml:space="preserve"> that have been set.</w:t>
            </w:r>
          </w:p>
          <w:p w14:paraId="3C188FFC" w14:textId="3FC98971" w:rsidR="00173F54" w:rsidRPr="00F00A18" w:rsidRDefault="00173F54" w:rsidP="001A3166">
            <w:pPr>
              <w:pStyle w:val="Milestonetable"/>
              <w:rPr>
                <w:color w:val="auto"/>
              </w:rPr>
            </w:pPr>
            <w:r w:rsidRPr="001A3166">
              <w:rPr>
                <w:color w:val="auto"/>
              </w:rPr>
              <w:t xml:space="preserve">The summary of activities and progress may leverage from information already prepared by NPM </w:t>
            </w:r>
            <w:r>
              <w:rPr>
                <w:color w:val="auto"/>
              </w:rPr>
              <w:t>B</w:t>
            </w:r>
            <w:r w:rsidRPr="001A3166">
              <w:rPr>
                <w:color w:val="auto"/>
              </w:rPr>
              <w:t>ody/</w:t>
            </w:r>
            <w:proofErr w:type="spellStart"/>
            <w:r w:rsidRPr="001A3166">
              <w:rPr>
                <w:color w:val="auto"/>
              </w:rPr>
              <w:t>ies</w:t>
            </w:r>
            <w:proofErr w:type="spellEnd"/>
            <w:r w:rsidRPr="001A3166">
              <w:rPr>
                <w:color w:val="auto"/>
              </w:rPr>
              <w:t xml:space="preserve"> as part of their own annual reporting obligations under their own governing legislation</w:t>
            </w:r>
            <w:r>
              <w:rPr>
                <w:color w:val="auto"/>
              </w:rPr>
              <w:t>, or as required to support the NPM Coordinator to prepare its consolidated annual report covering the activities of all Australian NPM Bodies.</w:t>
            </w:r>
          </w:p>
        </w:tc>
        <w:tc>
          <w:tcPr>
            <w:tcW w:w="2552" w:type="dxa"/>
            <w:vMerge w:val="restart"/>
            <w:tcBorders>
              <w:top w:val="single" w:sz="8" w:space="0" w:color="4F81BD"/>
              <w:left w:val="single" w:sz="8" w:space="0" w:color="4F81BD"/>
              <w:right w:val="single" w:sz="8" w:space="0" w:color="4F81BD"/>
            </w:tcBorders>
            <w:shd w:val="clear" w:color="auto" w:fill="auto"/>
          </w:tcPr>
          <w:p w14:paraId="155884A0" w14:textId="2DB5DAE7" w:rsidR="00173F54" w:rsidRPr="00F00A18" w:rsidRDefault="00173F54" w:rsidP="005D3905">
            <w:pPr>
              <w:pStyle w:val="Milestonetable"/>
              <w:rPr>
                <w:color w:val="auto"/>
              </w:rPr>
            </w:pPr>
            <w:r w:rsidRPr="00B8246B">
              <w:rPr>
                <w:color w:val="auto"/>
              </w:rPr>
              <w:t xml:space="preserve">28 April 2023 </w:t>
            </w:r>
          </w:p>
        </w:tc>
        <w:tc>
          <w:tcPr>
            <w:tcW w:w="2268" w:type="dxa"/>
            <w:vMerge w:val="restart"/>
            <w:tcBorders>
              <w:top w:val="single" w:sz="8" w:space="0" w:color="4F81BD"/>
              <w:left w:val="single" w:sz="8" w:space="0" w:color="4F81BD"/>
              <w:right w:val="single" w:sz="8" w:space="0" w:color="4F81BD"/>
            </w:tcBorders>
            <w:shd w:val="clear" w:color="auto" w:fill="auto"/>
          </w:tcPr>
          <w:p w14:paraId="7FE4ABF0" w14:textId="6CB803D5" w:rsidR="00173F54" w:rsidRPr="00F00A18" w:rsidRDefault="00173F54" w:rsidP="00173F54">
            <w:pPr>
              <w:pStyle w:val="Milestonetable"/>
              <w:jc w:val="right"/>
              <w:rPr>
                <w:color w:val="auto"/>
              </w:rPr>
            </w:pPr>
            <w:r w:rsidRPr="00B8246B">
              <w:rPr>
                <w:color w:val="auto"/>
              </w:rPr>
              <w:t>$71,500</w:t>
            </w:r>
          </w:p>
        </w:tc>
      </w:tr>
      <w:tr w:rsidR="00173F54" w:rsidRPr="00F00A18" w14:paraId="31168209" w14:textId="77777777" w:rsidTr="008C3934">
        <w:tc>
          <w:tcPr>
            <w:tcW w:w="9628" w:type="dxa"/>
            <w:tcBorders>
              <w:top w:val="single" w:sz="8" w:space="0" w:color="4F81BD"/>
              <w:left w:val="single" w:sz="8" w:space="0" w:color="4F81BD"/>
              <w:bottom w:val="single" w:sz="8" w:space="0" w:color="4F81BD"/>
              <w:right w:val="single" w:sz="8" w:space="0" w:color="4F81BD"/>
            </w:tcBorders>
            <w:shd w:val="clear" w:color="auto" w:fill="auto"/>
          </w:tcPr>
          <w:p w14:paraId="24F5EF98" w14:textId="2AB0CD6F" w:rsidR="00173F54" w:rsidRPr="00F00A18" w:rsidRDefault="00173F54" w:rsidP="002E2A8F">
            <w:pPr>
              <w:pStyle w:val="Milestonetable"/>
              <w:rPr>
                <w:color w:val="auto"/>
              </w:rPr>
            </w:pPr>
            <w:r>
              <w:rPr>
                <w:color w:val="auto"/>
              </w:rPr>
              <w:t xml:space="preserve">Provide evidence </w:t>
            </w:r>
            <w:r w:rsidRPr="00E0075F">
              <w:rPr>
                <w:color w:val="auto"/>
              </w:rPr>
              <w:t xml:space="preserve">that demonstrates the </w:t>
            </w:r>
            <w:r>
              <w:rPr>
                <w:color w:val="auto"/>
              </w:rPr>
              <w:t>ACT has contribute</w:t>
            </w:r>
            <w:r w:rsidRPr="00E0075F">
              <w:rPr>
                <w:color w:val="auto"/>
              </w:rPr>
              <w:t xml:space="preserve">d </w:t>
            </w:r>
            <w:r>
              <w:rPr>
                <w:color w:val="auto"/>
              </w:rPr>
              <w:t xml:space="preserve">matched funding which has been used to designate or </w:t>
            </w:r>
            <w:r w:rsidRPr="00E0075F">
              <w:rPr>
                <w:color w:val="auto"/>
              </w:rPr>
              <w:t xml:space="preserve">establish </w:t>
            </w:r>
            <w:r>
              <w:rPr>
                <w:color w:val="auto"/>
              </w:rPr>
              <w:t xml:space="preserve">the </w:t>
            </w:r>
            <w:r w:rsidRPr="00E0075F">
              <w:rPr>
                <w:color w:val="auto"/>
              </w:rPr>
              <w:t xml:space="preserve">ACT’s NPM </w:t>
            </w:r>
            <w:r>
              <w:rPr>
                <w:color w:val="auto"/>
              </w:rPr>
              <w:t>B</w:t>
            </w:r>
            <w:r w:rsidRPr="00E0075F">
              <w:rPr>
                <w:color w:val="auto"/>
              </w:rPr>
              <w:t>od</w:t>
            </w:r>
            <w:r>
              <w:rPr>
                <w:color w:val="auto"/>
              </w:rPr>
              <w:t>y/</w:t>
            </w:r>
            <w:proofErr w:type="spellStart"/>
            <w:r w:rsidRPr="00E0075F">
              <w:rPr>
                <w:color w:val="auto"/>
              </w:rPr>
              <w:t>ies</w:t>
            </w:r>
            <w:proofErr w:type="spellEnd"/>
            <w:r>
              <w:rPr>
                <w:color w:val="auto"/>
              </w:rPr>
              <w:t xml:space="preserve">. This can include any funding already spent by the ACT in previous years. </w:t>
            </w:r>
          </w:p>
        </w:tc>
        <w:tc>
          <w:tcPr>
            <w:tcW w:w="2552" w:type="dxa"/>
            <w:vMerge/>
            <w:tcBorders>
              <w:left w:val="single" w:sz="8" w:space="0" w:color="4F81BD"/>
              <w:bottom w:val="single" w:sz="8" w:space="0" w:color="4F81BD"/>
              <w:right w:val="single" w:sz="8" w:space="0" w:color="4F81BD"/>
            </w:tcBorders>
            <w:shd w:val="clear" w:color="auto" w:fill="auto"/>
          </w:tcPr>
          <w:p w14:paraId="09F5635A" w14:textId="36173919" w:rsidR="00173F54" w:rsidRPr="00F00A18" w:rsidRDefault="00173F54" w:rsidP="005D3905">
            <w:pPr>
              <w:pStyle w:val="Milestonetable"/>
              <w:rPr>
                <w:color w:val="auto"/>
              </w:rPr>
            </w:pPr>
          </w:p>
        </w:tc>
        <w:tc>
          <w:tcPr>
            <w:tcW w:w="2268" w:type="dxa"/>
            <w:vMerge/>
            <w:tcBorders>
              <w:left w:val="single" w:sz="8" w:space="0" w:color="4F81BD"/>
              <w:bottom w:val="single" w:sz="8" w:space="0" w:color="4F81BD"/>
              <w:right w:val="single" w:sz="8" w:space="0" w:color="4F81BD"/>
            </w:tcBorders>
            <w:shd w:val="clear" w:color="auto" w:fill="auto"/>
          </w:tcPr>
          <w:p w14:paraId="25F131F6" w14:textId="77BE7380" w:rsidR="00173F54" w:rsidRPr="00F00A18" w:rsidRDefault="00173F54" w:rsidP="005D3905">
            <w:pPr>
              <w:pStyle w:val="Milestonetable"/>
              <w:jc w:val="right"/>
              <w:rPr>
                <w:color w:val="auto"/>
              </w:rPr>
            </w:pPr>
          </w:p>
        </w:tc>
      </w:tr>
    </w:tbl>
    <w:p w14:paraId="3CA5FCAF" w14:textId="77777777" w:rsidR="00C91B5F" w:rsidRDefault="00C91B5F" w:rsidP="00C91B5F"/>
    <w:p w14:paraId="7245F9C3" w14:textId="77777777" w:rsidR="00C91B5F" w:rsidRDefault="00C91B5F" w:rsidP="00C91B5F">
      <w:pPr>
        <w:rPr>
          <w:lang w:val="en-GB"/>
        </w:rPr>
      </w:pPr>
      <w:r w:rsidRPr="00A50751">
        <w:rPr>
          <w:lang w:val="en-GB"/>
        </w:rPr>
        <w:t xml:space="preserve">The </w:t>
      </w:r>
      <w:r w:rsidRPr="00C57BB9">
        <w:rPr>
          <w:sz w:val="24"/>
          <w:szCs w:val="24"/>
        </w:rPr>
        <w:t>Parties</w:t>
      </w:r>
      <w:r w:rsidRPr="00A50751">
        <w:rPr>
          <w:lang w:val="en-GB"/>
        </w:rPr>
        <w:t xml:space="preserve"> have confirmed their commitment to this </w:t>
      </w:r>
      <w:r>
        <w:rPr>
          <w:lang w:val="en-GB"/>
        </w:rPr>
        <w:t>schedule</w:t>
      </w:r>
      <w:r w:rsidRPr="00A50751">
        <w:rPr>
          <w:lang w:val="en-GB"/>
        </w:rPr>
        <w:t xml:space="preserve"> as follows:</w:t>
      </w:r>
    </w:p>
    <w:p w14:paraId="018BB34B" w14:textId="77777777" w:rsidR="00C91B5F" w:rsidRDefault="00C91B5F" w:rsidP="00C91B5F">
      <w:pPr>
        <w:rPr>
          <w:lang w:val="en-GB"/>
        </w:rPr>
      </w:pPr>
    </w:p>
    <w:tbl>
      <w:tblPr>
        <w:tblW w:w="0" w:type="auto"/>
        <w:jc w:val="center"/>
        <w:tblLayout w:type="fixed"/>
        <w:tblLook w:val="01E0" w:firstRow="1" w:lastRow="1" w:firstColumn="1" w:lastColumn="1" w:noHBand="0" w:noVBand="0"/>
      </w:tblPr>
      <w:tblGrid>
        <w:gridCol w:w="4536"/>
        <w:gridCol w:w="1701"/>
        <w:gridCol w:w="4536"/>
      </w:tblGrid>
      <w:tr w:rsidR="00C91B5F" w:rsidRPr="00A50751" w14:paraId="6EDBD23D" w14:textId="77777777" w:rsidTr="005D3905">
        <w:trPr>
          <w:cantSplit/>
          <w:jc w:val="center"/>
        </w:trPr>
        <w:tc>
          <w:tcPr>
            <w:tcW w:w="4536" w:type="dxa"/>
          </w:tcPr>
          <w:p w14:paraId="6769E4B0" w14:textId="77777777" w:rsidR="00C91B5F" w:rsidRPr="004A0AE7" w:rsidRDefault="00C91B5F" w:rsidP="005D3905">
            <w:pPr>
              <w:pStyle w:val="Signed"/>
            </w:pPr>
            <w:r>
              <w:rPr>
                <w:rStyle w:val="SignedBold"/>
              </w:rPr>
              <w:lastRenderedPageBreak/>
              <w:t>Signed</w:t>
            </w:r>
            <w:r w:rsidRPr="004A0AE7">
              <w:t xml:space="preserve"> for and on behalf of the</w:t>
            </w:r>
            <w:r>
              <w:t xml:space="preserve"> </w:t>
            </w:r>
            <w:r w:rsidRPr="004A0AE7">
              <w:t xml:space="preserve">Commonwealth of </w:t>
            </w:r>
            <w:smartTag w:uri="urn:schemas-microsoft-com:office:smarttags" w:element="place">
              <w:smartTag w:uri="urn:schemas-microsoft-com:office:smarttags" w:element="country-region">
                <w:r w:rsidRPr="004A0AE7">
                  <w:t>Australia</w:t>
                </w:r>
              </w:smartTag>
            </w:smartTag>
            <w:r w:rsidRPr="004A0AE7">
              <w:t xml:space="preserve"> by</w:t>
            </w:r>
          </w:p>
          <w:p w14:paraId="647726BA" w14:textId="77777777" w:rsidR="00C91B5F" w:rsidRPr="00A50751" w:rsidRDefault="00C91B5F" w:rsidP="005D3905">
            <w:pPr>
              <w:pStyle w:val="LineForSignature"/>
            </w:pPr>
            <w:r>
              <w:br/>
            </w:r>
            <w:r>
              <w:tab/>
            </w:r>
          </w:p>
          <w:p w14:paraId="4D3B406D" w14:textId="77777777" w:rsidR="000963D3" w:rsidRDefault="000963D3" w:rsidP="000963D3">
            <w:pPr>
              <w:pStyle w:val="SingleParagraph"/>
              <w:rPr>
                <w:rStyle w:val="Bold"/>
              </w:rPr>
            </w:pPr>
            <w:r>
              <w:rPr>
                <w:rStyle w:val="Bold"/>
              </w:rPr>
              <w:t>Senator the Honourable Michaelia Cash</w:t>
            </w:r>
          </w:p>
          <w:p w14:paraId="3A42D2ED" w14:textId="6EC12777" w:rsidR="00C91B5F" w:rsidRPr="000963D3" w:rsidRDefault="000963D3" w:rsidP="005D3905">
            <w:pPr>
              <w:pStyle w:val="Position"/>
              <w:rPr>
                <w:color w:val="auto"/>
                <w:lang w:val="en-GB"/>
              </w:rPr>
            </w:pPr>
            <w:r>
              <w:rPr>
                <w:lang w:val="en-GB"/>
              </w:rPr>
              <w:t>Attorney-General; Minister for Industrial Relations</w:t>
            </w:r>
          </w:p>
          <w:p w14:paraId="30A29548" w14:textId="77777777" w:rsidR="00C91B5F" w:rsidRDefault="00C91B5F" w:rsidP="005D3905">
            <w:pPr>
              <w:pStyle w:val="SingleParagraph"/>
              <w:tabs>
                <w:tab w:val="num" w:pos="1134"/>
              </w:tabs>
              <w:spacing w:after="240"/>
              <w:rPr>
                <w:b/>
                <w:lang w:val="en-GB"/>
              </w:rPr>
            </w:pPr>
            <w:r>
              <w:rPr>
                <w:lang w:val="en-GB"/>
              </w:rPr>
              <w:t>[Day]  [Month]  [Year]</w:t>
            </w:r>
          </w:p>
        </w:tc>
        <w:tc>
          <w:tcPr>
            <w:tcW w:w="1701" w:type="dxa"/>
            <w:tcMar>
              <w:left w:w="0" w:type="dxa"/>
              <w:right w:w="0" w:type="dxa"/>
            </w:tcMar>
          </w:tcPr>
          <w:p w14:paraId="6845B40F" w14:textId="77777777" w:rsidR="00C91B5F" w:rsidRPr="00A50751" w:rsidRDefault="00C91B5F" w:rsidP="005D3905">
            <w:pPr>
              <w:rPr>
                <w:rFonts w:ascii="Book Antiqua" w:hAnsi="Book Antiqua"/>
                <w:lang w:val="en-GB"/>
              </w:rPr>
            </w:pPr>
          </w:p>
        </w:tc>
        <w:tc>
          <w:tcPr>
            <w:tcW w:w="4536" w:type="dxa"/>
          </w:tcPr>
          <w:p w14:paraId="55199989" w14:textId="1C749EE3" w:rsidR="00C91B5F" w:rsidRPr="004A0AE7" w:rsidRDefault="00C91B5F" w:rsidP="005D3905">
            <w:pPr>
              <w:pStyle w:val="Signed"/>
            </w:pPr>
            <w:r>
              <w:rPr>
                <w:rStyle w:val="SignedBold"/>
              </w:rPr>
              <w:t>Signed</w:t>
            </w:r>
            <w:r w:rsidRPr="004A0AE7">
              <w:t xml:space="preserve"> for and on behalf of the</w:t>
            </w:r>
            <w:r>
              <w:t xml:space="preserve"> </w:t>
            </w:r>
            <w:r w:rsidRPr="004A0AE7">
              <w:br/>
            </w:r>
            <w:r w:rsidR="00B8246B">
              <w:t>Australian Capital Territory</w:t>
            </w:r>
            <w:r w:rsidRPr="004A0AE7">
              <w:t xml:space="preserve"> by</w:t>
            </w:r>
          </w:p>
          <w:p w14:paraId="522400CC" w14:textId="77777777" w:rsidR="00C91B5F" w:rsidRPr="00A50751" w:rsidRDefault="00C91B5F" w:rsidP="005D3905">
            <w:pPr>
              <w:pStyle w:val="LineForSignature"/>
            </w:pPr>
            <w:r>
              <w:br/>
            </w:r>
            <w:r w:rsidRPr="00A50751">
              <w:tab/>
            </w:r>
          </w:p>
          <w:p w14:paraId="7C03B8C1" w14:textId="77777777" w:rsidR="000963D3" w:rsidRDefault="000963D3" w:rsidP="000963D3">
            <w:pPr>
              <w:pStyle w:val="SingleParagraph"/>
              <w:rPr>
                <w:rStyle w:val="Bold"/>
                <w:color w:val="auto"/>
              </w:rPr>
            </w:pPr>
            <w:r>
              <w:rPr>
                <w:rStyle w:val="Bold"/>
                <w:color w:val="auto"/>
              </w:rPr>
              <w:t xml:space="preserve">Mr Shane </w:t>
            </w:r>
            <w:proofErr w:type="spellStart"/>
            <w:r>
              <w:rPr>
                <w:rStyle w:val="Bold"/>
                <w:color w:val="auto"/>
              </w:rPr>
              <w:t>Rattenbury</w:t>
            </w:r>
            <w:proofErr w:type="spellEnd"/>
            <w:r>
              <w:rPr>
                <w:rStyle w:val="Bold"/>
                <w:color w:val="auto"/>
              </w:rPr>
              <w:t xml:space="preserve"> MLA</w:t>
            </w:r>
          </w:p>
          <w:p w14:paraId="00EE9A7E" w14:textId="35D3D15B" w:rsidR="00C91B5F" w:rsidRDefault="000963D3" w:rsidP="000963D3">
            <w:pPr>
              <w:pStyle w:val="Position"/>
              <w:jc w:val="left"/>
              <w:rPr>
                <w:lang w:val="en-GB"/>
              </w:rPr>
            </w:pPr>
            <w:r>
              <w:rPr>
                <w:lang w:val="en-GB"/>
              </w:rPr>
              <w:t>Attorney-General; Minister for Consumer Affairs; Minister for Water, Energy and Emissions Reduction;</w:t>
            </w:r>
            <w:r>
              <w:t xml:space="preserve"> </w:t>
            </w:r>
            <w:r>
              <w:rPr>
                <w:lang w:val="en-GB"/>
              </w:rPr>
              <w:t>Minister for Gaming</w:t>
            </w:r>
            <w:r w:rsidR="00C91B5F">
              <w:rPr>
                <w:lang w:val="en-GB"/>
              </w:rPr>
              <w:t xml:space="preserve"> </w:t>
            </w:r>
          </w:p>
          <w:p w14:paraId="5CA98839" w14:textId="77777777" w:rsidR="00C91B5F" w:rsidRPr="00A50751" w:rsidRDefault="00C91B5F" w:rsidP="005D3905">
            <w:pPr>
              <w:rPr>
                <w:rFonts w:ascii="Book Antiqua" w:hAnsi="Book Antiqua"/>
                <w:lang w:val="en-GB"/>
              </w:rPr>
            </w:pPr>
            <w:r>
              <w:rPr>
                <w:lang w:val="en-GB"/>
              </w:rPr>
              <w:t>[Day]  [Month]  [Year]</w:t>
            </w:r>
          </w:p>
        </w:tc>
      </w:tr>
    </w:tbl>
    <w:p w14:paraId="75B2AA94" w14:textId="2EC54C2B" w:rsidR="00884E8F" w:rsidRPr="00F00A18" w:rsidRDefault="00884E8F" w:rsidP="000963D3">
      <w:pPr>
        <w:sectPr w:rsidR="00884E8F" w:rsidRPr="00F00A18" w:rsidSect="007E44E6">
          <w:headerReference w:type="even" r:id="rId20"/>
          <w:headerReference w:type="default" r:id="rId21"/>
          <w:headerReference w:type="first" r:id="rId22"/>
          <w:pgSz w:w="16838" w:h="11906" w:orient="landscape" w:code="9"/>
          <w:pgMar w:top="1134" w:right="1134" w:bottom="1134" w:left="1134" w:header="709" w:footer="709" w:gutter="0"/>
          <w:pgNumType w:chapStyle="9"/>
          <w:cols w:space="708"/>
          <w:titlePg/>
          <w:docGrid w:linePitch="360"/>
        </w:sectPr>
      </w:pPr>
    </w:p>
    <w:p w14:paraId="673500F4" w14:textId="77777777" w:rsidR="00C91B5F" w:rsidRDefault="00C91B5F"/>
    <w:sectPr w:rsidR="00C91B5F" w:rsidSect="00884E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87F9B" w14:textId="77777777" w:rsidR="0013331C" w:rsidRDefault="0013331C">
      <w:r>
        <w:separator/>
      </w:r>
    </w:p>
  </w:endnote>
  <w:endnote w:type="continuationSeparator" w:id="0">
    <w:p w14:paraId="75956B01" w14:textId="77777777" w:rsidR="0013331C" w:rsidRDefault="00133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F6331" w14:textId="77777777" w:rsidR="00815B50" w:rsidRDefault="006B6E73">
    <w:pPr>
      <w:pStyle w:val="FooterEven"/>
    </w:pPr>
    <w:r>
      <w:t>Page D-2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3E401" w14:textId="77777777" w:rsidR="00815B50" w:rsidRDefault="00F14994" w:rsidP="007E44E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F7E4" w14:textId="77777777" w:rsidR="00815B50" w:rsidRPr="00CA24B0" w:rsidRDefault="00F14994" w:rsidP="007E44E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964BC" w14:textId="77777777" w:rsidR="0013331C" w:rsidRDefault="0013331C">
      <w:r>
        <w:separator/>
      </w:r>
    </w:p>
  </w:footnote>
  <w:footnote w:type="continuationSeparator" w:id="0">
    <w:p w14:paraId="4E22B5CD" w14:textId="77777777" w:rsidR="0013331C" w:rsidRDefault="00133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6813D" w14:textId="603B9E13" w:rsidR="00C961B0" w:rsidRDefault="00C961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49EEC" w14:textId="6A2C349D" w:rsidR="00C961B0" w:rsidRDefault="00C961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D3E06" w14:textId="70895981" w:rsidR="00815B50" w:rsidRDefault="00F14994" w:rsidP="007E44E6">
    <w:pPr>
      <w:pStyle w:val="HeaderOdd"/>
      <w:tabs>
        <w:tab w:val="num" w:pos="1134"/>
      </w:tabs>
      <w:rPr>
        <w:color w:val="800000"/>
        <w:sz w:val="30"/>
        <w:szCs w:val="30"/>
      </w:rPr>
    </w:pPr>
  </w:p>
  <w:p w14:paraId="3621292C" w14:textId="77777777" w:rsidR="00815B50" w:rsidRDefault="00F149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DDB65" w14:textId="2ACC1F62" w:rsidR="00884E8F" w:rsidRDefault="00884E8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0810" w14:textId="73DCB2BD" w:rsidR="00884E8F" w:rsidRDefault="00884E8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AF2C9" w14:textId="3CEB5296" w:rsidR="00884E8F" w:rsidRDefault="00884E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334DB7"/>
    <w:multiLevelType w:val="hybridMultilevel"/>
    <w:tmpl w:val="5FBE7C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A15666B"/>
    <w:multiLevelType w:val="hybridMultilevel"/>
    <w:tmpl w:val="472E1EA6"/>
    <w:lvl w:ilvl="0" w:tplc="192646DE">
      <w:start w:val="3"/>
      <w:numFmt w:val="bullet"/>
      <w:lvlText w:val="-"/>
      <w:lvlJc w:val="left"/>
      <w:pPr>
        <w:ind w:left="249" w:hanging="360"/>
      </w:pPr>
      <w:rPr>
        <w:rFonts w:ascii="Corbel" w:eastAsia="Times New Roman" w:hAnsi="Corbel" w:cs="Times New Roman" w:hint="default"/>
      </w:rPr>
    </w:lvl>
    <w:lvl w:ilvl="1" w:tplc="0C090003" w:tentative="1">
      <w:start w:val="1"/>
      <w:numFmt w:val="bullet"/>
      <w:lvlText w:val="o"/>
      <w:lvlJc w:val="left"/>
      <w:pPr>
        <w:ind w:left="969" w:hanging="360"/>
      </w:pPr>
      <w:rPr>
        <w:rFonts w:ascii="Courier New" w:hAnsi="Courier New" w:cs="Courier New" w:hint="default"/>
      </w:rPr>
    </w:lvl>
    <w:lvl w:ilvl="2" w:tplc="0C090005" w:tentative="1">
      <w:start w:val="1"/>
      <w:numFmt w:val="bullet"/>
      <w:lvlText w:val=""/>
      <w:lvlJc w:val="left"/>
      <w:pPr>
        <w:ind w:left="1689" w:hanging="360"/>
      </w:pPr>
      <w:rPr>
        <w:rFonts w:ascii="Wingdings" w:hAnsi="Wingdings" w:hint="default"/>
      </w:rPr>
    </w:lvl>
    <w:lvl w:ilvl="3" w:tplc="0C090001" w:tentative="1">
      <w:start w:val="1"/>
      <w:numFmt w:val="bullet"/>
      <w:lvlText w:val=""/>
      <w:lvlJc w:val="left"/>
      <w:pPr>
        <w:ind w:left="2409" w:hanging="360"/>
      </w:pPr>
      <w:rPr>
        <w:rFonts w:ascii="Symbol" w:hAnsi="Symbol" w:hint="default"/>
      </w:rPr>
    </w:lvl>
    <w:lvl w:ilvl="4" w:tplc="0C090003" w:tentative="1">
      <w:start w:val="1"/>
      <w:numFmt w:val="bullet"/>
      <w:lvlText w:val="o"/>
      <w:lvlJc w:val="left"/>
      <w:pPr>
        <w:ind w:left="3129" w:hanging="360"/>
      </w:pPr>
      <w:rPr>
        <w:rFonts w:ascii="Courier New" w:hAnsi="Courier New" w:cs="Courier New" w:hint="default"/>
      </w:rPr>
    </w:lvl>
    <w:lvl w:ilvl="5" w:tplc="0C090005" w:tentative="1">
      <w:start w:val="1"/>
      <w:numFmt w:val="bullet"/>
      <w:lvlText w:val=""/>
      <w:lvlJc w:val="left"/>
      <w:pPr>
        <w:ind w:left="3849" w:hanging="360"/>
      </w:pPr>
      <w:rPr>
        <w:rFonts w:ascii="Wingdings" w:hAnsi="Wingdings" w:hint="default"/>
      </w:rPr>
    </w:lvl>
    <w:lvl w:ilvl="6" w:tplc="0C090001" w:tentative="1">
      <w:start w:val="1"/>
      <w:numFmt w:val="bullet"/>
      <w:lvlText w:val=""/>
      <w:lvlJc w:val="left"/>
      <w:pPr>
        <w:ind w:left="4569" w:hanging="360"/>
      </w:pPr>
      <w:rPr>
        <w:rFonts w:ascii="Symbol" w:hAnsi="Symbol" w:hint="default"/>
      </w:rPr>
    </w:lvl>
    <w:lvl w:ilvl="7" w:tplc="0C090003" w:tentative="1">
      <w:start w:val="1"/>
      <w:numFmt w:val="bullet"/>
      <w:lvlText w:val="o"/>
      <w:lvlJc w:val="left"/>
      <w:pPr>
        <w:ind w:left="5289" w:hanging="360"/>
      </w:pPr>
      <w:rPr>
        <w:rFonts w:ascii="Courier New" w:hAnsi="Courier New" w:cs="Courier New" w:hint="default"/>
      </w:rPr>
    </w:lvl>
    <w:lvl w:ilvl="8" w:tplc="0C090005" w:tentative="1">
      <w:start w:val="1"/>
      <w:numFmt w:val="bullet"/>
      <w:lvlText w:val=""/>
      <w:lvlJc w:val="left"/>
      <w:pPr>
        <w:ind w:left="6009" w:hanging="360"/>
      </w:pPr>
      <w:rPr>
        <w:rFonts w:ascii="Wingdings" w:hAnsi="Wingdings" w:hint="default"/>
      </w:rPr>
    </w:lvl>
  </w:abstractNum>
  <w:abstractNum w:abstractNumId="2" w15:restartNumberingAfterBreak="0">
    <w:nsid w:val="78854AAC"/>
    <w:multiLevelType w:val="multilevel"/>
    <w:tmpl w:val="1750A43A"/>
    <w:lvl w:ilvl="0">
      <w:start w:val="1"/>
      <w:numFmt w:val="decimal"/>
      <w:pStyle w:val="Paragraphnumbering"/>
      <w:lvlText w:val="%1."/>
      <w:lvlJc w:val="left"/>
      <w:pPr>
        <w:tabs>
          <w:tab w:val="num" w:pos="567"/>
        </w:tabs>
        <w:ind w:left="567" w:hanging="567"/>
      </w:pPr>
      <w:rPr>
        <w:rFonts w:cs="Times New Roman" w:hint="default"/>
        <w:b w:val="0"/>
        <w:sz w:val="23"/>
        <w:szCs w:val="23"/>
      </w:rPr>
    </w:lvl>
    <w:lvl w:ilvl="1">
      <w:start w:val="1"/>
      <w:numFmt w:val="lowerLetter"/>
      <w:lvlText w:val="%2."/>
      <w:lvlJc w:val="left"/>
      <w:pPr>
        <w:tabs>
          <w:tab w:val="num" w:pos="924"/>
        </w:tabs>
        <w:ind w:left="924" w:hanging="357"/>
      </w:pPr>
      <w:rPr>
        <w:rFonts w:cs="Times New Roman" w:hint="default"/>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1639"/>
        </w:tabs>
        <w:ind w:left="1639" w:hanging="358"/>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B5F"/>
    <w:rsid w:val="000115C0"/>
    <w:rsid w:val="000963D3"/>
    <w:rsid w:val="00096980"/>
    <w:rsid w:val="000B27DA"/>
    <w:rsid w:val="000C3289"/>
    <w:rsid w:val="00101F13"/>
    <w:rsid w:val="0013331C"/>
    <w:rsid w:val="00152DDA"/>
    <w:rsid w:val="00173F54"/>
    <w:rsid w:val="001A3166"/>
    <w:rsid w:val="002C057B"/>
    <w:rsid w:val="002E2A8F"/>
    <w:rsid w:val="00316DFD"/>
    <w:rsid w:val="00317FB3"/>
    <w:rsid w:val="00322B8B"/>
    <w:rsid w:val="00354A2A"/>
    <w:rsid w:val="003B2191"/>
    <w:rsid w:val="0044320F"/>
    <w:rsid w:val="00443B89"/>
    <w:rsid w:val="005E4B11"/>
    <w:rsid w:val="0064121C"/>
    <w:rsid w:val="006B6E73"/>
    <w:rsid w:val="006F01A2"/>
    <w:rsid w:val="00805541"/>
    <w:rsid w:val="0086325F"/>
    <w:rsid w:val="00884E8F"/>
    <w:rsid w:val="008B2C89"/>
    <w:rsid w:val="008B486A"/>
    <w:rsid w:val="008E62E2"/>
    <w:rsid w:val="00907728"/>
    <w:rsid w:val="009512AF"/>
    <w:rsid w:val="009646A4"/>
    <w:rsid w:val="009C3443"/>
    <w:rsid w:val="009D5BA6"/>
    <w:rsid w:val="00A020B2"/>
    <w:rsid w:val="00A61C16"/>
    <w:rsid w:val="00A65C44"/>
    <w:rsid w:val="00A7101C"/>
    <w:rsid w:val="00AE6AA7"/>
    <w:rsid w:val="00B15AC4"/>
    <w:rsid w:val="00B63981"/>
    <w:rsid w:val="00B8246B"/>
    <w:rsid w:val="00BB0778"/>
    <w:rsid w:val="00BD6E01"/>
    <w:rsid w:val="00C704D2"/>
    <w:rsid w:val="00C91B5F"/>
    <w:rsid w:val="00C961B0"/>
    <w:rsid w:val="00CA54E0"/>
    <w:rsid w:val="00CF0B25"/>
    <w:rsid w:val="00D54783"/>
    <w:rsid w:val="00D72A49"/>
    <w:rsid w:val="00DD5D4E"/>
    <w:rsid w:val="00DE0037"/>
    <w:rsid w:val="00E0075F"/>
    <w:rsid w:val="00E00BDE"/>
    <w:rsid w:val="00E0481E"/>
    <w:rsid w:val="00E25FCF"/>
    <w:rsid w:val="00EB08D8"/>
    <w:rsid w:val="00F14994"/>
    <w:rsid w:val="00F228B0"/>
    <w:rsid w:val="00F502D9"/>
    <w:rsid w:val="00F92898"/>
    <w:rsid w:val="00FA5AD4"/>
    <w:rsid w:val="00FC49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8"/>
    <o:shapelayout v:ext="edit">
      <o:idmap v:ext="edit" data="1"/>
    </o:shapelayout>
  </w:shapeDefaults>
  <w:decimalSymbol w:val="."/>
  <w:listSeparator w:val=","/>
  <w14:docId w14:val="3E0156ED"/>
  <w15:chartTrackingRefBased/>
  <w15:docId w15:val="{9DFF7502-E5FE-4E11-B99E-E62EBCA10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91B5F"/>
    <w:pPr>
      <w:widowControl w:val="0"/>
      <w:spacing w:after="0" w:line="240" w:lineRule="auto"/>
    </w:pPr>
    <w:rPr>
      <w:lang w:val="en-US"/>
    </w:rPr>
  </w:style>
  <w:style w:type="paragraph" w:styleId="Heading2">
    <w:name w:val="heading 2"/>
    <w:basedOn w:val="Normal"/>
    <w:next w:val="Normal"/>
    <w:link w:val="Heading2Char"/>
    <w:uiPriority w:val="9"/>
    <w:semiHidden/>
    <w:unhideWhenUsed/>
    <w:qFormat/>
    <w:rsid w:val="00C91B5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C91B5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C91B5F"/>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uiPriority w:val="1"/>
    <w:qFormat/>
    <w:rsid w:val="00C91B5F"/>
  </w:style>
  <w:style w:type="paragraph" w:styleId="Header">
    <w:name w:val="header"/>
    <w:basedOn w:val="Normal"/>
    <w:link w:val="HeaderChar"/>
    <w:uiPriority w:val="99"/>
    <w:unhideWhenUsed/>
    <w:rsid w:val="00C91B5F"/>
    <w:pPr>
      <w:tabs>
        <w:tab w:val="center" w:pos="4513"/>
        <w:tab w:val="right" w:pos="9026"/>
      </w:tabs>
    </w:pPr>
  </w:style>
  <w:style w:type="character" w:customStyle="1" w:styleId="HeaderChar">
    <w:name w:val="Header Char"/>
    <w:basedOn w:val="DefaultParagraphFont"/>
    <w:link w:val="Header"/>
    <w:uiPriority w:val="99"/>
    <w:rsid w:val="00C91B5F"/>
    <w:rPr>
      <w:lang w:val="en-US"/>
    </w:rPr>
  </w:style>
  <w:style w:type="paragraph" w:styleId="Footer">
    <w:name w:val="footer"/>
    <w:basedOn w:val="Normal"/>
    <w:link w:val="FooterChar"/>
    <w:uiPriority w:val="99"/>
    <w:unhideWhenUsed/>
    <w:rsid w:val="00C91B5F"/>
    <w:pPr>
      <w:tabs>
        <w:tab w:val="center" w:pos="4513"/>
        <w:tab w:val="right" w:pos="9026"/>
      </w:tabs>
    </w:pPr>
  </w:style>
  <w:style w:type="character" w:customStyle="1" w:styleId="FooterChar">
    <w:name w:val="Footer Char"/>
    <w:basedOn w:val="DefaultParagraphFont"/>
    <w:link w:val="Footer"/>
    <w:uiPriority w:val="99"/>
    <w:rsid w:val="00C91B5F"/>
    <w:rPr>
      <w:lang w:val="en-US"/>
    </w:rPr>
  </w:style>
  <w:style w:type="paragraph" w:customStyle="1" w:styleId="SingleParagraph">
    <w:name w:val="Single Paragraph"/>
    <w:basedOn w:val="Normal"/>
    <w:rsid w:val="00C91B5F"/>
    <w:pPr>
      <w:widowControl/>
      <w:spacing w:line="260" w:lineRule="exact"/>
      <w:jc w:val="both"/>
    </w:pPr>
    <w:rPr>
      <w:rFonts w:ascii="Corbel" w:eastAsia="Times New Roman" w:hAnsi="Corbel" w:cs="Times New Roman"/>
      <w:color w:val="000000"/>
      <w:sz w:val="23"/>
      <w:szCs w:val="20"/>
      <w:lang w:val="en-AU" w:eastAsia="en-AU"/>
    </w:rPr>
  </w:style>
  <w:style w:type="character" w:customStyle="1" w:styleId="Bold">
    <w:name w:val="Bold"/>
    <w:rsid w:val="00C91B5F"/>
    <w:rPr>
      <w:b/>
    </w:rPr>
  </w:style>
  <w:style w:type="paragraph" w:customStyle="1" w:styleId="FooterEven">
    <w:name w:val="Footer Even"/>
    <w:basedOn w:val="Footer"/>
    <w:rsid w:val="00C91B5F"/>
    <w:pPr>
      <w:widowControl/>
      <w:tabs>
        <w:tab w:val="clear" w:pos="4513"/>
        <w:tab w:val="clear" w:pos="9026"/>
      </w:tabs>
    </w:pPr>
    <w:rPr>
      <w:rFonts w:ascii="Corbel" w:eastAsia="Times New Roman" w:hAnsi="Corbel" w:cs="Times New Roman"/>
      <w:color w:val="3D4B67"/>
      <w:sz w:val="18"/>
      <w:szCs w:val="20"/>
      <w:lang w:val="en-AU" w:eastAsia="en-AU"/>
    </w:rPr>
  </w:style>
  <w:style w:type="paragraph" w:customStyle="1" w:styleId="HeaderOdd">
    <w:name w:val="Header Odd"/>
    <w:basedOn w:val="Header"/>
    <w:rsid w:val="00C91B5F"/>
    <w:pPr>
      <w:keepNext/>
      <w:widowControl/>
      <w:tabs>
        <w:tab w:val="clear" w:pos="4513"/>
        <w:tab w:val="clear" w:pos="9026"/>
      </w:tabs>
      <w:jc w:val="right"/>
    </w:pPr>
    <w:rPr>
      <w:rFonts w:ascii="Corbel" w:eastAsia="Times New Roman" w:hAnsi="Corbel" w:cs="Times New Roman"/>
      <w:color w:val="3D4B67"/>
      <w:sz w:val="18"/>
      <w:szCs w:val="20"/>
      <w:lang w:val="en-AU" w:eastAsia="en-AU"/>
    </w:rPr>
  </w:style>
  <w:style w:type="paragraph" w:styleId="Subtitle">
    <w:name w:val="Subtitle"/>
    <w:basedOn w:val="Normal"/>
    <w:link w:val="SubtitleChar"/>
    <w:uiPriority w:val="11"/>
    <w:qFormat/>
    <w:rsid w:val="00C91B5F"/>
    <w:pPr>
      <w:widowControl/>
      <w:spacing w:after="300"/>
    </w:pPr>
    <w:rPr>
      <w:rFonts w:ascii="Consolas" w:eastAsia="Times New Roman" w:hAnsi="Consolas" w:cs="Times New Roman"/>
      <w:b/>
      <w:caps/>
      <w:color w:val="C7823E"/>
      <w:spacing w:val="50"/>
      <w:sz w:val="24"/>
      <w:lang w:val="en-AU" w:eastAsia="ja-JP"/>
    </w:rPr>
  </w:style>
  <w:style w:type="character" w:customStyle="1" w:styleId="SubtitleChar">
    <w:name w:val="Subtitle Char"/>
    <w:basedOn w:val="DefaultParagraphFont"/>
    <w:link w:val="Subtitle"/>
    <w:uiPriority w:val="11"/>
    <w:rsid w:val="00C91B5F"/>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C91B5F"/>
    <w:pPr>
      <w:widowControl/>
    </w:pPr>
    <w:rPr>
      <w:rFonts w:ascii="Corbel" w:eastAsia="Times New Roman" w:hAnsi="Corbel" w:cs="Times New Roman"/>
      <w:color w:val="3D4B67"/>
      <w:sz w:val="40"/>
      <w:szCs w:val="40"/>
      <w:lang w:val="en-AU" w:eastAsia="ja-JP"/>
    </w:rPr>
  </w:style>
  <w:style w:type="character" w:customStyle="1" w:styleId="TitleChar">
    <w:name w:val="Title Char"/>
    <w:basedOn w:val="DefaultParagraphFont"/>
    <w:link w:val="Title"/>
    <w:uiPriority w:val="10"/>
    <w:rsid w:val="00C91B5F"/>
    <w:rPr>
      <w:rFonts w:ascii="Corbel" w:eastAsia="Times New Roman" w:hAnsi="Corbel" w:cs="Times New Roman"/>
      <w:color w:val="3D4B67"/>
      <w:sz w:val="40"/>
      <w:szCs w:val="40"/>
      <w:lang w:eastAsia="ja-JP"/>
    </w:rPr>
  </w:style>
  <w:style w:type="paragraph" w:customStyle="1" w:styleId="Signed">
    <w:name w:val="Signed"/>
    <w:basedOn w:val="Normal"/>
    <w:rsid w:val="00C91B5F"/>
    <w:pPr>
      <w:widowControl/>
      <w:spacing w:after="120"/>
      <w:jc w:val="both"/>
    </w:pPr>
    <w:rPr>
      <w:rFonts w:ascii="Book Antiqua" w:eastAsia="Times New Roman" w:hAnsi="Book Antiqua" w:cs="Times New Roman"/>
      <w:bCs/>
      <w:i/>
      <w:color w:val="000000"/>
      <w:szCs w:val="20"/>
      <w:lang w:val="en-AU" w:eastAsia="en-AU"/>
    </w:rPr>
  </w:style>
  <w:style w:type="paragraph" w:customStyle="1" w:styleId="Position">
    <w:name w:val="Position"/>
    <w:basedOn w:val="Normal"/>
    <w:rsid w:val="00C91B5F"/>
    <w:pPr>
      <w:widowControl/>
      <w:spacing w:after="120" w:line="260" w:lineRule="exact"/>
      <w:jc w:val="both"/>
    </w:pPr>
    <w:rPr>
      <w:rFonts w:ascii="Corbel" w:eastAsia="Times New Roman" w:hAnsi="Corbel" w:cs="Times New Roman"/>
      <w:bCs/>
      <w:color w:val="000000"/>
      <w:sz w:val="20"/>
      <w:szCs w:val="20"/>
      <w:lang w:val="en-AU" w:eastAsia="en-AU"/>
    </w:rPr>
  </w:style>
  <w:style w:type="character" w:customStyle="1" w:styleId="SignedBold">
    <w:name w:val="SignedBold"/>
    <w:rsid w:val="00C91B5F"/>
    <w:rPr>
      <w:b/>
      <w:i/>
    </w:rPr>
  </w:style>
  <w:style w:type="paragraph" w:customStyle="1" w:styleId="LineForSignature">
    <w:name w:val="LineForSignature"/>
    <w:basedOn w:val="Normal"/>
    <w:rsid w:val="00C91B5F"/>
    <w:pPr>
      <w:widowControl/>
      <w:tabs>
        <w:tab w:val="left" w:leader="underscore" w:pos="3686"/>
      </w:tabs>
      <w:spacing w:before="360" w:after="60" w:line="260" w:lineRule="exact"/>
      <w:jc w:val="both"/>
    </w:pPr>
    <w:rPr>
      <w:rFonts w:ascii="Book Antiqua" w:eastAsia="Times New Roman" w:hAnsi="Book Antiqua" w:cs="Times New Roman"/>
      <w:color w:val="C0C0C0"/>
      <w:sz w:val="23"/>
      <w:szCs w:val="20"/>
      <w:lang w:val="en-GB" w:eastAsia="en-AU"/>
    </w:rPr>
  </w:style>
  <w:style w:type="paragraph" w:customStyle="1" w:styleId="Paragraphnumbering">
    <w:name w:val="Paragraph numbering"/>
    <w:basedOn w:val="Normal"/>
    <w:link w:val="ParagraphnumberingChar"/>
    <w:qFormat/>
    <w:rsid w:val="00C91B5F"/>
    <w:pPr>
      <w:widowControl/>
      <w:numPr>
        <w:numId w:val="1"/>
      </w:numPr>
      <w:spacing w:after="240" w:line="260" w:lineRule="exact"/>
      <w:jc w:val="both"/>
    </w:pPr>
    <w:rPr>
      <w:rFonts w:ascii="Corbel" w:eastAsia="Times New Roman" w:hAnsi="Corbel" w:cs="Times New Roman"/>
      <w:color w:val="000000"/>
      <w:sz w:val="23"/>
      <w:szCs w:val="20"/>
      <w:lang w:val="en-AU" w:eastAsia="en-AU"/>
    </w:rPr>
  </w:style>
  <w:style w:type="character" w:customStyle="1" w:styleId="ParagraphnumberingChar">
    <w:name w:val="Paragraph numbering Char"/>
    <w:basedOn w:val="DefaultParagraphFont"/>
    <w:link w:val="Paragraphnumbering"/>
    <w:rsid w:val="00C91B5F"/>
    <w:rPr>
      <w:rFonts w:ascii="Corbel" w:eastAsia="Times New Roman" w:hAnsi="Corbel" w:cs="Times New Roman"/>
      <w:color w:val="000000"/>
      <w:sz w:val="23"/>
      <w:szCs w:val="20"/>
      <w:lang w:eastAsia="en-AU"/>
    </w:rPr>
  </w:style>
  <w:style w:type="paragraph" w:customStyle="1" w:styleId="Tableformat">
    <w:name w:val="Table format"/>
    <w:basedOn w:val="Heading2"/>
    <w:link w:val="TableformatChar"/>
    <w:qFormat/>
    <w:rsid w:val="00C91B5F"/>
    <w:pPr>
      <w:keepNext w:val="0"/>
      <w:keepLines w:val="0"/>
      <w:widowControl/>
      <w:spacing w:before="80" w:after="80"/>
    </w:pPr>
    <w:rPr>
      <w:rFonts w:ascii="Corbel" w:eastAsia="Times New Roman" w:hAnsi="Corbel" w:cs="Arial"/>
      <w:iCs/>
      <w:lang w:eastAsia="en-AU"/>
    </w:rPr>
  </w:style>
  <w:style w:type="character" w:customStyle="1" w:styleId="TableformatChar">
    <w:name w:val="Table format Char"/>
    <w:basedOn w:val="Heading2Char"/>
    <w:link w:val="Tableformat"/>
    <w:rsid w:val="00C91B5F"/>
    <w:rPr>
      <w:rFonts w:ascii="Corbel" w:eastAsia="Times New Roman" w:hAnsi="Corbel" w:cs="Arial"/>
      <w:iCs/>
      <w:color w:val="2E74B5" w:themeColor="accent1" w:themeShade="BF"/>
      <w:sz w:val="26"/>
      <w:szCs w:val="26"/>
      <w:lang w:val="en-US" w:eastAsia="en-AU"/>
    </w:rPr>
  </w:style>
  <w:style w:type="paragraph" w:customStyle="1" w:styleId="Milestonetable">
    <w:name w:val="Milestone table"/>
    <w:basedOn w:val="Tableformat"/>
    <w:link w:val="MilestonetableChar"/>
    <w:qFormat/>
    <w:rsid w:val="00C91B5F"/>
    <w:pPr>
      <w:spacing w:before="60" w:after="60"/>
    </w:pPr>
    <w:rPr>
      <w:sz w:val="20"/>
      <w:szCs w:val="20"/>
    </w:rPr>
  </w:style>
  <w:style w:type="character" w:customStyle="1" w:styleId="MilestonetableChar">
    <w:name w:val="Milestone table Char"/>
    <w:basedOn w:val="TableformatChar"/>
    <w:link w:val="Milestonetable"/>
    <w:rsid w:val="00C91B5F"/>
    <w:rPr>
      <w:rFonts w:ascii="Corbel" w:eastAsia="Times New Roman" w:hAnsi="Corbel" w:cs="Arial"/>
      <w:iCs/>
      <w:color w:val="2E74B5" w:themeColor="accent1" w:themeShade="BF"/>
      <w:sz w:val="20"/>
      <w:szCs w:val="20"/>
      <w:lang w:val="en-US" w:eastAsia="en-AU"/>
    </w:rPr>
  </w:style>
  <w:style w:type="character" w:customStyle="1" w:styleId="Heading2Char">
    <w:name w:val="Heading 2 Char"/>
    <w:basedOn w:val="DefaultParagraphFont"/>
    <w:link w:val="Heading2"/>
    <w:uiPriority w:val="9"/>
    <w:semiHidden/>
    <w:rsid w:val="00C91B5F"/>
    <w:rPr>
      <w:rFonts w:asciiTheme="majorHAnsi" w:eastAsiaTheme="majorEastAsia" w:hAnsiTheme="majorHAnsi" w:cstheme="majorBidi"/>
      <w:color w:val="2E74B5" w:themeColor="accent1" w:themeShade="BF"/>
      <w:sz w:val="26"/>
      <w:szCs w:val="26"/>
      <w:lang w:val="en-US"/>
    </w:rPr>
  </w:style>
  <w:style w:type="character" w:styleId="CommentReference">
    <w:name w:val="annotation reference"/>
    <w:basedOn w:val="DefaultParagraphFont"/>
    <w:uiPriority w:val="99"/>
    <w:semiHidden/>
    <w:unhideWhenUsed/>
    <w:rsid w:val="00805541"/>
    <w:rPr>
      <w:sz w:val="16"/>
      <w:szCs w:val="16"/>
    </w:rPr>
  </w:style>
  <w:style w:type="paragraph" w:styleId="CommentText">
    <w:name w:val="annotation text"/>
    <w:basedOn w:val="Normal"/>
    <w:link w:val="CommentTextChar"/>
    <w:uiPriority w:val="99"/>
    <w:semiHidden/>
    <w:unhideWhenUsed/>
    <w:rsid w:val="00805541"/>
    <w:rPr>
      <w:sz w:val="20"/>
      <w:szCs w:val="20"/>
    </w:rPr>
  </w:style>
  <w:style w:type="character" w:customStyle="1" w:styleId="CommentTextChar">
    <w:name w:val="Comment Text Char"/>
    <w:basedOn w:val="DefaultParagraphFont"/>
    <w:link w:val="CommentText"/>
    <w:uiPriority w:val="99"/>
    <w:semiHidden/>
    <w:rsid w:val="00805541"/>
    <w:rPr>
      <w:sz w:val="20"/>
      <w:szCs w:val="20"/>
      <w:lang w:val="en-US"/>
    </w:rPr>
  </w:style>
  <w:style w:type="paragraph" w:styleId="CommentSubject">
    <w:name w:val="annotation subject"/>
    <w:basedOn w:val="CommentText"/>
    <w:next w:val="CommentText"/>
    <w:link w:val="CommentSubjectChar"/>
    <w:uiPriority w:val="99"/>
    <w:semiHidden/>
    <w:unhideWhenUsed/>
    <w:rsid w:val="00805541"/>
    <w:rPr>
      <w:b/>
      <w:bCs/>
    </w:rPr>
  </w:style>
  <w:style w:type="character" w:customStyle="1" w:styleId="CommentSubjectChar">
    <w:name w:val="Comment Subject Char"/>
    <w:basedOn w:val="CommentTextChar"/>
    <w:link w:val="CommentSubject"/>
    <w:uiPriority w:val="99"/>
    <w:semiHidden/>
    <w:rsid w:val="00805541"/>
    <w:rPr>
      <w:b/>
      <w:bCs/>
      <w:sz w:val="20"/>
      <w:szCs w:val="20"/>
      <w:lang w:val="en-US"/>
    </w:rPr>
  </w:style>
  <w:style w:type="paragraph" w:styleId="BalloonText">
    <w:name w:val="Balloon Text"/>
    <w:basedOn w:val="Normal"/>
    <w:link w:val="BalloonTextChar"/>
    <w:uiPriority w:val="99"/>
    <w:semiHidden/>
    <w:unhideWhenUsed/>
    <w:rsid w:val="008055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541"/>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44555">
      <w:bodyDiv w:val="1"/>
      <w:marLeft w:val="0"/>
      <w:marRight w:val="0"/>
      <w:marTop w:val="0"/>
      <w:marBottom w:val="0"/>
      <w:divBdr>
        <w:top w:val="none" w:sz="0" w:space="0" w:color="auto"/>
        <w:left w:val="none" w:sz="0" w:space="0" w:color="auto"/>
        <w:bottom w:val="none" w:sz="0" w:space="0" w:color="auto"/>
        <w:right w:val="none" w:sz="0" w:space="0" w:color="auto"/>
      </w:divBdr>
    </w:div>
    <w:div w:id="779571646">
      <w:bodyDiv w:val="1"/>
      <w:marLeft w:val="0"/>
      <w:marRight w:val="0"/>
      <w:marTop w:val="0"/>
      <w:marBottom w:val="0"/>
      <w:divBdr>
        <w:top w:val="none" w:sz="0" w:space="0" w:color="auto"/>
        <w:left w:val="none" w:sz="0" w:space="0" w:color="auto"/>
        <w:bottom w:val="none" w:sz="0" w:space="0" w:color="auto"/>
        <w:right w:val="none" w:sz="0" w:space="0" w:color="auto"/>
      </w:divBdr>
    </w:div>
    <w:div w:id="1133598318">
      <w:bodyDiv w:val="1"/>
      <w:marLeft w:val="0"/>
      <w:marRight w:val="0"/>
      <w:marTop w:val="0"/>
      <w:marBottom w:val="0"/>
      <w:divBdr>
        <w:top w:val="none" w:sz="0" w:space="0" w:color="auto"/>
        <w:left w:val="none" w:sz="0" w:space="0" w:color="auto"/>
        <w:bottom w:val="none" w:sz="0" w:space="0" w:color="auto"/>
        <w:right w:val="none" w:sz="0" w:space="0" w:color="auto"/>
      </w:divBdr>
    </w:div>
    <w:div w:id="1473791633">
      <w:bodyDiv w:val="1"/>
      <w:marLeft w:val="0"/>
      <w:marRight w:val="0"/>
      <w:marTop w:val="0"/>
      <w:marBottom w:val="0"/>
      <w:divBdr>
        <w:top w:val="none" w:sz="0" w:space="0" w:color="auto"/>
        <w:left w:val="none" w:sz="0" w:space="0" w:color="auto"/>
        <w:bottom w:val="none" w:sz="0" w:space="0" w:color="auto"/>
        <w:right w:val="none" w:sz="0" w:space="0" w:color="auto"/>
      </w:divBdr>
    </w:div>
    <w:div w:id="1527137729">
      <w:bodyDiv w:val="1"/>
      <w:marLeft w:val="0"/>
      <w:marRight w:val="0"/>
      <w:marTop w:val="0"/>
      <w:marBottom w:val="0"/>
      <w:divBdr>
        <w:top w:val="none" w:sz="0" w:space="0" w:color="auto"/>
        <w:left w:val="none" w:sz="0" w:space="0" w:color="auto"/>
        <w:bottom w:val="none" w:sz="0" w:space="0" w:color="auto"/>
        <w:right w:val="none" w:sz="0" w:space="0" w:color="auto"/>
      </w:divBdr>
    </w:div>
    <w:div w:id="184839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2</Value>
    </TaxCatchAll>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2020FG-64-81302</_dlc_DocId>
    <_dlc_DocIdUrl xmlns="0f563589-9cf9-4143-b1eb-fb0534803d38">
      <Url>http://tweb/sites/fg/csrd/_layouts/15/DocIdRedir.aspx?ID=2020FG-64-81302</Url>
      <Description>2020FG-64-81302</Description>
    </_dlc_DocIdUrl>
  </documentManagement>
</p:properti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46246" ma:contentTypeDescription=" " ma:contentTypeScope="" ma:versionID="adccb943fb4b1bfe2faa20d95fd9de15">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5ABE81-9D8D-42D9-98B5-D0E7A5987EDB}">
  <ds:schemaRefs>
    <ds:schemaRef ds:uri="http://schemas.openxmlformats.org/officeDocument/2006/bibliography"/>
  </ds:schemaRefs>
</ds:datastoreItem>
</file>

<file path=customXml/itemProps2.xml><?xml version="1.0" encoding="utf-8"?>
<ds:datastoreItem xmlns:ds="http://schemas.openxmlformats.org/officeDocument/2006/customXml" ds:itemID="{30F65ACE-AD7D-4F61-BF0B-28C2AA570E41}">
  <ds:schemaRefs>
    <ds:schemaRef ds:uri="Microsoft.SharePoint.Taxonomy.ContentTypeSync"/>
  </ds:schemaRefs>
</ds:datastoreItem>
</file>

<file path=customXml/itemProps3.xml><?xml version="1.0" encoding="utf-8"?>
<ds:datastoreItem xmlns:ds="http://schemas.openxmlformats.org/officeDocument/2006/customXml" ds:itemID="{FFD900B8-6070-407E-B433-89E316A15907}">
  <ds:schemaRefs>
    <ds:schemaRef ds:uri="http://purl.org/dc/dcmitype/"/>
    <ds:schemaRef ds:uri="e544e5cc-ab70-42e1-849e-1a0f8bb1f4ef"/>
    <ds:schemaRef ds:uri="0f563589-9cf9-4143-b1eb-fb0534803d38"/>
    <ds:schemaRef ds:uri="http://schemas.microsoft.com/office/2006/metadata/properties"/>
    <ds:schemaRef ds:uri="http://schemas.microsoft.com/sharepoint/v3"/>
    <ds:schemaRef ds:uri="http://purl.org/dc/elements/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4"/>
    <ds:schemaRef ds:uri="http://www.w3.org/XML/1998/namespace"/>
  </ds:schemaRefs>
</ds:datastoreItem>
</file>

<file path=customXml/itemProps4.xml><?xml version="1.0" encoding="utf-8"?>
<ds:datastoreItem xmlns:ds="http://schemas.openxmlformats.org/officeDocument/2006/customXml" ds:itemID="{4847E25A-4A0F-4064-9AA3-BC512B330750}">
  <ds:schemaRefs>
    <ds:schemaRef ds:uri="office.server.policy"/>
  </ds:schemaRefs>
</ds:datastoreItem>
</file>

<file path=customXml/itemProps5.xml><?xml version="1.0" encoding="utf-8"?>
<ds:datastoreItem xmlns:ds="http://schemas.openxmlformats.org/officeDocument/2006/customXml" ds:itemID="{BC820B89-6760-4087-85A6-C8604DA19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6571649-D103-48E0-9B5F-BAA18E6DBC98}">
  <ds:schemaRefs>
    <ds:schemaRef ds:uri="http://schemas.microsoft.com/sharepoint/events"/>
  </ds:schemaRefs>
</ds:datastoreItem>
</file>

<file path=customXml/itemProps7.xml><?xml version="1.0" encoding="utf-8"?>
<ds:datastoreItem xmlns:ds="http://schemas.openxmlformats.org/officeDocument/2006/customXml" ds:itemID="{766DFF39-B1A0-4D6A-871F-52A68E9162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Affordable Housing, Community Services and Other - Bilateral/Simple multilateral Schedule Template</vt:lpstr>
    </vt:vector>
  </TitlesOfParts>
  <Company>Department of the Prime Minister and Cabinet</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Affordable Housing, Community Services and Other - Bilateral/Simple multilateral Schedule Template</dc:title>
  <dc:subject/>
  <dc:creator>Le, Alan</dc:creator>
  <cp:keywords/>
  <dc:description/>
  <cp:lastModifiedBy>Pennifold, Lauren</cp:lastModifiedBy>
  <cp:revision>2</cp:revision>
  <dcterms:created xsi:type="dcterms:W3CDTF">2022-04-26T00:44:00Z</dcterms:created>
  <dcterms:modified xsi:type="dcterms:W3CDTF">2022-04-26T00:44:00Z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TSYRecordClass">
    <vt:lpwstr>2;#TSY RA-8748 - Retain as national archives|243f2231-dbfc-4282-b24a-c9b768286bd0</vt:lpwstr>
  </property>
  <property fmtid="{D5CDD505-2E9C-101B-9397-08002B2CF9AE}" pid="4" name="_dlc_DocIdItemGuid">
    <vt:lpwstr>15972d2e-da77-40d1-ab77-8974534c51f7</vt:lpwstr>
  </property>
</Properties>
</file>