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9370" w14:textId="77777777" w:rsidR="00577605" w:rsidRDefault="00577605" w:rsidP="00577605">
      <w:pPr>
        <w:pStyle w:val="Heading9"/>
      </w:pPr>
      <w:r>
        <w:t xml:space="preserve">Schedule </w:t>
      </w:r>
      <w:r w:rsidR="002170CA">
        <w:t>C</w:t>
      </w:r>
    </w:p>
    <w:p w14:paraId="7452039B" w14:textId="77777777" w:rsidR="00577605" w:rsidRDefault="00411A4F" w:rsidP="00577605">
      <w:pPr>
        <w:pStyle w:val="Title"/>
      </w:pPr>
      <w:r>
        <w:t>New South Wales</w:t>
      </w:r>
    </w:p>
    <w:p w14:paraId="09613BEF" w14:textId="77777777" w:rsidR="00577605" w:rsidRDefault="003545D2" w:rsidP="00577605">
      <w:pPr>
        <w:pStyle w:val="Subtitle"/>
      </w:pPr>
      <w:r>
        <w:t xml:space="preserve">National </w:t>
      </w:r>
      <w:r w:rsidR="00577605">
        <w:t>P</w:t>
      </w:r>
      <w:r>
        <w:t>artnership on</w:t>
      </w:r>
      <w:r w:rsidR="00577605">
        <w:t xml:space="preserve"> </w:t>
      </w:r>
      <w:r>
        <w:t>the Skilling Australians Fund</w:t>
      </w:r>
    </w:p>
    <w:p w14:paraId="72450594" w14:textId="77777777" w:rsidR="00577605" w:rsidRDefault="00577605" w:rsidP="00577605">
      <w:pPr>
        <w:pStyle w:val="Heading1"/>
        <w:spacing w:before="240"/>
      </w:pPr>
      <w:r>
        <w:t>Part 1 – Preliminaries</w:t>
      </w:r>
    </w:p>
    <w:p w14:paraId="5CF40316" w14:textId="77777777" w:rsidR="00577605" w:rsidRDefault="00577605" w:rsidP="00C61721">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C26B5D">
        <w:t xml:space="preserve">This </w:t>
      </w:r>
      <w:r>
        <w:t>S</w:t>
      </w:r>
      <w:r w:rsidRPr="00C26B5D">
        <w:t xml:space="preserve">chedule has been developed in accordance with clause </w:t>
      </w:r>
      <w:r w:rsidR="003545D2" w:rsidRPr="006C45DF">
        <w:t>2</w:t>
      </w:r>
      <w:r w:rsidR="001924C4" w:rsidRPr="006C45DF">
        <w:t>2</w:t>
      </w:r>
      <w:r w:rsidRPr="00C26B5D">
        <w:t xml:space="preserve"> of the Agreement</w:t>
      </w:r>
      <w:r>
        <w:t>.</w:t>
      </w:r>
    </w:p>
    <w:p w14:paraId="18275ACE" w14:textId="77777777" w:rsidR="00577605" w:rsidRDefault="001924C4" w:rsidP="00C61721">
      <w:pPr>
        <w:pStyle w:val="ScheduleNumberedPara"/>
        <w:numPr>
          <w:ilvl w:val="0"/>
          <w:numId w:val="2"/>
        </w:numPr>
        <w:ind w:left="1134" w:hanging="567"/>
        <w:jc w:val="left"/>
      </w:pPr>
      <w:r>
        <w:t>It</w:t>
      </w:r>
      <w:r w:rsidR="00577605" w:rsidRPr="009652E2">
        <w:t xml:space="preserve"> will commence as soon as it is agreed between the Commonwealth and </w:t>
      </w:r>
      <w:r w:rsidR="00C71020">
        <w:t>New South Wales</w:t>
      </w:r>
      <w:r w:rsidR="00577605">
        <w:t xml:space="preserve"> and expire on </w:t>
      </w:r>
      <w:r w:rsidR="00577605" w:rsidRPr="00DD0A7F">
        <w:t xml:space="preserve">30 June </w:t>
      </w:r>
      <w:r w:rsidR="00A01BA6" w:rsidRPr="00DD0A7F">
        <w:t>2022</w:t>
      </w:r>
      <w:r w:rsidR="00577605" w:rsidRPr="009652E2">
        <w:t xml:space="preserve"> or on completion of </w:t>
      </w:r>
      <w:r w:rsidR="00577605">
        <w:t>agreed</w:t>
      </w:r>
      <w:r w:rsidR="00577605" w:rsidRPr="009652E2">
        <w:t xml:space="preserve"> project</w:t>
      </w:r>
      <w:r w:rsidR="00577605">
        <w:t>s</w:t>
      </w:r>
      <w:r w:rsidR="00577605" w:rsidRPr="009652E2">
        <w:t>, including final performance reporting and processing of final payments against milestones.</w:t>
      </w:r>
    </w:p>
    <w:p w14:paraId="38D35552" w14:textId="77777777" w:rsidR="00A01BA6" w:rsidRDefault="001924C4" w:rsidP="00C61721">
      <w:pPr>
        <w:pStyle w:val="ScheduleNumberedPara"/>
        <w:numPr>
          <w:ilvl w:val="0"/>
          <w:numId w:val="2"/>
        </w:numPr>
        <w:ind w:left="1134" w:hanging="567"/>
        <w:jc w:val="left"/>
      </w:pPr>
      <w:r>
        <w:t>It</w:t>
      </w:r>
      <w:r w:rsidR="00A01BA6">
        <w:t xml:space="preserve"> may be</w:t>
      </w:r>
      <w:r>
        <w:t xml:space="preserve"> amended in accordance with </w:t>
      </w:r>
      <w:r w:rsidRPr="006C45DF">
        <w:t xml:space="preserve">clause </w:t>
      </w:r>
      <w:r w:rsidR="0095723D">
        <w:t xml:space="preserve">50 and </w:t>
      </w:r>
      <w:r w:rsidRPr="006C45DF">
        <w:t>54</w:t>
      </w:r>
      <w:r>
        <w:t xml:space="preserve"> of the Agreement</w:t>
      </w:r>
      <w:r w:rsidR="00A01BA6">
        <w:t>.</w:t>
      </w:r>
    </w:p>
    <w:p w14:paraId="1E7D0561" w14:textId="77777777" w:rsidR="00B94E74" w:rsidRDefault="00B94E74" w:rsidP="007E5790">
      <w:pPr>
        <w:pStyle w:val="ScheduleNumberedPara"/>
      </w:pPr>
    </w:p>
    <w:p w14:paraId="3D4424DE" w14:textId="77777777" w:rsidR="00B04F09" w:rsidRDefault="00B04F09" w:rsidP="00B04F09">
      <w:pPr>
        <w:pStyle w:val="Heading1"/>
        <w:spacing w:before="240"/>
      </w:pPr>
      <w:r>
        <w:t>PART 2 – Agreed Baselines and Benchmarks</w:t>
      </w:r>
    </w:p>
    <w:p w14:paraId="7A472F30" w14:textId="77777777" w:rsidR="00C87656" w:rsidRPr="0014576B" w:rsidRDefault="00C87656" w:rsidP="0014576B">
      <w:pPr>
        <w:rPr>
          <w:b/>
        </w:rPr>
      </w:pPr>
      <w:r w:rsidRPr="00C87656">
        <w:rPr>
          <w:b/>
        </w:rPr>
        <w:t>Budget benchmark</w:t>
      </w:r>
    </w:p>
    <w:p w14:paraId="17EA3CC6" w14:textId="77777777" w:rsidR="00DD0A7F" w:rsidRPr="00DD0A7F" w:rsidRDefault="00985C48" w:rsidP="00C61721">
      <w:pPr>
        <w:pStyle w:val="ScheduleNumberedPara"/>
        <w:numPr>
          <w:ilvl w:val="1"/>
          <w:numId w:val="1"/>
        </w:numPr>
        <w:tabs>
          <w:tab w:val="num" w:pos="2268"/>
        </w:tabs>
        <w:jc w:val="left"/>
        <w:rPr>
          <w:color w:val="auto"/>
        </w:rPr>
      </w:pPr>
      <w:r>
        <w:t xml:space="preserve">In accordance with </w:t>
      </w:r>
      <w:r w:rsidRPr="006C45DF">
        <w:t xml:space="preserve">clauses </w:t>
      </w:r>
      <w:r w:rsidR="0037268F" w:rsidRPr="006C45DF">
        <w:t>2</w:t>
      </w:r>
      <w:r w:rsidR="0037268F">
        <w:t>3</w:t>
      </w:r>
      <w:r w:rsidR="00DB0B15" w:rsidRPr="006C45DF">
        <w:t xml:space="preserve">(a) and </w:t>
      </w:r>
      <w:r w:rsidRPr="006C45DF">
        <w:t>3</w:t>
      </w:r>
      <w:r w:rsidR="00DB0B15" w:rsidRPr="006C45DF">
        <w:t>8</w:t>
      </w:r>
      <w:r w:rsidRPr="006C45DF">
        <w:t>-</w:t>
      </w:r>
      <w:r w:rsidR="00DB0B15" w:rsidRPr="006C45DF">
        <w:t>40 of</w:t>
      </w:r>
      <w:r w:rsidR="00DB0B15">
        <w:t xml:space="preserve"> the Agreement</w:t>
      </w:r>
      <w:r>
        <w:t xml:space="preserve">, </w:t>
      </w:r>
      <w:r w:rsidR="00C71020">
        <w:t>New South Wales</w:t>
      </w:r>
      <w:r w:rsidR="008E240C">
        <w:t>’</w:t>
      </w:r>
      <w:r w:rsidRPr="00DD0A7F">
        <w:t xml:space="preserve"> </w:t>
      </w:r>
      <w:r w:rsidR="00DD53BB" w:rsidRPr="00DD0A7F">
        <w:t xml:space="preserve">agreed </w:t>
      </w:r>
      <w:r w:rsidR="00723AA9">
        <w:t>b</w:t>
      </w:r>
      <w:r w:rsidR="00723AA9" w:rsidRPr="00DD0A7F">
        <w:t xml:space="preserve">udget </w:t>
      </w:r>
      <w:r w:rsidR="00723AA9">
        <w:t>b</w:t>
      </w:r>
      <w:r w:rsidR="00723AA9" w:rsidRPr="00DD0A7F">
        <w:t xml:space="preserve">enchmark </w:t>
      </w:r>
      <w:r w:rsidRPr="00DD0A7F">
        <w:t xml:space="preserve">is </w:t>
      </w:r>
      <w:r w:rsidR="00F77DDB" w:rsidRPr="00D42BC5">
        <w:t>$1.04 billion</w:t>
      </w:r>
      <w:r w:rsidR="00BB569C" w:rsidRPr="00BB569C">
        <w:t>, to be adjusted each year to include annual Skilling Australians Fun</w:t>
      </w:r>
      <w:r w:rsidR="00BB569C">
        <w:t>d</w:t>
      </w:r>
      <w:r w:rsidR="00BB569C" w:rsidRPr="00BB569C">
        <w:t xml:space="preserve"> payment</w:t>
      </w:r>
      <w:r w:rsidR="00A34368">
        <w:t>s</w:t>
      </w:r>
      <w:r w:rsidR="00BB569C" w:rsidRPr="00BB569C">
        <w:t xml:space="preserve"> from the Commonwealth</w:t>
      </w:r>
      <w:r w:rsidR="00480586" w:rsidRPr="00DD0A7F">
        <w:t>.</w:t>
      </w:r>
    </w:p>
    <w:p w14:paraId="102A46FB" w14:textId="77777777" w:rsidR="00074A9F" w:rsidRPr="00EB7CAD" w:rsidRDefault="00480586" w:rsidP="00C61721">
      <w:pPr>
        <w:pStyle w:val="ScheduleNumberedPara"/>
        <w:numPr>
          <w:ilvl w:val="0"/>
          <w:numId w:val="15"/>
        </w:numPr>
        <w:ind w:left="1134" w:hanging="567"/>
        <w:jc w:val="left"/>
      </w:pPr>
      <w:r w:rsidRPr="00DD0A7F">
        <w:t xml:space="preserve">The </w:t>
      </w:r>
      <w:r w:rsidR="00C87656">
        <w:t>b</w:t>
      </w:r>
      <w:r w:rsidRPr="00DD0A7F">
        <w:t xml:space="preserve">udget </w:t>
      </w:r>
      <w:r w:rsidR="00C87656">
        <w:t>b</w:t>
      </w:r>
      <w:r w:rsidRPr="00DD0A7F">
        <w:t xml:space="preserve">enchmark </w:t>
      </w:r>
      <w:r w:rsidR="00A11FA3">
        <w:t>has the following constituent parts</w:t>
      </w:r>
      <w:r w:rsidR="00074A9F">
        <w:t>:</w:t>
      </w:r>
    </w:p>
    <w:p w14:paraId="40F1D6DD" w14:textId="77777777" w:rsidR="00074A9F" w:rsidRDefault="00074A9F" w:rsidP="00C61721">
      <w:pPr>
        <w:pStyle w:val="ScheduleNumberedPara"/>
        <w:numPr>
          <w:ilvl w:val="2"/>
          <w:numId w:val="1"/>
        </w:numPr>
        <w:tabs>
          <w:tab w:val="num" w:pos="2268"/>
        </w:tabs>
        <w:spacing w:after="120"/>
        <w:ind w:hanging="181"/>
        <w:jc w:val="left"/>
        <w:rPr>
          <w:color w:val="auto"/>
        </w:rPr>
      </w:pPr>
      <w:r>
        <w:t>the</w:t>
      </w:r>
      <w:r w:rsidR="00F77DDB" w:rsidRPr="00DD0A7F">
        <w:t xml:space="preserve"> </w:t>
      </w:r>
      <w:r w:rsidR="00C71020">
        <w:rPr>
          <w:color w:val="auto"/>
        </w:rPr>
        <w:t>New South Wales</w:t>
      </w:r>
      <w:r w:rsidR="00F77DDB" w:rsidRPr="00DD0A7F">
        <w:rPr>
          <w:color w:val="auto"/>
        </w:rPr>
        <w:t xml:space="preserve"> skills budget</w:t>
      </w:r>
      <w:r w:rsidRPr="00074A9F">
        <w:rPr>
          <w:color w:val="auto"/>
        </w:rPr>
        <w:t xml:space="preserve"> </w:t>
      </w:r>
      <w:r>
        <w:rPr>
          <w:color w:val="auto"/>
        </w:rPr>
        <w:t xml:space="preserve">published under Industry Cluster in the 2016-17 </w:t>
      </w:r>
      <w:r w:rsidR="00C71020">
        <w:rPr>
          <w:color w:val="auto"/>
        </w:rPr>
        <w:t>New South Wales</w:t>
      </w:r>
      <w:r>
        <w:rPr>
          <w:color w:val="auto"/>
        </w:rPr>
        <w:t xml:space="preserve"> Budget Paper No. 3</w:t>
      </w:r>
      <w:r w:rsidR="00FC7AD1">
        <w:rPr>
          <w:color w:val="auto"/>
        </w:rPr>
        <w:t xml:space="preserve"> (see 6 - 10)</w:t>
      </w:r>
    </w:p>
    <w:p w14:paraId="18CCA14C" w14:textId="77777777" w:rsidR="00074A9F" w:rsidRDefault="00074A9F" w:rsidP="00C61721">
      <w:pPr>
        <w:pStyle w:val="ScheduleNumberedPara"/>
        <w:numPr>
          <w:ilvl w:val="2"/>
          <w:numId w:val="1"/>
        </w:numPr>
        <w:tabs>
          <w:tab w:val="num" w:pos="2268"/>
        </w:tabs>
        <w:spacing w:after="120"/>
        <w:ind w:hanging="181"/>
        <w:jc w:val="left"/>
        <w:rPr>
          <w:color w:val="auto"/>
        </w:rPr>
      </w:pPr>
      <w:r>
        <w:rPr>
          <w:color w:val="auto"/>
        </w:rPr>
        <w:t xml:space="preserve">the </w:t>
      </w:r>
      <w:r w:rsidR="00F77DDB" w:rsidRPr="00DD0A7F">
        <w:rPr>
          <w:color w:val="auto"/>
        </w:rPr>
        <w:t>Cluster grant to TAFE NSW for delivery of Community Service Obligations for disadvantaged students</w:t>
      </w:r>
    </w:p>
    <w:p w14:paraId="7D549F3F" w14:textId="77777777" w:rsidR="00074A9F" w:rsidRDefault="00074A9F" w:rsidP="00C61721">
      <w:pPr>
        <w:pStyle w:val="ScheduleNumberedPara"/>
        <w:numPr>
          <w:ilvl w:val="2"/>
          <w:numId w:val="1"/>
        </w:numPr>
        <w:tabs>
          <w:tab w:val="num" w:pos="2268"/>
        </w:tabs>
        <w:spacing w:after="120"/>
        <w:ind w:hanging="181"/>
        <w:jc w:val="left"/>
        <w:rPr>
          <w:color w:val="auto"/>
        </w:rPr>
      </w:pPr>
      <w:r>
        <w:rPr>
          <w:color w:val="auto"/>
        </w:rPr>
        <w:t xml:space="preserve">the </w:t>
      </w:r>
      <w:r w:rsidR="00F77DDB" w:rsidRPr="00DD0A7F">
        <w:rPr>
          <w:color w:val="auto"/>
        </w:rPr>
        <w:t>Cluster grant to TAFE NSW for delivery of higher qualifications (Certificate level IV and above) and part qualifications</w:t>
      </w:r>
    </w:p>
    <w:p w14:paraId="326E2E65" w14:textId="63F9DBF0" w:rsidR="00FC7AD1" w:rsidRDefault="00074A9F" w:rsidP="00C61721">
      <w:pPr>
        <w:pStyle w:val="ScheduleNumberedPara"/>
        <w:numPr>
          <w:ilvl w:val="2"/>
          <w:numId w:val="1"/>
        </w:numPr>
        <w:tabs>
          <w:tab w:val="num" w:pos="2268"/>
        </w:tabs>
        <w:spacing w:after="120"/>
        <w:ind w:hanging="181"/>
        <w:jc w:val="left"/>
        <w:rPr>
          <w:color w:val="auto"/>
        </w:rPr>
      </w:pPr>
      <w:r>
        <w:rPr>
          <w:color w:val="auto"/>
        </w:rPr>
        <w:t>exclud</w:t>
      </w:r>
      <w:r w:rsidR="00A11FA3">
        <w:rPr>
          <w:color w:val="auto"/>
        </w:rPr>
        <w:t>es</w:t>
      </w:r>
      <w:r>
        <w:rPr>
          <w:color w:val="auto"/>
        </w:rPr>
        <w:t xml:space="preserve"> </w:t>
      </w:r>
      <w:r w:rsidR="00DB2C8F">
        <w:rPr>
          <w:color w:val="auto"/>
        </w:rPr>
        <w:t xml:space="preserve">funding </w:t>
      </w:r>
      <w:r>
        <w:rPr>
          <w:color w:val="auto"/>
        </w:rPr>
        <w:t>for the Smart Skilled and Hired initiative</w:t>
      </w:r>
    </w:p>
    <w:p w14:paraId="47F6B1EE" w14:textId="77777777" w:rsidR="00C87656" w:rsidRDefault="00074A9F" w:rsidP="00C61721">
      <w:pPr>
        <w:pStyle w:val="ScheduleNumberedPara"/>
        <w:numPr>
          <w:ilvl w:val="2"/>
          <w:numId w:val="1"/>
        </w:numPr>
        <w:tabs>
          <w:tab w:val="num" w:pos="2268"/>
        </w:tabs>
        <w:spacing w:after="120"/>
        <w:ind w:hanging="181"/>
        <w:jc w:val="left"/>
        <w:rPr>
          <w:color w:val="auto"/>
        </w:rPr>
      </w:pPr>
      <w:r>
        <w:rPr>
          <w:color w:val="auto"/>
        </w:rPr>
        <w:t>exclud</w:t>
      </w:r>
      <w:r w:rsidR="00A11FA3">
        <w:rPr>
          <w:color w:val="auto"/>
        </w:rPr>
        <w:t>es</w:t>
      </w:r>
      <w:r>
        <w:rPr>
          <w:color w:val="auto"/>
        </w:rPr>
        <w:t xml:space="preserve"> funding under the </w:t>
      </w:r>
      <w:r w:rsidR="00A34368">
        <w:rPr>
          <w:color w:val="auto"/>
        </w:rPr>
        <w:t xml:space="preserve">former </w:t>
      </w:r>
      <w:r>
        <w:rPr>
          <w:color w:val="auto"/>
        </w:rPr>
        <w:t>National Partnership Agreement on Skills Reform in 2016-17.</w:t>
      </w:r>
    </w:p>
    <w:p w14:paraId="5E14DE1C" w14:textId="77777777" w:rsidR="00C87656" w:rsidRDefault="00C87656" w:rsidP="00B94E74">
      <w:pPr>
        <w:pStyle w:val="ScheduleNumberedPara"/>
        <w:spacing w:before="240"/>
        <w:rPr>
          <w:b/>
        </w:rPr>
      </w:pPr>
      <w:r>
        <w:rPr>
          <w:b/>
        </w:rPr>
        <w:t>B</w:t>
      </w:r>
      <w:r w:rsidRPr="00BE0607">
        <w:rPr>
          <w:b/>
        </w:rPr>
        <w:t>aseline commencements</w:t>
      </w:r>
    </w:p>
    <w:p w14:paraId="6199D287" w14:textId="77777777" w:rsidR="00802E07" w:rsidRPr="00BD5FEC" w:rsidRDefault="00802E07" w:rsidP="00C61721">
      <w:pPr>
        <w:pStyle w:val="ScheduleNumberedPara"/>
        <w:numPr>
          <w:ilvl w:val="1"/>
          <w:numId w:val="1"/>
        </w:numPr>
        <w:tabs>
          <w:tab w:val="num" w:pos="2268"/>
        </w:tabs>
        <w:spacing w:before="240"/>
        <w:jc w:val="left"/>
      </w:pPr>
      <w:r w:rsidRPr="00BD5FEC">
        <w:t xml:space="preserve">In accordance with clause 23(c), </w:t>
      </w:r>
      <w:r w:rsidR="00C71020">
        <w:t>New South Wales</w:t>
      </w:r>
      <w:r w:rsidRPr="00BD5FEC">
        <w:t xml:space="preserve">’ agreed baseline for existing training activity (baseline commencements) is based on the 2016-17 financial year and is </w:t>
      </w:r>
      <w:r>
        <w:t>in Table 1.</w:t>
      </w:r>
    </w:p>
    <w:p w14:paraId="652E76A2" w14:textId="77777777" w:rsidR="00F1517B" w:rsidRDefault="00F1517B">
      <w:pPr>
        <w:spacing w:after="200" w:line="276" w:lineRule="auto"/>
        <w:jc w:val="left"/>
      </w:pPr>
      <w:r>
        <w:br w:type="page"/>
      </w:r>
    </w:p>
    <w:p w14:paraId="428A0CC7" w14:textId="77777777" w:rsidR="00421032" w:rsidRPr="00B94E74" w:rsidRDefault="00421032" w:rsidP="008F3194">
      <w:pPr>
        <w:spacing w:after="120"/>
      </w:pPr>
      <w:r w:rsidRPr="00B94E74">
        <w:lastRenderedPageBreak/>
        <w:t>Table 1: Baseline commencements</w:t>
      </w:r>
    </w:p>
    <w:tbl>
      <w:tblPr>
        <w:tblW w:w="8931" w:type="dxa"/>
        <w:tblLayout w:type="fixed"/>
        <w:tblLook w:val="01E0" w:firstRow="1" w:lastRow="1" w:firstColumn="1" w:lastColumn="1" w:noHBand="0" w:noVBand="0"/>
      </w:tblPr>
      <w:tblGrid>
        <w:gridCol w:w="4111"/>
        <w:gridCol w:w="4820"/>
      </w:tblGrid>
      <w:tr w:rsidR="002B34BE" w:rsidRPr="00E26F51" w14:paraId="15C7632E" w14:textId="77777777" w:rsidTr="008F3194">
        <w:trPr>
          <w:cantSplit/>
          <w:trHeight w:val="380"/>
        </w:trPr>
        <w:tc>
          <w:tcPr>
            <w:tcW w:w="4111" w:type="dxa"/>
            <w:tcBorders>
              <w:top w:val="single" w:sz="4" w:space="0" w:color="auto"/>
            </w:tcBorders>
          </w:tcPr>
          <w:p w14:paraId="451905A9" w14:textId="77777777" w:rsidR="002B34BE" w:rsidRPr="00E26F51" w:rsidRDefault="007D1030" w:rsidP="00B94E74">
            <w:pPr>
              <w:keepNext/>
              <w:keepLines/>
              <w:spacing w:before="60" w:after="60"/>
              <w:jc w:val="left"/>
              <w:rPr>
                <w:b/>
                <w:sz w:val="18"/>
                <w:szCs w:val="18"/>
              </w:rPr>
            </w:pPr>
            <w:r>
              <w:rPr>
                <w:b/>
                <w:sz w:val="18"/>
                <w:szCs w:val="18"/>
              </w:rPr>
              <w:t>Training activity</w:t>
            </w:r>
            <w:r w:rsidR="000645CD">
              <w:rPr>
                <w:b/>
                <w:sz w:val="18"/>
                <w:szCs w:val="18"/>
              </w:rPr>
              <w:t xml:space="preserve"> type</w:t>
            </w:r>
          </w:p>
        </w:tc>
        <w:tc>
          <w:tcPr>
            <w:tcW w:w="4820" w:type="dxa"/>
            <w:tcBorders>
              <w:top w:val="single" w:sz="4" w:space="0" w:color="auto"/>
              <w:bottom w:val="single" w:sz="4" w:space="0" w:color="auto"/>
            </w:tcBorders>
          </w:tcPr>
          <w:p w14:paraId="6BFAF64A" w14:textId="77777777" w:rsidR="002B34BE" w:rsidRPr="00DC75D9" w:rsidRDefault="002B34BE" w:rsidP="007B0E4D">
            <w:pPr>
              <w:keepNext/>
              <w:keepLines/>
              <w:spacing w:before="60" w:after="60"/>
              <w:jc w:val="right"/>
              <w:rPr>
                <w:b/>
                <w:sz w:val="18"/>
                <w:szCs w:val="18"/>
              </w:rPr>
            </w:pPr>
            <w:r w:rsidRPr="00DC75D9">
              <w:rPr>
                <w:b/>
                <w:sz w:val="18"/>
                <w:szCs w:val="18"/>
              </w:rPr>
              <w:t>Baseline</w:t>
            </w:r>
            <w:r w:rsidR="00AA0DB7" w:rsidRPr="00DC75D9">
              <w:rPr>
                <w:b/>
                <w:sz w:val="18"/>
                <w:szCs w:val="18"/>
              </w:rPr>
              <w:t xml:space="preserve"> </w:t>
            </w:r>
            <w:r w:rsidR="007B0E4D">
              <w:rPr>
                <w:b/>
                <w:sz w:val="18"/>
                <w:szCs w:val="18"/>
              </w:rPr>
              <w:t>-</w:t>
            </w:r>
            <w:r w:rsidR="00C71020">
              <w:rPr>
                <w:b/>
                <w:sz w:val="18"/>
                <w:szCs w:val="18"/>
              </w:rPr>
              <w:t xml:space="preserve"> </w:t>
            </w:r>
            <w:r w:rsidR="007B0E4D">
              <w:rPr>
                <w:b/>
                <w:sz w:val="18"/>
                <w:szCs w:val="18"/>
              </w:rPr>
              <w:t xml:space="preserve">NSW Government funded </w:t>
            </w:r>
            <w:r w:rsidR="00497EFC" w:rsidRPr="00DC75D9">
              <w:rPr>
                <w:b/>
                <w:sz w:val="18"/>
                <w:szCs w:val="18"/>
              </w:rPr>
              <w:t>c</w:t>
            </w:r>
            <w:r w:rsidR="00AA0DB7" w:rsidRPr="00DC75D9">
              <w:rPr>
                <w:b/>
                <w:sz w:val="18"/>
                <w:szCs w:val="18"/>
              </w:rPr>
              <w:t xml:space="preserve">ommencements </w:t>
            </w:r>
          </w:p>
        </w:tc>
      </w:tr>
      <w:tr w:rsidR="00CE1D62" w:rsidRPr="00E26F51" w14:paraId="0B6ED492" w14:textId="77777777" w:rsidTr="008F3194">
        <w:trPr>
          <w:cantSplit/>
          <w:trHeight w:val="380"/>
        </w:trPr>
        <w:tc>
          <w:tcPr>
            <w:tcW w:w="4111" w:type="dxa"/>
          </w:tcPr>
          <w:p w14:paraId="1D349D93" w14:textId="77777777" w:rsidR="00CE1D62" w:rsidRDefault="00CE1D62" w:rsidP="00B94E74">
            <w:pPr>
              <w:keepNext/>
              <w:keepLines/>
              <w:spacing w:before="60" w:after="60"/>
              <w:jc w:val="left"/>
              <w:rPr>
                <w:b/>
                <w:sz w:val="18"/>
                <w:szCs w:val="18"/>
              </w:rPr>
            </w:pPr>
            <w:r>
              <w:rPr>
                <w:b/>
                <w:sz w:val="18"/>
                <w:szCs w:val="18"/>
              </w:rPr>
              <w:t>Total</w:t>
            </w:r>
            <w:r w:rsidR="00772F97">
              <w:rPr>
                <w:b/>
                <w:sz w:val="18"/>
                <w:szCs w:val="18"/>
              </w:rPr>
              <w:t xml:space="preserve"> </w:t>
            </w:r>
          </w:p>
        </w:tc>
        <w:tc>
          <w:tcPr>
            <w:tcW w:w="4820" w:type="dxa"/>
            <w:tcBorders>
              <w:top w:val="single" w:sz="4" w:space="0" w:color="auto"/>
              <w:bottom w:val="single" w:sz="4" w:space="0" w:color="auto"/>
            </w:tcBorders>
          </w:tcPr>
          <w:p w14:paraId="068DDD48" w14:textId="07402F2F" w:rsidR="00CE1D62" w:rsidRPr="00F36630" w:rsidRDefault="009E40EB" w:rsidP="009E40EB">
            <w:pPr>
              <w:keepNext/>
              <w:keepLines/>
              <w:spacing w:before="60" w:after="60"/>
              <w:jc w:val="right"/>
              <w:rPr>
                <w:b/>
                <w:sz w:val="18"/>
                <w:szCs w:val="18"/>
              </w:rPr>
            </w:pPr>
            <w:r w:rsidRPr="00D04115">
              <w:rPr>
                <w:b/>
                <w:sz w:val="18"/>
                <w:szCs w:val="18"/>
              </w:rPr>
              <w:t>72,99</w:t>
            </w:r>
            <w:r w:rsidR="00D04115" w:rsidRPr="00D04115">
              <w:rPr>
                <w:b/>
                <w:sz w:val="18"/>
                <w:szCs w:val="18"/>
              </w:rPr>
              <w:t>1</w:t>
            </w:r>
            <w:r w:rsidRPr="00D04115">
              <w:rPr>
                <w:b/>
                <w:sz w:val="18"/>
                <w:szCs w:val="18"/>
              </w:rPr>
              <w:t xml:space="preserve"> </w:t>
            </w:r>
          </w:p>
        </w:tc>
      </w:tr>
      <w:tr w:rsidR="002B34BE" w:rsidRPr="003C5297" w14:paraId="4F7DF27A" w14:textId="77777777" w:rsidTr="008F3194">
        <w:trPr>
          <w:cantSplit/>
          <w:trHeight w:val="380"/>
        </w:trPr>
        <w:tc>
          <w:tcPr>
            <w:tcW w:w="4111" w:type="dxa"/>
            <w:vAlign w:val="center"/>
          </w:tcPr>
          <w:p w14:paraId="35DDAE78" w14:textId="77777777" w:rsidR="002B34BE" w:rsidRPr="003C5297" w:rsidRDefault="00CE1D62" w:rsidP="00825CE8">
            <w:pPr>
              <w:keepNext/>
              <w:keepLines/>
              <w:spacing w:before="60" w:after="60"/>
              <w:ind w:left="176" w:hanging="176"/>
              <w:jc w:val="left"/>
              <w:rPr>
                <w:sz w:val="18"/>
                <w:szCs w:val="18"/>
              </w:rPr>
            </w:pPr>
            <w:r>
              <w:rPr>
                <w:sz w:val="18"/>
                <w:szCs w:val="18"/>
              </w:rPr>
              <w:tab/>
            </w:r>
            <w:r w:rsidR="002B34BE" w:rsidRPr="003C5297">
              <w:rPr>
                <w:sz w:val="18"/>
                <w:szCs w:val="18"/>
              </w:rPr>
              <w:t>Apprenticeships/</w:t>
            </w:r>
            <w:r w:rsidR="00F56B95">
              <w:rPr>
                <w:sz w:val="18"/>
                <w:szCs w:val="18"/>
              </w:rPr>
              <w:t>t</w:t>
            </w:r>
            <w:r w:rsidR="002B34BE" w:rsidRPr="003C5297">
              <w:rPr>
                <w:sz w:val="18"/>
                <w:szCs w:val="18"/>
              </w:rPr>
              <w:t>raineeships</w:t>
            </w:r>
            <w:r w:rsidR="008158C5">
              <w:rPr>
                <w:sz w:val="18"/>
                <w:szCs w:val="18"/>
              </w:rPr>
              <w:t xml:space="preserve"> </w:t>
            </w:r>
          </w:p>
        </w:tc>
        <w:tc>
          <w:tcPr>
            <w:tcW w:w="4820" w:type="dxa"/>
            <w:tcBorders>
              <w:top w:val="single" w:sz="4" w:space="0" w:color="auto"/>
              <w:bottom w:val="single" w:sz="4" w:space="0" w:color="auto"/>
            </w:tcBorders>
          </w:tcPr>
          <w:p w14:paraId="147B0BBC" w14:textId="445ED466" w:rsidR="002B34BE" w:rsidRPr="003C5297" w:rsidRDefault="009E40EB" w:rsidP="009E40EB">
            <w:pPr>
              <w:keepNext/>
              <w:keepLines/>
              <w:spacing w:before="60" w:after="60"/>
              <w:jc w:val="right"/>
              <w:rPr>
                <w:sz w:val="18"/>
                <w:szCs w:val="18"/>
              </w:rPr>
            </w:pPr>
            <w:r>
              <w:rPr>
                <w:sz w:val="18"/>
                <w:szCs w:val="18"/>
              </w:rPr>
              <w:t xml:space="preserve">22,369 </w:t>
            </w:r>
          </w:p>
        </w:tc>
      </w:tr>
      <w:tr w:rsidR="002B34BE" w:rsidRPr="00E26F51" w14:paraId="0245AACD" w14:textId="77777777" w:rsidTr="008F3194">
        <w:trPr>
          <w:cantSplit/>
          <w:trHeight w:val="380"/>
        </w:trPr>
        <w:tc>
          <w:tcPr>
            <w:tcW w:w="4111" w:type="dxa"/>
            <w:vAlign w:val="center"/>
          </w:tcPr>
          <w:p w14:paraId="2DCC2197" w14:textId="77777777" w:rsidR="002B34BE" w:rsidRPr="00E26F51" w:rsidRDefault="00CE1D62" w:rsidP="00B94E74">
            <w:pPr>
              <w:keepNext/>
              <w:keepLines/>
              <w:spacing w:before="60" w:after="60"/>
              <w:ind w:left="176" w:hanging="176"/>
              <w:jc w:val="left"/>
              <w:rPr>
                <w:sz w:val="18"/>
                <w:szCs w:val="18"/>
              </w:rPr>
            </w:pPr>
            <w:r>
              <w:rPr>
                <w:sz w:val="18"/>
                <w:szCs w:val="18"/>
              </w:rPr>
              <w:tab/>
            </w:r>
            <w:r w:rsidR="002B34BE" w:rsidRPr="003C5297">
              <w:rPr>
                <w:sz w:val="18"/>
                <w:szCs w:val="18"/>
              </w:rPr>
              <w:t>Pre-apprenticeships/traineeships</w:t>
            </w:r>
          </w:p>
        </w:tc>
        <w:tc>
          <w:tcPr>
            <w:tcW w:w="4820" w:type="dxa"/>
            <w:tcBorders>
              <w:top w:val="single" w:sz="4" w:space="0" w:color="auto"/>
              <w:bottom w:val="single" w:sz="4" w:space="0" w:color="auto"/>
            </w:tcBorders>
          </w:tcPr>
          <w:p w14:paraId="0B316D95" w14:textId="05071AFC" w:rsidR="002B34BE" w:rsidRPr="00E26F51" w:rsidRDefault="009E40EB" w:rsidP="009E40EB">
            <w:pPr>
              <w:keepNext/>
              <w:keepLines/>
              <w:spacing w:before="60" w:after="60"/>
              <w:jc w:val="right"/>
              <w:rPr>
                <w:sz w:val="18"/>
                <w:szCs w:val="18"/>
              </w:rPr>
            </w:pPr>
            <w:r>
              <w:rPr>
                <w:sz w:val="18"/>
                <w:szCs w:val="18"/>
              </w:rPr>
              <w:t xml:space="preserve">1,228 </w:t>
            </w:r>
          </w:p>
        </w:tc>
      </w:tr>
      <w:tr w:rsidR="002B34BE" w:rsidRPr="00E26F51" w14:paraId="2B4E2935" w14:textId="77777777" w:rsidTr="008F3194">
        <w:trPr>
          <w:cantSplit/>
          <w:trHeight w:val="380"/>
        </w:trPr>
        <w:tc>
          <w:tcPr>
            <w:tcW w:w="4111" w:type="dxa"/>
            <w:vAlign w:val="center"/>
          </w:tcPr>
          <w:p w14:paraId="45B61A64" w14:textId="77777777" w:rsidR="002B34BE" w:rsidRPr="00E26F51" w:rsidRDefault="00CE1D62" w:rsidP="00B94E74">
            <w:pPr>
              <w:keepNext/>
              <w:keepLines/>
              <w:spacing w:before="60" w:after="60"/>
              <w:ind w:left="176" w:hanging="176"/>
              <w:jc w:val="left"/>
              <w:rPr>
                <w:sz w:val="18"/>
                <w:szCs w:val="18"/>
              </w:rPr>
            </w:pPr>
            <w:r>
              <w:rPr>
                <w:sz w:val="18"/>
                <w:szCs w:val="18"/>
              </w:rPr>
              <w:tab/>
            </w:r>
            <w:r w:rsidR="002B34BE" w:rsidRPr="003C5297">
              <w:rPr>
                <w:sz w:val="18"/>
                <w:szCs w:val="18"/>
              </w:rPr>
              <w:t>Higher apprenticeships</w:t>
            </w:r>
            <w:r w:rsidR="00A35051" w:rsidRPr="003C5297">
              <w:rPr>
                <w:sz w:val="18"/>
                <w:szCs w:val="18"/>
              </w:rPr>
              <w:t>/traineeships</w:t>
            </w:r>
          </w:p>
        </w:tc>
        <w:tc>
          <w:tcPr>
            <w:tcW w:w="4820" w:type="dxa"/>
            <w:tcBorders>
              <w:top w:val="single" w:sz="4" w:space="0" w:color="auto"/>
              <w:bottom w:val="single" w:sz="4" w:space="0" w:color="auto"/>
            </w:tcBorders>
          </w:tcPr>
          <w:p w14:paraId="761F56B4" w14:textId="77777777" w:rsidR="002B34BE" w:rsidRPr="00E26F51" w:rsidRDefault="00F36630" w:rsidP="00B94E74">
            <w:pPr>
              <w:keepNext/>
              <w:keepLines/>
              <w:spacing w:before="60" w:after="60"/>
              <w:jc w:val="right"/>
              <w:rPr>
                <w:sz w:val="18"/>
                <w:szCs w:val="18"/>
              </w:rPr>
            </w:pPr>
            <w:r>
              <w:rPr>
                <w:sz w:val="18"/>
                <w:szCs w:val="18"/>
              </w:rPr>
              <w:t>928</w:t>
            </w:r>
          </w:p>
        </w:tc>
      </w:tr>
      <w:tr w:rsidR="002B34BE" w:rsidRPr="00E26F51" w14:paraId="317554AE" w14:textId="77777777" w:rsidTr="008F3194">
        <w:trPr>
          <w:cantSplit/>
          <w:trHeight w:val="380"/>
        </w:trPr>
        <w:tc>
          <w:tcPr>
            <w:tcW w:w="4111" w:type="dxa"/>
            <w:tcBorders>
              <w:bottom w:val="single" w:sz="4" w:space="0" w:color="auto"/>
            </w:tcBorders>
            <w:vAlign w:val="center"/>
          </w:tcPr>
          <w:p w14:paraId="708FACCB" w14:textId="77777777" w:rsidR="002B34BE" w:rsidRPr="00E26F51" w:rsidRDefault="00CE1D62" w:rsidP="008F3194">
            <w:pPr>
              <w:keepNext/>
              <w:keepLines/>
              <w:spacing w:before="60" w:after="60"/>
              <w:ind w:left="176" w:hanging="176"/>
              <w:jc w:val="left"/>
              <w:rPr>
                <w:sz w:val="18"/>
                <w:szCs w:val="18"/>
              </w:rPr>
            </w:pPr>
            <w:r>
              <w:rPr>
                <w:sz w:val="18"/>
                <w:szCs w:val="18"/>
              </w:rPr>
              <w:tab/>
            </w:r>
            <w:r w:rsidR="008F3194">
              <w:rPr>
                <w:sz w:val="18"/>
                <w:szCs w:val="18"/>
              </w:rPr>
              <w:t>’</w:t>
            </w:r>
            <w:r w:rsidR="002B34BE" w:rsidRPr="003C5297">
              <w:rPr>
                <w:sz w:val="18"/>
                <w:szCs w:val="18"/>
              </w:rPr>
              <w:t>Like apprenticeship</w:t>
            </w:r>
            <w:r w:rsidR="008F3194">
              <w:rPr>
                <w:sz w:val="18"/>
                <w:szCs w:val="18"/>
              </w:rPr>
              <w:t>’</w:t>
            </w:r>
            <w:r w:rsidR="002B34BE" w:rsidRPr="003C5297">
              <w:rPr>
                <w:sz w:val="18"/>
                <w:szCs w:val="18"/>
              </w:rPr>
              <w:t xml:space="preserve"> activity </w:t>
            </w:r>
            <w:r w:rsidR="002B34BE" w:rsidRPr="003C5297">
              <w:rPr>
                <w:sz w:val="18"/>
                <w:szCs w:val="18"/>
              </w:rPr>
              <w:br/>
            </w:r>
            <w:r w:rsidR="002B34BE">
              <w:rPr>
                <w:sz w:val="18"/>
                <w:szCs w:val="18"/>
              </w:rPr>
              <w:t>(</w:t>
            </w:r>
            <w:r w:rsidR="002B34BE" w:rsidRPr="003C5297">
              <w:rPr>
                <w:sz w:val="18"/>
                <w:szCs w:val="18"/>
              </w:rPr>
              <w:t xml:space="preserve">activity must be </w:t>
            </w:r>
            <w:r w:rsidR="002B34BE">
              <w:rPr>
                <w:sz w:val="18"/>
                <w:szCs w:val="18"/>
              </w:rPr>
              <w:t>certificate III or IV level)</w:t>
            </w:r>
          </w:p>
        </w:tc>
        <w:tc>
          <w:tcPr>
            <w:tcW w:w="4820" w:type="dxa"/>
            <w:tcBorders>
              <w:top w:val="single" w:sz="4" w:space="0" w:color="auto"/>
              <w:bottom w:val="single" w:sz="4" w:space="0" w:color="auto"/>
            </w:tcBorders>
          </w:tcPr>
          <w:p w14:paraId="52E4E015" w14:textId="77777777" w:rsidR="002B34BE" w:rsidRPr="00E26F51" w:rsidRDefault="00F36630" w:rsidP="00B94E74">
            <w:pPr>
              <w:keepNext/>
              <w:keepLines/>
              <w:spacing w:before="60" w:after="60"/>
              <w:jc w:val="right"/>
              <w:rPr>
                <w:sz w:val="18"/>
                <w:szCs w:val="18"/>
              </w:rPr>
            </w:pPr>
            <w:r>
              <w:rPr>
                <w:sz w:val="18"/>
                <w:szCs w:val="18"/>
              </w:rPr>
              <w:t>48,466</w:t>
            </w:r>
          </w:p>
        </w:tc>
      </w:tr>
    </w:tbl>
    <w:p w14:paraId="7D3E62E3" w14:textId="77777777" w:rsidR="00DF6D63" w:rsidRPr="00772F97" w:rsidRDefault="00DF6D63" w:rsidP="00C61721">
      <w:pPr>
        <w:pStyle w:val="ScheduleNumberedPara"/>
        <w:numPr>
          <w:ilvl w:val="0"/>
          <w:numId w:val="16"/>
        </w:numPr>
        <w:spacing w:before="120"/>
        <w:ind w:left="1134" w:hanging="567"/>
        <w:jc w:val="left"/>
      </w:pPr>
      <w:r w:rsidRPr="00772F97">
        <w:t xml:space="preserve">The scope of </w:t>
      </w:r>
      <w:r w:rsidR="00C71020">
        <w:t>New South Wales</w:t>
      </w:r>
      <w:r w:rsidRPr="00772F97">
        <w:t xml:space="preserve">’ agreed baseline commencements are defined in </w:t>
      </w:r>
      <w:r w:rsidRPr="00F11F8D">
        <w:t>Attachment A</w:t>
      </w:r>
      <w:r w:rsidRPr="00772F97">
        <w:t xml:space="preserve"> </w:t>
      </w:r>
      <w:r w:rsidRPr="00C71020">
        <w:t>and</w:t>
      </w:r>
      <w:r w:rsidR="00A07E3D" w:rsidRPr="00C71020">
        <w:t>,</w:t>
      </w:r>
      <w:r w:rsidRPr="00C71020">
        <w:t xml:space="preserve"> </w:t>
      </w:r>
      <w:r w:rsidR="00877EE4" w:rsidRPr="00C71020">
        <w:t>if required</w:t>
      </w:r>
      <w:r w:rsidR="003250A2" w:rsidRPr="00C71020">
        <w:t>,</w:t>
      </w:r>
      <w:r w:rsidRPr="00C71020">
        <w:t xml:space="preserve"> subject to annual review with the Commonwealth to redefine the scope of the agreed baseline.</w:t>
      </w:r>
    </w:p>
    <w:p w14:paraId="5D6489D6" w14:textId="77777777" w:rsidR="00772F97" w:rsidRDefault="00772F97" w:rsidP="00C61721">
      <w:pPr>
        <w:pStyle w:val="ScheduleNumberedPara"/>
        <w:spacing w:before="240"/>
        <w:jc w:val="left"/>
      </w:pPr>
      <w:r w:rsidRPr="00D40D03">
        <w:rPr>
          <w:b/>
        </w:rPr>
        <w:t>Additional commencement</w:t>
      </w:r>
      <w:r w:rsidR="00A07E3D">
        <w:rPr>
          <w:b/>
        </w:rPr>
        <w:t xml:space="preserve"> targets</w:t>
      </w:r>
    </w:p>
    <w:p w14:paraId="7508BBD1" w14:textId="77777777" w:rsidR="000645CD" w:rsidRDefault="00CF07BB" w:rsidP="00C61721">
      <w:pPr>
        <w:pStyle w:val="ScheduleNumberedPara"/>
        <w:numPr>
          <w:ilvl w:val="1"/>
          <w:numId w:val="1"/>
        </w:numPr>
        <w:tabs>
          <w:tab w:val="num" w:pos="2268"/>
        </w:tabs>
        <w:jc w:val="left"/>
      </w:pPr>
      <w:r>
        <w:t xml:space="preserve">In accordance with </w:t>
      </w:r>
      <w:r w:rsidRPr="006C45DF">
        <w:t xml:space="preserve">clause </w:t>
      </w:r>
      <w:r w:rsidR="00E319D6" w:rsidRPr="006C45DF">
        <w:t>23(</w:t>
      </w:r>
      <w:r w:rsidR="00E319D6">
        <w:t>d)</w:t>
      </w:r>
      <w:r>
        <w:t xml:space="preserve">, </w:t>
      </w:r>
      <w:r w:rsidR="00C71020">
        <w:t>New South Wales</w:t>
      </w:r>
      <w:r w:rsidR="00F36630">
        <w:t>’</w:t>
      </w:r>
      <w:r>
        <w:t xml:space="preserve"> agreed targets for</w:t>
      </w:r>
      <w:r w:rsidR="005811FD">
        <w:t xml:space="preserve"> additional </w:t>
      </w:r>
      <w:r w:rsidR="008158C5">
        <w:t xml:space="preserve">training activity (additional </w:t>
      </w:r>
      <w:r>
        <w:t>commencements</w:t>
      </w:r>
      <w:r w:rsidR="00843213">
        <w:t xml:space="preserve">) over the term of the </w:t>
      </w:r>
      <w:r w:rsidR="00F56B95">
        <w:t>Agreement (2018-19 to 2021-22)</w:t>
      </w:r>
      <w:r w:rsidR="00184C7B">
        <w:t xml:space="preserve"> </w:t>
      </w:r>
      <w:r>
        <w:t xml:space="preserve">are </w:t>
      </w:r>
      <w:r w:rsidR="00B028A9">
        <w:t>in Table 2</w:t>
      </w:r>
      <w:r w:rsidR="00DC75D9">
        <w:t>.</w:t>
      </w:r>
      <w:r w:rsidR="00FE4F35">
        <w:t xml:space="preserve">These targets, including the caps are subject to annual review based on available funding to New South Wales under the Agreement. </w:t>
      </w:r>
    </w:p>
    <w:p w14:paraId="6B1A4266" w14:textId="77777777" w:rsidR="00421032" w:rsidRPr="00DC75D9" w:rsidRDefault="00421032" w:rsidP="00281754">
      <w:pPr>
        <w:pStyle w:val="ScheduleNumberedPara"/>
        <w:spacing w:after="120"/>
      </w:pPr>
      <w:r w:rsidRPr="00DC75D9">
        <w:t>Table 2: Additional commencement targets</w:t>
      </w:r>
    </w:p>
    <w:tbl>
      <w:tblPr>
        <w:tblW w:w="0" w:type="auto"/>
        <w:tblLayout w:type="fixed"/>
        <w:tblLook w:val="01E0" w:firstRow="1" w:lastRow="1" w:firstColumn="1" w:lastColumn="1" w:noHBand="0" w:noVBand="0"/>
      </w:tblPr>
      <w:tblGrid>
        <w:gridCol w:w="3686"/>
        <w:gridCol w:w="5353"/>
      </w:tblGrid>
      <w:tr w:rsidR="00CF07BB" w:rsidRPr="003E11DE" w14:paraId="62D97C90" w14:textId="77777777" w:rsidTr="00281754">
        <w:trPr>
          <w:cantSplit/>
          <w:trHeight w:val="380"/>
        </w:trPr>
        <w:tc>
          <w:tcPr>
            <w:tcW w:w="3686" w:type="dxa"/>
            <w:tcBorders>
              <w:top w:val="single" w:sz="4" w:space="0" w:color="auto"/>
            </w:tcBorders>
          </w:tcPr>
          <w:p w14:paraId="69723E76" w14:textId="77777777" w:rsidR="00CF07BB" w:rsidRPr="00E26F51" w:rsidRDefault="007D1030" w:rsidP="00B94E74">
            <w:pPr>
              <w:keepNext/>
              <w:keepLines/>
              <w:spacing w:before="60" w:after="60"/>
              <w:jc w:val="left"/>
              <w:rPr>
                <w:b/>
                <w:sz w:val="18"/>
                <w:szCs w:val="18"/>
              </w:rPr>
            </w:pPr>
            <w:r>
              <w:rPr>
                <w:b/>
                <w:sz w:val="18"/>
                <w:szCs w:val="18"/>
              </w:rPr>
              <w:t>Training activity</w:t>
            </w:r>
            <w:r w:rsidR="000645CD">
              <w:rPr>
                <w:b/>
                <w:sz w:val="18"/>
                <w:szCs w:val="18"/>
              </w:rPr>
              <w:t xml:space="preserve"> type</w:t>
            </w:r>
          </w:p>
        </w:tc>
        <w:tc>
          <w:tcPr>
            <w:tcW w:w="5353" w:type="dxa"/>
            <w:tcBorders>
              <w:top w:val="single" w:sz="4" w:space="0" w:color="auto"/>
              <w:bottom w:val="single" w:sz="4" w:space="0" w:color="auto"/>
            </w:tcBorders>
          </w:tcPr>
          <w:p w14:paraId="5ED31500" w14:textId="77777777" w:rsidR="00CF07BB" w:rsidRPr="003E11DE" w:rsidRDefault="00CF07BB" w:rsidP="007B0E4D">
            <w:pPr>
              <w:keepNext/>
              <w:keepLines/>
              <w:spacing w:before="60" w:after="60"/>
              <w:jc w:val="right"/>
              <w:rPr>
                <w:b/>
                <w:sz w:val="18"/>
                <w:szCs w:val="18"/>
              </w:rPr>
            </w:pPr>
            <w:r w:rsidRPr="003E11DE">
              <w:rPr>
                <w:b/>
                <w:sz w:val="18"/>
                <w:szCs w:val="18"/>
              </w:rPr>
              <w:t xml:space="preserve">Estimated </w:t>
            </w:r>
            <w:r w:rsidR="00843213" w:rsidRPr="003E11DE">
              <w:rPr>
                <w:b/>
                <w:sz w:val="18"/>
                <w:szCs w:val="18"/>
              </w:rPr>
              <w:t>targets -</w:t>
            </w:r>
            <w:r w:rsidR="00497EFC" w:rsidRPr="003E11DE">
              <w:rPr>
                <w:b/>
                <w:sz w:val="18"/>
                <w:szCs w:val="18"/>
              </w:rPr>
              <w:t xml:space="preserve"> </w:t>
            </w:r>
            <w:r w:rsidR="007B0E4D" w:rsidRPr="003E11DE">
              <w:rPr>
                <w:b/>
                <w:sz w:val="18"/>
                <w:szCs w:val="18"/>
              </w:rPr>
              <w:t xml:space="preserve">NSW Government funded </w:t>
            </w:r>
            <w:r w:rsidR="00772F97" w:rsidRPr="003E11DE">
              <w:rPr>
                <w:b/>
                <w:sz w:val="18"/>
                <w:szCs w:val="18"/>
              </w:rPr>
              <w:t>commencements</w:t>
            </w:r>
          </w:p>
        </w:tc>
      </w:tr>
      <w:tr w:rsidR="0029726E" w:rsidRPr="003E11DE" w14:paraId="4B74CE76" w14:textId="77777777" w:rsidTr="00281754">
        <w:trPr>
          <w:cantSplit/>
          <w:trHeight w:val="380"/>
        </w:trPr>
        <w:tc>
          <w:tcPr>
            <w:tcW w:w="3686" w:type="dxa"/>
            <w:vAlign w:val="center"/>
          </w:tcPr>
          <w:p w14:paraId="4C8C78CD" w14:textId="77777777" w:rsidR="0029726E" w:rsidRPr="00BB569C" w:rsidRDefault="0029726E" w:rsidP="00B94E74">
            <w:pPr>
              <w:keepNext/>
              <w:keepLines/>
              <w:spacing w:before="60" w:after="60"/>
              <w:ind w:left="318" w:hanging="318"/>
              <w:jc w:val="left"/>
              <w:rPr>
                <w:b/>
                <w:sz w:val="18"/>
                <w:szCs w:val="18"/>
              </w:rPr>
            </w:pPr>
            <w:r w:rsidRPr="00BB569C">
              <w:rPr>
                <w:b/>
                <w:sz w:val="18"/>
                <w:szCs w:val="18"/>
              </w:rPr>
              <w:t xml:space="preserve">Total </w:t>
            </w:r>
          </w:p>
        </w:tc>
        <w:tc>
          <w:tcPr>
            <w:tcW w:w="5353" w:type="dxa"/>
            <w:tcBorders>
              <w:top w:val="single" w:sz="4" w:space="0" w:color="auto"/>
              <w:bottom w:val="single" w:sz="4" w:space="0" w:color="auto"/>
            </w:tcBorders>
          </w:tcPr>
          <w:p w14:paraId="44033E2B" w14:textId="10486310" w:rsidR="0029726E" w:rsidRPr="00827A32" w:rsidRDefault="00D412DD" w:rsidP="00075915">
            <w:pPr>
              <w:keepNext/>
              <w:keepLines/>
              <w:spacing w:before="60" w:after="60"/>
              <w:jc w:val="right"/>
              <w:rPr>
                <w:b/>
                <w:sz w:val="18"/>
                <w:szCs w:val="18"/>
              </w:rPr>
            </w:pPr>
            <w:r w:rsidRPr="00827A32">
              <w:rPr>
                <w:b/>
                <w:sz w:val="18"/>
                <w:szCs w:val="18"/>
              </w:rPr>
              <w:t>125,34</w:t>
            </w:r>
            <w:r w:rsidR="00005243" w:rsidRPr="00827A32">
              <w:rPr>
                <w:b/>
                <w:sz w:val="18"/>
                <w:szCs w:val="18"/>
              </w:rPr>
              <w:t>8</w:t>
            </w:r>
            <w:r w:rsidR="00075915" w:rsidRPr="00827A32">
              <w:rPr>
                <w:b/>
                <w:sz w:val="18"/>
                <w:szCs w:val="18"/>
              </w:rPr>
              <w:t xml:space="preserve"> </w:t>
            </w:r>
          </w:p>
        </w:tc>
      </w:tr>
      <w:tr w:rsidR="00CF07BB" w:rsidRPr="003E11DE" w14:paraId="3B6EFACB" w14:textId="77777777" w:rsidTr="00281754">
        <w:trPr>
          <w:cantSplit/>
          <w:trHeight w:val="380"/>
        </w:trPr>
        <w:tc>
          <w:tcPr>
            <w:tcW w:w="3686" w:type="dxa"/>
            <w:vAlign w:val="center"/>
          </w:tcPr>
          <w:p w14:paraId="5B2172B6" w14:textId="77777777" w:rsidR="00CF07BB" w:rsidRPr="003C5297" w:rsidRDefault="00CF07BB" w:rsidP="00B94E74">
            <w:pPr>
              <w:keepNext/>
              <w:keepLines/>
              <w:spacing w:before="60" w:after="60"/>
              <w:ind w:left="318" w:hanging="318"/>
              <w:jc w:val="left"/>
              <w:rPr>
                <w:sz w:val="18"/>
                <w:szCs w:val="18"/>
              </w:rPr>
            </w:pPr>
            <w:r>
              <w:rPr>
                <w:sz w:val="18"/>
                <w:szCs w:val="18"/>
              </w:rPr>
              <w:tab/>
            </w:r>
            <w:r w:rsidRPr="003C5297">
              <w:rPr>
                <w:sz w:val="18"/>
                <w:szCs w:val="18"/>
              </w:rPr>
              <w:t>Apprenticeships/</w:t>
            </w:r>
            <w:r w:rsidR="00F56B95">
              <w:rPr>
                <w:sz w:val="18"/>
                <w:szCs w:val="18"/>
              </w:rPr>
              <w:t>t</w:t>
            </w:r>
            <w:r w:rsidRPr="003C5297">
              <w:rPr>
                <w:sz w:val="18"/>
                <w:szCs w:val="18"/>
              </w:rPr>
              <w:t>raineeships</w:t>
            </w:r>
          </w:p>
        </w:tc>
        <w:tc>
          <w:tcPr>
            <w:tcW w:w="5353" w:type="dxa"/>
            <w:tcBorders>
              <w:top w:val="single" w:sz="4" w:space="0" w:color="auto"/>
              <w:bottom w:val="single" w:sz="4" w:space="0" w:color="auto"/>
            </w:tcBorders>
          </w:tcPr>
          <w:p w14:paraId="2D3A94E6" w14:textId="440D15FC" w:rsidR="00CF07BB" w:rsidRPr="00827A32" w:rsidRDefault="00D412DD" w:rsidP="00075915">
            <w:pPr>
              <w:keepNext/>
              <w:keepLines/>
              <w:spacing w:before="60" w:after="60"/>
              <w:jc w:val="right"/>
              <w:rPr>
                <w:sz w:val="18"/>
                <w:szCs w:val="18"/>
              </w:rPr>
            </w:pPr>
            <w:r w:rsidRPr="00827A32">
              <w:rPr>
                <w:sz w:val="18"/>
                <w:szCs w:val="18"/>
              </w:rPr>
              <w:t xml:space="preserve">57,907 </w:t>
            </w:r>
          </w:p>
        </w:tc>
      </w:tr>
      <w:tr w:rsidR="00CF07BB" w:rsidRPr="003E11DE" w14:paraId="137B5698" w14:textId="77777777" w:rsidTr="00281754">
        <w:trPr>
          <w:cantSplit/>
          <w:trHeight w:val="380"/>
        </w:trPr>
        <w:tc>
          <w:tcPr>
            <w:tcW w:w="3686" w:type="dxa"/>
            <w:vAlign w:val="center"/>
          </w:tcPr>
          <w:p w14:paraId="2B982347" w14:textId="77777777" w:rsidR="00CF07BB" w:rsidRPr="00E26F51" w:rsidRDefault="00CF07BB" w:rsidP="00B94E74">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5353" w:type="dxa"/>
            <w:tcBorders>
              <w:top w:val="single" w:sz="4" w:space="0" w:color="auto"/>
              <w:bottom w:val="single" w:sz="4" w:space="0" w:color="auto"/>
            </w:tcBorders>
          </w:tcPr>
          <w:p w14:paraId="068E12FE" w14:textId="45112EBA" w:rsidR="00CF07BB" w:rsidRPr="00827A32" w:rsidRDefault="00D412DD" w:rsidP="00075915">
            <w:pPr>
              <w:keepNext/>
              <w:keepLines/>
              <w:spacing w:before="60" w:after="60"/>
              <w:jc w:val="right"/>
              <w:rPr>
                <w:sz w:val="18"/>
                <w:szCs w:val="18"/>
              </w:rPr>
            </w:pPr>
            <w:r w:rsidRPr="00827A32">
              <w:rPr>
                <w:sz w:val="18"/>
                <w:szCs w:val="18"/>
              </w:rPr>
              <w:t xml:space="preserve">21,772 </w:t>
            </w:r>
          </w:p>
        </w:tc>
      </w:tr>
      <w:tr w:rsidR="00CF07BB" w:rsidRPr="003E11DE" w14:paraId="26C0B85A" w14:textId="77777777" w:rsidTr="00281754">
        <w:trPr>
          <w:cantSplit/>
          <w:trHeight w:val="380"/>
        </w:trPr>
        <w:tc>
          <w:tcPr>
            <w:tcW w:w="3686" w:type="dxa"/>
            <w:vAlign w:val="center"/>
          </w:tcPr>
          <w:p w14:paraId="7DB5C128" w14:textId="77777777" w:rsidR="00CF07BB" w:rsidRPr="00E26F51" w:rsidRDefault="00CF07BB" w:rsidP="00B94E74">
            <w:pPr>
              <w:keepNext/>
              <w:keepLines/>
              <w:spacing w:before="60" w:after="60"/>
              <w:ind w:left="318" w:hanging="318"/>
              <w:jc w:val="left"/>
              <w:rPr>
                <w:sz w:val="18"/>
                <w:szCs w:val="18"/>
              </w:rPr>
            </w:pPr>
            <w:r>
              <w:rPr>
                <w:sz w:val="18"/>
                <w:szCs w:val="18"/>
              </w:rPr>
              <w:tab/>
            </w:r>
            <w:r w:rsidRPr="003C5297">
              <w:rPr>
                <w:sz w:val="18"/>
                <w:szCs w:val="18"/>
              </w:rPr>
              <w:t>Higher apprenticeships</w:t>
            </w:r>
            <w:r w:rsidR="00A35051" w:rsidRPr="003C5297">
              <w:rPr>
                <w:sz w:val="18"/>
                <w:szCs w:val="18"/>
              </w:rPr>
              <w:t>/traineeships</w:t>
            </w:r>
          </w:p>
        </w:tc>
        <w:tc>
          <w:tcPr>
            <w:tcW w:w="5353" w:type="dxa"/>
            <w:tcBorders>
              <w:top w:val="single" w:sz="4" w:space="0" w:color="auto"/>
              <w:bottom w:val="single" w:sz="4" w:space="0" w:color="auto"/>
            </w:tcBorders>
          </w:tcPr>
          <w:p w14:paraId="40C027B9" w14:textId="3F3A68AB" w:rsidR="00CF07BB" w:rsidRPr="00827A32" w:rsidRDefault="00D412DD" w:rsidP="00075915">
            <w:pPr>
              <w:keepNext/>
              <w:keepLines/>
              <w:spacing w:before="60" w:after="60"/>
              <w:jc w:val="right"/>
              <w:rPr>
                <w:sz w:val="18"/>
                <w:szCs w:val="18"/>
              </w:rPr>
            </w:pPr>
            <w:r w:rsidRPr="00827A32">
              <w:rPr>
                <w:sz w:val="18"/>
                <w:szCs w:val="18"/>
              </w:rPr>
              <w:t xml:space="preserve">943 </w:t>
            </w:r>
          </w:p>
        </w:tc>
      </w:tr>
      <w:tr w:rsidR="00CF07BB" w:rsidRPr="003E11DE" w14:paraId="65A6826C" w14:textId="77777777" w:rsidTr="00281754">
        <w:trPr>
          <w:cantSplit/>
          <w:trHeight w:val="380"/>
        </w:trPr>
        <w:tc>
          <w:tcPr>
            <w:tcW w:w="3686" w:type="dxa"/>
            <w:tcBorders>
              <w:bottom w:val="single" w:sz="4" w:space="0" w:color="auto"/>
            </w:tcBorders>
            <w:vAlign w:val="center"/>
          </w:tcPr>
          <w:p w14:paraId="4A6D2DDC" w14:textId="4B23DD04" w:rsidR="00CF07BB" w:rsidRPr="00E26F51" w:rsidRDefault="00CF07BB" w:rsidP="00B94E74">
            <w:pPr>
              <w:keepNext/>
              <w:keepLines/>
              <w:spacing w:before="60" w:after="60"/>
              <w:ind w:left="318" w:hanging="318"/>
              <w:jc w:val="left"/>
              <w:rPr>
                <w:sz w:val="18"/>
                <w:szCs w:val="18"/>
              </w:rPr>
            </w:pPr>
            <w:r>
              <w:rPr>
                <w:sz w:val="18"/>
                <w:szCs w:val="18"/>
              </w:rPr>
              <w:tab/>
            </w:r>
            <w:r w:rsidRPr="003C5297">
              <w:rPr>
                <w:sz w:val="18"/>
                <w:szCs w:val="18"/>
              </w:rPr>
              <w:t xml:space="preserve">"Like apprenticeship" activity </w:t>
            </w:r>
            <w:r w:rsidRPr="003C5297">
              <w:rPr>
                <w:sz w:val="18"/>
                <w:szCs w:val="18"/>
              </w:rPr>
              <w:br/>
            </w:r>
            <w:r>
              <w:rPr>
                <w:sz w:val="18"/>
                <w:szCs w:val="18"/>
              </w:rPr>
              <w:t>(</w:t>
            </w:r>
            <w:r w:rsidRPr="003C5297">
              <w:rPr>
                <w:sz w:val="18"/>
                <w:szCs w:val="18"/>
              </w:rPr>
              <w:t xml:space="preserve">activity must be </w:t>
            </w:r>
            <w:r>
              <w:rPr>
                <w:sz w:val="18"/>
                <w:szCs w:val="18"/>
              </w:rPr>
              <w:t xml:space="preserve">certificate III or IV </w:t>
            </w:r>
            <w:r w:rsidR="00CE5347">
              <w:rPr>
                <w:sz w:val="18"/>
                <w:szCs w:val="18"/>
              </w:rPr>
              <w:t xml:space="preserve">level)  </w:t>
            </w:r>
            <w:r w:rsidR="00B05485">
              <w:rPr>
                <w:sz w:val="18"/>
                <w:szCs w:val="18"/>
              </w:rPr>
              <w:t xml:space="preserve">                                                                                                     </w:t>
            </w:r>
          </w:p>
        </w:tc>
        <w:tc>
          <w:tcPr>
            <w:tcW w:w="5353" w:type="dxa"/>
            <w:tcBorders>
              <w:top w:val="single" w:sz="4" w:space="0" w:color="auto"/>
              <w:bottom w:val="single" w:sz="4" w:space="0" w:color="auto"/>
            </w:tcBorders>
          </w:tcPr>
          <w:p w14:paraId="4461FBB0" w14:textId="5B4EA5C8" w:rsidR="00795A42" w:rsidRPr="00827A32" w:rsidRDefault="00005243" w:rsidP="00C25CFD">
            <w:pPr>
              <w:keepNext/>
              <w:keepLines/>
              <w:spacing w:before="60" w:after="60"/>
              <w:jc w:val="right"/>
              <w:rPr>
                <w:sz w:val="18"/>
                <w:szCs w:val="18"/>
              </w:rPr>
            </w:pPr>
            <w:r w:rsidRPr="00827A32">
              <w:rPr>
                <w:sz w:val="18"/>
                <w:szCs w:val="18"/>
              </w:rPr>
              <w:t>44,726</w:t>
            </w:r>
          </w:p>
          <w:p w14:paraId="5985309B" w14:textId="3073506C" w:rsidR="00B05485" w:rsidRPr="00827A32" w:rsidRDefault="00005243" w:rsidP="00C25CFD">
            <w:pPr>
              <w:keepNext/>
              <w:keepLines/>
              <w:spacing w:before="60" w:after="60"/>
              <w:jc w:val="right"/>
              <w:rPr>
                <w:sz w:val="18"/>
                <w:szCs w:val="18"/>
              </w:rPr>
            </w:pPr>
            <w:r w:rsidRPr="00827A32">
              <w:rPr>
                <w:sz w:val="18"/>
                <w:szCs w:val="18"/>
              </w:rPr>
              <w:t>(</w:t>
            </w:r>
            <w:r w:rsidR="0029726E" w:rsidRPr="00827A32">
              <w:rPr>
                <w:sz w:val="18"/>
                <w:szCs w:val="18"/>
              </w:rPr>
              <w:t>capped</w:t>
            </w:r>
            <w:r w:rsidR="00C25CFD" w:rsidRPr="00827A32">
              <w:rPr>
                <w:sz w:val="18"/>
                <w:szCs w:val="18"/>
              </w:rPr>
              <w:t xml:space="preserve"> </w:t>
            </w:r>
            <w:r w:rsidR="00416F2E" w:rsidRPr="00827A32">
              <w:rPr>
                <w:sz w:val="18"/>
                <w:szCs w:val="18"/>
              </w:rPr>
              <w:t>48,356</w:t>
            </w:r>
            <w:r w:rsidRPr="00827A32">
              <w:rPr>
                <w:sz w:val="18"/>
                <w:szCs w:val="18"/>
              </w:rPr>
              <w:t>)</w:t>
            </w:r>
          </w:p>
        </w:tc>
      </w:tr>
    </w:tbl>
    <w:p w14:paraId="3FE65A74" w14:textId="77777777" w:rsidR="00A23242" w:rsidRDefault="00DF6D63" w:rsidP="00C61721">
      <w:pPr>
        <w:pStyle w:val="ScheduleNumberedPara"/>
        <w:numPr>
          <w:ilvl w:val="0"/>
          <w:numId w:val="25"/>
        </w:numPr>
        <w:spacing w:before="120"/>
        <w:ind w:left="1134" w:hanging="567"/>
        <w:jc w:val="left"/>
      </w:pPr>
      <w:r w:rsidRPr="00D0110D">
        <w:t xml:space="preserve">The scope of </w:t>
      </w:r>
      <w:r w:rsidR="00C71020">
        <w:t>New South Wales</w:t>
      </w:r>
      <w:r w:rsidRPr="00D0110D">
        <w:t>’ agreed targets for additional commencements are defined in Attachment A and</w:t>
      </w:r>
      <w:r w:rsidR="001E456A">
        <w:t>,</w:t>
      </w:r>
      <w:r w:rsidRPr="00D0110D">
        <w:t xml:space="preserve"> </w:t>
      </w:r>
      <w:r w:rsidR="00D5445A" w:rsidRPr="00D0110D">
        <w:t>if required</w:t>
      </w:r>
      <w:r w:rsidR="001E456A">
        <w:t>,</w:t>
      </w:r>
      <w:r w:rsidR="00A07E3D">
        <w:t xml:space="preserve"> </w:t>
      </w:r>
      <w:r w:rsidRPr="00D0110D">
        <w:t>subject to</w:t>
      </w:r>
      <w:r w:rsidR="00A07E3D">
        <w:t xml:space="preserve"> </w:t>
      </w:r>
      <w:r w:rsidRPr="00D0110D">
        <w:t>annual review with the Commonwealth to redefine the scope of the agreed targets</w:t>
      </w:r>
      <w:r w:rsidR="0060260E" w:rsidRPr="00D0110D">
        <w:t>.</w:t>
      </w:r>
    </w:p>
    <w:p w14:paraId="0328D93B" w14:textId="77777777" w:rsidR="00DF6D63" w:rsidRPr="00D0110D" w:rsidRDefault="00DF6D63" w:rsidP="00EB7CAD">
      <w:pPr>
        <w:pStyle w:val="ScheduleNumberedPara"/>
        <w:spacing w:before="120"/>
      </w:pPr>
    </w:p>
    <w:p w14:paraId="51224BAE" w14:textId="77777777" w:rsidR="00577605" w:rsidRDefault="00042B78" w:rsidP="003A5BC6">
      <w:pPr>
        <w:pStyle w:val="Heading1"/>
        <w:spacing w:before="240"/>
      </w:pPr>
      <w:r>
        <w:t>Part 3</w:t>
      </w:r>
      <w:r w:rsidR="00577605">
        <w:t xml:space="preserve"> – Project</w:t>
      </w:r>
      <w:r w:rsidR="00314742">
        <w:t>s</w:t>
      </w:r>
    </w:p>
    <w:p w14:paraId="2BBE223D" w14:textId="77777777" w:rsidR="00577605" w:rsidRDefault="00577605" w:rsidP="00C61721">
      <w:pPr>
        <w:pStyle w:val="ScheduleNumberedPara"/>
        <w:numPr>
          <w:ilvl w:val="1"/>
          <w:numId w:val="1"/>
        </w:numPr>
        <w:tabs>
          <w:tab w:val="num" w:pos="2268"/>
        </w:tabs>
        <w:jc w:val="left"/>
      </w:pPr>
      <w:bookmarkStart w:id="3" w:name="PART_4:_PROJECT_MILESTONES,_REPORTING_AN"/>
      <w:bookmarkEnd w:id="3"/>
      <w:r w:rsidRPr="003F1B82">
        <w:t xml:space="preserve">The following project will be delivered by </w:t>
      </w:r>
      <w:r w:rsidR="00C71020">
        <w:t>New South Wales</w:t>
      </w:r>
      <w:r w:rsidRPr="003F1B82">
        <w:t xml:space="preserve"> </w:t>
      </w:r>
      <w:r w:rsidR="00F36630">
        <w:t>from 2018</w:t>
      </w:r>
      <w:r w:rsidR="008E5867">
        <w:t>-</w:t>
      </w:r>
      <w:r w:rsidR="00F36630">
        <w:t xml:space="preserve">19 </w:t>
      </w:r>
      <w:r w:rsidR="00843213">
        <w:t xml:space="preserve">through </w:t>
      </w:r>
      <w:r w:rsidR="00F36630">
        <w:t>to 2021</w:t>
      </w:r>
      <w:r w:rsidR="008E5867">
        <w:t>-</w:t>
      </w:r>
      <w:r w:rsidR="00F36630">
        <w:t>22</w:t>
      </w:r>
      <w:r w:rsidR="003C5297">
        <w:t xml:space="preserve">, in accordance with clause </w:t>
      </w:r>
      <w:r w:rsidR="003C5297" w:rsidRPr="00602CE8">
        <w:t>11</w:t>
      </w:r>
      <w:r w:rsidR="003C5297">
        <w:t xml:space="preserve"> of the Agreement</w:t>
      </w:r>
      <w:r w:rsidRPr="003F1B82">
        <w:t>.</w:t>
      </w:r>
    </w:p>
    <w:p w14:paraId="38344857" w14:textId="3CFAB0FF" w:rsidR="007E5790" w:rsidRPr="00F1517B" w:rsidRDefault="007E5790" w:rsidP="00C61721">
      <w:pPr>
        <w:pStyle w:val="ScheduleNumberedPara"/>
        <w:numPr>
          <w:ilvl w:val="0"/>
          <w:numId w:val="23"/>
        </w:numPr>
        <w:spacing w:before="120"/>
        <w:ind w:left="1134" w:hanging="567"/>
        <w:jc w:val="left"/>
      </w:pPr>
      <w:r w:rsidRPr="006518D4">
        <w:t>Project</w:t>
      </w:r>
      <w:r w:rsidRPr="00F1517B">
        <w:t xml:space="preserve"> 1 - </w:t>
      </w:r>
      <w:r w:rsidR="00C71020" w:rsidRPr="00F1517B">
        <w:t>New South Wales</w:t>
      </w:r>
      <w:r w:rsidRPr="00F1517B">
        <w:t xml:space="preserve"> Smart and Skilled Apprenticeship and Traineeship and </w:t>
      </w:r>
      <w:r w:rsidR="001E456A" w:rsidRPr="00F1517B">
        <w:t>c</w:t>
      </w:r>
      <w:r w:rsidRPr="00F1517B">
        <w:t xml:space="preserve">omplementary </w:t>
      </w:r>
      <w:r w:rsidR="001E456A" w:rsidRPr="00F1517B">
        <w:t>t</w:t>
      </w:r>
      <w:r w:rsidRPr="00F1517B">
        <w:t xml:space="preserve">raining </w:t>
      </w:r>
      <w:r w:rsidR="001E456A" w:rsidRPr="00F1517B">
        <w:t>p</w:t>
      </w:r>
      <w:r w:rsidRPr="00F1517B">
        <w:t>rograms – 1 July 2018 to 30 June 2022</w:t>
      </w:r>
      <w:r w:rsidR="00891878">
        <w:t>.</w:t>
      </w:r>
    </w:p>
    <w:p w14:paraId="48C804B3" w14:textId="77777777" w:rsidR="00FC7AD1" w:rsidRPr="00937644" w:rsidRDefault="00CE14F3" w:rsidP="00C61721">
      <w:pPr>
        <w:pStyle w:val="ScheduleNumberedPara"/>
        <w:spacing w:after="120"/>
        <w:ind w:left="567"/>
        <w:jc w:val="left"/>
        <w:rPr>
          <w:rFonts w:cs="Arial"/>
          <w:szCs w:val="23"/>
        </w:rPr>
      </w:pPr>
      <w:r w:rsidRPr="00937644">
        <w:rPr>
          <w:rFonts w:cs="Arial"/>
          <w:szCs w:val="23"/>
        </w:rPr>
        <w:t xml:space="preserve">The </w:t>
      </w:r>
      <w:r w:rsidR="00C71020">
        <w:rPr>
          <w:rFonts w:cs="Arial"/>
          <w:szCs w:val="23"/>
        </w:rPr>
        <w:t>New South Wales</w:t>
      </w:r>
      <w:r w:rsidR="00F36630" w:rsidRPr="00937644">
        <w:rPr>
          <w:rFonts w:cs="Arial"/>
          <w:szCs w:val="23"/>
        </w:rPr>
        <w:t xml:space="preserve"> Smart and Skilled Apprenticeship and Traineeship and </w:t>
      </w:r>
      <w:r w:rsidR="001E456A">
        <w:rPr>
          <w:rFonts w:cs="Arial"/>
          <w:szCs w:val="23"/>
        </w:rPr>
        <w:t>c</w:t>
      </w:r>
      <w:r w:rsidR="00F36630" w:rsidRPr="00937644">
        <w:rPr>
          <w:rFonts w:cs="Arial"/>
          <w:szCs w:val="23"/>
        </w:rPr>
        <w:t xml:space="preserve">omplementary </w:t>
      </w:r>
      <w:r w:rsidR="001E456A">
        <w:rPr>
          <w:rFonts w:cs="Arial"/>
          <w:szCs w:val="23"/>
        </w:rPr>
        <w:t>t</w:t>
      </w:r>
      <w:r w:rsidR="00F36630" w:rsidRPr="00937644">
        <w:rPr>
          <w:rFonts w:cs="Arial"/>
          <w:szCs w:val="23"/>
        </w:rPr>
        <w:t xml:space="preserve">raining </w:t>
      </w:r>
      <w:r w:rsidR="001E456A">
        <w:rPr>
          <w:rFonts w:cs="Arial"/>
          <w:szCs w:val="23"/>
        </w:rPr>
        <w:t>p</w:t>
      </w:r>
      <w:r w:rsidR="00F36630" w:rsidRPr="00937644">
        <w:rPr>
          <w:rFonts w:cs="Arial"/>
          <w:szCs w:val="23"/>
        </w:rPr>
        <w:t>rograms</w:t>
      </w:r>
      <w:r w:rsidR="00F36630" w:rsidRPr="00937644">
        <w:rPr>
          <w:szCs w:val="23"/>
        </w:rPr>
        <w:t xml:space="preserve"> </w:t>
      </w:r>
      <w:r w:rsidR="00F36630" w:rsidRPr="00937644">
        <w:rPr>
          <w:rFonts w:cs="Arial"/>
          <w:szCs w:val="23"/>
        </w:rPr>
        <w:t>support</w:t>
      </w:r>
      <w:r w:rsidR="000445EA" w:rsidRPr="00937644">
        <w:rPr>
          <w:rFonts w:cs="Arial"/>
          <w:szCs w:val="23"/>
        </w:rPr>
        <w:t xml:space="preserve"> a range of </w:t>
      </w:r>
      <w:r w:rsidRPr="00937644">
        <w:rPr>
          <w:rFonts w:cs="Arial"/>
          <w:szCs w:val="23"/>
        </w:rPr>
        <w:t>training activities</w:t>
      </w:r>
      <w:r w:rsidR="00680B81" w:rsidRPr="00937644">
        <w:rPr>
          <w:rFonts w:cs="Arial"/>
          <w:szCs w:val="23"/>
        </w:rPr>
        <w:t xml:space="preserve"> that will </w:t>
      </w:r>
      <w:r w:rsidR="00FC7AD1" w:rsidRPr="00937644">
        <w:rPr>
          <w:rFonts w:cs="Arial"/>
          <w:szCs w:val="23"/>
        </w:rPr>
        <w:t xml:space="preserve">deliver on the objective </w:t>
      </w:r>
      <w:r w:rsidR="00E81314" w:rsidRPr="00937644">
        <w:rPr>
          <w:rFonts w:cs="Arial"/>
          <w:szCs w:val="23"/>
        </w:rPr>
        <w:t xml:space="preserve">of the </w:t>
      </w:r>
      <w:r w:rsidR="00FC7AD1" w:rsidRPr="00937644">
        <w:rPr>
          <w:rFonts w:cs="Arial"/>
          <w:szCs w:val="23"/>
        </w:rPr>
        <w:t>National Partnership on the Skilling Australians Fund</w:t>
      </w:r>
      <w:r w:rsidR="00680B81" w:rsidRPr="00937644">
        <w:rPr>
          <w:rFonts w:cs="Arial"/>
          <w:szCs w:val="23"/>
        </w:rPr>
        <w:t xml:space="preserve"> (NPSAF)</w:t>
      </w:r>
      <w:r w:rsidR="00070B0C" w:rsidRPr="00937644">
        <w:rPr>
          <w:rFonts w:cs="Arial"/>
          <w:szCs w:val="23"/>
        </w:rPr>
        <w:t xml:space="preserve">. These training programs aim to </w:t>
      </w:r>
      <w:r w:rsidR="00FC7AD1" w:rsidRPr="00937644">
        <w:rPr>
          <w:rFonts w:cs="Arial"/>
          <w:szCs w:val="23"/>
        </w:rPr>
        <w:t>improv</w:t>
      </w:r>
      <w:r w:rsidR="00070B0C" w:rsidRPr="00937644">
        <w:rPr>
          <w:rFonts w:cs="Arial"/>
          <w:szCs w:val="23"/>
        </w:rPr>
        <w:t>e</w:t>
      </w:r>
      <w:r w:rsidR="00FC7AD1" w:rsidRPr="00937644">
        <w:rPr>
          <w:rFonts w:cs="Arial"/>
          <w:szCs w:val="23"/>
        </w:rPr>
        <w:t xml:space="preserve"> employment outcomes </w:t>
      </w:r>
      <w:r w:rsidR="000445EA" w:rsidRPr="00937644">
        <w:rPr>
          <w:rFonts w:cs="Arial"/>
          <w:szCs w:val="23"/>
        </w:rPr>
        <w:t>that</w:t>
      </w:r>
      <w:r w:rsidR="00FC7AD1" w:rsidRPr="00937644">
        <w:rPr>
          <w:rFonts w:cs="Arial"/>
          <w:szCs w:val="23"/>
        </w:rPr>
        <w:t xml:space="preserve"> support Australians to obtain the skills and training the</w:t>
      </w:r>
      <w:r w:rsidR="00DB2C8F" w:rsidRPr="00937644">
        <w:rPr>
          <w:rFonts w:cs="Arial"/>
          <w:szCs w:val="23"/>
        </w:rPr>
        <w:t>y</w:t>
      </w:r>
      <w:r w:rsidR="00FC7AD1" w:rsidRPr="00937644">
        <w:rPr>
          <w:rFonts w:cs="Arial"/>
          <w:szCs w:val="23"/>
        </w:rPr>
        <w:t xml:space="preserve"> need for jobs in demand</w:t>
      </w:r>
      <w:r w:rsidR="00070B0C" w:rsidRPr="00937644">
        <w:rPr>
          <w:rFonts w:cs="Arial"/>
          <w:szCs w:val="23"/>
        </w:rPr>
        <w:t xml:space="preserve"> by </w:t>
      </w:r>
      <w:r w:rsidR="00FC7AD1" w:rsidRPr="00937644">
        <w:rPr>
          <w:rFonts w:cs="Arial"/>
          <w:szCs w:val="23"/>
        </w:rPr>
        <w:t>increasing the uptake of apprenticeships and traineeships, pre-apprenticeships, higher-apprenticeships and other relevant employment related training.</w:t>
      </w:r>
    </w:p>
    <w:p w14:paraId="3C6931BA" w14:textId="77777777" w:rsidR="00F1517B" w:rsidRDefault="00F1517B" w:rsidP="00C61721">
      <w:pPr>
        <w:spacing w:after="200" w:line="276" w:lineRule="auto"/>
        <w:jc w:val="left"/>
        <w:rPr>
          <w:rFonts w:cs="Arial"/>
        </w:rPr>
      </w:pPr>
      <w:r>
        <w:rPr>
          <w:rFonts w:cs="Arial"/>
        </w:rPr>
        <w:br w:type="page"/>
      </w:r>
    </w:p>
    <w:p w14:paraId="2AA57939" w14:textId="77777777" w:rsidR="00937644" w:rsidRPr="00F11F8D" w:rsidRDefault="00937644" w:rsidP="00C61721">
      <w:pPr>
        <w:pStyle w:val="ScheduleNumberedPara"/>
        <w:ind w:firstLine="567"/>
        <w:jc w:val="left"/>
        <w:rPr>
          <w:rFonts w:cs="Arial"/>
        </w:rPr>
      </w:pPr>
      <w:r w:rsidRPr="00F11F8D">
        <w:rPr>
          <w:rFonts w:cs="Arial"/>
        </w:rPr>
        <w:lastRenderedPageBreak/>
        <w:t>This project includes the following elements:</w:t>
      </w:r>
    </w:p>
    <w:p w14:paraId="29285294" w14:textId="77777777" w:rsidR="00937644" w:rsidRDefault="00937644" w:rsidP="00C61721">
      <w:pPr>
        <w:pStyle w:val="Heading1"/>
        <w:numPr>
          <w:ilvl w:val="2"/>
          <w:numId w:val="1"/>
        </w:numPr>
        <w:spacing w:before="240" w:after="120"/>
        <w:ind w:hanging="459"/>
        <w:rPr>
          <w:rFonts w:ascii="Corbel" w:hAnsi="Corbel" w:cstheme="minorHAnsi"/>
          <w:caps w:val="0"/>
          <w:color w:val="000000" w:themeColor="text1"/>
          <w:sz w:val="23"/>
          <w:szCs w:val="23"/>
        </w:rPr>
      </w:pPr>
      <w:r w:rsidRPr="00937644">
        <w:rPr>
          <w:rFonts w:ascii="Corbel" w:hAnsi="Corbel" w:cstheme="minorHAnsi"/>
          <w:bCs w:val="0"/>
          <w:caps w:val="0"/>
          <w:color w:val="000000" w:themeColor="text1"/>
          <w:kern w:val="0"/>
          <w:sz w:val="23"/>
          <w:szCs w:val="23"/>
        </w:rPr>
        <w:t>The</w:t>
      </w:r>
      <w:r w:rsidRPr="00937644">
        <w:rPr>
          <w:rFonts w:ascii="Corbel" w:hAnsi="Corbel" w:cstheme="minorHAnsi"/>
          <w:caps w:val="0"/>
          <w:color w:val="000000" w:themeColor="text1"/>
          <w:sz w:val="23"/>
          <w:szCs w:val="23"/>
        </w:rPr>
        <w:t xml:space="preserve"> </w:t>
      </w:r>
      <w:r w:rsidR="00960947">
        <w:rPr>
          <w:rFonts w:ascii="Corbel" w:hAnsi="Corbel" w:cstheme="minorHAnsi"/>
          <w:caps w:val="0"/>
          <w:color w:val="000000" w:themeColor="text1"/>
          <w:sz w:val="23"/>
          <w:szCs w:val="23"/>
        </w:rPr>
        <w:t xml:space="preserve">expansion of the </w:t>
      </w:r>
      <w:r w:rsidR="00C71020">
        <w:rPr>
          <w:rFonts w:ascii="Corbel" w:hAnsi="Corbel" w:cstheme="minorHAnsi"/>
          <w:caps w:val="0"/>
          <w:color w:val="000000" w:themeColor="text1"/>
          <w:sz w:val="23"/>
          <w:szCs w:val="23"/>
        </w:rPr>
        <w:t>New South Wales</w:t>
      </w:r>
      <w:r w:rsidRPr="00937644">
        <w:rPr>
          <w:rFonts w:ascii="Corbel" w:hAnsi="Corbel" w:cstheme="minorHAnsi"/>
          <w:caps w:val="0"/>
          <w:color w:val="000000" w:themeColor="text1"/>
          <w:sz w:val="23"/>
          <w:szCs w:val="23"/>
        </w:rPr>
        <w:t xml:space="preserve"> Smart and Skilled Entitlement </w:t>
      </w:r>
      <w:r w:rsidR="00960947">
        <w:rPr>
          <w:rFonts w:ascii="Corbel" w:hAnsi="Corbel" w:cstheme="minorHAnsi"/>
          <w:caps w:val="0"/>
          <w:color w:val="000000" w:themeColor="text1"/>
          <w:sz w:val="23"/>
          <w:szCs w:val="23"/>
        </w:rPr>
        <w:t xml:space="preserve">Apprenticeship and Traineeship </w:t>
      </w:r>
      <w:r w:rsidRPr="00937644">
        <w:rPr>
          <w:rFonts w:ascii="Corbel" w:hAnsi="Corbel" w:cstheme="minorHAnsi"/>
          <w:caps w:val="0"/>
          <w:color w:val="000000" w:themeColor="text1"/>
          <w:sz w:val="23"/>
          <w:szCs w:val="23"/>
        </w:rPr>
        <w:t>program</w:t>
      </w:r>
      <w:r w:rsidR="00960947">
        <w:rPr>
          <w:rFonts w:ascii="Corbel" w:hAnsi="Corbel" w:cstheme="minorHAnsi"/>
          <w:caps w:val="0"/>
          <w:color w:val="000000" w:themeColor="text1"/>
          <w:sz w:val="23"/>
          <w:szCs w:val="23"/>
        </w:rPr>
        <w:t xml:space="preserve"> to reduce the up-front costs to training.</w:t>
      </w:r>
    </w:p>
    <w:p w14:paraId="0AF4CD90" w14:textId="77777777" w:rsidR="00960947" w:rsidRDefault="00937644"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 xml:space="preserve">From 1 July 2018, </w:t>
      </w:r>
      <w:r w:rsidR="00960947">
        <w:rPr>
          <w:rFonts w:ascii="Corbel" w:hAnsi="Corbel" w:cstheme="minorHAnsi"/>
          <w:caps w:val="0"/>
          <w:color w:val="000000" w:themeColor="text1"/>
          <w:sz w:val="23"/>
          <w:szCs w:val="23"/>
        </w:rPr>
        <w:t xml:space="preserve">100,000 fee free apprenticeship opportunities for all </w:t>
      </w:r>
      <w:r w:rsidR="001E456A">
        <w:rPr>
          <w:rFonts w:ascii="Corbel" w:hAnsi="Corbel" w:cstheme="minorHAnsi"/>
          <w:caps w:val="0"/>
          <w:color w:val="000000" w:themeColor="text1"/>
          <w:sz w:val="23"/>
          <w:szCs w:val="23"/>
        </w:rPr>
        <w:t>S</w:t>
      </w:r>
      <w:r w:rsidR="00960947">
        <w:rPr>
          <w:rFonts w:ascii="Corbel" w:hAnsi="Corbel" w:cstheme="minorHAnsi"/>
          <w:caps w:val="0"/>
          <w:color w:val="000000" w:themeColor="text1"/>
          <w:sz w:val="23"/>
          <w:szCs w:val="23"/>
        </w:rPr>
        <w:t xml:space="preserve">mart and </w:t>
      </w:r>
      <w:r w:rsidR="001E456A">
        <w:rPr>
          <w:rFonts w:ascii="Corbel" w:hAnsi="Corbel" w:cstheme="minorHAnsi"/>
          <w:caps w:val="0"/>
          <w:color w:val="000000" w:themeColor="text1"/>
          <w:sz w:val="23"/>
          <w:szCs w:val="23"/>
        </w:rPr>
        <w:t>S</w:t>
      </w:r>
      <w:r w:rsidR="00960947">
        <w:rPr>
          <w:rFonts w:ascii="Corbel" w:hAnsi="Corbel" w:cstheme="minorHAnsi"/>
          <w:caps w:val="0"/>
          <w:color w:val="000000" w:themeColor="text1"/>
          <w:sz w:val="23"/>
          <w:szCs w:val="23"/>
        </w:rPr>
        <w:t>killed apprentices (including school-based apprenticeships)</w:t>
      </w:r>
      <w:r w:rsidR="001E456A">
        <w:rPr>
          <w:rFonts w:ascii="Corbel" w:hAnsi="Corbel" w:cstheme="minorHAnsi"/>
          <w:caps w:val="0"/>
          <w:color w:val="000000" w:themeColor="text1"/>
          <w:sz w:val="23"/>
          <w:szCs w:val="23"/>
        </w:rPr>
        <w:t>,</w:t>
      </w:r>
      <w:r w:rsidR="00960947">
        <w:rPr>
          <w:rFonts w:ascii="Corbel" w:hAnsi="Corbel" w:cstheme="minorHAnsi"/>
          <w:caps w:val="0"/>
          <w:color w:val="000000" w:themeColor="text1"/>
          <w:sz w:val="23"/>
          <w:szCs w:val="23"/>
        </w:rPr>
        <w:t xml:space="preserve"> waiving the $2000 apprenticeship training fee. </w:t>
      </w:r>
    </w:p>
    <w:p w14:paraId="6C7EBFF6" w14:textId="77777777" w:rsidR="00960947" w:rsidRDefault="00960947"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 xml:space="preserve">From 1 July 2018 to 31 December 2018, capping the training fee for all smart and skilled traineeships to $1000. </w:t>
      </w:r>
    </w:p>
    <w:p w14:paraId="5597387A" w14:textId="77777777" w:rsidR="00960947" w:rsidRDefault="00960947"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January 2020, 70,000 fee free traineeship opportunities for all smart and skilled traineeships</w:t>
      </w:r>
      <w:r w:rsidR="000D0D0F">
        <w:rPr>
          <w:rFonts w:ascii="Corbel" w:hAnsi="Corbel" w:cstheme="minorHAnsi"/>
          <w:caps w:val="0"/>
          <w:color w:val="000000" w:themeColor="text1"/>
          <w:sz w:val="23"/>
          <w:szCs w:val="23"/>
        </w:rPr>
        <w:t>.</w:t>
      </w:r>
      <w:r w:rsidR="00307B4E">
        <w:rPr>
          <w:rFonts w:ascii="Corbel" w:hAnsi="Corbel" w:cstheme="minorHAnsi"/>
          <w:caps w:val="0"/>
          <w:color w:val="000000" w:themeColor="text1"/>
          <w:sz w:val="23"/>
          <w:szCs w:val="23"/>
        </w:rPr>
        <w:t xml:space="preserve"> </w:t>
      </w:r>
    </w:p>
    <w:p w14:paraId="255E80C1" w14:textId="77777777" w:rsidR="00307B4E" w:rsidRDefault="00960947" w:rsidP="00C61721">
      <w:pPr>
        <w:pStyle w:val="Heading1"/>
        <w:numPr>
          <w:ilvl w:val="3"/>
          <w:numId w:val="1"/>
        </w:numPr>
        <w:spacing w:before="24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July 2018, implement infrastructure skills initiatives</w:t>
      </w:r>
      <w:r w:rsidR="00307B4E">
        <w:rPr>
          <w:rFonts w:ascii="Corbel" w:hAnsi="Corbel" w:cstheme="minorHAnsi"/>
          <w:caps w:val="0"/>
          <w:color w:val="000000" w:themeColor="text1"/>
          <w:sz w:val="23"/>
          <w:szCs w:val="23"/>
        </w:rPr>
        <w:t xml:space="preserve"> to capital</w:t>
      </w:r>
      <w:r w:rsidR="00AD3B65">
        <w:rPr>
          <w:rFonts w:ascii="Corbel" w:hAnsi="Corbel" w:cstheme="minorHAnsi"/>
          <w:caps w:val="0"/>
          <w:color w:val="000000" w:themeColor="text1"/>
          <w:sz w:val="23"/>
          <w:szCs w:val="23"/>
        </w:rPr>
        <w:t>ise</w:t>
      </w:r>
      <w:r w:rsidR="00307B4E">
        <w:rPr>
          <w:rFonts w:ascii="Corbel" w:hAnsi="Corbel" w:cstheme="minorHAnsi"/>
          <w:caps w:val="0"/>
          <w:color w:val="000000" w:themeColor="text1"/>
          <w:sz w:val="23"/>
          <w:szCs w:val="23"/>
        </w:rPr>
        <w:t xml:space="preserve"> on the record level of infrastructure investment to boost the number of skilled construction workers and create new pathways to employment across the state.</w:t>
      </w:r>
      <w:r>
        <w:rPr>
          <w:rFonts w:ascii="Corbel" w:hAnsi="Corbel" w:cstheme="minorHAnsi"/>
          <w:caps w:val="0"/>
          <w:color w:val="000000" w:themeColor="text1"/>
          <w:sz w:val="23"/>
          <w:szCs w:val="23"/>
        </w:rPr>
        <w:t xml:space="preserve"> </w:t>
      </w:r>
    </w:p>
    <w:p w14:paraId="357E3D30" w14:textId="3A073E7F" w:rsidR="00452FF2" w:rsidRDefault="00452FF2" w:rsidP="00C61721">
      <w:pPr>
        <w:pStyle w:val="Heading1"/>
        <w:numPr>
          <w:ilvl w:val="2"/>
          <w:numId w:val="1"/>
        </w:numPr>
        <w:spacing w:before="240" w:after="120"/>
        <w:ind w:hanging="459"/>
        <w:rPr>
          <w:rFonts w:ascii="Corbel" w:hAnsi="Corbel"/>
          <w:caps w:val="0"/>
          <w:color w:val="000000" w:themeColor="text1"/>
          <w:sz w:val="23"/>
          <w:szCs w:val="23"/>
        </w:rPr>
      </w:pPr>
      <w:r>
        <w:rPr>
          <w:rFonts w:ascii="Corbel" w:hAnsi="Corbel"/>
          <w:caps w:val="0"/>
          <w:color w:val="000000" w:themeColor="text1"/>
          <w:sz w:val="23"/>
          <w:szCs w:val="23"/>
        </w:rPr>
        <w:t xml:space="preserve">Pilot a series of projects </w:t>
      </w:r>
      <w:r w:rsidR="00965303">
        <w:rPr>
          <w:rFonts w:ascii="Corbel" w:hAnsi="Corbel"/>
          <w:caps w:val="0"/>
          <w:color w:val="000000" w:themeColor="text1"/>
          <w:sz w:val="23"/>
          <w:szCs w:val="23"/>
        </w:rPr>
        <w:t xml:space="preserve">and undertake research </w:t>
      </w:r>
      <w:r>
        <w:rPr>
          <w:rFonts w:ascii="Corbel" w:hAnsi="Corbel"/>
          <w:caps w:val="0"/>
          <w:color w:val="000000" w:themeColor="text1"/>
          <w:sz w:val="23"/>
          <w:szCs w:val="23"/>
        </w:rPr>
        <w:t xml:space="preserve">in targeted areas across </w:t>
      </w:r>
      <w:r w:rsidR="00C71020">
        <w:rPr>
          <w:rFonts w:ascii="Corbel" w:hAnsi="Corbel"/>
          <w:caps w:val="0"/>
          <w:color w:val="000000" w:themeColor="text1"/>
          <w:sz w:val="23"/>
          <w:szCs w:val="23"/>
        </w:rPr>
        <w:t>New South Wales</w:t>
      </w:r>
      <w:r>
        <w:rPr>
          <w:rFonts w:ascii="Corbel" w:hAnsi="Corbel"/>
          <w:caps w:val="0"/>
          <w:color w:val="000000" w:themeColor="text1"/>
          <w:sz w:val="23"/>
          <w:szCs w:val="23"/>
        </w:rPr>
        <w:t xml:space="preserve"> that seek to increase the uptake and completion of apprenticeships</w:t>
      </w:r>
      <w:r w:rsidR="00F7047E">
        <w:rPr>
          <w:rFonts w:ascii="Corbel" w:hAnsi="Corbel"/>
          <w:caps w:val="0"/>
          <w:color w:val="000000" w:themeColor="text1"/>
          <w:sz w:val="23"/>
          <w:szCs w:val="23"/>
        </w:rPr>
        <w:t xml:space="preserve"> and traineeships</w:t>
      </w:r>
      <w:r>
        <w:rPr>
          <w:rFonts w:ascii="Corbel" w:hAnsi="Corbel"/>
          <w:caps w:val="0"/>
          <w:color w:val="000000" w:themeColor="text1"/>
          <w:sz w:val="23"/>
          <w:szCs w:val="23"/>
        </w:rPr>
        <w:t>, including school based apprenticeships</w:t>
      </w:r>
      <w:r w:rsidR="00AD3B65">
        <w:rPr>
          <w:rFonts w:ascii="Corbel" w:hAnsi="Corbel"/>
          <w:caps w:val="0"/>
          <w:color w:val="000000" w:themeColor="text1"/>
          <w:sz w:val="23"/>
          <w:szCs w:val="23"/>
        </w:rPr>
        <w:t xml:space="preserve"> and traineeships</w:t>
      </w:r>
      <w:r>
        <w:rPr>
          <w:rFonts w:ascii="Corbel" w:hAnsi="Corbel"/>
          <w:caps w:val="0"/>
          <w:color w:val="000000" w:themeColor="text1"/>
          <w:sz w:val="23"/>
          <w:szCs w:val="23"/>
        </w:rPr>
        <w:t xml:space="preserve">. </w:t>
      </w:r>
    </w:p>
    <w:p w14:paraId="46FE2272" w14:textId="77777777" w:rsidR="00D479C6" w:rsidRDefault="00D479C6"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July 2019</w:t>
      </w:r>
      <w:r w:rsidR="00360D2C">
        <w:rPr>
          <w:rFonts w:ascii="Corbel" w:hAnsi="Corbel" w:cstheme="minorHAnsi"/>
          <w:caps w:val="0"/>
          <w:color w:val="000000" w:themeColor="text1"/>
          <w:sz w:val="23"/>
          <w:szCs w:val="23"/>
        </w:rPr>
        <w:t xml:space="preserve">, run a behavioural trial targeting first year apprentices using alternate forms of communication; and </w:t>
      </w:r>
      <w:r w:rsidR="001E456A">
        <w:rPr>
          <w:rFonts w:ascii="Corbel" w:hAnsi="Corbel" w:cstheme="minorHAnsi"/>
          <w:caps w:val="0"/>
          <w:color w:val="000000" w:themeColor="text1"/>
          <w:sz w:val="23"/>
          <w:szCs w:val="23"/>
        </w:rPr>
        <w:t xml:space="preserve">design and </w:t>
      </w:r>
      <w:r w:rsidR="00360D2C">
        <w:rPr>
          <w:rFonts w:ascii="Corbel" w:hAnsi="Corbel" w:cstheme="minorHAnsi"/>
          <w:caps w:val="0"/>
          <w:color w:val="000000" w:themeColor="text1"/>
          <w:sz w:val="23"/>
          <w:szCs w:val="23"/>
        </w:rPr>
        <w:t xml:space="preserve">implement regional projects in South West Sydney and North Coast </w:t>
      </w:r>
      <w:r w:rsidR="00C71020">
        <w:rPr>
          <w:rFonts w:ascii="Corbel" w:hAnsi="Corbel" w:cstheme="minorHAnsi"/>
          <w:caps w:val="0"/>
          <w:color w:val="000000" w:themeColor="text1"/>
          <w:sz w:val="23"/>
          <w:szCs w:val="23"/>
        </w:rPr>
        <w:t>New South Wales</w:t>
      </w:r>
      <w:r>
        <w:rPr>
          <w:rFonts w:ascii="Corbel" w:hAnsi="Corbel" w:cstheme="minorHAnsi"/>
          <w:caps w:val="0"/>
          <w:color w:val="000000" w:themeColor="text1"/>
          <w:sz w:val="23"/>
          <w:szCs w:val="23"/>
        </w:rPr>
        <w:t>.</w:t>
      </w:r>
    </w:p>
    <w:p w14:paraId="598EEB6B" w14:textId="4E9A89B0" w:rsidR="00F7047E" w:rsidRDefault="00D479C6" w:rsidP="00F7047E">
      <w:pPr>
        <w:pStyle w:val="Heading1"/>
        <w:numPr>
          <w:ilvl w:val="3"/>
          <w:numId w:val="1"/>
        </w:numPr>
        <w:spacing w:before="240"/>
        <w:ind w:hanging="612"/>
        <w:rPr>
          <w:rFonts w:ascii="Corbel" w:hAnsi="Corbel" w:cstheme="minorHAnsi"/>
          <w:caps w:val="0"/>
          <w:color w:val="000000" w:themeColor="text1"/>
          <w:sz w:val="23"/>
          <w:szCs w:val="23"/>
        </w:rPr>
      </w:pPr>
      <w:r w:rsidRPr="00965303">
        <w:rPr>
          <w:rFonts w:ascii="Corbel" w:hAnsi="Corbel" w:cstheme="minorHAnsi"/>
          <w:caps w:val="0"/>
          <w:color w:val="000000" w:themeColor="text1"/>
          <w:sz w:val="23"/>
          <w:szCs w:val="23"/>
        </w:rPr>
        <w:t>From 1 July 20</w:t>
      </w:r>
      <w:r w:rsidR="00360D2C" w:rsidRPr="00965303">
        <w:rPr>
          <w:rFonts w:ascii="Corbel" w:hAnsi="Corbel" w:cstheme="minorHAnsi"/>
          <w:caps w:val="0"/>
          <w:color w:val="000000" w:themeColor="text1"/>
          <w:sz w:val="23"/>
          <w:szCs w:val="23"/>
        </w:rPr>
        <w:t>2</w:t>
      </w:r>
      <w:r w:rsidR="00E5751D">
        <w:rPr>
          <w:rFonts w:ascii="Corbel" w:hAnsi="Corbel" w:cstheme="minorHAnsi"/>
          <w:caps w:val="0"/>
          <w:color w:val="000000" w:themeColor="text1"/>
          <w:sz w:val="23"/>
          <w:szCs w:val="23"/>
        </w:rPr>
        <w:t>0</w:t>
      </w:r>
      <w:r w:rsidRPr="00965303">
        <w:rPr>
          <w:rFonts w:ascii="Corbel" w:hAnsi="Corbel" w:cstheme="minorHAnsi"/>
          <w:caps w:val="0"/>
          <w:color w:val="000000" w:themeColor="text1"/>
          <w:sz w:val="23"/>
          <w:szCs w:val="23"/>
        </w:rPr>
        <w:t>,</w:t>
      </w:r>
      <w:r w:rsidR="00360D2C" w:rsidRPr="00965303">
        <w:rPr>
          <w:rFonts w:ascii="Corbel" w:hAnsi="Corbel" w:cstheme="minorHAnsi"/>
          <w:caps w:val="0"/>
          <w:color w:val="000000" w:themeColor="text1"/>
          <w:sz w:val="23"/>
          <w:szCs w:val="23"/>
        </w:rPr>
        <w:t xml:space="preserve"> implement activities that </w:t>
      </w:r>
      <w:r w:rsidR="00965303" w:rsidRPr="00965303">
        <w:rPr>
          <w:rFonts w:ascii="Corbel" w:hAnsi="Corbel" w:cstheme="minorHAnsi"/>
          <w:caps w:val="0"/>
          <w:color w:val="000000" w:themeColor="text1"/>
          <w:sz w:val="23"/>
          <w:szCs w:val="23"/>
        </w:rPr>
        <w:t>respond directly to research on b</w:t>
      </w:r>
      <w:r w:rsidR="009B3340">
        <w:rPr>
          <w:rFonts w:ascii="Corbel" w:hAnsi="Corbel" w:cstheme="minorHAnsi"/>
          <w:caps w:val="0"/>
          <w:color w:val="000000" w:themeColor="text1"/>
          <w:sz w:val="23"/>
          <w:szCs w:val="23"/>
        </w:rPr>
        <w:t xml:space="preserve">arriers and access to taking up school-based </w:t>
      </w:r>
      <w:r w:rsidR="00965303" w:rsidRPr="00965303">
        <w:rPr>
          <w:rFonts w:ascii="Corbel" w:hAnsi="Corbel" w:cstheme="minorHAnsi"/>
          <w:caps w:val="0"/>
          <w:color w:val="000000" w:themeColor="text1"/>
          <w:sz w:val="23"/>
          <w:szCs w:val="23"/>
        </w:rPr>
        <w:t xml:space="preserve">apprenticeships and traineeships. </w:t>
      </w:r>
    </w:p>
    <w:p w14:paraId="19A0F56A" w14:textId="029B97D0" w:rsidR="00F7047E" w:rsidRPr="00F7047E" w:rsidRDefault="00F7047E" w:rsidP="00F7047E">
      <w:pPr>
        <w:pStyle w:val="Heading1"/>
        <w:numPr>
          <w:ilvl w:val="3"/>
          <w:numId w:val="1"/>
        </w:numPr>
        <w:spacing w:before="24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July 2020, establish a</w:t>
      </w:r>
      <w:r w:rsidR="00451CC2">
        <w:rPr>
          <w:rFonts w:ascii="Corbel" w:hAnsi="Corbel" w:cstheme="minorHAnsi"/>
          <w:caps w:val="0"/>
          <w:color w:val="000000" w:themeColor="text1"/>
          <w:sz w:val="23"/>
          <w:szCs w:val="23"/>
        </w:rPr>
        <w:t xml:space="preserve">n infrastructure traineeship </w:t>
      </w:r>
      <w:r>
        <w:rPr>
          <w:rFonts w:ascii="Corbel" w:hAnsi="Corbel" w:cstheme="minorHAnsi"/>
          <w:caps w:val="0"/>
          <w:color w:val="000000" w:themeColor="text1"/>
          <w:sz w:val="23"/>
          <w:szCs w:val="23"/>
        </w:rPr>
        <w:t xml:space="preserve">program for school leavers. </w:t>
      </w:r>
    </w:p>
    <w:p w14:paraId="1E8691A5" w14:textId="77777777" w:rsidR="009A6403" w:rsidRPr="00093782" w:rsidRDefault="00307B4E" w:rsidP="00C61721">
      <w:pPr>
        <w:pStyle w:val="Heading1"/>
        <w:numPr>
          <w:ilvl w:val="2"/>
          <w:numId w:val="1"/>
        </w:numPr>
        <w:spacing w:before="240" w:after="120"/>
        <w:ind w:hanging="459"/>
        <w:rPr>
          <w:rFonts w:ascii="Corbel" w:hAnsi="Corbel"/>
          <w:caps w:val="0"/>
          <w:color w:val="000000" w:themeColor="text1"/>
          <w:sz w:val="23"/>
          <w:szCs w:val="23"/>
        </w:rPr>
      </w:pPr>
      <w:r w:rsidRPr="00093782">
        <w:rPr>
          <w:rFonts w:ascii="Corbel" w:hAnsi="Corbel" w:cstheme="minorHAnsi"/>
          <w:bCs w:val="0"/>
          <w:caps w:val="0"/>
          <w:color w:val="000000" w:themeColor="text1"/>
          <w:kern w:val="0"/>
          <w:sz w:val="23"/>
          <w:szCs w:val="23"/>
        </w:rPr>
        <w:t>The expansion of</w:t>
      </w:r>
      <w:r w:rsidRPr="00093782">
        <w:rPr>
          <w:rFonts w:ascii="Corbel" w:hAnsi="Corbel"/>
          <w:caps w:val="0"/>
          <w:color w:val="000000" w:themeColor="text1"/>
          <w:sz w:val="23"/>
          <w:szCs w:val="23"/>
        </w:rPr>
        <w:t xml:space="preserve"> the number of people accessing the </w:t>
      </w:r>
      <w:r w:rsidR="00C71020">
        <w:rPr>
          <w:rFonts w:ascii="Corbel" w:hAnsi="Corbel"/>
          <w:caps w:val="0"/>
          <w:color w:val="000000" w:themeColor="text1"/>
          <w:sz w:val="23"/>
          <w:szCs w:val="23"/>
        </w:rPr>
        <w:t>New South Wales</w:t>
      </w:r>
      <w:r w:rsidRPr="00093782">
        <w:rPr>
          <w:rFonts w:ascii="Corbel" w:hAnsi="Corbel"/>
          <w:caps w:val="0"/>
          <w:color w:val="000000" w:themeColor="text1"/>
          <w:sz w:val="23"/>
          <w:szCs w:val="23"/>
        </w:rPr>
        <w:t xml:space="preserve"> Smart and Skilled Targeted Priorities Pre-Vocational and Part Qualification program.</w:t>
      </w:r>
    </w:p>
    <w:p w14:paraId="2B8E28BB" w14:textId="77777777" w:rsidR="004D19E4" w:rsidRDefault="00307B4E" w:rsidP="00C61721">
      <w:pPr>
        <w:pStyle w:val="Heading1"/>
        <w:numPr>
          <w:ilvl w:val="3"/>
          <w:numId w:val="1"/>
        </w:numPr>
        <w:spacing w:before="240" w:after="120"/>
        <w:ind w:hanging="612"/>
        <w:rPr>
          <w:rFonts w:ascii="Corbel" w:hAnsi="Corbel"/>
          <w:caps w:val="0"/>
          <w:color w:val="000000" w:themeColor="text1"/>
          <w:sz w:val="23"/>
          <w:szCs w:val="23"/>
        </w:rPr>
      </w:pPr>
      <w:r w:rsidRPr="00093782">
        <w:rPr>
          <w:rFonts w:ascii="Corbel" w:hAnsi="Corbel"/>
          <w:caps w:val="0"/>
          <w:color w:val="000000" w:themeColor="text1"/>
          <w:sz w:val="23"/>
          <w:szCs w:val="23"/>
        </w:rPr>
        <w:t>From 1 July 2018,</w:t>
      </w:r>
      <w:r w:rsidR="008A6D0D" w:rsidRPr="00093782">
        <w:rPr>
          <w:rFonts w:ascii="Corbel" w:hAnsi="Corbel"/>
          <w:caps w:val="0"/>
          <w:color w:val="000000" w:themeColor="text1"/>
          <w:sz w:val="23"/>
          <w:szCs w:val="23"/>
        </w:rPr>
        <w:t xml:space="preserve"> </w:t>
      </w:r>
      <w:r w:rsidR="000D0D0F">
        <w:rPr>
          <w:rFonts w:ascii="Corbel" w:hAnsi="Corbel"/>
          <w:caps w:val="0"/>
          <w:color w:val="000000" w:themeColor="text1"/>
          <w:sz w:val="23"/>
          <w:szCs w:val="23"/>
        </w:rPr>
        <w:t>increase the</w:t>
      </w:r>
      <w:r w:rsidR="000D0D0F" w:rsidRPr="00093782">
        <w:rPr>
          <w:rFonts w:ascii="Corbel" w:hAnsi="Corbel"/>
          <w:caps w:val="0"/>
          <w:color w:val="000000" w:themeColor="text1"/>
          <w:sz w:val="23"/>
          <w:szCs w:val="23"/>
        </w:rPr>
        <w:t xml:space="preserve"> </w:t>
      </w:r>
      <w:r w:rsidR="008A6D0D" w:rsidRPr="00093782">
        <w:rPr>
          <w:rFonts w:ascii="Corbel" w:hAnsi="Corbel"/>
          <w:caps w:val="0"/>
          <w:color w:val="000000" w:themeColor="text1"/>
          <w:sz w:val="23"/>
          <w:szCs w:val="23"/>
        </w:rPr>
        <w:t>number</w:t>
      </w:r>
      <w:r w:rsidRPr="00093782">
        <w:rPr>
          <w:rFonts w:ascii="Corbel" w:hAnsi="Corbel"/>
          <w:caps w:val="0"/>
          <w:color w:val="000000" w:themeColor="text1"/>
          <w:sz w:val="23"/>
          <w:szCs w:val="23"/>
        </w:rPr>
        <w:t xml:space="preserve"> </w:t>
      </w:r>
      <w:r w:rsidR="000D0D0F">
        <w:rPr>
          <w:rFonts w:ascii="Corbel" w:hAnsi="Corbel"/>
          <w:caps w:val="0"/>
          <w:color w:val="000000" w:themeColor="text1"/>
          <w:sz w:val="23"/>
          <w:szCs w:val="23"/>
        </w:rPr>
        <w:t xml:space="preserve">of </w:t>
      </w:r>
      <w:r w:rsidR="008A6D0D" w:rsidRPr="00093782">
        <w:rPr>
          <w:rFonts w:ascii="Corbel" w:hAnsi="Corbel"/>
          <w:caps w:val="0"/>
          <w:color w:val="000000" w:themeColor="text1"/>
          <w:sz w:val="23"/>
          <w:szCs w:val="23"/>
        </w:rPr>
        <w:t xml:space="preserve">opportunities </w:t>
      </w:r>
      <w:r w:rsidR="000D0D0F">
        <w:rPr>
          <w:rFonts w:ascii="Corbel" w:hAnsi="Corbel"/>
          <w:caps w:val="0"/>
          <w:color w:val="000000" w:themeColor="text1"/>
          <w:sz w:val="23"/>
          <w:szCs w:val="23"/>
        </w:rPr>
        <w:t xml:space="preserve">available </w:t>
      </w:r>
      <w:r w:rsidR="008A6D0D" w:rsidRPr="00093782">
        <w:rPr>
          <w:rFonts w:ascii="Corbel" w:hAnsi="Corbel"/>
          <w:caps w:val="0"/>
          <w:color w:val="000000" w:themeColor="text1"/>
          <w:sz w:val="23"/>
          <w:szCs w:val="23"/>
        </w:rPr>
        <w:t xml:space="preserve">to do </w:t>
      </w:r>
      <w:r w:rsidR="002924D0" w:rsidRPr="00093782">
        <w:rPr>
          <w:rFonts w:ascii="Corbel" w:hAnsi="Corbel"/>
          <w:caps w:val="0"/>
          <w:color w:val="000000" w:themeColor="text1"/>
          <w:sz w:val="23"/>
          <w:szCs w:val="23"/>
        </w:rPr>
        <w:t>pre-apprenticeships and pre-traineeships</w:t>
      </w:r>
      <w:r w:rsidR="008A6D0D" w:rsidRPr="00093782">
        <w:rPr>
          <w:rFonts w:ascii="Corbel" w:hAnsi="Corbel"/>
          <w:caps w:val="0"/>
          <w:color w:val="000000" w:themeColor="text1"/>
          <w:sz w:val="23"/>
          <w:szCs w:val="23"/>
        </w:rPr>
        <w:t xml:space="preserve"> to support students to assess if a particular trade</w:t>
      </w:r>
      <w:r w:rsidR="000A4C00" w:rsidRPr="00093782">
        <w:rPr>
          <w:rFonts w:ascii="Corbel" w:hAnsi="Corbel"/>
          <w:caps w:val="0"/>
          <w:color w:val="000000" w:themeColor="text1"/>
          <w:sz w:val="23"/>
          <w:szCs w:val="23"/>
        </w:rPr>
        <w:t xml:space="preserve"> or traineeship</w:t>
      </w:r>
      <w:r w:rsidR="008A6D0D" w:rsidRPr="00093782">
        <w:rPr>
          <w:rFonts w:ascii="Corbel" w:hAnsi="Corbel"/>
          <w:caps w:val="0"/>
          <w:color w:val="000000" w:themeColor="text1"/>
          <w:sz w:val="23"/>
          <w:szCs w:val="23"/>
        </w:rPr>
        <w:t xml:space="preserve"> is the right choice for them</w:t>
      </w:r>
      <w:r w:rsidRPr="00093782">
        <w:rPr>
          <w:rFonts w:ascii="Corbel" w:hAnsi="Corbel"/>
          <w:caps w:val="0"/>
          <w:color w:val="000000" w:themeColor="text1"/>
          <w:sz w:val="23"/>
          <w:szCs w:val="23"/>
        </w:rPr>
        <w:t>.</w:t>
      </w:r>
    </w:p>
    <w:p w14:paraId="07BD53D8" w14:textId="77777777" w:rsidR="00AA74F0" w:rsidRPr="00BB724E" w:rsidRDefault="004D19E4" w:rsidP="00C61721">
      <w:pPr>
        <w:pStyle w:val="Heading1"/>
        <w:numPr>
          <w:ilvl w:val="3"/>
          <w:numId w:val="1"/>
        </w:numPr>
        <w:spacing w:before="240" w:after="120"/>
        <w:ind w:hanging="612"/>
        <w:rPr>
          <w:color w:val="000000" w:themeColor="text1"/>
        </w:rPr>
      </w:pPr>
      <w:r w:rsidRPr="00013B31">
        <w:rPr>
          <w:rFonts w:ascii="Corbel" w:hAnsi="Corbel"/>
          <w:caps w:val="0"/>
          <w:color w:val="000000" w:themeColor="text1"/>
          <w:sz w:val="23"/>
        </w:rPr>
        <w:t>From 1 July 2018,</w:t>
      </w:r>
      <w:r w:rsidR="008A6D0D" w:rsidRPr="00013B31">
        <w:rPr>
          <w:rFonts w:ascii="Corbel" w:hAnsi="Corbel"/>
          <w:caps w:val="0"/>
          <w:color w:val="000000" w:themeColor="text1"/>
          <w:sz w:val="23"/>
        </w:rPr>
        <w:t xml:space="preserve"> </w:t>
      </w:r>
      <w:r w:rsidR="0004561F">
        <w:rPr>
          <w:rFonts w:ascii="Corbel" w:hAnsi="Corbel"/>
          <w:caps w:val="0"/>
          <w:color w:val="000000" w:themeColor="text1"/>
          <w:sz w:val="23"/>
        </w:rPr>
        <w:t xml:space="preserve">implement infrastructure skills initiatives aimed at increasing </w:t>
      </w:r>
      <w:r w:rsidR="0004561F" w:rsidRPr="00BB724E">
        <w:rPr>
          <w:rFonts w:ascii="Corbel" w:hAnsi="Corbel"/>
          <w:caps w:val="0"/>
          <w:color w:val="000000" w:themeColor="text1"/>
          <w:sz w:val="23"/>
          <w:szCs w:val="23"/>
        </w:rPr>
        <w:t xml:space="preserve">the </w:t>
      </w:r>
      <w:r w:rsidR="0004561F">
        <w:rPr>
          <w:rFonts w:ascii="Corbel" w:hAnsi="Corbel"/>
          <w:caps w:val="0"/>
          <w:color w:val="000000" w:themeColor="text1"/>
          <w:sz w:val="23"/>
        </w:rPr>
        <w:t xml:space="preserve">supply of construction skills </w:t>
      </w:r>
    </w:p>
    <w:p w14:paraId="05464B02" w14:textId="77777777" w:rsidR="00AA74F0" w:rsidRPr="00BB724E" w:rsidRDefault="00AA74F0" w:rsidP="00C61721">
      <w:pPr>
        <w:pStyle w:val="Heading1"/>
        <w:numPr>
          <w:ilvl w:val="3"/>
          <w:numId w:val="1"/>
        </w:numPr>
        <w:spacing w:before="240" w:after="120"/>
        <w:ind w:hanging="612"/>
        <w:rPr>
          <w:color w:val="000000" w:themeColor="text1"/>
        </w:rPr>
      </w:pPr>
      <w:r w:rsidRPr="007155A4">
        <w:rPr>
          <w:rFonts w:ascii="Corbel" w:hAnsi="Corbel"/>
          <w:caps w:val="0"/>
          <w:color w:val="000000" w:themeColor="text1"/>
          <w:sz w:val="23"/>
        </w:rPr>
        <w:t>From 1 July 20</w:t>
      </w:r>
      <w:r w:rsidR="00021172" w:rsidRPr="007155A4">
        <w:rPr>
          <w:rFonts w:ascii="Corbel" w:hAnsi="Corbel"/>
          <w:caps w:val="0"/>
          <w:color w:val="000000" w:themeColor="text1"/>
          <w:sz w:val="23"/>
        </w:rPr>
        <w:t>19</w:t>
      </w:r>
      <w:r w:rsidRPr="007155A4">
        <w:rPr>
          <w:rFonts w:ascii="Corbel" w:hAnsi="Corbel"/>
          <w:caps w:val="0"/>
          <w:color w:val="000000" w:themeColor="text1"/>
          <w:sz w:val="23"/>
        </w:rPr>
        <w:t>,</w:t>
      </w:r>
      <w:r w:rsidR="00C61721">
        <w:rPr>
          <w:rFonts w:ascii="Corbel" w:hAnsi="Corbel"/>
          <w:caps w:val="0"/>
          <w:color w:val="000000" w:themeColor="text1"/>
          <w:sz w:val="23"/>
        </w:rPr>
        <w:t xml:space="preserve"> </w:t>
      </w:r>
      <w:r w:rsidR="00920272" w:rsidRPr="007155A4">
        <w:rPr>
          <w:rFonts w:ascii="Corbel" w:hAnsi="Corbel"/>
          <w:caps w:val="0"/>
          <w:color w:val="000000" w:themeColor="text1"/>
          <w:sz w:val="23"/>
        </w:rPr>
        <w:t>implement apprenticeship recruitment and completion incentive initiatives.</w:t>
      </w:r>
    </w:p>
    <w:p w14:paraId="74B82E6A" w14:textId="77777777" w:rsidR="009A6403" w:rsidRDefault="00EA48C1" w:rsidP="00C61721">
      <w:pPr>
        <w:pStyle w:val="Heading1"/>
        <w:numPr>
          <w:ilvl w:val="2"/>
          <w:numId w:val="1"/>
        </w:numPr>
        <w:spacing w:before="240" w:after="120"/>
        <w:ind w:hanging="459"/>
        <w:rPr>
          <w:rFonts w:ascii="Corbel" w:hAnsi="Corbel"/>
          <w:caps w:val="0"/>
          <w:color w:val="000000" w:themeColor="text1"/>
          <w:sz w:val="23"/>
          <w:szCs w:val="23"/>
        </w:rPr>
      </w:pPr>
      <w:r>
        <w:rPr>
          <w:rFonts w:ascii="Corbel" w:hAnsi="Corbel"/>
          <w:caps w:val="0"/>
          <w:color w:val="000000" w:themeColor="text1"/>
          <w:sz w:val="23"/>
          <w:szCs w:val="23"/>
        </w:rPr>
        <w:t xml:space="preserve">The expansion </w:t>
      </w:r>
      <w:r w:rsidR="009A6403">
        <w:rPr>
          <w:rFonts w:ascii="Corbel" w:hAnsi="Corbel"/>
          <w:caps w:val="0"/>
          <w:color w:val="000000" w:themeColor="text1"/>
          <w:sz w:val="23"/>
          <w:szCs w:val="23"/>
        </w:rPr>
        <w:t>of</w:t>
      </w:r>
      <w:r>
        <w:rPr>
          <w:rFonts w:ascii="Corbel" w:hAnsi="Corbel"/>
          <w:caps w:val="0"/>
          <w:color w:val="000000" w:themeColor="text1"/>
          <w:sz w:val="23"/>
          <w:szCs w:val="23"/>
        </w:rPr>
        <w:t xml:space="preserve"> the number of</w:t>
      </w:r>
      <w:r w:rsidR="009A6403">
        <w:rPr>
          <w:rFonts w:ascii="Corbel" w:hAnsi="Corbel"/>
          <w:caps w:val="0"/>
          <w:color w:val="000000" w:themeColor="text1"/>
          <w:sz w:val="23"/>
          <w:szCs w:val="23"/>
        </w:rPr>
        <w:t xml:space="preserve"> people accessing higher level qualifications through apprenticeships and traineeships at the Australian Qualifications Framework Levels V and VI by trialling alternative higher apprenticeships models. </w:t>
      </w:r>
    </w:p>
    <w:p w14:paraId="58D99C88" w14:textId="77777777" w:rsidR="00484F37" w:rsidRDefault="009A6403" w:rsidP="00C61721">
      <w:pPr>
        <w:pStyle w:val="Heading1"/>
        <w:numPr>
          <w:ilvl w:val="3"/>
          <w:numId w:val="21"/>
        </w:numPr>
        <w:spacing w:before="240" w:after="120"/>
        <w:ind w:hanging="612"/>
        <w:rPr>
          <w:rFonts w:ascii="Corbel" w:hAnsi="Corbel"/>
          <w:caps w:val="0"/>
          <w:color w:val="000000" w:themeColor="text1"/>
          <w:sz w:val="23"/>
          <w:szCs w:val="23"/>
        </w:rPr>
      </w:pPr>
      <w:r>
        <w:rPr>
          <w:rFonts w:ascii="Corbel" w:hAnsi="Corbel"/>
          <w:caps w:val="0"/>
          <w:color w:val="000000" w:themeColor="text1"/>
          <w:sz w:val="23"/>
          <w:szCs w:val="23"/>
        </w:rPr>
        <w:t>From 1 July 2018 to 30 June 2019, implement four pilot projects for</w:t>
      </w:r>
      <w:r w:rsidR="00BF44AD">
        <w:rPr>
          <w:rFonts w:ascii="Corbel" w:hAnsi="Corbel"/>
          <w:caps w:val="0"/>
          <w:color w:val="000000" w:themeColor="text1"/>
          <w:sz w:val="23"/>
          <w:szCs w:val="23"/>
        </w:rPr>
        <w:t>:</w:t>
      </w:r>
      <w:r>
        <w:rPr>
          <w:rFonts w:ascii="Corbel" w:hAnsi="Corbel"/>
          <w:caps w:val="0"/>
          <w:color w:val="000000" w:themeColor="text1"/>
          <w:sz w:val="23"/>
          <w:szCs w:val="23"/>
        </w:rPr>
        <w:t xml:space="preserve"> an Associate Degree of Integrated Care in Ageing, Carpentry apprenticeship undertaken with a Diploma of Project Management, and Advanced Diploma of Engineering </w:t>
      </w:r>
      <w:r>
        <w:rPr>
          <w:rFonts w:ascii="Corbel" w:hAnsi="Corbel"/>
          <w:caps w:val="0"/>
          <w:color w:val="000000" w:themeColor="text1"/>
          <w:sz w:val="23"/>
          <w:szCs w:val="23"/>
        </w:rPr>
        <w:lastRenderedPageBreak/>
        <w:t xml:space="preserve">Technology leading to a Bachelor of Engineering (Honours) or Bachelor of Engineering Science. </w:t>
      </w:r>
    </w:p>
    <w:p w14:paraId="2F56E958" w14:textId="77777777" w:rsidR="00965303" w:rsidRDefault="00484F37" w:rsidP="00C61721">
      <w:pPr>
        <w:pStyle w:val="Heading1"/>
        <w:numPr>
          <w:ilvl w:val="3"/>
          <w:numId w:val="21"/>
        </w:numPr>
        <w:spacing w:before="240" w:after="120"/>
        <w:ind w:hanging="612"/>
        <w:rPr>
          <w:rFonts w:ascii="Corbel" w:hAnsi="Corbel"/>
          <w:caps w:val="0"/>
          <w:color w:val="000000" w:themeColor="text1"/>
          <w:sz w:val="23"/>
          <w:szCs w:val="23"/>
        </w:rPr>
      </w:pPr>
      <w:r>
        <w:rPr>
          <w:rFonts w:ascii="Corbel" w:hAnsi="Corbel"/>
          <w:caps w:val="0"/>
          <w:color w:val="000000" w:themeColor="text1"/>
          <w:sz w:val="23"/>
          <w:szCs w:val="23"/>
        </w:rPr>
        <w:t xml:space="preserve">From 1 July </w:t>
      </w:r>
      <w:r w:rsidR="0090581A">
        <w:rPr>
          <w:rFonts w:ascii="Corbel" w:hAnsi="Corbel"/>
          <w:caps w:val="0"/>
          <w:color w:val="000000" w:themeColor="text1"/>
          <w:sz w:val="23"/>
          <w:szCs w:val="23"/>
        </w:rPr>
        <w:t xml:space="preserve">2018 </w:t>
      </w:r>
      <w:r>
        <w:rPr>
          <w:rFonts w:ascii="Corbel" w:hAnsi="Corbel"/>
          <w:caps w:val="0"/>
          <w:color w:val="000000" w:themeColor="text1"/>
          <w:sz w:val="23"/>
          <w:szCs w:val="23"/>
        </w:rPr>
        <w:t xml:space="preserve">to 30 June </w:t>
      </w:r>
      <w:r w:rsidR="0090581A">
        <w:rPr>
          <w:rFonts w:ascii="Corbel" w:hAnsi="Corbel"/>
          <w:caps w:val="0"/>
          <w:color w:val="000000" w:themeColor="text1"/>
          <w:sz w:val="23"/>
          <w:szCs w:val="23"/>
        </w:rPr>
        <w:t>2019</w:t>
      </w:r>
      <w:r>
        <w:rPr>
          <w:rFonts w:ascii="Corbel" w:hAnsi="Corbel"/>
          <w:caps w:val="0"/>
          <w:color w:val="000000" w:themeColor="text1"/>
          <w:sz w:val="23"/>
          <w:szCs w:val="23"/>
        </w:rPr>
        <w:t xml:space="preserve">, implement four pilot projects for Construction Management, Sustainable Agriculture and Food Security, Civil Construction Management and Engineering, and Aboriginal Healthcare Tertiary Pathway. </w:t>
      </w:r>
    </w:p>
    <w:p w14:paraId="3442A9F0" w14:textId="42E4F50D" w:rsidR="009A2FF1" w:rsidRPr="005B698F" w:rsidRDefault="009A2FF1" w:rsidP="00C61721">
      <w:pPr>
        <w:pStyle w:val="ListParagraph"/>
        <w:numPr>
          <w:ilvl w:val="3"/>
          <w:numId w:val="21"/>
        </w:numPr>
        <w:ind w:hanging="612"/>
        <w:contextualSpacing w:val="0"/>
        <w:jc w:val="left"/>
      </w:pPr>
      <w:r>
        <w:t>From 1 July 2020, design and implement activities to increase take up of higher apprenticeships and traineeships</w:t>
      </w:r>
      <w:r w:rsidR="00F7047E">
        <w:t xml:space="preserve"> including the creation of a new </w:t>
      </w:r>
      <w:r w:rsidR="00686C09">
        <w:t xml:space="preserve">pilot </w:t>
      </w:r>
      <w:r w:rsidR="00F7047E">
        <w:t xml:space="preserve">model </w:t>
      </w:r>
      <w:r w:rsidR="00686C09">
        <w:t>in Engineering</w:t>
      </w:r>
      <w:r>
        <w:t>.</w:t>
      </w:r>
    </w:p>
    <w:p w14:paraId="7C7E3546" w14:textId="77777777" w:rsidR="00D628F5" w:rsidRPr="001A7DDC" w:rsidRDefault="00484F37" w:rsidP="00C61721">
      <w:pPr>
        <w:pStyle w:val="Heading1"/>
        <w:numPr>
          <w:ilvl w:val="2"/>
          <w:numId w:val="1"/>
        </w:numPr>
        <w:spacing w:before="240" w:after="120"/>
        <w:ind w:hanging="459"/>
        <w:rPr>
          <w:rFonts w:ascii="Corbel" w:hAnsi="Corbel"/>
          <w:caps w:val="0"/>
          <w:color w:val="000000" w:themeColor="text1"/>
          <w:sz w:val="23"/>
          <w:szCs w:val="23"/>
        </w:rPr>
      </w:pPr>
      <w:r w:rsidRPr="001A7DDC">
        <w:rPr>
          <w:rFonts w:ascii="Corbel" w:hAnsi="Corbel"/>
          <w:caps w:val="0"/>
          <w:color w:val="000000" w:themeColor="text1"/>
          <w:sz w:val="23"/>
          <w:szCs w:val="23"/>
        </w:rPr>
        <w:t xml:space="preserve">Expand the number of people accessing ‘like apprenticeship’ training to gain qualifications in areas of high demand through a pathway that does not require a training contract. </w:t>
      </w:r>
    </w:p>
    <w:p w14:paraId="10CEBD83" w14:textId="6795BDF3" w:rsidR="00BB569C" w:rsidRDefault="004A4802" w:rsidP="00C61721">
      <w:pPr>
        <w:pStyle w:val="Heading1"/>
        <w:numPr>
          <w:ilvl w:val="3"/>
          <w:numId w:val="26"/>
        </w:numPr>
        <w:spacing w:before="240" w:after="120"/>
        <w:ind w:hanging="612"/>
        <w:rPr>
          <w:rFonts w:ascii="Corbel" w:hAnsi="Corbel"/>
          <w:caps w:val="0"/>
          <w:color w:val="000000" w:themeColor="text1"/>
          <w:sz w:val="23"/>
        </w:rPr>
      </w:pPr>
      <w:r w:rsidRPr="00013B31">
        <w:rPr>
          <w:rFonts w:ascii="Corbel" w:hAnsi="Corbel"/>
          <w:caps w:val="0"/>
          <w:color w:val="000000" w:themeColor="text1"/>
          <w:sz w:val="23"/>
        </w:rPr>
        <w:t xml:space="preserve">From 1 July 2018, </w:t>
      </w:r>
      <w:r w:rsidR="00004C20" w:rsidRPr="00013B31">
        <w:rPr>
          <w:rFonts w:ascii="Corbel" w:hAnsi="Corbel"/>
          <w:caps w:val="0"/>
          <w:color w:val="000000" w:themeColor="text1"/>
          <w:sz w:val="23"/>
        </w:rPr>
        <w:t xml:space="preserve">expand pathways for experienced workers to achieve a trade qualification through recognition of prior learning and gap training; refine the </w:t>
      </w:r>
      <w:r w:rsidR="00C71020" w:rsidRPr="00013B31">
        <w:rPr>
          <w:rFonts w:ascii="Corbel" w:hAnsi="Corbel"/>
          <w:caps w:val="0"/>
          <w:color w:val="000000" w:themeColor="text1"/>
          <w:sz w:val="23"/>
        </w:rPr>
        <w:t>New South Wales</w:t>
      </w:r>
      <w:r w:rsidR="00004C20" w:rsidRPr="00013B31">
        <w:rPr>
          <w:rFonts w:ascii="Corbel" w:hAnsi="Corbel"/>
          <w:caps w:val="0"/>
          <w:color w:val="000000" w:themeColor="text1"/>
          <w:sz w:val="23"/>
        </w:rPr>
        <w:t xml:space="preserve"> Skills List and increase access to a broader range of ‘like apprenticeship’ qualifications across </w:t>
      </w:r>
      <w:r w:rsidR="00C71020" w:rsidRPr="00013B31">
        <w:rPr>
          <w:rFonts w:ascii="Corbel" w:hAnsi="Corbel"/>
          <w:caps w:val="0"/>
          <w:color w:val="000000" w:themeColor="text1"/>
          <w:sz w:val="23"/>
        </w:rPr>
        <w:t>New South Wales</w:t>
      </w:r>
      <w:r w:rsidR="00004C20" w:rsidRPr="00013B31">
        <w:rPr>
          <w:rFonts w:ascii="Corbel" w:hAnsi="Corbel"/>
          <w:caps w:val="0"/>
          <w:color w:val="000000" w:themeColor="text1"/>
          <w:sz w:val="23"/>
        </w:rPr>
        <w:t xml:space="preserve"> by addressing thin markets.</w:t>
      </w:r>
      <w:r w:rsidRPr="00013B31">
        <w:rPr>
          <w:rFonts w:ascii="Corbel" w:hAnsi="Corbel"/>
          <w:caps w:val="0"/>
          <w:color w:val="000000" w:themeColor="text1"/>
          <w:sz w:val="23"/>
        </w:rPr>
        <w:t xml:space="preserve"> </w:t>
      </w:r>
    </w:p>
    <w:p w14:paraId="76A50B16" w14:textId="4B3CB85D" w:rsidR="004F66ED" w:rsidRPr="00332478" w:rsidRDefault="004F66ED" w:rsidP="004F66ED">
      <w:pPr>
        <w:pStyle w:val="Heading1"/>
        <w:numPr>
          <w:ilvl w:val="3"/>
          <w:numId w:val="26"/>
        </w:numPr>
        <w:spacing w:before="240" w:after="120"/>
        <w:ind w:hanging="612"/>
        <w:rPr>
          <w:rFonts w:ascii="Corbel" w:hAnsi="Corbel"/>
          <w:caps w:val="0"/>
          <w:color w:val="000000" w:themeColor="text1"/>
          <w:sz w:val="23"/>
        </w:rPr>
      </w:pPr>
      <w:r w:rsidRPr="00332478">
        <w:rPr>
          <w:rFonts w:ascii="Corbel" w:hAnsi="Corbel"/>
          <w:caps w:val="0"/>
          <w:color w:val="000000" w:themeColor="text1"/>
          <w:sz w:val="23"/>
        </w:rPr>
        <w:t xml:space="preserve">From 1 July </w:t>
      </w:r>
      <w:r>
        <w:rPr>
          <w:rFonts w:ascii="Corbel" w:hAnsi="Corbel"/>
          <w:caps w:val="0"/>
          <w:color w:val="000000" w:themeColor="text1"/>
          <w:sz w:val="23"/>
        </w:rPr>
        <w:t>2020, create new</w:t>
      </w:r>
      <w:r w:rsidR="00C83B93">
        <w:rPr>
          <w:rFonts w:ascii="Corbel" w:hAnsi="Corbel"/>
          <w:caps w:val="0"/>
          <w:color w:val="000000" w:themeColor="text1"/>
          <w:sz w:val="23"/>
        </w:rPr>
        <w:t>, flexible</w:t>
      </w:r>
      <w:r>
        <w:rPr>
          <w:rFonts w:ascii="Corbel" w:hAnsi="Corbel"/>
          <w:caps w:val="0"/>
          <w:color w:val="000000" w:themeColor="text1"/>
          <w:sz w:val="23"/>
        </w:rPr>
        <w:t xml:space="preserve"> pathways into trade qualifications</w:t>
      </w:r>
      <w:r w:rsidR="00C83B93">
        <w:rPr>
          <w:rFonts w:ascii="Corbel" w:hAnsi="Corbel"/>
          <w:caps w:val="0"/>
          <w:color w:val="000000" w:themeColor="text1"/>
          <w:sz w:val="23"/>
        </w:rPr>
        <w:t xml:space="preserve"> </w:t>
      </w:r>
      <w:r w:rsidR="00451CC2">
        <w:rPr>
          <w:rFonts w:ascii="Corbel" w:hAnsi="Corbel"/>
          <w:caps w:val="0"/>
          <w:color w:val="000000" w:themeColor="text1"/>
          <w:sz w:val="23"/>
        </w:rPr>
        <w:t>to address areas of skills shortage in the NSW economy</w:t>
      </w:r>
      <w:r>
        <w:rPr>
          <w:rFonts w:ascii="Corbel" w:hAnsi="Corbel"/>
          <w:caps w:val="0"/>
          <w:color w:val="000000" w:themeColor="text1"/>
          <w:sz w:val="23"/>
        </w:rPr>
        <w:t xml:space="preserve">. </w:t>
      </w:r>
    </w:p>
    <w:p w14:paraId="66490076" w14:textId="77777777" w:rsidR="00772F97" w:rsidRPr="00393163" w:rsidRDefault="00772F97" w:rsidP="00DC75D9">
      <w:pPr>
        <w:pStyle w:val="ScheduleNumberedPara"/>
        <w:spacing w:before="240"/>
        <w:rPr>
          <w:b/>
        </w:rPr>
      </w:pPr>
      <w:r>
        <w:rPr>
          <w:b/>
        </w:rPr>
        <w:t xml:space="preserve">Financial contributions </w:t>
      </w:r>
    </w:p>
    <w:p w14:paraId="19A39FB6" w14:textId="77777777" w:rsidR="00EA48C1" w:rsidRDefault="00EA48C1" w:rsidP="00C61721">
      <w:pPr>
        <w:pStyle w:val="ScheduleNumberedPara"/>
        <w:numPr>
          <w:ilvl w:val="0"/>
          <w:numId w:val="26"/>
        </w:numPr>
        <w:spacing w:before="240"/>
        <w:ind w:left="1134" w:hanging="567"/>
        <w:jc w:val="left"/>
      </w:pPr>
      <w:r>
        <w:t xml:space="preserve">Estimated financial contribution to Project 1 over the </w:t>
      </w:r>
      <w:r w:rsidR="00CA7403">
        <w:t xml:space="preserve">term </w:t>
      </w:r>
      <w:r>
        <w:t xml:space="preserve">of the Agreement </w:t>
      </w:r>
      <w:r w:rsidR="001A7DDC">
        <w:br/>
      </w:r>
      <w:r>
        <w:t>(2018-19 to 2021-22) are in Table 3.</w:t>
      </w:r>
    </w:p>
    <w:p w14:paraId="3532D1B9" w14:textId="77777777" w:rsidR="000645CD" w:rsidRPr="00DC75D9" w:rsidRDefault="000645CD" w:rsidP="00EE39B9">
      <w:pPr>
        <w:pStyle w:val="ScheduleNumberedPara"/>
        <w:spacing w:after="120"/>
      </w:pPr>
      <w:r w:rsidRPr="00DC75D9">
        <w:t>Table 3: Estimated financial contributions</w:t>
      </w:r>
    </w:p>
    <w:tbl>
      <w:tblPr>
        <w:tblW w:w="0" w:type="auto"/>
        <w:tblLayout w:type="fixed"/>
        <w:tblLook w:val="01E0" w:firstRow="1" w:lastRow="1" w:firstColumn="1" w:lastColumn="1" w:noHBand="0" w:noVBand="0"/>
      </w:tblPr>
      <w:tblGrid>
        <w:gridCol w:w="3544"/>
        <w:gridCol w:w="1311"/>
        <w:gridCol w:w="1169"/>
        <w:gridCol w:w="1169"/>
        <w:gridCol w:w="1169"/>
        <w:gridCol w:w="1136"/>
      </w:tblGrid>
      <w:tr w:rsidR="00310CDC" w14:paraId="3931E18F" w14:textId="77777777" w:rsidTr="004C29B7">
        <w:trPr>
          <w:cantSplit/>
          <w:trHeight w:val="380"/>
        </w:trPr>
        <w:tc>
          <w:tcPr>
            <w:tcW w:w="3544" w:type="dxa"/>
            <w:tcBorders>
              <w:top w:val="single" w:sz="4" w:space="0" w:color="000080"/>
            </w:tcBorders>
          </w:tcPr>
          <w:p w14:paraId="79A4806B" w14:textId="77777777" w:rsidR="00310CDC" w:rsidRPr="00E26F51" w:rsidRDefault="001A7DDC" w:rsidP="00DC75D9">
            <w:pPr>
              <w:keepNext/>
              <w:keepLines/>
              <w:spacing w:before="60" w:after="60"/>
              <w:jc w:val="left"/>
              <w:rPr>
                <w:b/>
                <w:sz w:val="18"/>
                <w:szCs w:val="18"/>
              </w:rPr>
            </w:pPr>
            <w:r w:rsidRPr="00E26F51">
              <w:rPr>
                <w:b/>
                <w:sz w:val="18"/>
                <w:szCs w:val="18"/>
              </w:rPr>
              <w:t>($ million)</w:t>
            </w:r>
          </w:p>
        </w:tc>
        <w:tc>
          <w:tcPr>
            <w:tcW w:w="1311" w:type="dxa"/>
            <w:tcBorders>
              <w:top w:val="single" w:sz="4" w:space="0" w:color="000080"/>
              <w:bottom w:val="single" w:sz="4" w:space="0" w:color="000080"/>
            </w:tcBorders>
          </w:tcPr>
          <w:p w14:paraId="36DF7D63" w14:textId="77777777" w:rsidR="00310CDC" w:rsidRPr="00DC75D9" w:rsidRDefault="00310CDC" w:rsidP="00DC75D9">
            <w:pPr>
              <w:keepNext/>
              <w:keepLines/>
              <w:spacing w:before="60" w:after="60"/>
              <w:jc w:val="right"/>
              <w:rPr>
                <w:b/>
                <w:sz w:val="18"/>
                <w:szCs w:val="18"/>
              </w:rPr>
            </w:pPr>
            <w:r w:rsidRPr="00DC75D9">
              <w:rPr>
                <w:b/>
                <w:sz w:val="18"/>
                <w:szCs w:val="18"/>
              </w:rPr>
              <w:t>2018-19</w:t>
            </w:r>
          </w:p>
        </w:tc>
        <w:tc>
          <w:tcPr>
            <w:tcW w:w="1169" w:type="dxa"/>
            <w:tcBorders>
              <w:top w:val="single" w:sz="4" w:space="0" w:color="000080"/>
              <w:bottom w:val="single" w:sz="4" w:space="0" w:color="000080"/>
            </w:tcBorders>
          </w:tcPr>
          <w:p w14:paraId="36DA03D3" w14:textId="77777777" w:rsidR="00310CDC" w:rsidRPr="00DC75D9" w:rsidRDefault="00310CDC" w:rsidP="00DC75D9">
            <w:pPr>
              <w:keepNext/>
              <w:keepLines/>
              <w:spacing w:before="60" w:after="60"/>
              <w:jc w:val="right"/>
              <w:rPr>
                <w:b/>
                <w:sz w:val="18"/>
                <w:szCs w:val="18"/>
              </w:rPr>
            </w:pPr>
            <w:r w:rsidRPr="00DC75D9">
              <w:rPr>
                <w:b/>
                <w:sz w:val="18"/>
                <w:szCs w:val="18"/>
              </w:rPr>
              <w:t>2019-20</w:t>
            </w:r>
          </w:p>
        </w:tc>
        <w:tc>
          <w:tcPr>
            <w:tcW w:w="1169" w:type="dxa"/>
            <w:tcBorders>
              <w:top w:val="single" w:sz="4" w:space="0" w:color="000080"/>
              <w:bottom w:val="single" w:sz="4" w:space="0" w:color="000080"/>
            </w:tcBorders>
          </w:tcPr>
          <w:p w14:paraId="64D18CB8" w14:textId="77777777" w:rsidR="00310CDC" w:rsidRPr="00DC75D9" w:rsidRDefault="00310CDC" w:rsidP="00DC75D9">
            <w:pPr>
              <w:keepNext/>
              <w:keepLines/>
              <w:spacing w:before="60" w:after="60"/>
              <w:jc w:val="right"/>
              <w:rPr>
                <w:b/>
                <w:sz w:val="18"/>
                <w:szCs w:val="18"/>
              </w:rPr>
            </w:pPr>
            <w:r w:rsidRPr="00DC75D9">
              <w:rPr>
                <w:b/>
                <w:sz w:val="18"/>
                <w:szCs w:val="18"/>
              </w:rPr>
              <w:t>2020-21</w:t>
            </w:r>
          </w:p>
        </w:tc>
        <w:tc>
          <w:tcPr>
            <w:tcW w:w="1169" w:type="dxa"/>
            <w:tcBorders>
              <w:top w:val="single" w:sz="4" w:space="0" w:color="000080"/>
              <w:bottom w:val="single" w:sz="4" w:space="0" w:color="000080"/>
            </w:tcBorders>
          </w:tcPr>
          <w:p w14:paraId="56104B3B" w14:textId="77777777" w:rsidR="00310CDC" w:rsidRPr="00DC75D9" w:rsidRDefault="00310CDC" w:rsidP="00DC75D9">
            <w:pPr>
              <w:keepNext/>
              <w:keepLines/>
              <w:spacing w:before="60" w:after="60"/>
              <w:jc w:val="right"/>
              <w:rPr>
                <w:b/>
                <w:sz w:val="18"/>
                <w:szCs w:val="18"/>
              </w:rPr>
            </w:pPr>
            <w:r w:rsidRPr="00DC75D9">
              <w:rPr>
                <w:b/>
                <w:sz w:val="18"/>
                <w:szCs w:val="18"/>
              </w:rPr>
              <w:t>2021-22</w:t>
            </w:r>
          </w:p>
        </w:tc>
        <w:tc>
          <w:tcPr>
            <w:tcW w:w="1136" w:type="dxa"/>
            <w:tcBorders>
              <w:top w:val="single" w:sz="4" w:space="0" w:color="000080"/>
              <w:bottom w:val="single" w:sz="4" w:space="0" w:color="000080"/>
            </w:tcBorders>
          </w:tcPr>
          <w:p w14:paraId="4A22EED9" w14:textId="77777777" w:rsidR="00310CDC" w:rsidRPr="00DC75D9" w:rsidRDefault="00310CDC" w:rsidP="00DC75D9">
            <w:pPr>
              <w:keepNext/>
              <w:keepLines/>
              <w:spacing w:before="60" w:after="60"/>
              <w:jc w:val="right"/>
              <w:rPr>
                <w:b/>
                <w:sz w:val="18"/>
                <w:szCs w:val="18"/>
              </w:rPr>
            </w:pPr>
            <w:r>
              <w:rPr>
                <w:b/>
                <w:sz w:val="18"/>
                <w:szCs w:val="18"/>
              </w:rPr>
              <w:t>Total</w:t>
            </w:r>
          </w:p>
        </w:tc>
      </w:tr>
      <w:tr w:rsidR="00310CDC" w:rsidRPr="00007A11" w14:paraId="2A764C2E" w14:textId="77777777" w:rsidTr="004C29B7">
        <w:trPr>
          <w:cantSplit/>
          <w:trHeight w:val="380"/>
        </w:trPr>
        <w:tc>
          <w:tcPr>
            <w:tcW w:w="3544" w:type="dxa"/>
          </w:tcPr>
          <w:p w14:paraId="49A705E9" w14:textId="77777777" w:rsidR="00310CDC" w:rsidRPr="00E26F51" w:rsidRDefault="00310CDC" w:rsidP="001A7DDC">
            <w:pPr>
              <w:keepNext/>
              <w:keepLines/>
              <w:spacing w:before="60" w:after="60"/>
              <w:jc w:val="left"/>
              <w:rPr>
                <w:b/>
                <w:sz w:val="18"/>
                <w:szCs w:val="18"/>
              </w:rPr>
            </w:pPr>
            <w:r w:rsidRPr="00E26F51">
              <w:rPr>
                <w:b/>
                <w:sz w:val="18"/>
                <w:szCs w:val="18"/>
              </w:rPr>
              <w:t xml:space="preserve">Estimated total budget </w:t>
            </w:r>
          </w:p>
        </w:tc>
        <w:tc>
          <w:tcPr>
            <w:tcW w:w="1311" w:type="dxa"/>
            <w:tcBorders>
              <w:top w:val="single" w:sz="4" w:space="0" w:color="000080"/>
              <w:bottom w:val="single" w:sz="4" w:space="0" w:color="000080"/>
            </w:tcBorders>
          </w:tcPr>
          <w:p w14:paraId="279AA91E" w14:textId="0E93BA94" w:rsidR="00310CDC" w:rsidRPr="00EE39B9" w:rsidRDefault="00310CDC" w:rsidP="00EE39B9">
            <w:pPr>
              <w:keepNext/>
              <w:keepLines/>
              <w:spacing w:before="40" w:after="40"/>
              <w:jc w:val="right"/>
              <w:rPr>
                <w:b/>
                <w:color w:val="000000" w:themeColor="text1"/>
                <w:sz w:val="18"/>
              </w:rPr>
            </w:pPr>
            <w:r w:rsidRPr="00EE39B9">
              <w:rPr>
                <w:b/>
                <w:color w:val="000000" w:themeColor="text1"/>
                <w:sz w:val="18"/>
              </w:rPr>
              <w:t>187.</w:t>
            </w:r>
            <w:r w:rsidR="00C22DF7" w:rsidRPr="00C22DF7">
              <w:rPr>
                <w:b/>
                <w:color w:val="000000" w:themeColor="text1"/>
                <w:sz w:val="18"/>
              </w:rPr>
              <w:t>6</w:t>
            </w:r>
            <w:r w:rsidR="006036F8">
              <w:rPr>
                <w:b/>
                <w:color w:val="000000" w:themeColor="text1"/>
                <w:sz w:val="18"/>
              </w:rPr>
              <w:t>7</w:t>
            </w:r>
          </w:p>
        </w:tc>
        <w:tc>
          <w:tcPr>
            <w:tcW w:w="1169" w:type="dxa"/>
            <w:tcBorders>
              <w:top w:val="single" w:sz="4" w:space="0" w:color="000080"/>
              <w:bottom w:val="single" w:sz="4" w:space="0" w:color="000080"/>
            </w:tcBorders>
          </w:tcPr>
          <w:p w14:paraId="7356A5D5" w14:textId="77777777" w:rsidR="00310CDC" w:rsidRPr="00EE39B9" w:rsidRDefault="00C22DF7" w:rsidP="00EE39B9">
            <w:pPr>
              <w:keepNext/>
              <w:keepLines/>
              <w:spacing w:before="40" w:after="40"/>
              <w:jc w:val="right"/>
              <w:rPr>
                <w:b/>
                <w:color w:val="000000" w:themeColor="text1"/>
                <w:sz w:val="18"/>
              </w:rPr>
            </w:pPr>
            <w:r w:rsidRPr="00C22DF7">
              <w:rPr>
                <w:b/>
                <w:color w:val="000000" w:themeColor="text1"/>
                <w:sz w:val="18"/>
              </w:rPr>
              <w:t>210.</w:t>
            </w:r>
            <w:r w:rsidR="000F02E7">
              <w:rPr>
                <w:b/>
                <w:color w:val="000000" w:themeColor="text1"/>
                <w:sz w:val="18"/>
              </w:rPr>
              <w:t>1</w:t>
            </w:r>
            <w:r w:rsidR="006A6AD8">
              <w:rPr>
                <w:b/>
                <w:color w:val="000000" w:themeColor="text1"/>
                <w:sz w:val="18"/>
              </w:rPr>
              <w:t>46</w:t>
            </w:r>
          </w:p>
        </w:tc>
        <w:tc>
          <w:tcPr>
            <w:tcW w:w="1169" w:type="dxa"/>
            <w:tcBorders>
              <w:top w:val="single" w:sz="4" w:space="0" w:color="000080"/>
              <w:bottom w:val="single" w:sz="4" w:space="0" w:color="000080"/>
            </w:tcBorders>
          </w:tcPr>
          <w:p w14:paraId="5E24D696" w14:textId="068C5129" w:rsidR="00310CDC" w:rsidRPr="00EE39B9" w:rsidRDefault="00310CDC" w:rsidP="00281754">
            <w:pPr>
              <w:keepNext/>
              <w:keepLines/>
              <w:spacing w:before="40" w:after="40"/>
              <w:jc w:val="right"/>
              <w:rPr>
                <w:b/>
                <w:color w:val="000000" w:themeColor="text1"/>
                <w:sz w:val="18"/>
              </w:rPr>
            </w:pPr>
            <w:r w:rsidRPr="00EE39B9">
              <w:rPr>
                <w:b/>
                <w:color w:val="000000" w:themeColor="text1"/>
                <w:sz w:val="18"/>
              </w:rPr>
              <w:t>1</w:t>
            </w:r>
            <w:r w:rsidR="000B2581">
              <w:rPr>
                <w:b/>
                <w:color w:val="000000" w:themeColor="text1"/>
                <w:sz w:val="18"/>
              </w:rPr>
              <w:t>98.436</w:t>
            </w:r>
          </w:p>
        </w:tc>
        <w:tc>
          <w:tcPr>
            <w:tcW w:w="1169" w:type="dxa"/>
            <w:tcBorders>
              <w:top w:val="single" w:sz="4" w:space="0" w:color="000080"/>
              <w:bottom w:val="single" w:sz="4" w:space="0" w:color="000080"/>
            </w:tcBorders>
          </w:tcPr>
          <w:p w14:paraId="76303328" w14:textId="66F0CB35" w:rsidR="00A001E0" w:rsidRDefault="00C024BB" w:rsidP="00281754">
            <w:pPr>
              <w:keepNext/>
              <w:keepLines/>
              <w:spacing w:before="40" w:after="40"/>
              <w:jc w:val="right"/>
              <w:rPr>
                <w:b/>
                <w:color w:val="000000" w:themeColor="text1"/>
                <w:sz w:val="18"/>
              </w:rPr>
            </w:pPr>
            <w:r>
              <w:rPr>
                <w:b/>
                <w:color w:val="000000" w:themeColor="text1"/>
                <w:sz w:val="18"/>
              </w:rPr>
              <w:t>80.422</w:t>
            </w:r>
          </w:p>
          <w:p w14:paraId="46491C39" w14:textId="3EB0AFA2" w:rsidR="00310CDC" w:rsidRPr="00EE39B9" w:rsidRDefault="00310CDC" w:rsidP="00281754">
            <w:pPr>
              <w:keepNext/>
              <w:keepLines/>
              <w:spacing w:before="40" w:after="40"/>
              <w:jc w:val="right"/>
              <w:rPr>
                <w:b/>
                <w:color w:val="000000" w:themeColor="text1"/>
                <w:sz w:val="18"/>
              </w:rPr>
            </w:pPr>
          </w:p>
        </w:tc>
        <w:tc>
          <w:tcPr>
            <w:tcW w:w="1136" w:type="dxa"/>
            <w:tcBorders>
              <w:top w:val="single" w:sz="4" w:space="0" w:color="000080"/>
              <w:bottom w:val="single" w:sz="4" w:space="0" w:color="000080"/>
            </w:tcBorders>
          </w:tcPr>
          <w:p w14:paraId="7DCC877A" w14:textId="30A65D5A" w:rsidR="00310CDC" w:rsidRPr="00F102D6" w:rsidRDefault="002006F8">
            <w:pPr>
              <w:keepNext/>
              <w:keepLines/>
              <w:spacing w:before="40" w:after="40"/>
              <w:jc w:val="right"/>
              <w:rPr>
                <w:b/>
                <w:color w:val="000000" w:themeColor="text1"/>
                <w:sz w:val="18"/>
              </w:rPr>
            </w:pPr>
            <w:r w:rsidRPr="002006F8">
              <w:rPr>
                <w:b/>
                <w:color w:val="000000" w:themeColor="text1"/>
                <w:sz w:val="18"/>
              </w:rPr>
              <w:t>6</w:t>
            </w:r>
            <w:r w:rsidR="00C024BB">
              <w:rPr>
                <w:b/>
                <w:color w:val="000000" w:themeColor="text1"/>
                <w:sz w:val="18"/>
              </w:rPr>
              <w:t>7</w:t>
            </w:r>
            <w:r w:rsidRPr="002006F8">
              <w:rPr>
                <w:b/>
                <w:color w:val="000000" w:themeColor="text1"/>
                <w:sz w:val="18"/>
              </w:rPr>
              <w:t>6.6</w:t>
            </w:r>
            <w:r w:rsidR="006036F8">
              <w:rPr>
                <w:b/>
                <w:color w:val="000000" w:themeColor="text1"/>
                <w:sz w:val="18"/>
              </w:rPr>
              <w:t>7</w:t>
            </w:r>
            <w:r w:rsidRPr="002006F8">
              <w:rPr>
                <w:b/>
                <w:color w:val="000000" w:themeColor="text1"/>
                <w:sz w:val="18"/>
              </w:rPr>
              <w:t>4</w:t>
            </w:r>
          </w:p>
        </w:tc>
      </w:tr>
      <w:tr w:rsidR="00310CDC" w:rsidRPr="00007A11" w14:paraId="517FEF16" w14:textId="77777777" w:rsidTr="004C29B7">
        <w:trPr>
          <w:cantSplit/>
          <w:trHeight w:val="380"/>
        </w:trPr>
        <w:tc>
          <w:tcPr>
            <w:tcW w:w="3544" w:type="dxa"/>
          </w:tcPr>
          <w:p w14:paraId="17555A1A" w14:textId="77777777" w:rsidR="00310CDC" w:rsidRPr="00E26F51" w:rsidRDefault="00310CDC" w:rsidP="00DC75D9">
            <w:pPr>
              <w:keepNext/>
              <w:keepLines/>
              <w:spacing w:before="60" w:after="60"/>
              <w:jc w:val="left"/>
              <w:rPr>
                <w:sz w:val="18"/>
                <w:szCs w:val="18"/>
              </w:rPr>
            </w:pPr>
            <w:r w:rsidRPr="00E26F51">
              <w:rPr>
                <w:sz w:val="18"/>
                <w:szCs w:val="18"/>
              </w:rPr>
              <w:t>Less estimated National Partnership payment</w:t>
            </w:r>
            <w:r>
              <w:rPr>
                <w:sz w:val="18"/>
                <w:szCs w:val="18"/>
              </w:rPr>
              <w:t>s</w:t>
            </w:r>
          </w:p>
        </w:tc>
        <w:tc>
          <w:tcPr>
            <w:tcW w:w="1311" w:type="dxa"/>
            <w:tcBorders>
              <w:top w:val="single" w:sz="4" w:space="0" w:color="000080"/>
              <w:bottom w:val="single" w:sz="4" w:space="0" w:color="000080"/>
            </w:tcBorders>
          </w:tcPr>
          <w:p w14:paraId="406E65AC"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93.8</w:t>
            </w:r>
            <w:r w:rsidR="00911914">
              <w:rPr>
                <w:color w:val="000000" w:themeColor="text1"/>
                <w:sz w:val="18"/>
              </w:rPr>
              <w:t>35</w:t>
            </w:r>
          </w:p>
        </w:tc>
        <w:tc>
          <w:tcPr>
            <w:tcW w:w="1169" w:type="dxa"/>
            <w:tcBorders>
              <w:top w:val="single" w:sz="4" w:space="0" w:color="000080"/>
              <w:bottom w:val="single" w:sz="4" w:space="0" w:color="000080"/>
            </w:tcBorders>
          </w:tcPr>
          <w:p w14:paraId="663F433C"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105.</w:t>
            </w:r>
            <w:r w:rsidR="006A6AD8">
              <w:rPr>
                <w:color w:val="000000" w:themeColor="text1"/>
                <w:sz w:val="18"/>
              </w:rPr>
              <w:t>073</w:t>
            </w:r>
          </w:p>
        </w:tc>
        <w:tc>
          <w:tcPr>
            <w:tcW w:w="1169" w:type="dxa"/>
            <w:tcBorders>
              <w:top w:val="single" w:sz="4" w:space="0" w:color="000080"/>
              <w:bottom w:val="single" w:sz="4" w:space="0" w:color="000080"/>
            </w:tcBorders>
          </w:tcPr>
          <w:p w14:paraId="24034724" w14:textId="67BB964E" w:rsidR="002006F8" w:rsidRPr="00EE39B9" w:rsidRDefault="000B2581" w:rsidP="002006F8">
            <w:pPr>
              <w:keepNext/>
              <w:keepLines/>
              <w:spacing w:before="40" w:after="40"/>
              <w:jc w:val="right"/>
              <w:rPr>
                <w:color w:val="000000" w:themeColor="text1"/>
                <w:sz w:val="18"/>
              </w:rPr>
            </w:pPr>
            <w:r>
              <w:rPr>
                <w:color w:val="000000" w:themeColor="text1"/>
                <w:sz w:val="18"/>
              </w:rPr>
              <w:t>99.218</w:t>
            </w:r>
          </w:p>
        </w:tc>
        <w:tc>
          <w:tcPr>
            <w:tcW w:w="1169" w:type="dxa"/>
            <w:tcBorders>
              <w:top w:val="single" w:sz="4" w:space="0" w:color="000080"/>
              <w:bottom w:val="single" w:sz="4" w:space="0" w:color="000080"/>
            </w:tcBorders>
          </w:tcPr>
          <w:p w14:paraId="2CCCEA99" w14:textId="722450A5" w:rsidR="00310CDC" w:rsidRPr="00EE39B9" w:rsidRDefault="002006F8" w:rsidP="00EE39B9">
            <w:pPr>
              <w:keepNext/>
              <w:keepLines/>
              <w:spacing w:before="40" w:after="40"/>
              <w:jc w:val="right"/>
              <w:rPr>
                <w:color w:val="000000" w:themeColor="text1"/>
                <w:sz w:val="18"/>
              </w:rPr>
            </w:pPr>
            <w:r>
              <w:rPr>
                <w:color w:val="000000" w:themeColor="text1"/>
                <w:sz w:val="18"/>
              </w:rPr>
              <w:t>40.211</w:t>
            </w:r>
          </w:p>
        </w:tc>
        <w:tc>
          <w:tcPr>
            <w:tcW w:w="1136" w:type="dxa"/>
            <w:tcBorders>
              <w:top w:val="single" w:sz="4" w:space="0" w:color="000080"/>
              <w:bottom w:val="single" w:sz="4" w:space="0" w:color="000080"/>
            </w:tcBorders>
          </w:tcPr>
          <w:p w14:paraId="4C50C41A" w14:textId="2E2F6830" w:rsidR="00310CDC" w:rsidRPr="00F102D6" w:rsidRDefault="002006F8" w:rsidP="00310CDC">
            <w:pPr>
              <w:keepNext/>
              <w:keepLines/>
              <w:spacing w:before="40" w:after="40"/>
              <w:jc w:val="right"/>
              <w:rPr>
                <w:color w:val="000000" w:themeColor="text1"/>
                <w:sz w:val="18"/>
              </w:rPr>
            </w:pPr>
            <w:r w:rsidRPr="002006F8">
              <w:rPr>
                <w:color w:val="000000" w:themeColor="text1"/>
                <w:sz w:val="18"/>
              </w:rPr>
              <w:t>338.337</w:t>
            </w:r>
          </w:p>
        </w:tc>
      </w:tr>
      <w:tr w:rsidR="00310CDC" w14:paraId="6F94D5B3" w14:textId="77777777" w:rsidTr="004C29B7">
        <w:trPr>
          <w:cantSplit/>
          <w:trHeight w:val="380"/>
        </w:trPr>
        <w:tc>
          <w:tcPr>
            <w:tcW w:w="3544" w:type="dxa"/>
            <w:tcBorders>
              <w:bottom w:val="single" w:sz="4" w:space="0" w:color="auto"/>
            </w:tcBorders>
          </w:tcPr>
          <w:p w14:paraId="3404106F" w14:textId="77777777" w:rsidR="00310CDC" w:rsidRPr="00E26F51" w:rsidRDefault="00310CDC" w:rsidP="00DC75D9">
            <w:pPr>
              <w:keepNext/>
              <w:keepLines/>
              <w:spacing w:before="60" w:after="60"/>
              <w:jc w:val="left"/>
              <w:rPr>
                <w:sz w:val="18"/>
                <w:szCs w:val="18"/>
              </w:rPr>
            </w:pPr>
            <w:r w:rsidRPr="00E26F51">
              <w:rPr>
                <w:sz w:val="18"/>
                <w:szCs w:val="18"/>
              </w:rPr>
              <w:t>Balance of non-Commonwealth contributions</w:t>
            </w:r>
          </w:p>
        </w:tc>
        <w:tc>
          <w:tcPr>
            <w:tcW w:w="1311" w:type="dxa"/>
            <w:tcBorders>
              <w:top w:val="single" w:sz="4" w:space="0" w:color="000080"/>
              <w:bottom w:val="single" w:sz="4" w:space="0" w:color="auto"/>
            </w:tcBorders>
          </w:tcPr>
          <w:p w14:paraId="1AF74C51"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93.8</w:t>
            </w:r>
            <w:r w:rsidR="00911914">
              <w:rPr>
                <w:color w:val="000000" w:themeColor="text1"/>
                <w:sz w:val="18"/>
              </w:rPr>
              <w:t>35</w:t>
            </w:r>
          </w:p>
        </w:tc>
        <w:tc>
          <w:tcPr>
            <w:tcW w:w="1169" w:type="dxa"/>
            <w:tcBorders>
              <w:top w:val="single" w:sz="4" w:space="0" w:color="000080"/>
              <w:bottom w:val="single" w:sz="4" w:space="0" w:color="auto"/>
            </w:tcBorders>
          </w:tcPr>
          <w:p w14:paraId="1C3778AC"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105.</w:t>
            </w:r>
            <w:r w:rsidR="006A6AD8">
              <w:rPr>
                <w:color w:val="000000" w:themeColor="text1"/>
                <w:sz w:val="18"/>
              </w:rPr>
              <w:t>073</w:t>
            </w:r>
          </w:p>
        </w:tc>
        <w:tc>
          <w:tcPr>
            <w:tcW w:w="1169" w:type="dxa"/>
            <w:tcBorders>
              <w:top w:val="single" w:sz="4" w:space="0" w:color="000080"/>
              <w:bottom w:val="single" w:sz="4" w:space="0" w:color="auto"/>
            </w:tcBorders>
          </w:tcPr>
          <w:p w14:paraId="171D2FA2" w14:textId="44A92BFC" w:rsidR="00310CDC" w:rsidRPr="00EE39B9" w:rsidRDefault="000B2581" w:rsidP="00EE39B9">
            <w:pPr>
              <w:keepNext/>
              <w:keepLines/>
              <w:spacing w:before="40" w:after="40"/>
              <w:jc w:val="right"/>
              <w:rPr>
                <w:color w:val="000000" w:themeColor="text1"/>
                <w:sz w:val="18"/>
              </w:rPr>
            </w:pPr>
            <w:r>
              <w:rPr>
                <w:color w:val="000000" w:themeColor="text1"/>
                <w:sz w:val="18"/>
              </w:rPr>
              <w:t>99.218</w:t>
            </w:r>
          </w:p>
        </w:tc>
        <w:tc>
          <w:tcPr>
            <w:tcW w:w="1169" w:type="dxa"/>
            <w:tcBorders>
              <w:top w:val="single" w:sz="4" w:space="0" w:color="000080"/>
              <w:bottom w:val="single" w:sz="4" w:space="0" w:color="auto"/>
            </w:tcBorders>
          </w:tcPr>
          <w:p w14:paraId="55B928D3" w14:textId="61B1FB65" w:rsidR="00310CDC" w:rsidRPr="00EE39B9" w:rsidRDefault="002006F8" w:rsidP="00EE39B9">
            <w:pPr>
              <w:keepNext/>
              <w:keepLines/>
              <w:spacing w:before="40" w:after="40"/>
              <w:jc w:val="right"/>
              <w:rPr>
                <w:color w:val="000000" w:themeColor="text1"/>
                <w:sz w:val="18"/>
              </w:rPr>
            </w:pPr>
            <w:r>
              <w:rPr>
                <w:color w:val="000000" w:themeColor="text1"/>
                <w:sz w:val="18"/>
              </w:rPr>
              <w:t>40.211</w:t>
            </w:r>
          </w:p>
        </w:tc>
        <w:tc>
          <w:tcPr>
            <w:tcW w:w="1136" w:type="dxa"/>
            <w:tcBorders>
              <w:top w:val="single" w:sz="4" w:space="0" w:color="000080"/>
              <w:bottom w:val="single" w:sz="4" w:space="0" w:color="auto"/>
            </w:tcBorders>
          </w:tcPr>
          <w:p w14:paraId="3B6011BA" w14:textId="7E3EF55D" w:rsidR="00310CDC" w:rsidRPr="00F102D6" w:rsidRDefault="002006F8" w:rsidP="00310CDC">
            <w:pPr>
              <w:keepNext/>
              <w:keepLines/>
              <w:spacing w:before="40" w:after="40"/>
              <w:jc w:val="right"/>
              <w:rPr>
                <w:color w:val="000000" w:themeColor="text1"/>
                <w:sz w:val="18"/>
              </w:rPr>
            </w:pPr>
            <w:r w:rsidRPr="002006F8">
              <w:rPr>
                <w:color w:val="000000" w:themeColor="text1"/>
                <w:sz w:val="18"/>
              </w:rPr>
              <w:t>338.337</w:t>
            </w:r>
          </w:p>
        </w:tc>
      </w:tr>
    </w:tbl>
    <w:p w14:paraId="3BD718A8" w14:textId="77777777" w:rsidR="00451C88" w:rsidRDefault="000142B1" w:rsidP="00C61721">
      <w:pPr>
        <w:pStyle w:val="ScheduleNumberedPara"/>
        <w:spacing w:before="240"/>
        <w:jc w:val="left"/>
        <w:rPr>
          <w:b/>
        </w:rPr>
      </w:pPr>
      <w:r w:rsidRPr="009F6757">
        <w:rPr>
          <w:b/>
        </w:rPr>
        <w:t>Planned additional commencement targets</w:t>
      </w:r>
    </w:p>
    <w:p w14:paraId="45D9BCC6" w14:textId="77777777" w:rsidR="001A7DDC" w:rsidRDefault="00AF0A3C" w:rsidP="00C61721">
      <w:pPr>
        <w:pStyle w:val="ScheduleNumberedPara"/>
        <w:numPr>
          <w:ilvl w:val="0"/>
          <w:numId w:val="26"/>
        </w:numPr>
        <w:spacing w:before="240"/>
        <w:ind w:left="1134" w:hanging="567"/>
        <w:jc w:val="left"/>
      </w:pPr>
      <w:r>
        <w:t>Estimated</w:t>
      </w:r>
      <w:r w:rsidR="001A7DDC">
        <w:t xml:space="preserve"> annual</w:t>
      </w:r>
      <w:r>
        <w:t xml:space="preserve"> additional commencements to Project 1 over the </w:t>
      </w:r>
      <w:r w:rsidR="00CA7403">
        <w:t xml:space="preserve">term </w:t>
      </w:r>
      <w:r>
        <w:t>of the Agreement (2018-19 to 2021-22) are in Table 4.</w:t>
      </w:r>
    </w:p>
    <w:p w14:paraId="68179E82" w14:textId="77777777" w:rsidR="0027342B" w:rsidRDefault="0027342B">
      <w:pPr>
        <w:spacing w:after="200" w:line="276" w:lineRule="auto"/>
        <w:jc w:val="left"/>
      </w:pPr>
      <w:r>
        <w:br w:type="page"/>
      </w:r>
    </w:p>
    <w:p w14:paraId="23637807" w14:textId="664E6222" w:rsidR="003C5297" w:rsidRPr="00DC75D9" w:rsidRDefault="000645CD" w:rsidP="001A7DDC">
      <w:pPr>
        <w:pStyle w:val="ScheduleNumberedPara"/>
        <w:spacing w:before="240"/>
      </w:pPr>
      <w:r w:rsidRPr="00DC75D9">
        <w:lastRenderedPageBreak/>
        <w:t xml:space="preserve">Table 4: </w:t>
      </w:r>
      <w:r w:rsidR="00993ADB">
        <w:t xml:space="preserve">Estimated additional </w:t>
      </w:r>
      <w:r w:rsidR="00BD673D" w:rsidRPr="00DC75D9">
        <w:t>commencement targets</w:t>
      </w:r>
    </w:p>
    <w:tbl>
      <w:tblPr>
        <w:tblW w:w="9511" w:type="dxa"/>
        <w:tblLayout w:type="fixed"/>
        <w:tblLook w:val="01E0" w:firstRow="1" w:lastRow="1" w:firstColumn="1" w:lastColumn="1" w:noHBand="0" w:noVBand="0"/>
      </w:tblPr>
      <w:tblGrid>
        <w:gridCol w:w="3686"/>
        <w:gridCol w:w="1005"/>
        <w:gridCol w:w="1263"/>
        <w:gridCol w:w="1147"/>
        <w:gridCol w:w="1134"/>
        <w:gridCol w:w="1276"/>
      </w:tblGrid>
      <w:tr w:rsidR="00CA7403" w14:paraId="288F9241" w14:textId="77777777" w:rsidTr="001A7DDC">
        <w:trPr>
          <w:cantSplit/>
          <w:trHeight w:val="380"/>
        </w:trPr>
        <w:tc>
          <w:tcPr>
            <w:tcW w:w="3686" w:type="dxa"/>
            <w:tcBorders>
              <w:top w:val="single" w:sz="4" w:space="0" w:color="auto"/>
            </w:tcBorders>
          </w:tcPr>
          <w:p w14:paraId="3A006847" w14:textId="77777777" w:rsidR="00CA7403" w:rsidRPr="00E26F51" w:rsidRDefault="00CA7403" w:rsidP="00784D37">
            <w:pPr>
              <w:keepNext/>
              <w:keepLines/>
              <w:spacing w:before="40" w:after="40"/>
              <w:jc w:val="left"/>
              <w:rPr>
                <w:b/>
                <w:sz w:val="18"/>
                <w:szCs w:val="18"/>
              </w:rPr>
            </w:pPr>
            <w:r>
              <w:rPr>
                <w:b/>
                <w:sz w:val="18"/>
                <w:szCs w:val="18"/>
              </w:rPr>
              <w:t>Training activity type</w:t>
            </w:r>
          </w:p>
        </w:tc>
        <w:tc>
          <w:tcPr>
            <w:tcW w:w="1005" w:type="dxa"/>
            <w:tcBorders>
              <w:top w:val="single" w:sz="4" w:space="0" w:color="auto"/>
              <w:bottom w:val="single" w:sz="4" w:space="0" w:color="auto"/>
            </w:tcBorders>
          </w:tcPr>
          <w:p w14:paraId="3CAD4D6D" w14:textId="77777777" w:rsidR="00CA7403" w:rsidRPr="00DC75D9" w:rsidRDefault="00CA7403" w:rsidP="00784D37">
            <w:pPr>
              <w:keepNext/>
              <w:keepLines/>
              <w:spacing w:before="40" w:after="40"/>
              <w:jc w:val="right"/>
              <w:rPr>
                <w:b/>
                <w:sz w:val="18"/>
                <w:szCs w:val="18"/>
              </w:rPr>
            </w:pPr>
            <w:r w:rsidRPr="00DC75D9">
              <w:rPr>
                <w:b/>
                <w:sz w:val="18"/>
                <w:szCs w:val="18"/>
              </w:rPr>
              <w:t>2018-19</w:t>
            </w:r>
          </w:p>
        </w:tc>
        <w:tc>
          <w:tcPr>
            <w:tcW w:w="1263" w:type="dxa"/>
            <w:tcBorders>
              <w:top w:val="single" w:sz="4" w:space="0" w:color="auto"/>
              <w:bottom w:val="single" w:sz="4" w:space="0" w:color="auto"/>
            </w:tcBorders>
          </w:tcPr>
          <w:p w14:paraId="5F801C12" w14:textId="77777777" w:rsidR="00CA7403" w:rsidRPr="00DC75D9" w:rsidDel="00E20B81" w:rsidRDefault="00CA7403" w:rsidP="00784D37">
            <w:pPr>
              <w:keepNext/>
              <w:keepLines/>
              <w:spacing w:before="40" w:after="40"/>
              <w:jc w:val="right"/>
              <w:rPr>
                <w:b/>
                <w:sz w:val="18"/>
                <w:szCs w:val="18"/>
              </w:rPr>
            </w:pPr>
            <w:r w:rsidRPr="00DC75D9">
              <w:rPr>
                <w:b/>
                <w:sz w:val="18"/>
                <w:szCs w:val="18"/>
              </w:rPr>
              <w:t>2019-20</w:t>
            </w:r>
          </w:p>
        </w:tc>
        <w:tc>
          <w:tcPr>
            <w:tcW w:w="1147" w:type="dxa"/>
            <w:tcBorders>
              <w:top w:val="single" w:sz="4" w:space="0" w:color="auto"/>
              <w:bottom w:val="single" w:sz="4" w:space="0" w:color="auto"/>
            </w:tcBorders>
          </w:tcPr>
          <w:p w14:paraId="50C1D7B3" w14:textId="77777777" w:rsidR="00CA7403" w:rsidRPr="00DC75D9" w:rsidDel="00E20B81" w:rsidRDefault="00CA7403" w:rsidP="00784D37">
            <w:pPr>
              <w:keepNext/>
              <w:keepLines/>
              <w:spacing w:before="40" w:after="40"/>
              <w:jc w:val="right"/>
              <w:rPr>
                <w:b/>
                <w:sz w:val="18"/>
                <w:szCs w:val="18"/>
              </w:rPr>
            </w:pPr>
            <w:r w:rsidRPr="00DC75D9">
              <w:rPr>
                <w:b/>
                <w:sz w:val="18"/>
                <w:szCs w:val="18"/>
              </w:rPr>
              <w:t>2020-21</w:t>
            </w:r>
          </w:p>
        </w:tc>
        <w:tc>
          <w:tcPr>
            <w:tcW w:w="1134" w:type="dxa"/>
            <w:tcBorders>
              <w:top w:val="single" w:sz="4" w:space="0" w:color="auto"/>
              <w:bottom w:val="single" w:sz="4" w:space="0" w:color="auto"/>
            </w:tcBorders>
          </w:tcPr>
          <w:p w14:paraId="377CBCDA" w14:textId="77777777" w:rsidR="00CA7403" w:rsidRPr="00795A42" w:rsidDel="00E20B81" w:rsidRDefault="00CA7403" w:rsidP="00784D37">
            <w:pPr>
              <w:keepNext/>
              <w:keepLines/>
              <w:spacing w:before="40" w:after="40"/>
              <w:jc w:val="right"/>
              <w:rPr>
                <w:b/>
                <w:sz w:val="18"/>
                <w:szCs w:val="18"/>
              </w:rPr>
            </w:pPr>
            <w:r w:rsidRPr="00795A42">
              <w:rPr>
                <w:b/>
                <w:sz w:val="18"/>
                <w:szCs w:val="18"/>
              </w:rPr>
              <w:t>2021-22</w:t>
            </w:r>
          </w:p>
        </w:tc>
        <w:tc>
          <w:tcPr>
            <w:tcW w:w="1276" w:type="dxa"/>
            <w:tcBorders>
              <w:top w:val="single" w:sz="4" w:space="0" w:color="auto"/>
              <w:bottom w:val="single" w:sz="4" w:space="0" w:color="auto"/>
            </w:tcBorders>
          </w:tcPr>
          <w:p w14:paraId="4765D455" w14:textId="77777777" w:rsidR="00CA7403" w:rsidRPr="00DC75D9" w:rsidRDefault="00CA7403" w:rsidP="00EE39B9">
            <w:pPr>
              <w:keepNext/>
              <w:keepLines/>
              <w:spacing w:before="40" w:after="40"/>
              <w:jc w:val="center"/>
              <w:rPr>
                <w:b/>
                <w:sz w:val="18"/>
                <w:szCs w:val="18"/>
              </w:rPr>
            </w:pPr>
            <w:r>
              <w:rPr>
                <w:b/>
                <w:sz w:val="18"/>
                <w:szCs w:val="18"/>
              </w:rPr>
              <w:t>Total</w:t>
            </w:r>
          </w:p>
        </w:tc>
      </w:tr>
      <w:tr w:rsidR="00CA7403" w:rsidRPr="00007A11" w14:paraId="33FD6E7A" w14:textId="77777777" w:rsidTr="001A7DDC">
        <w:trPr>
          <w:cantSplit/>
          <w:trHeight w:val="380"/>
        </w:trPr>
        <w:tc>
          <w:tcPr>
            <w:tcW w:w="3686" w:type="dxa"/>
            <w:vAlign w:val="center"/>
          </w:tcPr>
          <w:p w14:paraId="26EA8522" w14:textId="77777777" w:rsidR="00CA7403" w:rsidRPr="00BA4152" w:rsidRDefault="00AE29E1" w:rsidP="00784D37">
            <w:pPr>
              <w:keepNext/>
              <w:keepLines/>
              <w:spacing w:before="60" w:after="60"/>
              <w:ind w:left="318" w:hanging="318"/>
              <w:jc w:val="left"/>
              <w:rPr>
                <w:b/>
                <w:sz w:val="18"/>
                <w:szCs w:val="18"/>
              </w:rPr>
            </w:pPr>
            <w:r>
              <w:rPr>
                <w:b/>
                <w:sz w:val="18"/>
                <w:szCs w:val="18"/>
              </w:rPr>
              <w:t>Total</w:t>
            </w:r>
          </w:p>
        </w:tc>
        <w:tc>
          <w:tcPr>
            <w:tcW w:w="1005" w:type="dxa"/>
            <w:tcBorders>
              <w:top w:val="single" w:sz="4" w:space="0" w:color="auto"/>
              <w:bottom w:val="single" w:sz="4" w:space="0" w:color="auto"/>
            </w:tcBorders>
          </w:tcPr>
          <w:p w14:paraId="0E0221B3" w14:textId="77777777" w:rsidR="00CA7403" w:rsidRPr="00DC75D9" w:rsidRDefault="00CA7403" w:rsidP="00784D37">
            <w:pPr>
              <w:keepNext/>
              <w:keepLines/>
              <w:spacing w:before="40" w:after="40"/>
              <w:jc w:val="right"/>
              <w:rPr>
                <w:b/>
                <w:sz w:val="18"/>
                <w:szCs w:val="18"/>
              </w:rPr>
            </w:pPr>
            <w:r w:rsidRPr="00DC75D9">
              <w:rPr>
                <w:b/>
                <w:sz w:val="18"/>
                <w:szCs w:val="18"/>
              </w:rPr>
              <w:t>34,184</w:t>
            </w:r>
          </w:p>
        </w:tc>
        <w:tc>
          <w:tcPr>
            <w:tcW w:w="1263" w:type="dxa"/>
            <w:tcBorders>
              <w:top w:val="single" w:sz="4" w:space="0" w:color="auto"/>
              <w:bottom w:val="single" w:sz="4" w:space="0" w:color="auto"/>
            </w:tcBorders>
          </w:tcPr>
          <w:p w14:paraId="02D39A49" w14:textId="77777777" w:rsidR="00CA7403" w:rsidRPr="00DC75D9" w:rsidRDefault="00416F2E" w:rsidP="00544BEA">
            <w:pPr>
              <w:keepNext/>
              <w:keepLines/>
              <w:spacing w:before="40" w:after="40"/>
              <w:jc w:val="right"/>
              <w:rPr>
                <w:b/>
                <w:sz w:val="18"/>
                <w:szCs w:val="18"/>
              </w:rPr>
            </w:pPr>
            <w:r>
              <w:rPr>
                <w:b/>
                <w:sz w:val="18"/>
                <w:szCs w:val="18"/>
              </w:rPr>
              <w:t>47,947</w:t>
            </w:r>
          </w:p>
        </w:tc>
        <w:tc>
          <w:tcPr>
            <w:tcW w:w="1147" w:type="dxa"/>
            <w:tcBorders>
              <w:top w:val="single" w:sz="4" w:space="0" w:color="auto"/>
              <w:bottom w:val="single" w:sz="4" w:space="0" w:color="auto"/>
            </w:tcBorders>
          </w:tcPr>
          <w:p w14:paraId="0AD29639" w14:textId="5057F662" w:rsidR="00CA7403" w:rsidRPr="00DC75D9" w:rsidRDefault="009E40EB" w:rsidP="009E40EB">
            <w:pPr>
              <w:keepNext/>
              <w:keepLines/>
              <w:spacing w:before="40" w:after="40"/>
              <w:jc w:val="right"/>
              <w:rPr>
                <w:b/>
                <w:sz w:val="18"/>
                <w:szCs w:val="18"/>
              </w:rPr>
            </w:pPr>
            <w:r>
              <w:rPr>
                <w:b/>
                <w:sz w:val="18"/>
                <w:szCs w:val="18"/>
              </w:rPr>
              <w:t xml:space="preserve">29,874 </w:t>
            </w:r>
          </w:p>
        </w:tc>
        <w:tc>
          <w:tcPr>
            <w:tcW w:w="1134" w:type="dxa"/>
            <w:tcBorders>
              <w:top w:val="single" w:sz="4" w:space="0" w:color="auto"/>
              <w:bottom w:val="single" w:sz="4" w:space="0" w:color="auto"/>
            </w:tcBorders>
          </w:tcPr>
          <w:p w14:paraId="3BE1509B" w14:textId="7BC3B701" w:rsidR="00D412DD" w:rsidRPr="00795A42" w:rsidRDefault="00D412DD" w:rsidP="009E40EB">
            <w:pPr>
              <w:keepNext/>
              <w:keepLines/>
              <w:spacing w:before="40" w:after="40"/>
              <w:jc w:val="right"/>
              <w:rPr>
                <w:b/>
                <w:sz w:val="18"/>
                <w:szCs w:val="18"/>
              </w:rPr>
            </w:pPr>
            <w:r w:rsidRPr="00795A42">
              <w:rPr>
                <w:b/>
                <w:sz w:val="18"/>
                <w:szCs w:val="18"/>
              </w:rPr>
              <w:t>13,34</w:t>
            </w:r>
            <w:r w:rsidR="00795A42">
              <w:rPr>
                <w:b/>
                <w:sz w:val="18"/>
                <w:szCs w:val="18"/>
              </w:rPr>
              <w:t>3</w:t>
            </w:r>
          </w:p>
          <w:p w14:paraId="4BD9C8EC" w14:textId="5993E258" w:rsidR="00CA7403" w:rsidRPr="00795A42" w:rsidRDefault="00CA7403" w:rsidP="009E40EB">
            <w:pPr>
              <w:keepNext/>
              <w:keepLines/>
              <w:spacing w:before="40" w:after="40"/>
              <w:jc w:val="right"/>
              <w:rPr>
                <w:b/>
                <w:sz w:val="18"/>
                <w:szCs w:val="18"/>
              </w:rPr>
            </w:pPr>
          </w:p>
        </w:tc>
        <w:tc>
          <w:tcPr>
            <w:tcW w:w="1276" w:type="dxa"/>
            <w:tcBorders>
              <w:top w:val="single" w:sz="4" w:space="0" w:color="auto"/>
              <w:bottom w:val="single" w:sz="4" w:space="0" w:color="auto"/>
            </w:tcBorders>
          </w:tcPr>
          <w:p w14:paraId="7E4A7B1B" w14:textId="71AA456E" w:rsidR="00D412DD" w:rsidRDefault="00D412DD" w:rsidP="009E40EB">
            <w:pPr>
              <w:keepNext/>
              <w:keepLines/>
              <w:spacing w:before="40" w:after="40"/>
              <w:jc w:val="center"/>
              <w:rPr>
                <w:b/>
                <w:sz w:val="18"/>
                <w:szCs w:val="18"/>
              </w:rPr>
            </w:pPr>
            <w:r>
              <w:rPr>
                <w:b/>
                <w:sz w:val="18"/>
                <w:szCs w:val="18"/>
              </w:rPr>
              <w:t>125,34</w:t>
            </w:r>
            <w:r w:rsidR="00005243">
              <w:rPr>
                <w:b/>
                <w:sz w:val="18"/>
                <w:szCs w:val="18"/>
              </w:rPr>
              <w:t>8</w:t>
            </w:r>
          </w:p>
          <w:p w14:paraId="7CFDE9C0" w14:textId="195F3485" w:rsidR="00CA7403" w:rsidRPr="00DC75D9" w:rsidRDefault="00CA7403" w:rsidP="009E40EB">
            <w:pPr>
              <w:keepNext/>
              <w:keepLines/>
              <w:spacing w:before="40" w:after="40"/>
              <w:jc w:val="center"/>
              <w:rPr>
                <w:b/>
                <w:sz w:val="18"/>
                <w:szCs w:val="18"/>
              </w:rPr>
            </w:pPr>
          </w:p>
        </w:tc>
      </w:tr>
      <w:tr w:rsidR="00CA7403" w:rsidRPr="00007A11" w14:paraId="1DC85EFD" w14:textId="77777777" w:rsidTr="001A7DDC">
        <w:trPr>
          <w:cantSplit/>
          <w:trHeight w:val="380"/>
        </w:trPr>
        <w:tc>
          <w:tcPr>
            <w:tcW w:w="3686" w:type="dxa"/>
            <w:vAlign w:val="center"/>
          </w:tcPr>
          <w:p w14:paraId="1C83FE63" w14:textId="77777777" w:rsidR="00CA7403" w:rsidRPr="003C5297" w:rsidRDefault="00CA7403" w:rsidP="00784D37">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1005" w:type="dxa"/>
            <w:tcBorders>
              <w:top w:val="single" w:sz="4" w:space="0" w:color="auto"/>
              <w:bottom w:val="single" w:sz="4" w:space="0" w:color="auto"/>
            </w:tcBorders>
          </w:tcPr>
          <w:p w14:paraId="0EC2DB0F" w14:textId="77777777" w:rsidR="00CA7403" w:rsidRPr="003C5297" w:rsidRDefault="00CA7403" w:rsidP="00784D37">
            <w:pPr>
              <w:keepNext/>
              <w:keepLines/>
              <w:spacing w:before="40" w:after="40"/>
              <w:jc w:val="right"/>
              <w:rPr>
                <w:sz w:val="18"/>
                <w:szCs w:val="18"/>
              </w:rPr>
            </w:pPr>
            <w:r>
              <w:rPr>
                <w:sz w:val="18"/>
                <w:szCs w:val="18"/>
              </w:rPr>
              <w:t>17,740</w:t>
            </w:r>
          </w:p>
        </w:tc>
        <w:tc>
          <w:tcPr>
            <w:tcW w:w="1263" w:type="dxa"/>
            <w:tcBorders>
              <w:top w:val="single" w:sz="4" w:space="0" w:color="auto"/>
              <w:bottom w:val="single" w:sz="4" w:space="0" w:color="auto"/>
            </w:tcBorders>
          </w:tcPr>
          <w:p w14:paraId="645A7FAD" w14:textId="77777777" w:rsidR="00CA7403" w:rsidRDefault="00416F2E" w:rsidP="00784D37">
            <w:pPr>
              <w:keepNext/>
              <w:keepLines/>
              <w:spacing w:before="40" w:after="40"/>
              <w:jc w:val="right"/>
              <w:rPr>
                <w:sz w:val="18"/>
                <w:szCs w:val="18"/>
              </w:rPr>
            </w:pPr>
            <w:r>
              <w:rPr>
                <w:sz w:val="18"/>
                <w:szCs w:val="18"/>
              </w:rPr>
              <w:t>17,740</w:t>
            </w:r>
          </w:p>
        </w:tc>
        <w:tc>
          <w:tcPr>
            <w:tcW w:w="1147" w:type="dxa"/>
            <w:tcBorders>
              <w:top w:val="single" w:sz="4" w:space="0" w:color="auto"/>
              <w:bottom w:val="single" w:sz="4" w:space="0" w:color="auto"/>
            </w:tcBorders>
          </w:tcPr>
          <w:p w14:paraId="7EE0F6A5" w14:textId="746E9107" w:rsidR="00CA7403" w:rsidRDefault="009E40EB" w:rsidP="009E40EB">
            <w:pPr>
              <w:keepNext/>
              <w:keepLines/>
              <w:spacing w:before="40" w:after="40"/>
              <w:jc w:val="right"/>
              <w:rPr>
                <w:sz w:val="18"/>
                <w:szCs w:val="18"/>
              </w:rPr>
            </w:pPr>
            <w:r>
              <w:rPr>
                <w:sz w:val="18"/>
                <w:szCs w:val="18"/>
              </w:rPr>
              <w:t xml:space="preserve">15,503 </w:t>
            </w:r>
          </w:p>
        </w:tc>
        <w:tc>
          <w:tcPr>
            <w:tcW w:w="1134" w:type="dxa"/>
            <w:tcBorders>
              <w:top w:val="single" w:sz="4" w:space="0" w:color="auto"/>
              <w:bottom w:val="single" w:sz="4" w:space="0" w:color="auto"/>
            </w:tcBorders>
          </w:tcPr>
          <w:p w14:paraId="3A529A9B" w14:textId="01B9AFE7" w:rsidR="00D412DD" w:rsidRPr="00795A42" w:rsidRDefault="00D412DD" w:rsidP="009E40EB">
            <w:pPr>
              <w:keepNext/>
              <w:keepLines/>
              <w:spacing w:before="40" w:after="40"/>
              <w:jc w:val="right"/>
              <w:rPr>
                <w:sz w:val="18"/>
                <w:szCs w:val="18"/>
              </w:rPr>
            </w:pPr>
            <w:r w:rsidRPr="00795A42">
              <w:rPr>
                <w:sz w:val="18"/>
                <w:szCs w:val="18"/>
              </w:rPr>
              <w:t>6,924</w:t>
            </w:r>
          </w:p>
          <w:p w14:paraId="1763203D" w14:textId="50BEBB05" w:rsidR="00CA7403" w:rsidRPr="00795A42" w:rsidRDefault="00CA7403" w:rsidP="009E40EB">
            <w:pPr>
              <w:keepNext/>
              <w:keepLines/>
              <w:spacing w:before="40" w:after="40"/>
              <w:jc w:val="right"/>
              <w:rPr>
                <w:sz w:val="18"/>
                <w:szCs w:val="18"/>
              </w:rPr>
            </w:pPr>
          </w:p>
        </w:tc>
        <w:tc>
          <w:tcPr>
            <w:tcW w:w="1276" w:type="dxa"/>
            <w:tcBorders>
              <w:top w:val="single" w:sz="4" w:space="0" w:color="auto"/>
              <w:bottom w:val="single" w:sz="4" w:space="0" w:color="auto"/>
            </w:tcBorders>
          </w:tcPr>
          <w:p w14:paraId="24B4DFCF" w14:textId="243AD5FE" w:rsidR="00D412DD" w:rsidRDefault="00D412DD" w:rsidP="009E40EB">
            <w:pPr>
              <w:keepNext/>
              <w:keepLines/>
              <w:spacing w:before="40" w:after="40"/>
              <w:jc w:val="center"/>
              <w:rPr>
                <w:sz w:val="18"/>
                <w:szCs w:val="18"/>
              </w:rPr>
            </w:pPr>
            <w:r>
              <w:rPr>
                <w:sz w:val="18"/>
                <w:szCs w:val="18"/>
              </w:rPr>
              <w:t>57,907</w:t>
            </w:r>
          </w:p>
          <w:p w14:paraId="50D88738" w14:textId="401983DC" w:rsidR="00CA7403" w:rsidRDefault="00CA7403" w:rsidP="009E40EB">
            <w:pPr>
              <w:keepNext/>
              <w:keepLines/>
              <w:spacing w:before="40" w:after="40"/>
              <w:jc w:val="center"/>
              <w:rPr>
                <w:sz w:val="18"/>
                <w:szCs w:val="18"/>
              </w:rPr>
            </w:pPr>
          </w:p>
        </w:tc>
      </w:tr>
      <w:tr w:rsidR="00CA7403" w:rsidRPr="00007A11" w14:paraId="0E91902A" w14:textId="77777777" w:rsidTr="001A7DDC">
        <w:trPr>
          <w:cantSplit/>
          <w:trHeight w:val="380"/>
        </w:trPr>
        <w:tc>
          <w:tcPr>
            <w:tcW w:w="3686" w:type="dxa"/>
            <w:vAlign w:val="center"/>
          </w:tcPr>
          <w:p w14:paraId="2AF0DC1D" w14:textId="77777777" w:rsidR="00CA7403" w:rsidRPr="00E26F51" w:rsidRDefault="00CA7403" w:rsidP="00784D37">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1005" w:type="dxa"/>
            <w:tcBorders>
              <w:top w:val="single" w:sz="4" w:space="0" w:color="auto"/>
              <w:bottom w:val="single" w:sz="4" w:space="0" w:color="auto"/>
            </w:tcBorders>
          </w:tcPr>
          <w:p w14:paraId="753913F5" w14:textId="55521820" w:rsidR="00CA7403" w:rsidRPr="00E26F51" w:rsidRDefault="00CA7403" w:rsidP="00891878">
            <w:pPr>
              <w:keepNext/>
              <w:keepLines/>
              <w:spacing w:before="40" w:after="40"/>
              <w:jc w:val="right"/>
              <w:rPr>
                <w:sz w:val="18"/>
                <w:szCs w:val="18"/>
              </w:rPr>
            </w:pPr>
            <w:r>
              <w:rPr>
                <w:sz w:val="18"/>
                <w:szCs w:val="18"/>
              </w:rPr>
              <w:t>1</w:t>
            </w:r>
            <w:r w:rsidR="009E40EB">
              <w:rPr>
                <w:sz w:val="18"/>
                <w:szCs w:val="18"/>
              </w:rPr>
              <w:t>,</w:t>
            </w:r>
            <w:r>
              <w:rPr>
                <w:sz w:val="18"/>
                <w:szCs w:val="18"/>
              </w:rPr>
              <w:t>035</w:t>
            </w:r>
          </w:p>
        </w:tc>
        <w:tc>
          <w:tcPr>
            <w:tcW w:w="1263" w:type="dxa"/>
            <w:tcBorders>
              <w:top w:val="single" w:sz="4" w:space="0" w:color="auto"/>
              <w:bottom w:val="single" w:sz="4" w:space="0" w:color="auto"/>
            </w:tcBorders>
          </w:tcPr>
          <w:p w14:paraId="29BF8C86" w14:textId="77777777" w:rsidR="00CA7403" w:rsidRDefault="00416F2E" w:rsidP="00784D37">
            <w:pPr>
              <w:keepNext/>
              <w:keepLines/>
              <w:spacing w:before="40" w:after="40"/>
              <w:jc w:val="right"/>
              <w:rPr>
                <w:sz w:val="18"/>
                <w:szCs w:val="18"/>
              </w:rPr>
            </w:pPr>
            <w:r>
              <w:rPr>
                <w:sz w:val="18"/>
                <w:szCs w:val="18"/>
              </w:rPr>
              <w:t>14,798</w:t>
            </w:r>
          </w:p>
        </w:tc>
        <w:tc>
          <w:tcPr>
            <w:tcW w:w="1147" w:type="dxa"/>
            <w:tcBorders>
              <w:top w:val="single" w:sz="4" w:space="0" w:color="auto"/>
              <w:bottom w:val="single" w:sz="4" w:space="0" w:color="auto"/>
            </w:tcBorders>
          </w:tcPr>
          <w:p w14:paraId="347EC786" w14:textId="2DE46EFB" w:rsidR="00CA7403" w:rsidRDefault="009E40EB" w:rsidP="009E40EB">
            <w:pPr>
              <w:keepNext/>
              <w:keepLines/>
              <w:spacing w:before="40" w:after="40"/>
              <w:jc w:val="right"/>
              <w:rPr>
                <w:sz w:val="18"/>
                <w:szCs w:val="18"/>
              </w:rPr>
            </w:pPr>
            <w:r>
              <w:rPr>
                <w:sz w:val="18"/>
                <w:szCs w:val="18"/>
              </w:rPr>
              <w:t xml:space="preserve">4,104 </w:t>
            </w:r>
          </w:p>
        </w:tc>
        <w:tc>
          <w:tcPr>
            <w:tcW w:w="1134" w:type="dxa"/>
            <w:tcBorders>
              <w:top w:val="single" w:sz="4" w:space="0" w:color="auto"/>
              <w:bottom w:val="single" w:sz="4" w:space="0" w:color="auto"/>
            </w:tcBorders>
          </w:tcPr>
          <w:p w14:paraId="7EB92728" w14:textId="2F8267C7" w:rsidR="00CA7403" w:rsidRDefault="00D412DD" w:rsidP="009E40EB">
            <w:pPr>
              <w:keepNext/>
              <w:keepLines/>
              <w:spacing w:before="40" w:after="40"/>
              <w:jc w:val="right"/>
              <w:rPr>
                <w:sz w:val="18"/>
                <w:szCs w:val="18"/>
              </w:rPr>
            </w:pPr>
            <w:r>
              <w:rPr>
                <w:sz w:val="18"/>
                <w:szCs w:val="18"/>
              </w:rPr>
              <w:t xml:space="preserve">1,835 </w:t>
            </w:r>
          </w:p>
        </w:tc>
        <w:tc>
          <w:tcPr>
            <w:tcW w:w="1276" w:type="dxa"/>
            <w:tcBorders>
              <w:top w:val="single" w:sz="4" w:space="0" w:color="auto"/>
              <w:bottom w:val="single" w:sz="4" w:space="0" w:color="auto"/>
            </w:tcBorders>
          </w:tcPr>
          <w:p w14:paraId="30C2ECCA" w14:textId="205DEE87" w:rsidR="00D412DD" w:rsidRDefault="00D412DD" w:rsidP="009E40EB">
            <w:pPr>
              <w:keepNext/>
              <w:keepLines/>
              <w:spacing w:before="40" w:after="40"/>
              <w:jc w:val="center"/>
              <w:rPr>
                <w:sz w:val="18"/>
                <w:szCs w:val="18"/>
              </w:rPr>
            </w:pPr>
            <w:r>
              <w:rPr>
                <w:sz w:val="18"/>
                <w:szCs w:val="18"/>
              </w:rPr>
              <w:t>21,772</w:t>
            </w:r>
          </w:p>
          <w:p w14:paraId="202034AD" w14:textId="38D419E8" w:rsidR="00CA7403" w:rsidRDefault="00CA7403" w:rsidP="009E40EB">
            <w:pPr>
              <w:keepNext/>
              <w:keepLines/>
              <w:spacing w:before="40" w:after="40"/>
              <w:jc w:val="center"/>
              <w:rPr>
                <w:sz w:val="18"/>
                <w:szCs w:val="18"/>
              </w:rPr>
            </w:pPr>
          </w:p>
        </w:tc>
      </w:tr>
      <w:tr w:rsidR="00CA7403" w14:paraId="2D47AB36" w14:textId="77777777" w:rsidTr="001A7DDC">
        <w:trPr>
          <w:cantSplit/>
          <w:trHeight w:val="380"/>
        </w:trPr>
        <w:tc>
          <w:tcPr>
            <w:tcW w:w="3686" w:type="dxa"/>
            <w:vAlign w:val="center"/>
          </w:tcPr>
          <w:p w14:paraId="01546165" w14:textId="77777777" w:rsidR="00CA7403" w:rsidRPr="00E26F51" w:rsidRDefault="00CA7403" w:rsidP="00784D37">
            <w:pPr>
              <w:keepNext/>
              <w:keepLines/>
              <w:spacing w:before="40" w:after="40"/>
              <w:ind w:left="318" w:hanging="318"/>
              <w:jc w:val="left"/>
              <w:rPr>
                <w:sz w:val="18"/>
                <w:szCs w:val="18"/>
              </w:rPr>
            </w:pPr>
            <w:r>
              <w:rPr>
                <w:sz w:val="18"/>
                <w:szCs w:val="18"/>
              </w:rPr>
              <w:tab/>
            </w:r>
            <w:r w:rsidRPr="003C5297">
              <w:rPr>
                <w:sz w:val="18"/>
                <w:szCs w:val="18"/>
              </w:rPr>
              <w:t>Higher apprenticeships</w:t>
            </w:r>
            <w:r w:rsidR="00A35051" w:rsidRPr="003C5297">
              <w:rPr>
                <w:sz w:val="18"/>
                <w:szCs w:val="18"/>
              </w:rPr>
              <w:t>/traineeships</w:t>
            </w:r>
          </w:p>
        </w:tc>
        <w:tc>
          <w:tcPr>
            <w:tcW w:w="1005" w:type="dxa"/>
            <w:tcBorders>
              <w:top w:val="single" w:sz="4" w:space="0" w:color="auto"/>
              <w:bottom w:val="single" w:sz="4" w:space="0" w:color="auto"/>
            </w:tcBorders>
          </w:tcPr>
          <w:p w14:paraId="1D2913C5" w14:textId="77777777" w:rsidR="00CA7403" w:rsidRPr="00E26F51" w:rsidRDefault="00CA7403" w:rsidP="00784D37">
            <w:pPr>
              <w:keepNext/>
              <w:keepLines/>
              <w:spacing w:before="40" w:after="40"/>
              <w:jc w:val="right"/>
              <w:rPr>
                <w:sz w:val="18"/>
                <w:szCs w:val="18"/>
              </w:rPr>
            </w:pPr>
            <w:r>
              <w:rPr>
                <w:sz w:val="18"/>
                <w:szCs w:val="18"/>
              </w:rPr>
              <w:t>289</w:t>
            </w:r>
          </w:p>
        </w:tc>
        <w:tc>
          <w:tcPr>
            <w:tcW w:w="1263" w:type="dxa"/>
            <w:tcBorders>
              <w:top w:val="single" w:sz="4" w:space="0" w:color="auto"/>
              <w:bottom w:val="single" w:sz="4" w:space="0" w:color="auto"/>
            </w:tcBorders>
          </w:tcPr>
          <w:p w14:paraId="4BE82942" w14:textId="77777777" w:rsidR="00CA7403" w:rsidRDefault="00416F2E" w:rsidP="00784D37">
            <w:pPr>
              <w:keepNext/>
              <w:keepLines/>
              <w:spacing w:before="40" w:after="40"/>
              <w:jc w:val="right"/>
              <w:rPr>
                <w:sz w:val="18"/>
                <w:szCs w:val="18"/>
              </w:rPr>
            </w:pPr>
            <w:r>
              <w:rPr>
                <w:sz w:val="18"/>
                <w:szCs w:val="18"/>
              </w:rPr>
              <w:t>289</w:t>
            </w:r>
          </w:p>
        </w:tc>
        <w:tc>
          <w:tcPr>
            <w:tcW w:w="1147" w:type="dxa"/>
            <w:tcBorders>
              <w:top w:val="single" w:sz="4" w:space="0" w:color="auto"/>
              <w:bottom w:val="single" w:sz="4" w:space="0" w:color="auto"/>
            </w:tcBorders>
          </w:tcPr>
          <w:p w14:paraId="2483B344" w14:textId="3BF2A03D" w:rsidR="00CA7403" w:rsidRDefault="009E40EB" w:rsidP="009E40EB">
            <w:pPr>
              <w:keepNext/>
              <w:keepLines/>
              <w:spacing w:before="40" w:after="40"/>
              <w:jc w:val="right"/>
              <w:rPr>
                <w:sz w:val="18"/>
                <w:szCs w:val="18"/>
              </w:rPr>
            </w:pPr>
            <w:r>
              <w:rPr>
                <w:sz w:val="18"/>
                <w:szCs w:val="18"/>
              </w:rPr>
              <w:t xml:space="preserve">252 </w:t>
            </w:r>
          </w:p>
        </w:tc>
        <w:tc>
          <w:tcPr>
            <w:tcW w:w="1134" w:type="dxa"/>
            <w:tcBorders>
              <w:top w:val="single" w:sz="4" w:space="0" w:color="auto"/>
              <w:bottom w:val="single" w:sz="4" w:space="0" w:color="auto"/>
            </w:tcBorders>
          </w:tcPr>
          <w:p w14:paraId="6B80F13F" w14:textId="65FA1E86" w:rsidR="00CA7403" w:rsidRDefault="00D412DD" w:rsidP="009E40EB">
            <w:pPr>
              <w:keepNext/>
              <w:keepLines/>
              <w:spacing w:before="40" w:after="40"/>
              <w:jc w:val="right"/>
              <w:rPr>
                <w:sz w:val="18"/>
                <w:szCs w:val="18"/>
              </w:rPr>
            </w:pPr>
            <w:r>
              <w:rPr>
                <w:sz w:val="18"/>
                <w:szCs w:val="18"/>
              </w:rPr>
              <w:t xml:space="preserve">113 </w:t>
            </w:r>
          </w:p>
        </w:tc>
        <w:tc>
          <w:tcPr>
            <w:tcW w:w="1276" w:type="dxa"/>
            <w:tcBorders>
              <w:top w:val="single" w:sz="4" w:space="0" w:color="auto"/>
              <w:bottom w:val="single" w:sz="4" w:space="0" w:color="auto"/>
            </w:tcBorders>
          </w:tcPr>
          <w:p w14:paraId="7CB38E31" w14:textId="773AB6FD" w:rsidR="00D412DD" w:rsidRDefault="00D412DD" w:rsidP="009E40EB">
            <w:pPr>
              <w:keepNext/>
              <w:keepLines/>
              <w:spacing w:before="40" w:after="40"/>
              <w:jc w:val="center"/>
              <w:rPr>
                <w:sz w:val="18"/>
                <w:szCs w:val="18"/>
              </w:rPr>
            </w:pPr>
            <w:r>
              <w:rPr>
                <w:sz w:val="18"/>
                <w:szCs w:val="18"/>
              </w:rPr>
              <w:t>943</w:t>
            </w:r>
          </w:p>
          <w:p w14:paraId="4CB3EAE8" w14:textId="4771D6C4" w:rsidR="00CA7403" w:rsidRDefault="00CA7403" w:rsidP="009E40EB">
            <w:pPr>
              <w:keepNext/>
              <w:keepLines/>
              <w:spacing w:before="40" w:after="40"/>
              <w:jc w:val="center"/>
              <w:rPr>
                <w:sz w:val="18"/>
                <w:szCs w:val="18"/>
              </w:rPr>
            </w:pPr>
          </w:p>
        </w:tc>
      </w:tr>
      <w:tr w:rsidR="00CA7403" w14:paraId="58AF59DE" w14:textId="77777777" w:rsidTr="001A7DDC">
        <w:trPr>
          <w:cantSplit/>
          <w:trHeight w:val="380"/>
        </w:trPr>
        <w:tc>
          <w:tcPr>
            <w:tcW w:w="3686" w:type="dxa"/>
            <w:tcBorders>
              <w:bottom w:val="single" w:sz="4" w:space="0" w:color="auto"/>
            </w:tcBorders>
            <w:vAlign w:val="center"/>
          </w:tcPr>
          <w:p w14:paraId="318003CB" w14:textId="77777777" w:rsidR="00CA7403" w:rsidRDefault="00CA7403" w:rsidP="00784D37">
            <w:pPr>
              <w:keepNext/>
              <w:keepLines/>
              <w:spacing w:before="40" w:after="40"/>
              <w:ind w:left="318" w:hanging="318"/>
              <w:jc w:val="left"/>
              <w:rPr>
                <w:sz w:val="18"/>
                <w:szCs w:val="18"/>
              </w:rPr>
            </w:pPr>
            <w:r>
              <w:rPr>
                <w:sz w:val="18"/>
                <w:szCs w:val="18"/>
              </w:rPr>
              <w:t xml:space="preserve">        “Like apprenticeship” activity </w:t>
            </w:r>
          </w:p>
          <w:p w14:paraId="171E6009" w14:textId="77777777" w:rsidR="00CA7403" w:rsidRDefault="00CA7403" w:rsidP="00784D37">
            <w:pPr>
              <w:keepNext/>
              <w:keepLines/>
              <w:spacing w:before="40" w:after="40"/>
              <w:ind w:left="318" w:hanging="318"/>
              <w:jc w:val="left"/>
              <w:rPr>
                <w:sz w:val="18"/>
                <w:szCs w:val="18"/>
              </w:rPr>
            </w:pPr>
            <w:r>
              <w:rPr>
                <w:sz w:val="18"/>
                <w:szCs w:val="18"/>
              </w:rPr>
              <w:t xml:space="preserve">        (activity must be certificate III or IV level) </w:t>
            </w:r>
          </w:p>
        </w:tc>
        <w:tc>
          <w:tcPr>
            <w:tcW w:w="1005" w:type="dxa"/>
            <w:tcBorders>
              <w:top w:val="single" w:sz="4" w:space="0" w:color="auto"/>
              <w:bottom w:val="single" w:sz="4" w:space="0" w:color="auto"/>
            </w:tcBorders>
          </w:tcPr>
          <w:p w14:paraId="0356F238" w14:textId="77777777" w:rsidR="00CA7403" w:rsidRDefault="00CA7403" w:rsidP="00784D37">
            <w:pPr>
              <w:keepNext/>
              <w:keepLines/>
              <w:spacing w:before="40" w:after="40"/>
              <w:jc w:val="right"/>
              <w:rPr>
                <w:sz w:val="18"/>
                <w:szCs w:val="18"/>
              </w:rPr>
            </w:pPr>
            <w:r>
              <w:rPr>
                <w:sz w:val="18"/>
                <w:szCs w:val="18"/>
              </w:rPr>
              <w:t>15,120</w:t>
            </w:r>
          </w:p>
        </w:tc>
        <w:tc>
          <w:tcPr>
            <w:tcW w:w="1263" w:type="dxa"/>
            <w:tcBorders>
              <w:top w:val="single" w:sz="4" w:space="0" w:color="auto"/>
              <w:bottom w:val="single" w:sz="4" w:space="0" w:color="auto"/>
            </w:tcBorders>
          </w:tcPr>
          <w:p w14:paraId="3997039E" w14:textId="77777777" w:rsidR="00CA7403" w:rsidRDefault="00416F2E" w:rsidP="00784D37">
            <w:pPr>
              <w:keepNext/>
              <w:keepLines/>
              <w:spacing w:before="40" w:after="40"/>
              <w:jc w:val="right"/>
              <w:rPr>
                <w:sz w:val="18"/>
                <w:szCs w:val="18"/>
              </w:rPr>
            </w:pPr>
            <w:r>
              <w:rPr>
                <w:sz w:val="18"/>
                <w:szCs w:val="18"/>
              </w:rPr>
              <w:t>15,120</w:t>
            </w:r>
          </w:p>
        </w:tc>
        <w:tc>
          <w:tcPr>
            <w:tcW w:w="1147" w:type="dxa"/>
            <w:tcBorders>
              <w:top w:val="single" w:sz="4" w:space="0" w:color="auto"/>
              <w:bottom w:val="single" w:sz="4" w:space="0" w:color="auto"/>
            </w:tcBorders>
          </w:tcPr>
          <w:p w14:paraId="7172A3DB" w14:textId="0C960306" w:rsidR="00CA7403" w:rsidRDefault="009E40EB" w:rsidP="009E40EB">
            <w:pPr>
              <w:keepNext/>
              <w:keepLines/>
              <w:spacing w:before="40" w:after="40"/>
              <w:jc w:val="right"/>
              <w:rPr>
                <w:sz w:val="18"/>
                <w:szCs w:val="18"/>
              </w:rPr>
            </w:pPr>
            <w:r>
              <w:rPr>
                <w:sz w:val="18"/>
                <w:szCs w:val="18"/>
              </w:rPr>
              <w:t xml:space="preserve">10,015 </w:t>
            </w:r>
          </w:p>
        </w:tc>
        <w:tc>
          <w:tcPr>
            <w:tcW w:w="1134" w:type="dxa"/>
            <w:tcBorders>
              <w:top w:val="single" w:sz="4" w:space="0" w:color="auto"/>
              <w:bottom w:val="single" w:sz="4" w:space="0" w:color="auto"/>
            </w:tcBorders>
          </w:tcPr>
          <w:p w14:paraId="5604F222" w14:textId="52C06F38" w:rsidR="00CA7403" w:rsidRDefault="00D412DD" w:rsidP="009E40EB">
            <w:pPr>
              <w:keepNext/>
              <w:keepLines/>
              <w:spacing w:before="40" w:after="40"/>
              <w:jc w:val="right"/>
              <w:rPr>
                <w:sz w:val="18"/>
                <w:szCs w:val="18"/>
              </w:rPr>
            </w:pPr>
            <w:r>
              <w:rPr>
                <w:sz w:val="18"/>
                <w:szCs w:val="18"/>
              </w:rPr>
              <w:t xml:space="preserve">4,471 </w:t>
            </w:r>
          </w:p>
        </w:tc>
        <w:tc>
          <w:tcPr>
            <w:tcW w:w="1276" w:type="dxa"/>
            <w:tcBorders>
              <w:top w:val="single" w:sz="4" w:space="0" w:color="auto"/>
              <w:bottom w:val="single" w:sz="4" w:space="0" w:color="auto"/>
            </w:tcBorders>
          </w:tcPr>
          <w:p w14:paraId="16C9D9A5" w14:textId="77766DCF" w:rsidR="00CA7403" w:rsidRDefault="00D412DD" w:rsidP="009E40EB">
            <w:pPr>
              <w:keepNext/>
              <w:keepLines/>
              <w:spacing w:before="40" w:after="40"/>
              <w:jc w:val="center"/>
              <w:rPr>
                <w:sz w:val="18"/>
                <w:szCs w:val="18"/>
              </w:rPr>
            </w:pPr>
            <w:r>
              <w:rPr>
                <w:sz w:val="18"/>
                <w:szCs w:val="18"/>
              </w:rPr>
              <w:t>44,72</w:t>
            </w:r>
            <w:r w:rsidR="00005243">
              <w:rPr>
                <w:sz w:val="18"/>
                <w:szCs w:val="18"/>
              </w:rPr>
              <w:t>6</w:t>
            </w:r>
            <w:r>
              <w:rPr>
                <w:sz w:val="18"/>
                <w:szCs w:val="18"/>
              </w:rPr>
              <w:t xml:space="preserve"> </w:t>
            </w:r>
          </w:p>
        </w:tc>
      </w:tr>
    </w:tbl>
    <w:p w14:paraId="5A178C10" w14:textId="1E29B819" w:rsidR="0001791C" w:rsidRDefault="0001791C">
      <w:pPr>
        <w:spacing w:after="200" w:line="276" w:lineRule="auto"/>
        <w:jc w:val="left"/>
        <w:rPr>
          <w:b/>
        </w:rPr>
      </w:pPr>
    </w:p>
    <w:p w14:paraId="41884829" w14:textId="77777777" w:rsidR="0001791C" w:rsidRDefault="0001791C">
      <w:pPr>
        <w:spacing w:after="200" w:line="276" w:lineRule="auto"/>
        <w:jc w:val="left"/>
        <w:rPr>
          <w:b/>
        </w:rPr>
      </w:pPr>
      <w:r>
        <w:rPr>
          <w:b/>
        </w:rPr>
        <w:br w:type="page"/>
      </w:r>
    </w:p>
    <w:p w14:paraId="546529AA" w14:textId="77777777" w:rsidR="00CF07BB" w:rsidRPr="00075DCB" w:rsidRDefault="00C040D7" w:rsidP="00075DCB">
      <w:pPr>
        <w:pStyle w:val="ScheduleNumberedPara"/>
        <w:spacing w:before="120" w:after="120"/>
        <w:rPr>
          <w:b/>
        </w:rPr>
      </w:pPr>
      <w:r>
        <w:rPr>
          <w:b/>
        </w:rPr>
        <w:lastRenderedPageBreak/>
        <w:t>Data / evidence</w:t>
      </w:r>
    </w:p>
    <w:p w14:paraId="47FC2F28" w14:textId="77777777" w:rsidR="000E4EA4" w:rsidRPr="00265853" w:rsidRDefault="00CF07BB" w:rsidP="00C61721">
      <w:pPr>
        <w:pStyle w:val="ScheduleNumberedPara"/>
        <w:numPr>
          <w:ilvl w:val="0"/>
          <w:numId w:val="26"/>
        </w:numPr>
        <w:spacing w:before="240"/>
        <w:ind w:left="1134" w:hanging="567"/>
        <w:jc w:val="left"/>
      </w:pPr>
      <w:r>
        <w:t>Data/evidence to be used to measure achievement of</w:t>
      </w:r>
      <w:r w:rsidR="00C040D7">
        <w:t xml:space="preserve"> the</w:t>
      </w:r>
      <w:r>
        <w:t xml:space="preserve"> performance benchmarks and/or milestones for </w:t>
      </w:r>
      <w:r w:rsidR="00BD673D">
        <w:t>P</w:t>
      </w:r>
      <w:r>
        <w:t>roject</w:t>
      </w:r>
      <w:r w:rsidR="00BD673D">
        <w:t xml:space="preserve"> 1</w:t>
      </w:r>
      <w:r>
        <w:t xml:space="preserve"> a</w:t>
      </w:r>
      <w:r w:rsidR="00265853">
        <w:t>re in Table 5</w:t>
      </w:r>
      <w:r w:rsidR="00E03F8A">
        <w:t>.</w:t>
      </w:r>
    </w:p>
    <w:p w14:paraId="30A9E78D" w14:textId="77777777" w:rsidR="000E4EA4" w:rsidRDefault="000E4EA4" w:rsidP="00C61721">
      <w:pPr>
        <w:pStyle w:val="ScheduleNumberedPara"/>
        <w:keepNext/>
        <w:spacing w:before="120" w:after="120"/>
        <w:jc w:val="left"/>
      </w:pPr>
      <w:r w:rsidRPr="00DC75D9">
        <w:t>Table 5: Data/evidence used to measure performance requirements</w:t>
      </w:r>
    </w:p>
    <w:tbl>
      <w:tblPr>
        <w:tblW w:w="0" w:type="auto"/>
        <w:tblLayout w:type="fixed"/>
        <w:tblLook w:val="01E0" w:firstRow="1" w:lastRow="1" w:firstColumn="1" w:lastColumn="1" w:noHBand="0" w:noVBand="0"/>
      </w:tblPr>
      <w:tblGrid>
        <w:gridCol w:w="3261"/>
        <w:gridCol w:w="6375"/>
      </w:tblGrid>
      <w:tr w:rsidR="00CF07BB" w:rsidRPr="002C58C4" w14:paraId="547A121D" w14:textId="77777777" w:rsidTr="002C58C4">
        <w:trPr>
          <w:cantSplit/>
          <w:trHeight w:val="380"/>
        </w:trPr>
        <w:tc>
          <w:tcPr>
            <w:tcW w:w="3261" w:type="dxa"/>
            <w:tcBorders>
              <w:top w:val="single" w:sz="4" w:space="0" w:color="auto"/>
              <w:bottom w:val="single" w:sz="4" w:space="0" w:color="auto"/>
            </w:tcBorders>
            <w:vAlign w:val="center"/>
          </w:tcPr>
          <w:p w14:paraId="0124D3C9" w14:textId="77777777" w:rsidR="00CF07BB" w:rsidRPr="002C58C4" w:rsidRDefault="00CF07BB" w:rsidP="002C58C4">
            <w:pPr>
              <w:spacing w:after="0" w:line="240" w:lineRule="auto"/>
              <w:rPr>
                <w:b/>
                <w:sz w:val="18"/>
                <w:szCs w:val="18"/>
              </w:rPr>
            </w:pPr>
            <w:r w:rsidRPr="002C58C4">
              <w:rPr>
                <w:b/>
                <w:sz w:val="18"/>
                <w:szCs w:val="18"/>
              </w:rPr>
              <w:t>Performance requirements</w:t>
            </w:r>
          </w:p>
        </w:tc>
        <w:tc>
          <w:tcPr>
            <w:tcW w:w="6375" w:type="dxa"/>
            <w:tcBorders>
              <w:top w:val="single" w:sz="4" w:space="0" w:color="auto"/>
              <w:bottom w:val="single" w:sz="4" w:space="0" w:color="auto"/>
            </w:tcBorders>
            <w:vAlign w:val="center"/>
          </w:tcPr>
          <w:p w14:paraId="7CDD6509" w14:textId="77777777" w:rsidR="00CF07BB" w:rsidRPr="002C58C4" w:rsidRDefault="000E4EA4" w:rsidP="002C58C4">
            <w:pPr>
              <w:spacing w:after="0" w:line="240" w:lineRule="auto"/>
              <w:rPr>
                <w:b/>
                <w:sz w:val="18"/>
                <w:szCs w:val="18"/>
              </w:rPr>
            </w:pPr>
            <w:r w:rsidRPr="002C58C4">
              <w:rPr>
                <w:b/>
                <w:sz w:val="18"/>
                <w:szCs w:val="18"/>
              </w:rPr>
              <w:t>Data/evidence to be used for reporting</w:t>
            </w:r>
          </w:p>
        </w:tc>
      </w:tr>
      <w:tr w:rsidR="00CF07BB" w:rsidRPr="002C58C4" w14:paraId="5DC16C05" w14:textId="77777777" w:rsidTr="002C58C4">
        <w:trPr>
          <w:cantSplit/>
          <w:trHeight w:val="380"/>
        </w:trPr>
        <w:tc>
          <w:tcPr>
            <w:tcW w:w="3261" w:type="dxa"/>
            <w:tcBorders>
              <w:top w:val="single" w:sz="4" w:space="0" w:color="auto"/>
              <w:bottom w:val="single" w:sz="4" w:space="0" w:color="auto"/>
            </w:tcBorders>
          </w:tcPr>
          <w:p w14:paraId="6A15D40D" w14:textId="77777777" w:rsidR="00CF07BB" w:rsidRPr="002C58C4" w:rsidRDefault="00CF07BB" w:rsidP="001A7DDC">
            <w:pPr>
              <w:pStyle w:val="ListParagraph"/>
              <w:numPr>
                <w:ilvl w:val="0"/>
                <w:numId w:val="22"/>
              </w:numPr>
              <w:spacing w:before="40" w:after="40"/>
              <w:ind w:hanging="398"/>
              <w:rPr>
                <w:sz w:val="18"/>
                <w:szCs w:val="18"/>
              </w:rPr>
            </w:pPr>
            <w:r w:rsidRPr="002C58C4">
              <w:rPr>
                <w:sz w:val="18"/>
                <w:szCs w:val="18"/>
              </w:rPr>
              <w:t>Performance benchmarks</w:t>
            </w:r>
          </w:p>
          <w:p w14:paraId="6274D7AE"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Apprenticeships/traineeships</w:t>
            </w:r>
          </w:p>
          <w:p w14:paraId="378309B3"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Pre-apprenticeships/</w:t>
            </w:r>
            <w:r w:rsidR="00EE39B9" w:rsidRPr="002C58C4">
              <w:rPr>
                <w:sz w:val="18"/>
                <w:szCs w:val="18"/>
              </w:rPr>
              <w:t xml:space="preserve"> </w:t>
            </w:r>
            <w:r w:rsidRPr="002C58C4">
              <w:rPr>
                <w:sz w:val="18"/>
                <w:szCs w:val="18"/>
              </w:rPr>
              <w:t>traineeships</w:t>
            </w:r>
          </w:p>
          <w:p w14:paraId="3917E98D"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Higher apprenticeships</w:t>
            </w:r>
          </w:p>
          <w:p w14:paraId="656791AC"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"Like apprenticeship" activity</w:t>
            </w:r>
          </w:p>
          <w:p w14:paraId="514C7050" w14:textId="77777777" w:rsidR="00D0773B" w:rsidRPr="002C58C4" w:rsidRDefault="00D0773B" w:rsidP="001A7DDC">
            <w:pPr>
              <w:pStyle w:val="ListParagraph"/>
              <w:numPr>
                <w:ilvl w:val="0"/>
                <w:numId w:val="22"/>
              </w:numPr>
              <w:spacing w:before="40" w:after="40"/>
              <w:ind w:hanging="398"/>
              <w:rPr>
                <w:sz w:val="18"/>
                <w:szCs w:val="18"/>
              </w:rPr>
            </w:pPr>
            <w:r w:rsidRPr="002C58C4">
              <w:rPr>
                <w:sz w:val="18"/>
                <w:szCs w:val="18"/>
              </w:rPr>
              <w:t>Fee-free apprenticeship</w:t>
            </w:r>
            <w:r w:rsidR="00AC05D1" w:rsidRPr="002C58C4">
              <w:rPr>
                <w:sz w:val="18"/>
                <w:szCs w:val="18"/>
              </w:rPr>
              <w:t>s</w:t>
            </w:r>
          </w:p>
        </w:tc>
        <w:tc>
          <w:tcPr>
            <w:tcW w:w="6375" w:type="dxa"/>
            <w:tcBorders>
              <w:top w:val="single" w:sz="4" w:space="0" w:color="auto"/>
              <w:bottom w:val="single" w:sz="4" w:space="0" w:color="auto"/>
            </w:tcBorders>
          </w:tcPr>
          <w:p w14:paraId="7C7D9E6D" w14:textId="77777777" w:rsidR="008E344A" w:rsidRPr="002C58C4" w:rsidRDefault="00411A4F" w:rsidP="001A7DDC">
            <w:pPr>
              <w:spacing w:before="40" w:after="40"/>
              <w:contextualSpacing/>
              <w:jc w:val="left"/>
              <w:rPr>
                <w:sz w:val="18"/>
                <w:szCs w:val="18"/>
              </w:rPr>
            </w:pPr>
            <w:r w:rsidRPr="002C58C4">
              <w:rPr>
                <w:sz w:val="18"/>
                <w:szCs w:val="18"/>
              </w:rPr>
              <w:t xml:space="preserve">The measurement of commencements in </w:t>
            </w:r>
            <w:r w:rsidR="009D6377" w:rsidRPr="002C58C4">
              <w:rPr>
                <w:sz w:val="18"/>
                <w:szCs w:val="18"/>
              </w:rPr>
              <w:t>all</w:t>
            </w:r>
            <w:r w:rsidRPr="002C58C4">
              <w:rPr>
                <w:sz w:val="18"/>
                <w:szCs w:val="18"/>
              </w:rPr>
              <w:t xml:space="preserve"> categories in scope of </w:t>
            </w:r>
            <w:r w:rsidR="00C71020" w:rsidRPr="002C58C4">
              <w:rPr>
                <w:sz w:val="18"/>
                <w:szCs w:val="18"/>
              </w:rPr>
              <w:t>New South Wales</w:t>
            </w:r>
            <w:r w:rsidR="001A7DDC">
              <w:rPr>
                <w:sz w:val="18"/>
                <w:szCs w:val="18"/>
              </w:rPr>
              <w:t>’</w:t>
            </w:r>
            <w:r w:rsidRPr="002C58C4">
              <w:rPr>
                <w:sz w:val="18"/>
                <w:szCs w:val="18"/>
              </w:rPr>
              <w:t xml:space="preserve"> project under the </w:t>
            </w:r>
            <w:r w:rsidR="001A7DDC">
              <w:rPr>
                <w:sz w:val="18"/>
                <w:szCs w:val="18"/>
              </w:rPr>
              <w:t>Agreement</w:t>
            </w:r>
            <w:r w:rsidRPr="002C58C4">
              <w:rPr>
                <w:sz w:val="18"/>
                <w:szCs w:val="18"/>
              </w:rPr>
              <w:t xml:space="preserve"> will be based on the NSW Department of </w:t>
            </w:r>
            <w:r w:rsidR="00253D51" w:rsidRPr="002C58C4">
              <w:rPr>
                <w:sz w:val="18"/>
                <w:szCs w:val="18"/>
              </w:rPr>
              <w:t xml:space="preserve">Education’s </w:t>
            </w:r>
            <w:r w:rsidR="00766861" w:rsidRPr="002C58C4">
              <w:rPr>
                <w:sz w:val="18"/>
                <w:szCs w:val="18"/>
              </w:rPr>
              <w:t>Integrated Vocational Education and Training System (IVETS) data.</w:t>
            </w:r>
            <w:r w:rsidR="00643AC7" w:rsidRPr="002C58C4">
              <w:rPr>
                <w:sz w:val="18"/>
                <w:szCs w:val="18"/>
              </w:rPr>
              <w:t xml:space="preserve"> </w:t>
            </w:r>
          </w:p>
          <w:p w14:paraId="7A33B4FA" w14:textId="77777777" w:rsidR="008E344A" w:rsidRPr="002C58C4" w:rsidRDefault="008E344A" w:rsidP="001A7DDC">
            <w:pPr>
              <w:spacing w:before="40" w:after="40"/>
              <w:contextualSpacing/>
              <w:jc w:val="left"/>
              <w:rPr>
                <w:sz w:val="18"/>
                <w:szCs w:val="18"/>
              </w:rPr>
            </w:pPr>
            <w:r w:rsidRPr="002C58C4">
              <w:rPr>
                <w:sz w:val="18"/>
                <w:szCs w:val="18"/>
              </w:rPr>
              <w:t>Data will be reported 1 July up to 30 April each financial year to support 30 April reporting.</w:t>
            </w:r>
          </w:p>
          <w:p w14:paraId="2CB2E4EA" w14:textId="2E52DF96" w:rsidR="00A402CA" w:rsidRDefault="00BD673D" w:rsidP="001A7DDC">
            <w:pPr>
              <w:spacing w:before="40" w:after="40"/>
              <w:contextualSpacing/>
              <w:jc w:val="left"/>
              <w:rPr>
                <w:sz w:val="18"/>
                <w:szCs w:val="18"/>
              </w:rPr>
            </w:pPr>
            <w:r w:rsidRPr="002C58C4">
              <w:rPr>
                <w:sz w:val="18"/>
                <w:szCs w:val="18"/>
              </w:rPr>
              <w:t xml:space="preserve">The carrying forward of commencements above the total performance benchmark will require data to be reported </w:t>
            </w:r>
            <w:r w:rsidR="00D01A6B" w:rsidRPr="002C58C4">
              <w:rPr>
                <w:sz w:val="18"/>
                <w:szCs w:val="18"/>
              </w:rPr>
              <w:t xml:space="preserve">on 30 April for the period </w:t>
            </w:r>
            <w:r w:rsidRPr="002C58C4">
              <w:rPr>
                <w:sz w:val="18"/>
                <w:szCs w:val="18"/>
              </w:rPr>
              <w:t>1 July to 30 June in the</w:t>
            </w:r>
            <w:r w:rsidR="00D01A6B" w:rsidRPr="002C58C4">
              <w:rPr>
                <w:sz w:val="18"/>
                <w:szCs w:val="18"/>
              </w:rPr>
              <w:t xml:space="preserve"> preceding </w:t>
            </w:r>
            <w:r w:rsidRPr="002C58C4">
              <w:rPr>
                <w:sz w:val="18"/>
                <w:szCs w:val="18"/>
              </w:rPr>
              <w:t>financial year.</w:t>
            </w:r>
            <w:r w:rsidR="00A402CA" w:rsidRPr="002C58C4">
              <w:rPr>
                <w:sz w:val="18"/>
                <w:szCs w:val="18"/>
              </w:rPr>
              <w:t xml:space="preserve"> </w:t>
            </w:r>
          </w:p>
          <w:p w14:paraId="1BC198B3" w14:textId="127B9BED" w:rsidR="005137B6" w:rsidRPr="002C58C4" w:rsidRDefault="005137B6" w:rsidP="001A7DDC">
            <w:pPr>
              <w:spacing w:before="40" w:after="40"/>
              <w:contextualSpacing/>
              <w:jc w:val="left"/>
              <w:rPr>
                <w:sz w:val="18"/>
                <w:szCs w:val="18"/>
              </w:rPr>
            </w:pPr>
            <w:r>
              <w:rPr>
                <w:sz w:val="18"/>
                <w:szCs w:val="18"/>
              </w:rPr>
              <w:t>Any commencements counted are not intended to duplicate training efforts under the JobTrainer program.</w:t>
            </w:r>
          </w:p>
          <w:p w14:paraId="6604B5DA" w14:textId="77777777" w:rsidR="008E344A" w:rsidRPr="002C58C4" w:rsidRDefault="00A402CA" w:rsidP="001A7DDC">
            <w:pPr>
              <w:spacing w:before="40" w:after="40"/>
              <w:contextualSpacing/>
              <w:jc w:val="left"/>
              <w:rPr>
                <w:sz w:val="18"/>
                <w:szCs w:val="18"/>
              </w:rPr>
            </w:pPr>
            <w:r w:rsidRPr="002C58C4">
              <w:rPr>
                <w:sz w:val="18"/>
                <w:szCs w:val="18"/>
              </w:rPr>
              <w:t xml:space="preserve">All data will be signed off as a true and accurate record of achievement by the Executive Director, Training Services </w:t>
            </w:r>
            <w:r w:rsidR="00C71020" w:rsidRPr="002C58C4">
              <w:rPr>
                <w:sz w:val="18"/>
                <w:szCs w:val="18"/>
              </w:rPr>
              <w:t>New South Wales</w:t>
            </w:r>
            <w:r w:rsidRPr="002C58C4">
              <w:rPr>
                <w:sz w:val="18"/>
                <w:szCs w:val="18"/>
              </w:rPr>
              <w:t xml:space="preserve"> or an equiva</w:t>
            </w:r>
            <w:r w:rsidR="002C58C4" w:rsidRPr="002C58C4">
              <w:rPr>
                <w:sz w:val="18"/>
                <w:szCs w:val="18"/>
              </w:rPr>
              <w:t>lent authorised senior officer.</w:t>
            </w:r>
          </w:p>
        </w:tc>
      </w:tr>
      <w:tr w:rsidR="002C58C4" w:rsidRPr="002C58C4" w14:paraId="5E5FC8C5" w14:textId="77777777" w:rsidTr="002C58C4">
        <w:trPr>
          <w:cantSplit/>
          <w:trHeight w:val="380"/>
        </w:trPr>
        <w:tc>
          <w:tcPr>
            <w:tcW w:w="3261" w:type="dxa"/>
            <w:tcBorders>
              <w:top w:val="single" w:sz="4" w:space="0" w:color="auto"/>
              <w:bottom w:val="single" w:sz="4" w:space="0" w:color="auto"/>
            </w:tcBorders>
          </w:tcPr>
          <w:p w14:paraId="6059F75F" w14:textId="77777777" w:rsidR="002C58C4" w:rsidRPr="002C58C4" w:rsidRDefault="002C58C4" w:rsidP="001A7DDC">
            <w:pPr>
              <w:spacing w:before="40" w:after="40"/>
              <w:contextualSpacing/>
              <w:rPr>
                <w:sz w:val="18"/>
                <w:szCs w:val="18"/>
              </w:rPr>
            </w:pPr>
            <w:r w:rsidRPr="002C58C4">
              <w:rPr>
                <w:sz w:val="18"/>
                <w:szCs w:val="18"/>
              </w:rPr>
              <w:t>Milestones</w:t>
            </w:r>
          </w:p>
        </w:tc>
        <w:tc>
          <w:tcPr>
            <w:tcW w:w="6375" w:type="dxa"/>
            <w:tcBorders>
              <w:top w:val="single" w:sz="4" w:space="0" w:color="auto"/>
              <w:bottom w:val="single" w:sz="4" w:space="0" w:color="auto"/>
            </w:tcBorders>
          </w:tcPr>
          <w:p w14:paraId="7673E581" w14:textId="77777777" w:rsidR="002C58C4" w:rsidRPr="002C58C4" w:rsidRDefault="002C58C4" w:rsidP="001A7DDC">
            <w:pPr>
              <w:spacing w:before="40" w:after="40"/>
              <w:contextualSpacing/>
              <w:jc w:val="left"/>
              <w:rPr>
                <w:sz w:val="18"/>
                <w:szCs w:val="18"/>
              </w:rPr>
            </w:pPr>
            <w:r w:rsidRPr="002C58C4">
              <w:rPr>
                <w:sz w:val="18"/>
                <w:szCs w:val="18"/>
              </w:rPr>
              <w:t>Short report outlining what has been achieved including how the activities have been undertaken and completed and who has been engaged in delivering the activities to achieve the milestones.</w:t>
            </w:r>
          </w:p>
          <w:p w14:paraId="57387894" w14:textId="77777777" w:rsidR="002C58C4" w:rsidRPr="002C58C4" w:rsidRDefault="002C58C4" w:rsidP="001A7DDC">
            <w:pPr>
              <w:spacing w:before="40" w:after="40"/>
              <w:contextualSpacing/>
              <w:jc w:val="left"/>
              <w:rPr>
                <w:sz w:val="18"/>
                <w:szCs w:val="18"/>
              </w:rPr>
            </w:pPr>
            <w:r w:rsidRPr="002C58C4">
              <w:rPr>
                <w:sz w:val="18"/>
                <w:szCs w:val="18"/>
              </w:rPr>
              <w:t>The report is to include evidence for the completion of milestones (e.g. publicly available materials, references to published website links, and internal records or reports).</w:t>
            </w:r>
          </w:p>
          <w:p w14:paraId="2C76A334" w14:textId="77777777" w:rsidR="002C58C4" w:rsidRPr="002C58C4" w:rsidRDefault="002C58C4" w:rsidP="001A7DDC">
            <w:pPr>
              <w:spacing w:before="40" w:after="40"/>
              <w:contextualSpacing/>
              <w:jc w:val="left"/>
              <w:rPr>
                <w:sz w:val="18"/>
                <w:szCs w:val="18"/>
              </w:rPr>
            </w:pPr>
            <w:r w:rsidRPr="002C58C4">
              <w:rPr>
                <w:sz w:val="18"/>
                <w:szCs w:val="18"/>
              </w:rPr>
              <w:t>All milestones will be signed off as a true and accurate record of achievement by the Executive Director, Training Services New South Wales or an equivalent authorised senior officer.</w:t>
            </w:r>
          </w:p>
        </w:tc>
      </w:tr>
      <w:tr w:rsidR="002C58C4" w:rsidRPr="002C58C4" w14:paraId="2E6C5AF4" w14:textId="77777777" w:rsidTr="002C58C4">
        <w:trPr>
          <w:cantSplit/>
          <w:trHeight w:val="380"/>
        </w:trPr>
        <w:tc>
          <w:tcPr>
            <w:tcW w:w="3261" w:type="dxa"/>
            <w:tcBorders>
              <w:top w:val="single" w:sz="4" w:space="0" w:color="auto"/>
              <w:bottom w:val="single" w:sz="4" w:space="0" w:color="auto"/>
            </w:tcBorders>
          </w:tcPr>
          <w:p w14:paraId="1BA62754" w14:textId="77777777" w:rsidR="002C58C4" w:rsidRPr="002C58C4" w:rsidRDefault="002C58C4" w:rsidP="001A7DDC">
            <w:pPr>
              <w:spacing w:before="40" w:after="40"/>
              <w:contextualSpacing/>
              <w:rPr>
                <w:sz w:val="18"/>
                <w:szCs w:val="18"/>
              </w:rPr>
            </w:pPr>
            <w:r w:rsidRPr="002C58C4">
              <w:rPr>
                <w:sz w:val="18"/>
                <w:szCs w:val="18"/>
              </w:rPr>
              <w:t xml:space="preserve">Matched Funding </w:t>
            </w:r>
          </w:p>
        </w:tc>
        <w:tc>
          <w:tcPr>
            <w:tcW w:w="6375" w:type="dxa"/>
            <w:tcBorders>
              <w:top w:val="single" w:sz="4" w:space="0" w:color="auto"/>
              <w:bottom w:val="single" w:sz="4" w:space="0" w:color="auto"/>
            </w:tcBorders>
          </w:tcPr>
          <w:p w14:paraId="503F7B5C" w14:textId="3C5852D6" w:rsidR="002C58C4" w:rsidRPr="002C58C4" w:rsidRDefault="002C58C4" w:rsidP="001A7DDC">
            <w:pPr>
              <w:spacing w:before="40" w:after="40"/>
              <w:contextualSpacing/>
              <w:jc w:val="left"/>
              <w:rPr>
                <w:sz w:val="18"/>
                <w:szCs w:val="18"/>
              </w:rPr>
            </w:pPr>
            <w:r w:rsidRPr="002C58C4">
              <w:rPr>
                <w:sz w:val="18"/>
                <w:szCs w:val="18"/>
              </w:rPr>
              <w:t xml:space="preserve">A statement that New South Wales’ annual budget for project(s) </w:t>
            </w:r>
            <w:r w:rsidR="005137B6">
              <w:rPr>
                <w:sz w:val="18"/>
                <w:szCs w:val="18"/>
              </w:rPr>
              <w:t xml:space="preserve">meets the amount set out in Table 3 of this schedule, and </w:t>
            </w:r>
            <w:r w:rsidRPr="002C58C4">
              <w:rPr>
                <w:sz w:val="18"/>
                <w:szCs w:val="18"/>
              </w:rPr>
              <w:t>at least matches the proposed Commonwealth contribution</w:t>
            </w:r>
            <w:r w:rsidR="005137B6">
              <w:rPr>
                <w:sz w:val="18"/>
                <w:szCs w:val="18"/>
              </w:rPr>
              <w:t xml:space="preserve"> over the term of the Agreement</w:t>
            </w:r>
            <w:r w:rsidRPr="002C58C4">
              <w:rPr>
                <w:sz w:val="18"/>
                <w:szCs w:val="18"/>
              </w:rPr>
              <w:t>. This is to be signed by the Chief Financial Officer (CFO) or an equivalent authorised senior officer.</w:t>
            </w:r>
          </w:p>
        </w:tc>
      </w:tr>
      <w:tr w:rsidR="001A7F16" w:rsidRPr="002C58C4" w14:paraId="4E9E0333" w14:textId="77777777" w:rsidTr="002C58C4">
        <w:trPr>
          <w:cantSplit/>
          <w:trHeight w:val="380"/>
        </w:trPr>
        <w:tc>
          <w:tcPr>
            <w:tcW w:w="3261" w:type="dxa"/>
            <w:tcBorders>
              <w:top w:val="single" w:sz="4" w:space="0" w:color="auto"/>
              <w:bottom w:val="single" w:sz="4" w:space="0" w:color="auto"/>
            </w:tcBorders>
          </w:tcPr>
          <w:p w14:paraId="0DEA1703" w14:textId="77777777" w:rsidR="002C58C4" w:rsidRPr="002C58C4" w:rsidRDefault="002C58C4" w:rsidP="001A7DDC">
            <w:pPr>
              <w:spacing w:before="40" w:after="40"/>
              <w:contextualSpacing/>
              <w:rPr>
                <w:sz w:val="18"/>
                <w:szCs w:val="18"/>
              </w:rPr>
            </w:pPr>
            <w:r w:rsidRPr="002C58C4">
              <w:rPr>
                <w:sz w:val="18"/>
                <w:szCs w:val="18"/>
              </w:rPr>
              <w:t xml:space="preserve">Budget benchmark </w:t>
            </w:r>
          </w:p>
          <w:p w14:paraId="688195CB" w14:textId="77777777" w:rsidR="001A7F16" w:rsidRPr="002C58C4" w:rsidRDefault="001A7F16" w:rsidP="001A7DDC">
            <w:pPr>
              <w:spacing w:before="40" w:after="40"/>
              <w:contextualSpacing/>
              <w:rPr>
                <w:sz w:val="18"/>
                <w:szCs w:val="18"/>
              </w:rPr>
            </w:pPr>
          </w:p>
        </w:tc>
        <w:tc>
          <w:tcPr>
            <w:tcW w:w="6375" w:type="dxa"/>
            <w:tcBorders>
              <w:top w:val="single" w:sz="4" w:space="0" w:color="auto"/>
              <w:bottom w:val="single" w:sz="4" w:space="0" w:color="auto"/>
            </w:tcBorders>
          </w:tcPr>
          <w:p w14:paraId="4E5C866E" w14:textId="77777777" w:rsidR="001A7F16" w:rsidRPr="002C58C4" w:rsidRDefault="002C58C4" w:rsidP="001A7DDC">
            <w:pPr>
              <w:spacing w:before="40" w:after="40"/>
              <w:contextualSpacing/>
              <w:jc w:val="left"/>
              <w:rPr>
                <w:sz w:val="18"/>
                <w:szCs w:val="18"/>
              </w:rPr>
            </w:pPr>
            <w:r w:rsidRPr="002C58C4">
              <w:rPr>
                <w:sz w:val="18"/>
                <w:szCs w:val="18"/>
              </w:rPr>
              <w:t>A statement that New South Wales’ annual budget for vocational education and training at least equals the budget benchmark calculated using the same methods in clause 2 of this schedule. This is to be signed off by the CFO or an equivalent authorised senior officer.</w:t>
            </w:r>
          </w:p>
        </w:tc>
      </w:tr>
    </w:tbl>
    <w:p w14:paraId="1EEDA22E" w14:textId="77777777" w:rsidR="00BB724E" w:rsidRDefault="00BB724E" w:rsidP="009C454E">
      <w:pPr>
        <w:pStyle w:val="Heading1"/>
        <w:spacing w:before="240"/>
      </w:pPr>
    </w:p>
    <w:p w14:paraId="1D7392B5" w14:textId="77777777" w:rsidR="00BB724E" w:rsidRDefault="00BB724E">
      <w:pPr>
        <w:spacing w:after="200" w:line="276" w:lineRule="auto"/>
        <w:jc w:val="left"/>
        <w:rPr>
          <w:rFonts w:ascii="Consolas" w:hAnsi="Consolas" w:cs="Arial"/>
          <w:bCs/>
          <w:caps/>
          <w:color w:val="3D4B67"/>
          <w:kern w:val="32"/>
          <w:sz w:val="32"/>
          <w:szCs w:val="36"/>
        </w:rPr>
      </w:pPr>
      <w:r>
        <w:br w:type="page"/>
      </w:r>
    </w:p>
    <w:p w14:paraId="75CFF4FB" w14:textId="77777777" w:rsidR="009C454E" w:rsidRDefault="009C454E" w:rsidP="009C454E">
      <w:pPr>
        <w:pStyle w:val="Heading1"/>
        <w:spacing w:before="240"/>
      </w:pPr>
      <w:r>
        <w:t>Part 4 – PERFO</w:t>
      </w:r>
      <w:r w:rsidR="00F9552D">
        <w:t>R</w:t>
      </w:r>
      <w:r>
        <w:t>MANCE BENCHMARKS</w:t>
      </w:r>
      <w:r w:rsidR="00BB7FF4">
        <w:t xml:space="preserve"> and</w:t>
      </w:r>
      <w:r>
        <w:t>/</w:t>
      </w:r>
      <w:r w:rsidR="00BB7FF4">
        <w:t>or</w:t>
      </w:r>
      <w:r w:rsidR="00CF07BB">
        <w:t xml:space="preserve"> </w:t>
      </w:r>
      <w:r>
        <w:t>Milestones, Reporting and Payments</w:t>
      </w:r>
      <w:r w:rsidR="00B76C54">
        <w:t xml:space="preserve"> </w:t>
      </w:r>
    </w:p>
    <w:p w14:paraId="45F6291C" w14:textId="77777777" w:rsidR="001A7F16" w:rsidRDefault="001A7F16" w:rsidP="00C61721">
      <w:pPr>
        <w:pStyle w:val="ScheduleNumberedPara"/>
        <w:numPr>
          <w:ilvl w:val="0"/>
          <w:numId w:val="13"/>
        </w:numPr>
        <w:tabs>
          <w:tab w:val="left" w:pos="0"/>
        </w:tabs>
        <w:ind w:hanging="720"/>
        <w:jc w:val="left"/>
      </w:pPr>
      <w:r>
        <w:t>The total performance benchmark is the addition of the baseline commencement plus the additional commencement target for a given</w:t>
      </w:r>
      <w:r w:rsidR="003D5D80">
        <w:t xml:space="preserve"> </w:t>
      </w:r>
      <w:r w:rsidR="00387798">
        <w:t>training activity</w:t>
      </w:r>
      <w:r w:rsidR="00CA7403">
        <w:t xml:space="preserve"> type</w:t>
      </w:r>
      <w:r>
        <w:t xml:space="preserve">. </w:t>
      </w:r>
    </w:p>
    <w:p w14:paraId="0F93EE9E" w14:textId="77777777" w:rsidR="00577605" w:rsidRDefault="00577605" w:rsidP="00C61721">
      <w:pPr>
        <w:pStyle w:val="ScheduleNumberedPara"/>
        <w:numPr>
          <w:ilvl w:val="0"/>
          <w:numId w:val="13"/>
        </w:numPr>
        <w:tabs>
          <w:tab w:val="left" w:pos="0"/>
        </w:tabs>
        <w:ind w:hanging="720"/>
        <w:jc w:val="left"/>
      </w:pPr>
      <w:r w:rsidRPr="00036A66">
        <w:t xml:space="preserve">Table </w:t>
      </w:r>
      <w:r w:rsidR="00E03F8A">
        <w:t>6</w:t>
      </w:r>
      <w:r w:rsidRPr="00036A66">
        <w:t xml:space="preserve"> summarises the </w:t>
      </w:r>
      <w:r w:rsidR="009C454E">
        <w:t xml:space="preserve">performance benchmarks and </w:t>
      </w:r>
      <w:r w:rsidRPr="00036A66">
        <w:t xml:space="preserve">milestones for </w:t>
      </w:r>
      <w:r w:rsidR="001D60A3">
        <w:t xml:space="preserve">the </w:t>
      </w:r>
      <w:r w:rsidR="009C454E">
        <w:t>agreed</w:t>
      </w:r>
      <w:r w:rsidRPr="00036A66">
        <w:t xml:space="preserve"> projects, </w:t>
      </w:r>
      <w:r w:rsidR="009C454E">
        <w:t>r</w:t>
      </w:r>
      <w:r w:rsidRPr="00036A66">
        <w:t>elevant reporting dates and expected payments to be made.</w:t>
      </w:r>
      <w:r w:rsidR="00076417">
        <w:t xml:space="preserve">  </w:t>
      </w:r>
    </w:p>
    <w:p w14:paraId="3935D5E7" w14:textId="77777777" w:rsidR="00577605" w:rsidRPr="00DC75D9" w:rsidRDefault="00577605" w:rsidP="00C61721">
      <w:pPr>
        <w:keepNext/>
        <w:spacing w:after="120" w:line="276" w:lineRule="auto"/>
        <w:jc w:val="left"/>
      </w:pPr>
      <w:r w:rsidRPr="00DC75D9">
        <w:t xml:space="preserve">Table </w:t>
      </w:r>
      <w:r w:rsidR="00E03F8A" w:rsidRPr="00DC75D9">
        <w:t>6</w:t>
      </w:r>
      <w:r w:rsidRPr="00DC75D9">
        <w:t xml:space="preserve">: </w:t>
      </w:r>
      <w:r w:rsidR="0077478E" w:rsidRPr="00DC75D9">
        <w:t>Performance benchmarks, m</w:t>
      </w:r>
      <w:r w:rsidRPr="00DC75D9">
        <w:t>ilestones, reporting and payment summary</w:t>
      </w:r>
      <w:r w:rsidR="00B76C54" w:rsidRPr="00DC75D9">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24"/>
        <w:gridCol w:w="5670"/>
        <w:gridCol w:w="1560"/>
        <w:gridCol w:w="1393"/>
      </w:tblGrid>
      <w:tr w:rsidR="00577605" w:rsidRPr="00C26C5B" w14:paraId="1D0EFCC0" w14:textId="77777777" w:rsidTr="00710002">
        <w:tc>
          <w:tcPr>
            <w:tcW w:w="1124" w:type="dxa"/>
            <w:tcBorders>
              <w:bottom w:val="single" w:sz="8" w:space="0" w:color="4F81BD"/>
            </w:tcBorders>
            <w:shd w:val="clear" w:color="auto" w:fill="DBE5F1" w:themeFill="accent1" w:themeFillTint="33"/>
          </w:tcPr>
          <w:p w14:paraId="615BC2BA" w14:textId="77777777" w:rsidR="00577605" w:rsidRPr="00C26C5B" w:rsidRDefault="00577605" w:rsidP="00144387">
            <w:pPr>
              <w:pStyle w:val="Heading2"/>
              <w:spacing w:before="120"/>
              <w:rPr>
                <w:bCs w:val="0"/>
                <w:sz w:val="24"/>
                <w:szCs w:val="24"/>
              </w:rPr>
            </w:pPr>
            <w:r w:rsidRPr="00C26C5B">
              <w:rPr>
                <w:bCs w:val="0"/>
                <w:sz w:val="24"/>
                <w:szCs w:val="24"/>
              </w:rPr>
              <w:t>Output</w:t>
            </w:r>
          </w:p>
        </w:tc>
        <w:tc>
          <w:tcPr>
            <w:tcW w:w="5670" w:type="dxa"/>
            <w:tcBorders>
              <w:bottom w:val="single" w:sz="8" w:space="0" w:color="4F81BD"/>
            </w:tcBorders>
            <w:shd w:val="clear" w:color="auto" w:fill="DBE5F1" w:themeFill="accent1" w:themeFillTint="33"/>
          </w:tcPr>
          <w:p w14:paraId="184A422C" w14:textId="77777777" w:rsidR="00577605" w:rsidRPr="00C26C5B" w:rsidRDefault="00DA7ACF" w:rsidP="00144387">
            <w:pPr>
              <w:pStyle w:val="Heading2"/>
              <w:spacing w:before="120"/>
              <w:rPr>
                <w:bCs w:val="0"/>
                <w:sz w:val="24"/>
                <w:szCs w:val="24"/>
              </w:rPr>
            </w:pPr>
            <w:r>
              <w:rPr>
                <w:bCs w:val="0"/>
                <w:sz w:val="24"/>
                <w:szCs w:val="24"/>
              </w:rPr>
              <w:t>Performance benchmarks/m</w:t>
            </w:r>
            <w:r w:rsidR="00577605" w:rsidRPr="00C26C5B">
              <w:rPr>
                <w:bCs w:val="0"/>
                <w:sz w:val="24"/>
                <w:szCs w:val="24"/>
              </w:rPr>
              <w:t>ilestone</w:t>
            </w:r>
            <w:r w:rsidR="00577605" w:rsidRPr="00A9341B">
              <w:rPr>
                <w:bCs w:val="0"/>
                <w:sz w:val="24"/>
                <w:szCs w:val="24"/>
              </w:rPr>
              <w:t>s</w:t>
            </w:r>
          </w:p>
        </w:tc>
        <w:tc>
          <w:tcPr>
            <w:tcW w:w="1560" w:type="dxa"/>
            <w:tcBorders>
              <w:bottom w:val="single" w:sz="8" w:space="0" w:color="4F81BD"/>
            </w:tcBorders>
            <w:shd w:val="clear" w:color="auto" w:fill="DBE5F1" w:themeFill="accent1" w:themeFillTint="33"/>
          </w:tcPr>
          <w:p w14:paraId="73D95B56" w14:textId="77777777" w:rsidR="00577605" w:rsidRPr="00D0312C" w:rsidRDefault="00577605" w:rsidP="00144387">
            <w:pPr>
              <w:pStyle w:val="Heading2"/>
              <w:spacing w:before="120"/>
              <w:rPr>
                <w:sz w:val="18"/>
                <w:szCs w:val="18"/>
              </w:rPr>
            </w:pPr>
            <w:r w:rsidRPr="00DE36EB">
              <w:rPr>
                <w:bCs w:val="0"/>
                <w:sz w:val="24"/>
                <w:szCs w:val="24"/>
              </w:rPr>
              <w:t>Report due</w:t>
            </w:r>
          </w:p>
        </w:tc>
        <w:tc>
          <w:tcPr>
            <w:tcW w:w="1393" w:type="dxa"/>
            <w:tcBorders>
              <w:bottom w:val="single" w:sz="8" w:space="0" w:color="4F81BD"/>
            </w:tcBorders>
            <w:shd w:val="clear" w:color="auto" w:fill="DBE5F1" w:themeFill="accent1" w:themeFillTint="33"/>
          </w:tcPr>
          <w:p w14:paraId="7491EBC6" w14:textId="77777777" w:rsidR="00577605" w:rsidRPr="00C26C5B" w:rsidRDefault="00577605" w:rsidP="00144387">
            <w:pPr>
              <w:pStyle w:val="Heading2"/>
              <w:spacing w:before="120"/>
              <w:rPr>
                <w:bCs w:val="0"/>
                <w:sz w:val="24"/>
                <w:szCs w:val="24"/>
              </w:rPr>
            </w:pPr>
            <w:r w:rsidRPr="00C26C5B">
              <w:rPr>
                <w:bCs w:val="0"/>
                <w:sz w:val="24"/>
                <w:szCs w:val="24"/>
              </w:rPr>
              <w:t>Payment</w:t>
            </w:r>
          </w:p>
        </w:tc>
      </w:tr>
      <w:tr w:rsidR="001507A6" w:rsidRPr="00C26C5B" w14:paraId="681AC88C" w14:textId="77777777" w:rsidTr="00891878">
        <w:trPr>
          <w:trHeight w:val="1328"/>
        </w:trPr>
        <w:tc>
          <w:tcPr>
            <w:tcW w:w="1124" w:type="dxa"/>
            <w:tcBorders>
              <w:bottom w:val="nil"/>
            </w:tcBorders>
          </w:tcPr>
          <w:p w14:paraId="630301ED" w14:textId="77777777" w:rsidR="001507A6" w:rsidRPr="001507A6" w:rsidRDefault="001507A6" w:rsidP="00891878">
            <w:pPr>
              <w:spacing w:line="240" w:lineRule="auto"/>
              <w:jc w:val="left"/>
              <w:rPr>
                <w:b/>
              </w:rPr>
            </w:pPr>
            <w:r w:rsidRPr="003A5BC6">
              <w:rPr>
                <w:b/>
              </w:rPr>
              <w:t>Project 1</w:t>
            </w:r>
          </w:p>
        </w:tc>
        <w:tc>
          <w:tcPr>
            <w:tcW w:w="5670" w:type="dxa"/>
            <w:tcBorders>
              <w:bottom w:val="nil"/>
            </w:tcBorders>
          </w:tcPr>
          <w:p w14:paraId="056DD970" w14:textId="77777777" w:rsidR="00F102D6" w:rsidRDefault="001074D3" w:rsidP="00891878">
            <w:pPr>
              <w:spacing w:after="120" w:line="240" w:lineRule="auto"/>
              <w:jc w:val="left"/>
            </w:pPr>
            <w:r w:rsidRPr="00000388">
              <w:rPr>
                <w:b/>
                <w:color w:val="auto"/>
                <w:szCs w:val="23"/>
              </w:rPr>
              <w:t xml:space="preserve">Performance </w:t>
            </w:r>
            <w:r w:rsidR="00710737">
              <w:rPr>
                <w:b/>
                <w:color w:val="auto"/>
                <w:szCs w:val="23"/>
              </w:rPr>
              <w:t>B</w:t>
            </w:r>
            <w:r w:rsidRPr="00000388">
              <w:rPr>
                <w:b/>
                <w:color w:val="auto"/>
                <w:szCs w:val="23"/>
              </w:rPr>
              <w:t>enchmark 1</w:t>
            </w:r>
            <w:r w:rsidR="00710737">
              <w:rPr>
                <w:b/>
                <w:color w:val="auto"/>
                <w:szCs w:val="23"/>
              </w:rPr>
              <w:t>:</w:t>
            </w:r>
            <w:r w:rsidRPr="00000388">
              <w:rPr>
                <w:b/>
                <w:color w:val="auto"/>
                <w:szCs w:val="23"/>
              </w:rPr>
              <w:t xml:space="preserve"> </w:t>
            </w:r>
            <w:r w:rsidR="00710737">
              <w:rPr>
                <w:b/>
                <w:color w:val="auto"/>
                <w:szCs w:val="23"/>
              </w:rPr>
              <w:t>A</w:t>
            </w:r>
            <w:r w:rsidR="00EC11EB">
              <w:rPr>
                <w:b/>
                <w:color w:val="auto"/>
                <w:szCs w:val="23"/>
              </w:rPr>
              <w:t xml:space="preserve">pprenticeships and </w:t>
            </w:r>
            <w:r w:rsidR="00710737">
              <w:rPr>
                <w:b/>
                <w:color w:val="auto"/>
                <w:szCs w:val="23"/>
              </w:rPr>
              <w:t>T</w:t>
            </w:r>
            <w:r w:rsidR="00EC11EB">
              <w:rPr>
                <w:b/>
                <w:color w:val="auto"/>
                <w:szCs w:val="23"/>
              </w:rPr>
              <w:t>raineeships</w:t>
            </w:r>
          </w:p>
          <w:p w14:paraId="1701DCD0" w14:textId="18FA9C53" w:rsidR="0023418F" w:rsidRPr="00DC75D9" w:rsidRDefault="00265853" w:rsidP="00891878">
            <w:pPr>
              <w:spacing w:after="120" w:line="240" w:lineRule="auto"/>
              <w:jc w:val="left"/>
            </w:pPr>
            <w:r w:rsidRPr="009A6DF5">
              <w:t>The total performance benchmark</w:t>
            </w:r>
            <w:r w:rsidR="00F102D6">
              <w:t xml:space="preserve"> for each financial year</w:t>
            </w:r>
            <w:r w:rsidRPr="009A6DF5">
              <w:t xml:space="preserve"> </w:t>
            </w:r>
            <w:r w:rsidR="00804769">
              <w:t>(baseline commencement plus additional commencement targets)</w:t>
            </w:r>
            <w:r w:rsidR="00F102D6">
              <w:t xml:space="preserve"> </w:t>
            </w:r>
            <w:r w:rsidR="0023418F">
              <w:t>for apprenticeship and traineeship</w:t>
            </w:r>
            <w:r w:rsidR="00894C04">
              <w:t xml:space="preserve"> commencements</w:t>
            </w:r>
            <w:r>
              <w:t xml:space="preserve"> </w:t>
            </w:r>
            <w:r w:rsidR="00DC75D9">
              <w:t>are as follows:</w:t>
            </w:r>
          </w:p>
        </w:tc>
        <w:tc>
          <w:tcPr>
            <w:tcW w:w="1560" w:type="dxa"/>
            <w:tcBorders>
              <w:bottom w:val="nil"/>
            </w:tcBorders>
          </w:tcPr>
          <w:p w14:paraId="3D80E4D0" w14:textId="77777777" w:rsidR="007C659F" w:rsidRPr="003F1B82" w:rsidRDefault="007C659F" w:rsidP="00891878">
            <w:pPr>
              <w:spacing w:after="0" w:line="240" w:lineRule="auto"/>
              <w:jc w:val="left"/>
            </w:pPr>
          </w:p>
        </w:tc>
        <w:tc>
          <w:tcPr>
            <w:tcW w:w="1393" w:type="dxa"/>
            <w:tcBorders>
              <w:bottom w:val="nil"/>
            </w:tcBorders>
          </w:tcPr>
          <w:p w14:paraId="14D6E3D2" w14:textId="77777777" w:rsidR="007C659F" w:rsidRDefault="007C659F" w:rsidP="00891878">
            <w:pPr>
              <w:spacing w:after="0" w:line="240" w:lineRule="auto"/>
              <w:rPr>
                <w:color w:val="auto"/>
                <w:szCs w:val="23"/>
              </w:rPr>
            </w:pPr>
          </w:p>
          <w:p w14:paraId="12EEA41E" w14:textId="77777777" w:rsidR="007C659F" w:rsidRPr="00B34193" w:rsidRDefault="007C659F" w:rsidP="00891878">
            <w:pPr>
              <w:spacing w:after="0" w:line="240" w:lineRule="auto"/>
              <w:jc w:val="right"/>
            </w:pPr>
          </w:p>
        </w:tc>
      </w:tr>
      <w:tr w:rsidR="00DC75D9" w:rsidRPr="00C26C5B" w14:paraId="0F86156E" w14:textId="77777777" w:rsidTr="00710002">
        <w:trPr>
          <w:trHeight w:val="770"/>
        </w:trPr>
        <w:tc>
          <w:tcPr>
            <w:tcW w:w="1124" w:type="dxa"/>
            <w:tcBorders>
              <w:top w:val="nil"/>
              <w:bottom w:val="nil"/>
            </w:tcBorders>
          </w:tcPr>
          <w:p w14:paraId="668C7ECB" w14:textId="77777777" w:rsidR="00DC75D9" w:rsidRPr="003A5BC6" w:rsidRDefault="00DC75D9" w:rsidP="00891878">
            <w:pPr>
              <w:spacing w:line="240" w:lineRule="auto"/>
              <w:jc w:val="left"/>
              <w:rPr>
                <w:b/>
              </w:rPr>
            </w:pPr>
          </w:p>
        </w:tc>
        <w:tc>
          <w:tcPr>
            <w:tcW w:w="5670" w:type="dxa"/>
            <w:tcBorders>
              <w:top w:val="nil"/>
              <w:bottom w:val="nil"/>
            </w:tcBorders>
          </w:tcPr>
          <w:p w14:paraId="36E92D14" w14:textId="77777777" w:rsidR="00DC75D9" w:rsidRPr="009A6DF5" w:rsidRDefault="00DC75D9" w:rsidP="00891878">
            <w:pPr>
              <w:pStyle w:val="ListParagraph"/>
              <w:numPr>
                <w:ilvl w:val="0"/>
                <w:numId w:val="11"/>
              </w:numPr>
              <w:spacing w:after="0" w:line="240" w:lineRule="auto"/>
              <w:jc w:val="left"/>
            </w:pPr>
            <w:r w:rsidRPr="009A6DF5">
              <w:t xml:space="preserve">2018-19: </w:t>
            </w:r>
            <w:r>
              <w:t>47,565</w:t>
            </w:r>
            <w:r w:rsidRPr="009A6DF5">
              <w:t xml:space="preserve"> commencements</w:t>
            </w:r>
          </w:p>
          <w:p w14:paraId="2A73315B" w14:textId="77777777" w:rsidR="00DC75D9" w:rsidRPr="009A6DF5" w:rsidRDefault="00DC75D9" w:rsidP="00891878">
            <w:pPr>
              <w:pStyle w:val="ListParagraph"/>
              <w:numPr>
                <w:ilvl w:val="0"/>
                <w:numId w:val="11"/>
              </w:numPr>
              <w:spacing w:after="0" w:line="240" w:lineRule="auto"/>
              <w:jc w:val="left"/>
            </w:pPr>
            <w:r>
              <w:t xml:space="preserve">2019-20: </w:t>
            </w:r>
            <w:r w:rsidR="00416F2E">
              <w:t>47,</w:t>
            </w:r>
            <w:r w:rsidR="00A03366">
              <w:t xml:space="preserve">565 </w:t>
            </w:r>
            <w:r w:rsidRPr="009A6DF5">
              <w:t>commencements</w:t>
            </w:r>
          </w:p>
          <w:p w14:paraId="203948C7" w14:textId="236EB150" w:rsidR="00DC75D9" w:rsidRPr="009A6DF5" w:rsidRDefault="00DC75D9" w:rsidP="00891878">
            <w:pPr>
              <w:pStyle w:val="ListParagraph"/>
              <w:numPr>
                <w:ilvl w:val="0"/>
                <w:numId w:val="11"/>
              </w:numPr>
              <w:spacing w:after="0" w:line="240" w:lineRule="auto"/>
              <w:jc w:val="left"/>
            </w:pPr>
            <w:r>
              <w:t xml:space="preserve">2020-21: </w:t>
            </w:r>
            <w:r w:rsidR="00075915">
              <w:t xml:space="preserve">37,872 </w:t>
            </w:r>
            <w:r w:rsidRPr="009A6DF5">
              <w:t>commencements</w:t>
            </w:r>
          </w:p>
          <w:p w14:paraId="50A9B02A" w14:textId="68950E2C" w:rsidR="00DC75D9" w:rsidRPr="009A6DF5" w:rsidRDefault="00DC75D9" w:rsidP="00891878">
            <w:pPr>
              <w:pStyle w:val="ListParagraph"/>
              <w:numPr>
                <w:ilvl w:val="0"/>
                <w:numId w:val="11"/>
              </w:numPr>
              <w:spacing w:after="0" w:line="240" w:lineRule="auto"/>
              <w:jc w:val="left"/>
            </w:pPr>
            <w:r>
              <w:t xml:space="preserve">2021-22: </w:t>
            </w:r>
            <w:r w:rsidR="00D412DD">
              <w:t xml:space="preserve">29,293 </w:t>
            </w:r>
            <w:r w:rsidRPr="009A6DF5">
              <w:t>commencements</w:t>
            </w:r>
          </w:p>
          <w:p w14:paraId="18D82C1A" w14:textId="77777777" w:rsidR="00DC75D9" w:rsidRDefault="00DC75D9" w:rsidP="00891878">
            <w:pPr>
              <w:spacing w:after="0" w:line="240" w:lineRule="auto"/>
              <w:jc w:val="left"/>
              <w:rPr>
                <w:color w:val="auto"/>
                <w:szCs w:val="23"/>
              </w:rPr>
            </w:pPr>
          </w:p>
          <w:p w14:paraId="58288EEF" w14:textId="4281A139" w:rsidR="0023418F" w:rsidRPr="00DC75D9" w:rsidRDefault="00C71020" w:rsidP="00891878">
            <w:pPr>
              <w:spacing w:after="120" w:line="240" w:lineRule="auto"/>
              <w:jc w:val="left"/>
              <w:rPr>
                <w:color w:val="auto"/>
                <w:szCs w:val="23"/>
              </w:rPr>
            </w:pPr>
            <w:r>
              <w:rPr>
                <w:color w:val="auto"/>
                <w:szCs w:val="23"/>
              </w:rPr>
              <w:t>New South Wales</w:t>
            </w:r>
            <w:r w:rsidR="00DC75D9" w:rsidRPr="009A6DF5">
              <w:rPr>
                <w:color w:val="auto"/>
                <w:szCs w:val="23"/>
              </w:rPr>
              <w:t xml:space="preserve"> will be eligible for</w:t>
            </w:r>
            <w:r w:rsidR="00DC75D9">
              <w:rPr>
                <w:color w:val="auto"/>
                <w:szCs w:val="23"/>
              </w:rPr>
              <w:t xml:space="preserve"> the full</w:t>
            </w:r>
            <w:r w:rsidR="00DC75D9" w:rsidRPr="009A6DF5">
              <w:rPr>
                <w:color w:val="auto"/>
                <w:szCs w:val="23"/>
              </w:rPr>
              <w:t xml:space="preserve"> performance payment each</w:t>
            </w:r>
            <w:r w:rsidR="00DC75D9">
              <w:rPr>
                <w:color w:val="auto"/>
                <w:szCs w:val="23"/>
              </w:rPr>
              <w:t xml:space="preserve"> financial</w:t>
            </w:r>
            <w:r w:rsidR="00DC75D9" w:rsidRPr="009A6DF5">
              <w:rPr>
                <w:color w:val="auto"/>
                <w:szCs w:val="23"/>
              </w:rPr>
              <w:t xml:space="preserve"> year when</w:t>
            </w:r>
            <w:r w:rsidR="00DC75D9">
              <w:rPr>
                <w:color w:val="auto"/>
                <w:szCs w:val="23"/>
              </w:rPr>
              <w:t xml:space="preserve"> </w:t>
            </w:r>
            <w:r w:rsidR="00804769">
              <w:rPr>
                <w:color w:val="auto"/>
                <w:szCs w:val="23"/>
              </w:rPr>
              <w:t>the following commencements are achieved (</w:t>
            </w:r>
            <w:r w:rsidR="00DC75D9">
              <w:rPr>
                <w:color w:val="auto"/>
                <w:szCs w:val="23"/>
              </w:rPr>
              <w:t xml:space="preserve">64 per cent of the </w:t>
            </w:r>
            <w:r w:rsidR="0023418F">
              <w:rPr>
                <w:color w:val="auto"/>
                <w:szCs w:val="23"/>
              </w:rPr>
              <w:t xml:space="preserve">total performance benchmark for apprenticeship and traineeship </w:t>
            </w:r>
            <w:r w:rsidR="00DC75D9">
              <w:rPr>
                <w:color w:val="auto"/>
                <w:szCs w:val="23"/>
              </w:rPr>
              <w:t>commencements</w:t>
            </w:r>
            <w:r w:rsidR="00804769">
              <w:rPr>
                <w:color w:val="auto"/>
                <w:szCs w:val="23"/>
              </w:rPr>
              <w:t>) between 1 July and up to 30 April</w:t>
            </w:r>
            <w:r w:rsidR="00DC75D9">
              <w:rPr>
                <w:color w:val="auto"/>
                <w:szCs w:val="23"/>
              </w:rPr>
              <w:t>:</w:t>
            </w:r>
          </w:p>
        </w:tc>
        <w:tc>
          <w:tcPr>
            <w:tcW w:w="1560" w:type="dxa"/>
            <w:tcBorders>
              <w:top w:val="nil"/>
              <w:bottom w:val="nil"/>
            </w:tcBorders>
          </w:tcPr>
          <w:p w14:paraId="27005B57" w14:textId="77777777" w:rsidR="00DC75D9" w:rsidRDefault="00DC75D9" w:rsidP="00891878">
            <w:pPr>
              <w:spacing w:after="0" w:line="240" w:lineRule="auto"/>
              <w:jc w:val="right"/>
            </w:pPr>
          </w:p>
        </w:tc>
        <w:tc>
          <w:tcPr>
            <w:tcW w:w="1393" w:type="dxa"/>
            <w:tcBorders>
              <w:top w:val="nil"/>
              <w:bottom w:val="nil"/>
            </w:tcBorders>
          </w:tcPr>
          <w:p w14:paraId="53BCDD64" w14:textId="77777777" w:rsidR="00DC75D9" w:rsidRDefault="00DC75D9" w:rsidP="00891878">
            <w:pPr>
              <w:spacing w:after="0" w:line="240" w:lineRule="auto"/>
              <w:jc w:val="right"/>
              <w:rPr>
                <w:color w:val="auto"/>
                <w:szCs w:val="23"/>
              </w:rPr>
            </w:pPr>
          </w:p>
        </w:tc>
      </w:tr>
      <w:tr w:rsidR="00DC75D9" w:rsidRPr="00C26C5B" w14:paraId="64ADC8C7" w14:textId="77777777" w:rsidTr="00710002">
        <w:trPr>
          <w:trHeight w:val="2655"/>
        </w:trPr>
        <w:tc>
          <w:tcPr>
            <w:tcW w:w="1124" w:type="dxa"/>
            <w:tcBorders>
              <w:top w:val="nil"/>
              <w:bottom w:val="single" w:sz="8" w:space="0" w:color="4F81BD"/>
            </w:tcBorders>
          </w:tcPr>
          <w:p w14:paraId="25F0D71B" w14:textId="77777777" w:rsidR="00DC75D9" w:rsidRPr="003A5BC6" w:rsidRDefault="00DC75D9" w:rsidP="00891878">
            <w:pPr>
              <w:spacing w:line="240" w:lineRule="auto"/>
              <w:jc w:val="left"/>
              <w:rPr>
                <w:b/>
              </w:rPr>
            </w:pPr>
          </w:p>
        </w:tc>
        <w:tc>
          <w:tcPr>
            <w:tcW w:w="5670" w:type="dxa"/>
            <w:tcBorders>
              <w:top w:val="nil"/>
              <w:bottom w:val="single" w:sz="8" w:space="0" w:color="4F81BD"/>
            </w:tcBorders>
          </w:tcPr>
          <w:p w14:paraId="2378FEDA" w14:textId="77777777" w:rsidR="00DC75D9" w:rsidRDefault="00DC75D9" w:rsidP="00891878">
            <w:pPr>
              <w:pStyle w:val="ListParagraph"/>
              <w:numPr>
                <w:ilvl w:val="0"/>
                <w:numId w:val="9"/>
              </w:numPr>
              <w:spacing w:after="0" w:line="240" w:lineRule="auto"/>
              <w:jc w:val="left"/>
            </w:pPr>
            <w:r>
              <w:t>2018-19:  30,44</w:t>
            </w:r>
            <w:r w:rsidR="00E73779">
              <w:t>1</w:t>
            </w:r>
            <w:r>
              <w:t xml:space="preserve"> commencements</w:t>
            </w:r>
          </w:p>
          <w:p w14:paraId="6890AFD5" w14:textId="394D8C18" w:rsidR="00DC75D9" w:rsidRDefault="00DC75D9" w:rsidP="00891878">
            <w:pPr>
              <w:pStyle w:val="ListParagraph"/>
              <w:numPr>
                <w:ilvl w:val="0"/>
                <w:numId w:val="9"/>
              </w:numPr>
              <w:spacing w:after="0" w:line="240" w:lineRule="auto"/>
              <w:jc w:val="left"/>
            </w:pPr>
            <w:r>
              <w:t xml:space="preserve">2020-21:  </w:t>
            </w:r>
            <w:r w:rsidR="00075915">
              <w:t xml:space="preserve">24,238 </w:t>
            </w:r>
            <w:r>
              <w:t>commencements</w:t>
            </w:r>
          </w:p>
          <w:p w14:paraId="11B66A0E" w14:textId="6F0453F3" w:rsidR="00DC75D9" w:rsidRDefault="00DC75D9" w:rsidP="00891878">
            <w:pPr>
              <w:pStyle w:val="ListParagraph"/>
              <w:numPr>
                <w:ilvl w:val="0"/>
                <w:numId w:val="9"/>
              </w:numPr>
              <w:spacing w:after="0" w:line="240" w:lineRule="auto"/>
              <w:jc w:val="left"/>
            </w:pPr>
            <w:r>
              <w:t xml:space="preserve">2021-22:  </w:t>
            </w:r>
            <w:r w:rsidR="00224CE7">
              <w:t>18,748</w:t>
            </w:r>
            <w:r w:rsidR="00D412DD">
              <w:t xml:space="preserve"> </w:t>
            </w:r>
            <w:r>
              <w:t>commencements</w:t>
            </w:r>
          </w:p>
          <w:p w14:paraId="1E0F4F3D" w14:textId="77777777" w:rsidR="00DC75D9" w:rsidRDefault="00DC75D9" w:rsidP="00891878">
            <w:pPr>
              <w:spacing w:after="0" w:line="240" w:lineRule="auto"/>
              <w:jc w:val="left"/>
              <w:rPr>
                <w:color w:val="auto"/>
                <w:szCs w:val="23"/>
              </w:rPr>
            </w:pPr>
          </w:p>
          <w:p w14:paraId="56E1BC27" w14:textId="67A14729" w:rsidR="00144387" w:rsidRDefault="008757EB" w:rsidP="00891878">
            <w:pPr>
              <w:spacing w:after="120" w:line="240" w:lineRule="auto"/>
              <w:jc w:val="left"/>
              <w:rPr>
                <w:color w:val="auto"/>
                <w:szCs w:val="23"/>
              </w:rPr>
            </w:pPr>
            <w:r>
              <w:rPr>
                <w:color w:val="auto"/>
                <w:szCs w:val="23"/>
              </w:rPr>
              <w:t>In 2019−20, New South Wales</w:t>
            </w:r>
            <w:r w:rsidRPr="009A6DF5">
              <w:rPr>
                <w:color w:val="auto"/>
                <w:szCs w:val="23"/>
              </w:rPr>
              <w:t xml:space="preserve"> will be eligible for</w:t>
            </w:r>
            <w:r>
              <w:rPr>
                <w:color w:val="auto"/>
                <w:szCs w:val="23"/>
              </w:rPr>
              <w:t xml:space="preserve"> the full</w:t>
            </w:r>
            <w:r w:rsidRPr="009A6DF5">
              <w:rPr>
                <w:color w:val="auto"/>
                <w:szCs w:val="23"/>
              </w:rPr>
              <w:t xml:space="preserve"> performance payment when</w:t>
            </w:r>
            <w:r>
              <w:rPr>
                <w:color w:val="auto"/>
                <w:szCs w:val="23"/>
              </w:rPr>
              <w:t xml:space="preserve"> the following commencements are achieved (</w:t>
            </w:r>
            <w:r w:rsidR="00B66E7D">
              <w:rPr>
                <w:color w:val="auto"/>
                <w:szCs w:val="23"/>
              </w:rPr>
              <w:t>31</w:t>
            </w:r>
            <w:r>
              <w:rPr>
                <w:color w:val="auto"/>
                <w:szCs w:val="23"/>
              </w:rPr>
              <w:t xml:space="preserve"> per cent of the total performance benchmark for apprenticeship and traineeship commencements) between 1 July and up to 31 December 2019:</w:t>
            </w:r>
          </w:p>
          <w:p w14:paraId="0039163E" w14:textId="3AC38077" w:rsidR="008757EB" w:rsidRDefault="008757EB" w:rsidP="00891878">
            <w:pPr>
              <w:pStyle w:val="ListParagraph"/>
              <w:numPr>
                <w:ilvl w:val="0"/>
                <w:numId w:val="9"/>
              </w:numPr>
              <w:spacing w:after="0" w:line="240" w:lineRule="auto"/>
              <w:jc w:val="left"/>
            </w:pPr>
            <w:r>
              <w:t xml:space="preserve">2019-20:  </w:t>
            </w:r>
            <w:r w:rsidR="00162A85">
              <w:t>14,671</w:t>
            </w:r>
            <w:r>
              <w:t xml:space="preserve"> commencements</w:t>
            </w:r>
          </w:p>
          <w:p w14:paraId="2916F495" w14:textId="77777777" w:rsidR="008757EB" w:rsidRDefault="008757EB" w:rsidP="00891878">
            <w:pPr>
              <w:spacing w:after="0" w:line="240" w:lineRule="auto"/>
              <w:jc w:val="left"/>
              <w:rPr>
                <w:color w:val="auto"/>
                <w:szCs w:val="23"/>
              </w:rPr>
            </w:pPr>
          </w:p>
          <w:p w14:paraId="6FB18415" w14:textId="1E73DE79" w:rsidR="0023418F" w:rsidRPr="00DC75D9" w:rsidRDefault="00C71020" w:rsidP="00891878">
            <w:pPr>
              <w:spacing w:after="0" w:line="240" w:lineRule="auto"/>
              <w:jc w:val="left"/>
            </w:pPr>
            <w:r>
              <w:t>New South Wales</w:t>
            </w:r>
            <w:r w:rsidR="00DC75D9">
              <w:t xml:space="preserve"> will be eligible for the minimum performance payment</w:t>
            </w:r>
            <w:r w:rsidR="00AD199A">
              <w:t xml:space="preserve"> each financial year</w:t>
            </w:r>
            <w:r w:rsidR="00DC75D9">
              <w:t xml:space="preserve"> if the following apprentice</w:t>
            </w:r>
            <w:r w:rsidR="0023418F">
              <w:t xml:space="preserve">ship and traineeship </w:t>
            </w:r>
            <w:r w:rsidR="00DC75D9">
              <w:t xml:space="preserve">commencements are achieved </w:t>
            </w:r>
            <w:r w:rsidR="00AD199A">
              <w:t xml:space="preserve">between </w:t>
            </w:r>
            <w:r w:rsidR="00AD199A">
              <w:rPr>
                <w:color w:val="auto"/>
                <w:szCs w:val="23"/>
              </w:rPr>
              <w:t>1 July and up to 30 April</w:t>
            </w:r>
            <w:r w:rsidR="00AD199A">
              <w:t xml:space="preserve"> </w:t>
            </w:r>
            <w:r w:rsidR="00DC75D9">
              <w:t xml:space="preserve">with </w:t>
            </w:r>
            <w:r w:rsidR="00A35051">
              <w:t>pro</w:t>
            </w:r>
            <w:r w:rsidR="00F102D6">
              <w:t xml:space="preserve"> </w:t>
            </w:r>
            <w:r w:rsidR="00DC75D9">
              <w:t xml:space="preserve">rata amounts paid for </w:t>
            </w:r>
            <w:r w:rsidR="00891878">
              <w:t>c</w:t>
            </w:r>
            <w:r w:rsidR="00DC75D9">
              <w:t xml:space="preserve">ommencements </w:t>
            </w:r>
            <w:r w:rsidR="00987654">
              <w:t>up to 64 per cent of the total performance benchmark between 1 July and up to 30 April</w:t>
            </w:r>
            <w:r w:rsidR="00DC75D9">
              <w:t>:</w:t>
            </w:r>
            <w:r w:rsidR="00144387">
              <w:br/>
            </w:r>
          </w:p>
        </w:tc>
        <w:tc>
          <w:tcPr>
            <w:tcW w:w="1560" w:type="dxa"/>
            <w:tcBorders>
              <w:top w:val="nil"/>
              <w:bottom w:val="single" w:sz="8" w:space="0" w:color="4F81BD"/>
            </w:tcBorders>
          </w:tcPr>
          <w:p w14:paraId="08250AD9" w14:textId="77777777" w:rsidR="00DC75D9" w:rsidRDefault="00DC75D9" w:rsidP="00891878">
            <w:pPr>
              <w:spacing w:after="0" w:line="240" w:lineRule="auto"/>
              <w:jc w:val="right"/>
            </w:pPr>
            <w:r>
              <w:t>30 April 2019</w:t>
            </w:r>
          </w:p>
          <w:p w14:paraId="66F33BD9" w14:textId="77777777" w:rsidR="00DC75D9" w:rsidRDefault="00DC75D9" w:rsidP="00891878">
            <w:pPr>
              <w:spacing w:after="0" w:line="240" w:lineRule="auto"/>
              <w:jc w:val="right"/>
            </w:pPr>
            <w:r>
              <w:t>30 April 2021</w:t>
            </w:r>
          </w:p>
          <w:p w14:paraId="1C4BE61A" w14:textId="77777777" w:rsidR="00DC75D9" w:rsidRDefault="00DC75D9" w:rsidP="00891878">
            <w:pPr>
              <w:spacing w:after="0" w:line="240" w:lineRule="auto"/>
              <w:jc w:val="right"/>
            </w:pPr>
            <w:r>
              <w:t>30 April 2022</w:t>
            </w:r>
          </w:p>
          <w:p w14:paraId="26C726FF" w14:textId="4AABE1C1" w:rsidR="00DC75D9" w:rsidRDefault="00DC75D9" w:rsidP="00891878">
            <w:pPr>
              <w:spacing w:after="0" w:line="240" w:lineRule="auto"/>
              <w:jc w:val="right"/>
            </w:pPr>
          </w:p>
          <w:p w14:paraId="3F0091B7" w14:textId="2F220DB4" w:rsidR="00206135" w:rsidRDefault="00206135" w:rsidP="00891878">
            <w:pPr>
              <w:spacing w:after="0" w:line="240" w:lineRule="auto"/>
              <w:jc w:val="right"/>
            </w:pPr>
          </w:p>
          <w:p w14:paraId="487489FB" w14:textId="076F9F8E" w:rsidR="00206135" w:rsidRDefault="00206135" w:rsidP="00891878">
            <w:pPr>
              <w:spacing w:after="0" w:line="240" w:lineRule="auto"/>
              <w:jc w:val="right"/>
            </w:pPr>
          </w:p>
          <w:p w14:paraId="6048CF98" w14:textId="55292E9D" w:rsidR="00206135" w:rsidRDefault="00206135" w:rsidP="00891878">
            <w:pPr>
              <w:spacing w:after="0" w:line="240" w:lineRule="auto"/>
              <w:jc w:val="right"/>
            </w:pPr>
          </w:p>
          <w:p w14:paraId="27EE2962" w14:textId="55A705C9" w:rsidR="00206135" w:rsidRDefault="00206135" w:rsidP="00891878">
            <w:pPr>
              <w:spacing w:after="0" w:line="240" w:lineRule="auto"/>
              <w:jc w:val="right"/>
            </w:pPr>
          </w:p>
          <w:p w14:paraId="0395DF5E" w14:textId="2F177D62" w:rsidR="00206135" w:rsidRDefault="00206135" w:rsidP="00891878">
            <w:pPr>
              <w:spacing w:after="0" w:line="240" w:lineRule="auto"/>
              <w:jc w:val="right"/>
            </w:pPr>
          </w:p>
          <w:p w14:paraId="0D27EBF2" w14:textId="77777777" w:rsidR="00144387" w:rsidRDefault="00144387" w:rsidP="00891878">
            <w:pPr>
              <w:spacing w:after="120" w:line="240" w:lineRule="auto"/>
              <w:jc w:val="right"/>
            </w:pPr>
          </w:p>
          <w:p w14:paraId="412FDD47" w14:textId="77777777" w:rsidR="008757EB" w:rsidRDefault="008757EB" w:rsidP="00891878">
            <w:pPr>
              <w:spacing w:after="0" w:line="240" w:lineRule="auto"/>
              <w:jc w:val="right"/>
            </w:pPr>
            <w:r>
              <w:t>30 April 2020</w:t>
            </w:r>
          </w:p>
          <w:p w14:paraId="6448C20F" w14:textId="77777777" w:rsidR="008757EB" w:rsidRDefault="008757EB" w:rsidP="00891878">
            <w:pPr>
              <w:spacing w:after="0" w:line="240" w:lineRule="auto"/>
              <w:jc w:val="right"/>
            </w:pPr>
          </w:p>
          <w:p w14:paraId="5649AE69" w14:textId="77777777" w:rsidR="008757EB" w:rsidRDefault="008757EB" w:rsidP="00891878">
            <w:pPr>
              <w:spacing w:after="0" w:line="240" w:lineRule="auto"/>
              <w:jc w:val="right"/>
            </w:pPr>
          </w:p>
        </w:tc>
        <w:tc>
          <w:tcPr>
            <w:tcW w:w="1393" w:type="dxa"/>
            <w:tcBorders>
              <w:top w:val="nil"/>
              <w:bottom w:val="single" w:sz="8" w:space="0" w:color="4F81BD"/>
            </w:tcBorders>
          </w:tcPr>
          <w:p w14:paraId="63B4E0BD" w14:textId="77777777" w:rsidR="00DC75D9" w:rsidRPr="00005243" w:rsidRDefault="00DC75D9" w:rsidP="00891878">
            <w:pPr>
              <w:spacing w:after="0" w:line="240" w:lineRule="auto"/>
              <w:jc w:val="right"/>
              <w:rPr>
                <w:color w:val="auto"/>
                <w:szCs w:val="23"/>
              </w:rPr>
            </w:pPr>
            <w:r w:rsidRPr="00005243">
              <w:rPr>
                <w:color w:val="auto"/>
                <w:szCs w:val="23"/>
              </w:rPr>
              <w:t>$33,947,000</w:t>
            </w:r>
          </w:p>
          <w:p w14:paraId="08965573" w14:textId="22C7B538" w:rsidR="00E73779" w:rsidRPr="00501756" w:rsidRDefault="00075915" w:rsidP="00891878">
            <w:pPr>
              <w:spacing w:after="0" w:line="240" w:lineRule="auto"/>
              <w:jc w:val="right"/>
              <w:rPr>
                <w:color w:val="auto"/>
                <w:szCs w:val="23"/>
              </w:rPr>
            </w:pPr>
            <w:r w:rsidRPr="00005243">
              <w:rPr>
                <w:color w:val="auto"/>
                <w:szCs w:val="23"/>
              </w:rPr>
              <w:t>$</w:t>
            </w:r>
            <w:r w:rsidR="00005243">
              <w:rPr>
                <w:color w:val="auto"/>
                <w:szCs w:val="23"/>
              </w:rPr>
              <w:t>41,149,930</w:t>
            </w:r>
            <w:r w:rsidRPr="00005243">
              <w:rPr>
                <w:color w:val="auto"/>
                <w:szCs w:val="23"/>
              </w:rPr>
              <w:t xml:space="preserve"> </w:t>
            </w:r>
          </w:p>
          <w:p w14:paraId="1AA19F25" w14:textId="5D74448C" w:rsidR="00D412DD" w:rsidRPr="00005243" w:rsidRDefault="00D412DD" w:rsidP="00891878">
            <w:pPr>
              <w:spacing w:after="0" w:line="240" w:lineRule="auto"/>
              <w:jc w:val="right"/>
              <w:rPr>
                <w:color w:val="auto"/>
                <w:szCs w:val="23"/>
              </w:rPr>
            </w:pPr>
            <w:r w:rsidRPr="00827A32">
              <w:rPr>
                <w:color w:val="auto"/>
                <w:szCs w:val="23"/>
              </w:rPr>
              <w:t>$15,917,</w:t>
            </w:r>
            <w:r w:rsidR="00ED0983">
              <w:rPr>
                <w:color w:val="auto"/>
                <w:szCs w:val="23"/>
              </w:rPr>
              <w:t>080</w:t>
            </w:r>
          </w:p>
          <w:p w14:paraId="0A58DFB1" w14:textId="7E62AC35" w:rsidR="00DC75D9" w:rsidRPr="00501756" w:rsidRDefault="00DC75D9" w:rsidP="00891878">
            <w:pPr>
              <w:spacing w:after="0" w:line="240" w:lineRule="auto"/>
              <w:jc w:val="right"/>
              <w:rPr>
                <w:color w:val="auto"/>
                <w:szCs w:val="23"/>
              </w:rPr>
            </w:pPr>
          </w:p>
          <w:p w14:paraId="0E8A44A6" w14:textId="1227EBBF" w:rsidR="00DC75D9" w:rsidRPr="007F6D93" w:rsidRDefault="00DC75D9" w:rsidP="00891878">
            <w:pPr>
              <w:spacing w:after="0" w:line="240" w:lineRule="auto"/>
              <w:jc w:val="right"/>
              <w:rPr>
                <w:color w:val="auto"/>
                <w:szCs w:val="23"/>
              </w:rPr>
            </w:pPr>
          </w:p>
          <w:p w14:paraId="208BBFE0" w14:textId="25C91C17" w:rsidR="00206135" w:rsidRPr="00005243" w:rsidRDefault="00206135" w:rsidP="00891878">
            <w:pPr>
              <w:spacing w:after="0" w:line="240" w:lineRule="auto"/>
              <w:jc w:val="right"/>
              <w:rPr>
                <w:color w:val="auto"/>
                <w:szCs w:val="23"/>
              </w:rPr>
            </w:pPr>
          </w:p>
          <w:p w14:paraId="2F4754C1" w14:textId="33EDF6E1" w:rsidR="00206135" w:rsidRPr="00005243" w:rsidRDefault="00206135" w:rsidP="00891878">
            <w:pPr>
              <w:spacing w:after="0" w:line="240" w:lineRule="auto"/>
              <w:jc w:val="right"/>
              <w:rPr>
                <w:color w:val="auto"/>
                <w:szCs w:val="23"/>
              </w:rPr>
            </w:pPr>
          </w:p>
          <w:p w14:paraId="4B24F57F" w14:textId="11BFBD58" w:rsidR="00206135" w:rsidRPr="00005243" w:rsidRDefault="00206135" w:rsidP="00891878">
            <w:pPr>
              <w:spacing w:after="0" w:line="240" w:lineRule="auto"/>
              <w:jc w:val="right"/>
              <w:rPr>
                <w:color w:val="auto"/>
                <w:szCs w:val="23"/>
              </w:rPr>
            </w:pPr>
          </w:p>
          <w:p w14:paraId="03CFA46D" w14:textId="04EBC7E5" w:rsidR="00206135" w:rsidRPr="00005243" w:rsidRDefault="00206135" w:rsidP="00891878">
            <w:pPr>
              <w:spacing w:after="0" w:line="240" w:lineRule="auto"/>
              <w:jc w:val="right"/>
              <w:rPr>
                <w:color w:val="auto"/>
                <w:szCs w:val="23"/>
              </w:rPr>
            </w:pPr>
          </w:p>
          <w:p w14:paraId="612A63FB" w14:textId="77777777" w:rsidR="00206135" w:rsidRPr="00005243" w:rsidRDefault="00206135" w:rsidP="00827A32">
            <w:pPr>
              <w:spacing w:after="120" w:line="240" w:lineRule="auto"/>
              <w:rPr>
                <w:color w:val="auto"/>
                <w:szCs w:val="23"/>
              </w:rPr>
            </w:pPr>
          </w:p>
          <w:p w14:paraId="69784262" w14:textId="77777777" w:rsidR="008757EB" w:rsidRPr="00005243" w:rsidRDefault="008757EB" w:rsidP="00891878">
            <w:pPr>
              <w:spacing w:after="0" w:line="240" w:lineRule="auto"/>
              <w:jc w:val="right"/>
              <w:rPr>
                <w:color w:val="auto"/>
                <w:szCs w:val="23"/>
              </w:rPr>
            </w:pPr>
            <w:r w:rsidRPr="00005243">
              <w:rPr>
                <w:color w:val="auto"/>
                <w:szCs w:val="23"/>
              </w:rPr>
              <w:t>$45,627,000</w:t>
            </w:r>
          </w:p>
          <w:p w14:paraId="45979EA4" w14:textId="77777777" w:rsidR="008757EB" w:rsidRPr="00005243" w:rsidRDefault="008757EB" w:rsidP="00891878">
            <w:pPr>
              <w:spacing w:after="0" w:line="240" w:lineRule="auto"/>
              <w:jc w:val="right"/>
              <w:rPr>
                <w:color w:val="auto"/>
                <w:szCs w:val="23"/>
              </w:rPr>
            </w:pPr>
          </w:p>
        </w:tc>
      </w:tr>
      <w:tr w:rsidR="00710002" w:rsidRPr="00C26C5B" w14:paraId="1B35DE4C" w14:textId="77777777" w:rsidTr="00710002">
        <w:trPr>
          <w:tblHeader/>
        </w:trPr>
        <w:tc>
          <w:tcPr>
            <w:tcW w:w="1124" w:type="dxa"/>
            <w:tcBorders>
              <w:top w:val="single" w:sz="8" w:space="0" w:color="4F81BD"/>
              <w:bottom w:val="single" w:sz="8" w:space="0" w:color="4F81BD"/>
            </w:tcBorders>
            <w:shd w:val="clear" w:color="auto" w:fill="DBE5F1" w:themeFill="accent1" w:themeFillTint="33"/>
          </w:tcPr>
          <w:p w14:paraId="46E12F6B" w14:textId="77777777" w:rsidR="00710002" w:rsidRPr="00C26C5B" w:rsidRDefault="00710002" w:rsidP="005137B6">
            <w:pPr>
              <w:pStyle w:val="Heading2"/>
              <w:spacing w:before="120"/>
              <w:rPr>
                <w:bCs w:val="0"/>
                <w:sz w:val="24"/>
                <w:szCs w:val="24"/>
              </w:rPr>
            </w:pPr>
            <w:r w:rsidRPr="00C26C5B">
              <w:rPr>
                <w:bCs w:val="0"/>
                <w:sz w:val="24"/>
                <w:szCs w:val="24"/>
              </w:rPr>
              <w:t>Output</w:t>
            </w:r>
          </w:p>
        </w:tc>
        <w:tc>
          <w:tcPr>
            <w:tcW w:w="5670" w:type="dxa"/>
            <w:tcBorders>
              <w:top w:val="single" w:sz="8" w:space="0" w:color="4F81BD"/>
              <w:bottom w:val="single" w:sz="8" w:space="0" w:color="4F81BD"/>
            </w:tcBorders>
            <w:shd w:val="clear" w:color="auto" w:fill="DBE5F1" w:themeFill="accent1" w:themeFillTint="33"/>
          </w:tcPr>
          <w:p w14:paraId="47E509B7" w14:textId="77777777" w:rsidR="00710002" w:rsidRPr="00C26C5B" w:rsidRDefault="00710002" w:rsidP="005137B6">
            <w:pPr>
              <w:pStyle w:val="Heading2"/>
              <w:spacing w:before="120"/>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60" w:type="dxa"/>
            <w:tcBorders>
              <w:top w:val="single" w:sz="8" w:space="0" w:color="4F81BD"/>
              <w:bottom w:val="single" w:sz="8" w:space="0" w:color="4F81BD"/>
            </w:tcBorders>
            <w:shd w:val="clear" w:color="auto" w:fill="DBE5F1" w:themeFill="accent1" w:themeFillTint="33"/>
          </w:tcPr>
          <w:p w14:paraId="38B29643" w14:textId="77777777" w:rsidR="00710002" w:rsidRPr="00D0312C" w:rsidRDefault="00710002" w:rsidP="005137B6">
            <w:pPr>
              <w:pStyle w:val="Heading2"/>
              <w:spacing w:before="120"/>
              <w:rPr>
                <w:sz w:val="18"/>
                <w:szCs w:val="18"/>
              </w:rPr>
            </w:pPr>
            <w:r w:rsidRPr="00DE36EB">
              <w:rPr>
                <w:bCs w:val="0"/>
                <w:sz w:val="24"/>
                <w:szCs w:val="24"/>
              </w:rPr>
              <w:t>Report due</w:t>
            </w:r>
          </w:p>
        </w:tc>
        <w:tc>
          <w:tcPr>
            <w:tcW w:w="1393" w:type="dxa"/>
            <w:tcBorders>
              <w:top w:val="single" w:sz="8" w:space="0" w:color="4F81BD"/>
              <w:bottom w:val="single" w:sz="8" w:space="0" w:color="4F81BD"/>
            </w:tcBorders>
            <w:shd w:val="clear" w:color="auto" w:fill="DBE5F1" w:themeFill="accent1" w:themeFillTint="33"/>
          </w:tcPr>
          <w:p w14:paraId="363B4795" w14:textId="77777777" w:rsidR="00710002" w:rsidRPr="00C26C5B" w:rsidRDefault="00710002" w:rsidP="005137B6">
            <w:pPr>
              <w:pStyle w:val="Heading2"/>
              <w:spacing w:before="120"/>
              <w:rPr>
                <w:bCs w:val="0"/>
                <w:sz w:val="24"/>
                <w:szCs w:val="24"/>
              </w:rPr>
            </w:pPr>
            <w:r w:rsidRPr="00C26C5B">
              <w:rPr>
                <w:bCs w:val="0"/>
                <w:sz w:val="24"/>
                <w:szCs w:val="24"/>
              </w:rPr>
              <w:t>Payment</w:t>
            </w:r>
          </w:p>
        </w:tc>
      </w:tr>
      <w:tr w:rsidR="00DC75D9" w:rsidRPr="00C26C5B" w14:paraId="77A2BC69" w14:textId="77777777" w:rsidTr="00891878">
        <w:trPr>
          <w:trHeight w:val="770"/>
        </w:trPr>
        <w:tc>
          <w:tcPr>
            <w:tcW w:w="1124" w:type="dxa"/>
            <w:tcBorders>
              <w:top w:val="nil"/>
              <w:bottom w:val="single" w:sz="8" w:space="0" w:color="4F81BD"/>
            </w:tcBorders>
          </w:tcPr>
          <w:p w14:paraId="79FC53E7" w14:textId="77777777" w:rsidR="00DC75D9" w:rsidRPr="003A5BC6" w:rsidRDefault="00DC75D9" w:rsidP="00891878">
            <w:pPr>
              <w:spacing w:line="240" w:lineRule="auto"/>
              <w:jc w:val="left"/>
              <w:rPr>
                <w:b/>
              </w:rPr>
            </w:pPr>
          </w:p>
        </w:tc>
        <w:tc>
          <w:tcPr>
            <w:tcW w:w="5670" w:type="dxa"/>
            <w:tcBorders>
              <w:top w:val="nil"/>
              <w:bottom w:val="single" w:sz="8" w:space="0" w:color="4F81BD"/>
            </w:tcBorders>
          </w:tcPr>
          <w:p w14:paraId="602BCE69" w14:textId="77777777" w:rsidR="00DC75D9" w:rsidRPr="00AF3BC5" w:rsidRDefault="00DC75D9" w:rsidP="00891878">
            <w:pPr>
              <w:pStyle w:val="ListParagraph"/>
              <w:numPr>
                <w:ilvl w:val="0"/>
                <w:numId w:val="11"/>
              </w:numPr>
              <w:spacing w:after="0" w:line="240" w:lineRule="auto"/>
              <w:jc w:val="left"/>
            </w:pPr>
            <w:r w:rsidRPr="00AF3BC5">
              <w:t>2018-19: 24,765 commencements</w:t>
            </w:r>
          </w:p>
          <w:p w14:paraId="3FF95F87" w14:textId="2A756C7C" w:rsidR="00DC75D9" w:rsidRPr="00AF3BC5" w:rsidRDefault="00DC75D9" w:rsidP="00891878">
            <w:pPr>
              <w:pStyle w:val="ListParagraph"/>
              <w:numPr>
                <w:ilvl w:val="0"/>
                <w:numId w:val="11"/>
              </w:numPr>
              <w:spacing w:after="0" w:line="240" w:lineRule="auto"/>
              <w:jc w:val="left"/>
            </w:pPr>
            <w:r>
              <w:t xml:space="preserve">2020-21: </w:t>
            </w:r>
            <w:r w:rsidR="00075915">
              <w:t xml:space="preserve">19,277 </w:t>
            </w:r>
            <w:r w:rsidRPr="00AF3BC5">
              <w:t xml:space="preserve"> commencements</w:t>
            </w:r>
          </w:p>
          <w:p w14:paraId="5CD2903D" w14:textId="37943DE7" w:rsidR="00DC75D9" w:rsidRDefault="00DC75D9" w:rsidP="00891878">
            <w:pPr>
              <w:pStyle w:val="ListParagraph"/>
              <w:numPr>
                <w:ilvl w:val="0"/>
                <w:numId w:val="11"/>
              </w:numPr>
              <w:spacing w:after="0" w:line="240" w:lineRule="auto"/>
              <w:jc w:val="left"/>
            </w:pPr>
            <w:r>
              <w:t xml:space="preserve">2021-22: </w:t>
            </w:r>
            <w:r w:rsidR="00224CE7">
              <w:t>16,532</w:t>
            </w:r>
            <w:r w:rsidR="00EA689E">
              <w:t xml:space="preserve"> </w:t>
            </w:r>
            <w:r w:rsidRPr="00AF3BC5">
              <w:t>commencements</w:t>
            </w:r>
          </w:p>
          <w:p w14:paraId="14F457F8" w14:textId="77777777" w:rsidR="00576A77" w:rsidRDefault="00576A77" w:rsidP="00891878">
            <w:pPr>
              <w:spacing w:after="0" w:line="240" w:lineRule="auto"/>
              <w:jc w:val="left"/>
            </w:pPr>
          </w:p>
          <w:p w14:paraId="2487A06D" w14:textId="163D429A" w:rsidR="00144387" w:rsidRDefault="008757EB" w:rsidP="00891878">
            <w:pPr>
              <w:spacing w:after="120" w:line="240" w:lineRule="auto"/>
              <w:jc w:val="left"/>
            </w:pPr>
            <w:r>
              <w:t xml:space="preserve">In 2019−20, New South Wales will be eligible for the minimum performance payment if the following apprenticeship and traineeship commencements are achieved between </w:t>
            </w:r>
            <w:r>
              <w:rPr>
                <w:color w:val="auto"/>
                <w:szCs w:val="23"/>
              </w:rPr>
              <w:t>1 July and up to 31 December 2019</w:t>
            </w:r>
            <w:r>
              <w:t xml:space="preserve"> with pro rata amounts paid for commencements between 50 per cent and 100 per cent:</w:t>
            </w:r>
          </w:p>
          <w:p w14:paraId="1C886CB8" w14:textId="50DBBA82" w:rsidR="008757EB" w:rsidRPr="00DC75D9" w:rsidRDefault="008757EB" w:rsidP="00891878">
            <w:pPr>
              <w:pStyle w:val="ListParagraph"/>
              <w:numPr>
                <w:ilvl w:val="0"/>
                <w:numId w:val="11"/>
              </w:numPr>
              <w:spacing w:after="0" w:line="240" w:lineRule="auto"/>
              <w:jc w:val="left"/>
            </w:pPr>
            <w:r w:rsidRPr="00AF3BC5">
              <w:t xml:space="preserve">2019-20: </w:t>
            </w:r>
            <w:r w:rsidR="00D37861">
              <w:t>11,</w:t>
            </w:r>
            <w:r w:rsidR="00162A85">
              <w:t>927</w:t>
            </w:r>
            <w:r>
              <w:t xml:space="preserve"> </w:t>
            </w:r>
            <w:r w:rsidRPr="00AF3BC5">
              <w:t>commencements</w:t>
            </w:r>
          </w:p>
        </w:tc>
        <w:tc>
          <w:tcPr>
            <w:tcW w:w="1560" w:type="dxa"/>
            <w:tcBorders>
              <w:top w:val="nil"/>
              <w:bottom w:val="single" w:sz="8" w:space="0" w:color="4F81BD"/>
            </w:tcBorders>
          </w:tcPr>
          <w:p w14:paraId="38BFA084" w14:textId="77777777" w:rsidR="00DC75D9" w:rsidRDefault="00DC75D9" w:rsidP="00891878">
            <w:pPr>
              <w:spacing w:after="0" w:line="240" w:lineRule="auto"/>
              <w:jc w:val="right"/>
            </w:pPr>
            <w:r>
              <w:t>30 April 2019</w:t>
            </w:r>
          </w:p>
          <w:p w14:paraId="356F1B32" w14:textId="77777777" w:rsidR="00DC75D9" w:rsidRDefault="00DC75D9" w:rsidP="00891878">
            <w:pPr>
              <w:spacing w:after="0" w:line="240" w:lineRule="auto"/>
              <w:jc w:val="right"/>
            </w:pPr>
            <w:r>
              <w:t>30 April 2021</w:t>
            </w:r>
          </w:p>
          <w:p w14:paraId="027318EC" w14:textId="77777777" w:rsidR="00DC75D9" w:rsidRDefault="00DC75D9" w:rsidP="00891878">
            <w:pPr>
              <w:spacing w:after="0" w:line="240" w:lineRule="auto"/>
              <w:jc w:val="right"/>
            </w:pPr>
            <w:r>
              <w:t>30 April 2022</w:t>
            </w:r>
          </w:p>
          <w:p w14:paraId="148FBB5A" w14:textId="5C250197" w:rsidR="008757EB" w:rsidRDefault="008757EB" w:rsidP="00891878">
            <w:pPr>
              <w:spacing w:after="0" w:line="240" w:lineRule="auto"/>
              <w:jc w:val="right"/>
            </w:pPr>
          </w:p>
          <w:p w14:paraId="12BAEF13" w14:textId="32DC59FB" w:rsidR="00206135" w:rsidRDefault="00206135" w:rsidP="00891878">
            <w:pPr>
              <w:spacing w:after="0" w:line="240" w:lineRule="auto"/>
              <w:jc w:val="right"/>
            </w:pPr>
          </w:p>
          <w:p w14:paraId="2413D2BC" w14:textId="0FD3FC93" w:rsidR="00206135" w:rsidRDefault="00206135" w:rsidP="00891878">
            <w:pPr>
              <w:spacing w:after="0" w:line="240" w:lineRule="auto"/>
              <w:jc w:val="right"/>
            </w:pPr>
          </w:p>
          <w:p w14:paraId="528D472D" w14:textId="14113466" w:rsidR="00206135" w:rsidRDefault="00206135" w:rsidP="00891878">
            <w:pPr>
              <w:spacing w:after="0" w:line="240" w:lineRule="auto"/>
              <w:jc w:val="right"/>
            </w:pPr>
          </w:p>
          <w:p w14:paraId="7313EB05" w14:textId="6DB7680B" w:rsidR="00144387" w:rsidRDefault="00144387" w:rsidP="00891878">
            <w:pPr>
              <w:spacing w:after="0" w:line="240" w:lineRule="auto"/>
              <w:jc w:val="right"/>
            </w:pPr>
          </w:p>
          <w:p w14:paraId="301F692E" w14:textId="77777777" w:rsidR="00144387" w:rsidRDefault="00144387" w:rsidP="00891878">
            <w:pPr>
              <w:spacing w:after="0" w:line="240" w:lineRule="auto"/>
              <w:jc w:val="right"/>
            </w:pPr>
          </w:p>
          <w:p w14:paraId="71EF1553" w14:textId="77777777" w:rsidR="00206135" w:rsidRDefault="00206135" w:rsidP="00891878">
            <w:pPr>
              <w:spacing w:after="120" w:line="240" w:lineRule="auto"/>
              <w:jc w:val="right"/>
            </w:pPr>
          </w:p>
          <w:p w14:paraId="1EADF781" w14:textId="35C0BE34" w:rsidR="008757EB" w:rsidRDefault="008757EB" w:rsidP="00891878">
            <w:pPr>
              <w:spacing w:after="0" w:line="240" w:lineRule="auto"/>
              <w:jc w:val="right"/>
            </w:pPr>
            <w:r>
              <w:t>30 April 2020</w:t>
            </w:r>
          </w:p>
        </w:tc>
        <w:tc>
          <w:tcPr>
            <w:tcW w:w="1393" w:type="dxa"/>
            <w:tcBorders>
              <w:top w:val="nil"/>
              <w:bottom w:val="single" w:sz="8" w:space="0" w:color="4F81BD"/>
            </w:tcBorders>
          </w:tcPr>
          <w:p w14:paraId="12FCDC71" w14:textId="77777777" w:rsidR="00DC75D9" w:rsidRDefault="00DC75D9" w:rsidP="00891878">
            <w:pPr>
              <w:spacing w:after="0" w:line="240" w:lineRule="auto"/>
              <w:jc w:val="right"/>
              <w:rPr>
                <w:color w:val="auto"/>
                <w:szCs w:val="23"/>
              </w:rPr>
            </w:pPr>
            <w:r>
              <w:rPr>
                <w:color w:val="auto"/>
                <w:szCs w:val="23"/>
              </w:rPr>
              <w:t>$16,97</w:t>
            </w:r>
            <w:r w:rsidR="009A6B24">
              <w:rPr>
                <w:color w:val="auto"/>
                <w:szCs w:val="23"/>
              </w:rPr>
              <w:t>3</w:t>
            </w:r>
            <w:r>
              <w:rPr>
                <w:color w:val="auto"/>
                <w:szCs w:val="23"/>
              </w:rPr>
              <w:t>,</w:t>
            </w:r>
            <w:r w:rsidR="009A6B24">
              <w:rPr>
                <w:color w:val="auto"/>
                <w:szCs w:val="23"/>
              </w:rPr>
              <w:t>5</w:t>
            </w:r>
            <w:r>
              <w:rPr>
                <w:color w:val="auto"/>
                <w:szCs w:val="23"/>
              </w:rPr>
              <w:t>00</w:t>
            </w:r>
          </w:p>
          <w:p w14:paraId="198EB88F" w14:textId="1AD02E92" w:rsidR="004C7A30" w:rsidRPr="003E11DE" w:rsidRDefault="00075915" w:rsidP="00891878">
            <w:pPr>
              <w:spacing w:after="0" w:line="240" w:lineRule="auto"/>
              <w:jc w:val="right"/>
              <w:rPr>
                <w:color w:val="auto"/>
                <w:szCs w:val="23"/>
              </w:rPr>
            </w:pPr>
            <w:r>
              <w:rPr>
                <w:color w:val="auto"/>
                <w:szCs w:val="23"/>
              </w:rPr>
              <w:t>$</w:t>
            </w:r>
            <w:r w:rsidR="00501756" w:rsidRPr="003E11DE">
              <w:rPr>
                <w:color w:val="auto"/>
                <w:szCs w:val="23"/>
              </w:rPr>
              <w:t>20,574,965</w:t>
            </w:r>
            <w:r w:rsidRPr="003E11DE">
              <w:rPr>
                <w:color w:val="auto"/>
                <w:szCs w:val="23"/>
              </w:rPr>
              <w:t xml:space="preserve"> </w:t>
            </w:r>
          </w:p>
          <w:p w14:paraId="7198A215" w14:textId="2B5A2CE2" w:rsidR="00D412DD" w:rsidRDefault="003E11DE" w:rsidP="00891878">
            <w:pPr>
              <w:spacing w:after="0" w:line="240" w:lineRule="auto"/>
              <w:jc w:val="right"/>
              <w:rPr>
                <w:color w:val="auto"/>
                <w:szCs w:val="23"/>
              </w:rPr>
            </w:pPr>
            <w:r>
              <w:rPr>
                <w:color w:val="auto"/>
                <w:szCs w:val="23"/>
              </w:rPr>
              <w:t>$</w:t>
            </w:r>
            <w:r w:rsidR="00501756" w:rsidRPr="00827A32">
              <w:rPr>
                <w:color w:val="auto"/>
                <w:szCs w:val="23"/>
              </w:rPr>
              <w:t>7,958,</w:t>
            </w:r>
            <w:r w:rsidR="00ED0983">
              <w:rPr>
                <w:color w:val="auto"/>
                <w:szCs w:val="23"/>
              </w:rPr>
              <w:t>540</w:t>
            </w:r>
          </w:p>
          <w:p w14:paraId="134AF83B" w14:textId="4FF32887" w:rsidR="00DC75D9" w:rsidRDefault="00DC75D9" w:rsidP="00891878">
            <w:pPr>
              <w:spacing w:after="0" w:line="240" w:lineRule="auto"/>
              <w:jc w:val="right"/>
              <w:rPr>
                <w:color w:val="auto"/>
                <w:szCs w:val="23"/>
              </w:rPr>
            </w:pPr>
          </w:p>
          <w:p w14:paraId="3E219E57" w14:textId="602B435B" w:rsidR="008757EB" w:rsidRDefault="008757EB" w:rsidP="00891878">
            <w:pPr>
              <w:spacing w:after="0" w:line="240" w:lineRule="auto"/>
              <w:jc w:val="right"/>
              <w:rPr>
                <w:color w:val="auto"/>
                <w:szCs w:val="23"/>
              </w:rPr>
            </w:pPr>
          </w:p>
          <w:p w14:paraId="76C3D1DF" w14:textId="4A0EDDD1" w:rsidR="00206135" w:rsidRDefault="00206135" w:rsidP="00891878">
            <w:pPr>
              <w:spacing w:after="0" w:line="240" w:lineRule="auto"/>
              <w:jc w:val="right"/>
              <w:rPr>
                <w:color w:val="auto"/>
                <w:szCs w:val="23"/>
              </w:rPr>
            </w:pPr>
          </w:p>
          <w:p w14:paraId="376078E3" w14:textId="25E75EF4" w:rsidR="00206135" w:rsidRDefault="00206135" w:rsidP="00891878">
            <w:pPr>
              <w:spacing w:after="0" w:line="240" w:lineRule="auto"/>
              <w:jc w:val="right"/>
              <w:rPr>
                <w:color w:val="auto"/>
                <w:szCs w:val="23"/>
              </w:rPr>
            </w:pPr>
          </w:p>
          <w:p w14:paraId="31BFE0E9" w14:textId="335CD2EB" w:rsidR="00206135" w:rsidRDefault="00206135" w:rsidP="00891878">
            <w:pPr>
              <w:spacing w:after="0" w:line="240" w:lineRule="auto"/>
              <w:jc w:val="right"/>
              <w:rPr>
                <w:color w:val="auto"/>
                <w:szCs w:val="23"/>
              </w:rPr>
            </w:pPr>
          </w:p>
          <w:p w14:paraId="0B145345" w14:textId="77777777" w:rsidR="00144387" w:rsidRDefault="00144387" w:rsidP="00891878">
            <w:pPr>
              <w:spacing w:after="0" w:line="240" w:lineRule="auto"/>
              <w:jc w:val="right"/>
              <w:rPr>
                <w:color w:val="auto"/>
                <w:szCs w:val="23"/>
              </w:rPr>
            </w:pPr>
          </w:p>
          <w:p w14:paraId="390D4DA2" w14:textId="77777777" w:rsidR="00144387" w:rsidRDefault="00144387" w:rsidP="00827A32">
            <w:pPr>
              <w:spacing w:after="120" w:line="240" w:lineRule="auto"/>
              <w:rPr>
                <w:color w:val="auto"/>
                <w:szCs w:val="23"/>
              </w:rPr>
            </w:pPr>
          </w:p>
          <w:p w14:paraId="2AC43E35" w14:textId="77777777" w:rsidR="008757EB" w:rsidRDefault="008757EB" w:rsidP="00891878">
            <w:pPr>
              <w:spacing w:after="0" w:line="240" w:lineRule="auto"/>
              <w:jc w:val="right"/>
              <w:rPr>
                <w:color w:val="auto"/>
                <w:szCs w:val="23"/>
              </w:rPr>
            </w:pPr>
            <w:r>
              <w:rPr>
                <w:color w:val="auto"/>
                <w:szCs w:val="23"/>
              </w:rPr>
              <w:t>$22,813,500</w:t>
            </w:r>
          </w:p>
          <w:p w14:paraId="3CF755C8" w14:textId="7BBBB1EA" w:rsidR="009177F9" w:rsidRDefault="009177F9" w:rsidP="00891878">
            <w:pPr>
              <w:spacing w:after="0" w:line="240" w:lineRule="auto"/>
              <w:rPr>
                <w:color w:val="auto"/>
                <w:szCs w:val="23"/>
              </w:rPr>
            </w:pPr>
          </w:p>
        </w:tc>
      </w:tr>
      <w:tr w:rsidR="00582837" w:rsidRPr="00C26C5B" w14:paraId="14478F6A" w14:textId="77777777" w:rsidTr="00891878">
        <w:trPr>
          <w:trHeight w:val="2389"/>
        </w:trPr>
        <w:tc>
          <w:tcPr>
            <w:tcW w:w="1124" w:type="dxa"/>
            <w:tcBorders>
              <w:top w:val="nil"/>
              <w:bottom w:val="nil"/>
            </w:tcBorders>
          </w:tcPr>
          <w:p w14:paraId="22DCBC95" w14:textId="77777777" w:rsidR="00582837" w:rsidRPr="003A5BC6" w:rsidRDefault="00582837" w:rsidP="00891878">
            <w:pPr>
              <w:spacing w:line="240" w:lineRule="auto"/>
              <w:jc w:val="left"/>
              <w:rPr>
                <w:b/>
              </w:rPr>
            </w:pPr>
          </w:p>
        </w:tc>
        <w:tc>
          <w:tcPr>
            <w:tcW w:w="5670" w:type="dxa"/>
            <w:tcBorders>
              <w:bottom w:val="nil"/>
            </w:tcBorders>
          </w:tcPr>
          <w:p w14:paraId="093B6165" w14:textId="77777777" w:rsidR="00A90FE6" w:rsidRPr="00D57744" w:rsidRDefault="006879D7" w:rsidP="00891878">
            <w:pPr>
              <w:spacing w:after="120" w:line="240" w:lineRule="auto"/>
              <w:jc w:val="left"/>
              <w:rPr>
                <w:b/>
                <w:color w:val="auto"/>
                <w:szCs w:val="23"/>
              </w:rPr>
            </w:pPr>
            <w:r w:rsidRPr="00501756">
              <w:rPr>
                <w:b/>
                <w:color w:val="auto"/>
                <w:szCs w:val="23"/>
              </w:rPr>
              <w:t xml:space="preserve">Performance </w:t>
            </w:r>
            <w:r w:rsidR="00710737" w:rsidRPr="00501756">
              <w:rPr>
                <w:b/>
                <w:color w:val="auto"/>
                <w:szCs w:val="23"/>
              </w:rPr>
              <w:t>B</w:t>
            </w:r>
            <w:r w:rsidRPr="00501756">
              <w:rPr>
                <w:b/>
                <w:color w:val="auto"/>
                <w:szCs w:val="23"/>
              </w:rPr>
              <w:t>enchmark 2</w:t>
            </w:r>
            <w:r w:rsidR="00710737" w:rsidRPr="00501756">
              <w:rPr>
                <w:b/>
                <w:color w:val="auto"/>
                <w:szCs w:val="23"/>
              </w:rPr>
              <w:t>:</w:t>
            </w:r>
            <w:r w:rsidRPr="00501756">
              <w:rPr>
                <w:b/>
                <w:color w:val="auto"/>
                <w:szCs w:val="23"/>
              </w:rPr>
              <w:t xml:space="preserve"> </w:t>
            </w:r>
            <w:r w:rsidR="00710737" w:rsidRPr="00501756">
              <w:rPr>
                <w:b/>
                <w:color w:val="auto"/>
                <w:szCs w:val="23"/>
              </w:rPr>
              <w:t>P</w:t>
            </w:r>
            <w:r w:rsidRPr="00501756">
              <w:rPr>
                <w:b/>
                <w:color w:val="auto"/>
                <w:szCs w:val="23"/>
              </w:rPr>
              <w:t>re-appren</w:t>
            </w:r>
            <w:r w:rsidR="00EC11EB" w:rsidRPr="00501756">
              <w:rPr>
                <w:b/>
                <w:color w:val="auto"/>
                <w:szCs w:val="23"/>
              </w:rPr>
              <w:t xml:space="preserve">ticeships and </w:t>
            </w:r>
            <w:r w:rsidR="00710737" w:rsidRPr="007F6D93">
              <w:rPr>
                <w:b/>
                <w:color w:val="auto"/>
                <w:szCs w:val="23"/>
              </w:rPr>
              <w:t>P</w:t>
            </w:r>
            <w:r w:rsidR="00EC11EB" w:rsidRPr="00D57744">
              <w:rPr>
                <w:b/>
                <w:color w:val="auto"/>
                <w:szCs w:val="23"/>
              </w:rPr>
              <w:t>re-traineeships</w:t>
            </w:r>
          </w:p>
          <w:p w14:paraId="0C63BC75" w14:textId="00CD749C" w:rsidR="0023418F" w:rsidRPr="00501756" w:rsidRDefault="00894C04" w:rsidP="00891878">
            <w:pPr>
              <w:spacing w:after="120" w:line="240" w:lineRule="auto"/>
              <w:jc w:val="left"/>
              <w:rPr>
                <w:color w:val="auto"/>
                <w:szCs w:val="23"/>
              </w:rPr>
            </w:pPr>
            <w:r w:rsidRPr="00501756">
              <w:rPr>
                <w:color w:val="auto"/>
                <w:szCs w:val="23"/>
              </w:rPr>
              <w:t xml:space="preserve">The total performance benchmark </w:t>
            </w:r>
            <w:r w:rsidR="00F102D6" w:rsidRPr="00501756">
              <w:rPr>
                <w:color w:val="auto"/>
                <w:szCs w:val="23"/>
              </w:rPr>
              <w:t xml:space="preserve">for each financial year </w:t>
            </w:r>
            <w:r w:rsidR="00804769" w:rsidRPr="00501756">
              <w:t>(baseline commencement plus additional commencement targets)</w:t>
            </w:r>
            <w:r w:rsidRPr="00501756">
              <w:rPr>
                <w:color w:val="auto"/>
                <w:szCs w:val="23"/>
              </w:rPr>
              <w:t xml:space="preserve"> for pre-apprenticeship and</w:t>
            </w:r>
            <w:r w:rsidR="003E6779" w:rsidRPr="00501756">
              <w:rPr>
                <w:color w:val="auto"/>
                <w:szCs w:val="23"/>
              </w:rPr>
              <w:t xml:space="preserve"> pre-traineeship commencements</w:t>
            </w:r>
            <w:r w:rsidRPr="00501756">
              <w:t xml:space="preserve"> </w:t>
            </w:r>
            <w:r w:rsidRPr="00501756">
              <w:rPr>
                <w:color w:val="auto"/>
                <w:szCs w:val="23"/>
              </w:rPr>
              <w:t>ar</w:t>
            </w:r>
            <w:r w:rsidR="00247520" w:rsidRPr="00501756">
              <w:rPr>
                <w:color w:val="auto"/>
                <w:szCs w:val="23"/>
              </w:rPr>
              <w:t>e as follows:</w:t>
            </w:r>
          </w:p>
          <w:p w14:paraId="69419AEF" w14:textId="20952301" w:rsidR="00247520" w:rsidRPr="00501756" w:rsidRDefault="00247520" w:rsidP="00891878">
            <w:pPr>
              <w:pStyle w:val="ListParagraph"/>
              <w:numPr>
                <w:ilvl w:val="0"/>
                <w:numId w:val="9"/>
              </w:numPr>
              <w:spacing w:after="0" w:line="240" w:lineRule="auto"/>
              <w:jc w:val="left"/>
            </w:pPr>
            <w:r w:rsidRPr="00501756">
              <w:t xml:space="preserve">2018-19: </w:t>
            </w:r>
            <w:r w:rsidRPr="00501756">
              <w:rPr>
                <w:color w:val="auto"/>
                <w:szCs w:val="23"/>
              </w:rPr>
              <w:t>4</w:t>
            </w:r>
            <w:r w:rsidR="00EF2B17">
              <w:rPr>
                <w:color w:val="auto"/>
                <w:szCs w:val="23"/>
              </w:rPr>
              <w:t>,</w:t>
            </w:r>
            <w:r w:rsidRPr="00501756">
              <w:rPr>
                <w:color w:val="auto"/>
                <w:szCs w:val="23"/>
              </w:rPr>
              <w:t xml:space="preserve">353 </w:t>
            </w:r>
            <w:r w:rsidRPr="00501756">
              <w:t>commencements</w:t>
            </w:r>
          </w:p>
          <w:p w14:paraId="14E1B924" w14:textId="77777777" w:rsidR="00247520" w:rsidRPr="00501756" w:rsidRDefault="00247520" w:rsidP="00891878">
            <w:pPr>
              <w:pStyle w:val="ListParagraph"/>
              <w:numPr>
                <w:ilvl w:val="0"/>
                <w:numId w:val="9"/>
              </w:numPr>
              <w:spacing w:after="0" w:line="240" w:lineRule="auto"/>
              <w:jc w:val="left"/>
            </w:pPr>
            <w:r w:rsidRPr="00501756">
              <w:t xml:space="preserve">2019-20: </w:t>
            </w:r>
            <w:r w:rsidR="00505C2E" w:rsidRPr="00501756">
              <w:t>18,116</w:t>
            </w:r>
            <w:r w:rsidRPr="00501756">
              <w:rPr>
                <w:color w:val="auto"/>
                <w:szCs w:val="23"/>
              </w:rPr>
              <w:t xml:space="preserve"> </w:t>
            </w:r>
            <w:r w:rsidRPr="00501756">
              <w:t>commencements</w:t>
            </w:r>
          </w:p>
          <w:p w14:paraId="32884649" w14:textId="14158C50" w:rsidR="00247520" w:rsidRPr="00501756" w:rsidRDefault="00247520" w:rsidP="00891878">
            <w:pPr>
              <w:pStyle w:val="ListParagraph"/>
              <w:numPr>
                <w:ilvl w:val="0"/>
                <w:numId w:val="9"/>
              </w:numPr>
              <w:spacing w:after="0" w:line="240" w:lineRule="auto"/>
              <w:jc w:val="left"/>
            </w:pPr>
            <w:r w:rsidRPr="00501756">
              <w:t xml:space="preserve">2020-21: </w:t>
            </w:r>
            <w:r w:rsidR="00075915" w:rsidRPr="00501756">
              <w:t xml:space="preserve">5,332 </w:t>
            </w:r>
            <w:r w:rsidRPr="00501756">
              <w:t>commencements</w:t>
            </w:r>
          </w:p>
          <w:p w14:paraId="30FD3ECE" w14:textId="19B4966E" w:rsidR="00247520" w:rsidRPr="00501756" w:rsidRDefault="00247520" w:rsidP="00891878">
            <w:pPr>
              <w:pStyle w:val="ListParagraph"/>
              <w:numPr>
                <w:ilvl w:val="0"/>
                <w:numId w:val="9"/>
              </w:numPr>
              <w:spacing w:after="0" w:line="240" w:lineRule="auto"/>
              <w:jc w:val="left"/>
            </w:pPr>
            <w:r w:rsidRPr="00501756">
              <w:t xml:space="preserve">2021-22: </w:t>
            </w:r>
            <w:r w:rsidR="00EA689E" w:rsidRPr="00827A32">
              <w:t>3,063</w:t>
            </w:r>
            <w:r w:rsidR="00EA689E" w:rsidRPr="00501756">
              <w:t xml:space="preserve"> </w:t>
            </w:r>
            <w:r w:rsidRPr="00501756">
              <w:t>commencements</w:t>
            </w:r>
          </w:p>
          <w:p w14:paraId="7E5F27F8" w14:textId="77777777" w:rsidR="00247520" w:rsidRPr="007F6D93" w:rsidRDefault="00247520" w:rsidP="00891878">
            <w:pPr>
              <w:spacing w:after="0" w:line="240" w:lineRule="auto"/>
              <w:jc w:val="left"/>
              <w:rPr>
                <w:color w:val="auto"/>
                <w:szCs w:val="23"/>
              </w:rPr>
            </w:pPr>
          </w:p>
        </w:tc>
        <w:tc>
          <w:tcPr>
            <w:tcW w:w="1560" w:type="dxa"/>
            <w:tcBorders>
              <w:bottom w:val="nil"/>
            </w:tcBorders>
          </w:tcPr>
          <w:p w14:paraId="238D4BB5" w14:textId="77777777" w:rsidR="007C659F" w:rsidRPr="00501756" w:rsidRDefault="007C659F" w:rsidP="00891878">
            <w:pPr>
              <w:spacing w:after="0" w:line="240" w:lineRule="auto"/>
              <w:jc w:val="left"/>
            </w:pPr>
          </w:p>
        </w:tc>
        <w:tc>
          <w:tcPr>
            <w:tcW w:w="1393" w:type="dxa"/>
            <w:tcBorders>
              <w:bottom w:val="nil"/>
            </w:tcBorders>
          </w:tcPr>
          <w:p w14:paraId="7E9E26E8" w14:textId="77777777" w:rsidR="007C659F" w:rsidRPr="00501756" w:rsidRDefault="007C659F" w:rsidP="00891878">
            <w:pPr>
              <w:spacing w:after="0" w:line="240" w:lineRule="auto"/>
              <w:jc w:val="right"/>
              <w:rPr>
                <w:color w:val="auto"/>
                <w:szCs w:val="23"/>
              </w:rPr>
            </w:pPr>
          </w:p>
        </w:tc>
      </w:tr>
      <w:tr w:rsidR="00247520" w:rsidRPr="00C26C5B" w14:paraId="12BAD5D7" w14:textId="77777777" w:rsidTr="00710002">
        <w:trPr>
          <w:trHeight w:val="1620"/>
        </w:trPr>
        <w:tc>
          <w:tcPr>
            <w:tcW w:w="1124" w:type="dxa"/>
            <w:tcBorders>
              <w:top w:val="nil"/>
              <w:bottom w:val="nil"/>
            </w:tcBorders>
          </w:tcPr>
          <w:p w14:paraId="1855962C" w14:textId="77777777" w:rsidR="00247520" w:rsidRPr="003A5BC6" w:rsidRDefault="00247520" w:rsidP="00891878">
            <w:pPr>
              <w:spacing w:line="240" w:lineRule="auto"/>
              <w:jc w:val="left"/>
              <w:rPr>
                <w:b/>
              </w:rPr>
            </w:pPr>
          </w:p>
        </w:tc>
        <w:tc>
          <w:tcPr>
            <w:tcW w:w="5670" w:type="dxa"/>
            <w:tcBorders>
              <w:top w:val="nil"/>
              <w:bottom w:val="nil"/>
            </w:tcBorders>
          </w:tcPr>
          <w:p w14:paraId="078BF37E" w14:textId="1A0CBFE9" w:rsidR="0023418F" w:rsidRPr="00501756" w:rsidRDefault="00C71020" w:rsidP="00891878">
            <w:pPr>
              <w:spacing w:after="120" w:line="240" w:lineRule="auto"/>
              <w:jc w:val="left"/>
              <w:rPr>
                <w:color w:val="auto"/>
                <w:szCs w:val="23"/>
              </w:rPr>
            </w:pPr>
            <w:r w:rsidRPr="00501756">
              <w:rPr>
                <w:color w:val="auto"/>
                <w:szCs w:val="23"/>
              </w:rPr>
              <w:t>New South Wales</w:t>
            </w:r>
            <w:r w:rsidR="00247520" w:rsidRPr="00501756">
              <w:rPr>
                <w:color w:val="auto"/>
                <w:szCs w:val="23"/>
              </w:rPr>
              <w:t xml:space="preserve"> will be eligible for the full performance payment each</w:t>
            </w:r>
            <w:r w:rsidR="00247520" w:rsidRPr="007F6D93">
              <w:rPr>
                <w:color w:val="auto"/>
                <w:szCs w:val="23"/>
              </w:rPr>
              <w:t xml:space="preserve"> financial year when </w:t>
            </w:r>
            <w:r w:rsidR="00AD199A" w:rsidRPr="00D57744">
              <w:rPr>
                <w:color w:val="auto"/>
                <w:szCs w:val="23"/>
              </w:rPr>
              <w:t>the following commencements are achieved (</w:t>
            </w:r>
            <w:r w:rsidR="00247520" w:rsidRPr="00501756">
              <w:rPr>
                <w:color w:val="auto"/>
                <w:szCs w:val="23"/>
              </w:rPr>
              <w:t>82 per cent of the total performance benchmark for pre-</w:t>
            </w:r>
            <w:r w:rsidR="0023418F" w:rsidRPr="00501756">
              <w:rPr>
                <w:color w:val="auto"/>
                <w:szCs w:val="23"/>
              </w:rPr>
              <w:t>apprenticeship</w:t>
            </w:r>
            <w:r w:rsidR="00247520" w:rsidRPr="00501756">
              <w:rPr>
                <w:color w:val="auto"/>
                <w:szCs w:val="23"/>
              </w:rPr>
              <w:t xml:space="preserve"> and pre-</w:t>
            </w:r>
            <w:r w:rsidR="0023418F" w:rsidRPr="00501756">
              <w:rPr>
                <w:color w:val="auto"/>
                <w:szCs w:val="23"/>
              </w:rPr>
              <w:t xml:space="preserve">traineeship </w:t>
            </w:r>
            <w:r w:rsidR="00247520" w:rsidRPr="00501756">
              <w:rPr>
                <w:color w:val="auto"/>
                <w:szCs w:val="23"/>
              </w:rPr>
              <w:t>commencements</w:t>
            </w:r>
            <w:r w:rsidR="00AD199A" w:rsidRPr="00501756">
              <w:rPr>
                <w:color w:val="auto"/>
                <w:szCs w:val="23"/>
              </w:rPr>
              <w:t>)</w:t>
            </w:r>
            <w:r w:rsidR="00247520" w:rsidRPr="00501756">
              <w:rPr>
                <w:color w:val="auto"/>
                <w:szCs w:val="23"/>
              </w:rPr>
              <w:t xml:space="preserve"> between 1 July and up to 30 April</w:t>
            </w:r>
            <w:r w:rsidR="00AD199A" w:rsidRPr="00501756">
              <w:rPr>
                <w:color w:val="auto"/>
                <w:szCs w:val="23"/>
              </w:rPr>
              <w:t>:</w:t>
            </w:r>
          </w:p>
        </w:tc>
        <w:tc>
          <w:tcPr>
            <w:tcW w:w="1560" w:type="dxa"/>
            <w:tcBorders>
              <w:top w:val="nil"/>
              <w:bottom w:val="nil"/>
            </w:tcBorders>
          </w:tcPr>
          <w:p w14:paraId="1F08EC36" w14:textId="77777777" w:rsidR="00247520" w:rsidRPr="00501756" w:rsidRDefault="00247520" w:rsidP="00891878">
            <w:pPr>
              <w:spacing w:after="0" w:line="240" w:lineRule="auto"/>
              <w:jc w:val="right"/>
            </w:pPr>
          </w:p>
        </w:tc>
        <w:tc>
          <w:tcPr>
            <w:tcW w:w="1393" w:type="dxa"/>
            <w:tcBorders>
              <w:top w:val="nil"/>
              <w:bottom w:val="nil"/>
            </w:tcBorders>
          </w:tcPr>
          <w:p w14:paraId="345A9960" w14:textId="77777777" w:rsidR="00247520" w:rsidRPr="00501756" w:rsidRDefault="00247520" w:rsidP="00891878">
            <w:pPr>
              <w:spacing w:after="0" w:line="240" w:lineRule="auto"/>
              <w:jc w:val="right"/>
              <w:rPr>
                <w:color w:val="auto"/>
                <w:szCs w:val="23"/>
              </w:rPr>
            </w:pPr>
          </w:p>
        </w:tc>
      </w:tr>
      <w:tr w:rsidR="00247520" w:rsidRPr="00C26C5B" w14:paraId="02145B69" w14:textId="77777777" w:rsidTr="005B0561">
        <w:trPr>
          <w:trHeight w:val="836"/>
        </w:trPr>
        <w:tc>
          <w:tcPr>
            <w:tcW w:w="1124" w:type="dxa"/>
            <w:tcBorders>
              <w:top w:val="nil"/>
              <w:bottom w:val="single" w:sz="8" w:space="0" w:color="4F81BD"/>
            </w:tcBorders>
          </w:tcPr>
          <w:p w14:paraId="24AA440B" w14:textId="77777777" w:rsidR="00247520" w:rsidRPr="003A5BC6" w:rsidRDefault="00247520" w:rsidP="00891878">
            <w:pPr>
              <w:spacing w:after="0" w:line="240" w:lineRule="auto"/>
              <w:jc w:val="left"/>
              <w:rPr>
                <w:b/>
              </w:rPr>
            </w:pPr>
          </w:p>
        </w:tc>
        <w:tc>
          <w:tcPr>
            <w:tcW w:w="5670" w:type="dxa"/>
            <w:tcBorders>
              <w:top w:val="nil"/>
              <w:bottom w:val="single" w:sz="8" w:space="0" w:color="4F81BD"/>
            </w:tcBorders>
          </w:tcPr>
          <w:p w14:paraId="3301108C" w14:textId="556BF93A" w:rsidR="00247520" w:rsidRPr="00501756" w:rsidRDefault="00247520" w:rsidP="00891878">
            <w:pPr>
              <w:pStyle w:val="ListParagraph"/>
              <w:numPr>
                <w:ilvl w:val="0"/>
                <w:numId w:val="9"/>
              </w:numPr>
              <w:spacing w:after="0" w:line="240" w:lineRule="auto"/>
              <w:contextualSpacing w:val="0"/>
              <w:jc w:val="left"/>
            </w:pPr>
            <w:r w:rsidRPr="00501756">
              <w:t xml:space="preserve">2018-19: </w:t>
            </w:r>
            <w:r w:rsidRPr="00501756">
              <w:rPr>
                <w:color w:val="auto"/>
                <w:szCs w:val="23"/>
              </w:rPr>
              <w:t>3</w:t>
            </w:r>
            <w:r w:rsidR="00EF2B17">
              <w:rPr>
                <w:color w:val="auto"/>
                <w:szCs w:val="23"/>
              </w:rPr>
              <w:t>,</w:t>
            </w:r>
            <w:r w:rsidRPr="00501756">
              <w:rPr>
                <w:color w:val="auto"/>
                <w:szCs w:val="23"/>
              </w:rPr>
              <w:t xml:space="preserve">569 </w:t>
            </w:r>
            <w:r w:rsidRPr="00501756">
              <w:t>commencements</w:t>
            </w:r>
          </w:p>
          <w:p w14:paraId="3C286B65" w14:textId="1CA9C9AE" w:rsidR="00247520" w:rsidRPr="00501756" w:rsidRDefault="00247520" w:rsidP="00891878">
            <w:pPr>
              <w:pStyle w:val="ListParagraph"/>
              <w:numPr>
                <w:ilvl w:val="0"/>
                <w:numId w:val="9"/>
              </w:numPr>
              <w:spacing w:after="0" w:line="240" w:lineRule="auto"/>
              <w:contextualSpacing w:val="0"/>
              <w:jc w:val="left"/>
            </w:pPr>
            <w:r w:rsidRPr="007F6D93">
              <w:t xml:space="preserve">2020-21: </w:t>
            </w:r>
            <w:r w:rsidR="00075915" w:rsidRPr="00D57744">
              <w:t xml:space="preserve">4,372 </w:t>
            </w:r>
            <w:r w:rsidRPr="00501756">
              <w:t>commencements</w:t>
            </w:r>
          </w:p>
          <w:p w14:paraId="75ACDF46" w14:textId="3FFBCABC" w:rsidR="00247520" w:rsidRPr="00501756" w:rsidRDefault="00247520" w:rsidP="00891878">
            <w:pPr>
              <w:pStyle w:val="ListParagraph"/>
              <w:numPr>
                <w:ilvl w:val="0"/>
                <w:numId w:val="9"/>
              </w:numPr>
              <w:spacing w:after="0" w:line="240" w:lineRule="auto"/>
              <w:contextualSpacing w:val="0"/>
              <w:jc w:val="left"/>
            </w:pPr>
            <w:r w:rsidRPr="00501756">
              <w:t xml:space="preserve">2021-22: </w:t>
            </w:r>
            <w:r w:rsidR="00224CE7" w:rsidRPr="00827A32">
              <w:t>2,51</w:t>
            </w:r>
            <w:r w:rsidR="00501756">
              <w:t>2</w:t>
            </w:r>
            <w:r w:rsidR="00EA689E" w:rsidRPr="00501756">
              <w:t xml:space="preserve"> </w:t>
            </w:r>
            <w:r w:rsidRPr="00501756">
              <w:t>commencements</w:t>
            </w:r>
          </w:p>
          <w:p w14:paraId="234D748C" w14:textId="6FFA1DB1" w:rsidR="00647667" w:rsidRPr="007F6D93" w:rsidRDefault="00647667" w:rsidP="00891878">
            <w:pPr>
              <w:spacing w:after="0" w:line="240" w:lineRule="auto"/>
              <w:jc w:val="left"/>
            </w:pPr>
          </w:p>
          <w:p w14:paraId="02D87C12" w14:textId="617A99A5" w:rsidR="00144387" w:rsidRPr="00501756" w:rsidRDefault="00647667" w:rsidP="00891878">
            <w:pPr>
              <w:spacing w:after="120" w:line="240" w:lineRule="auto"/>
              <w:jc w:val="left"/>
              <w:rPr>
                <w:color w:val="auto"/>
                <w:szCs w:val="23"/>
              </w:rPr>
            </w:pPr>
            <w:r w:rsidRPr="00501756">
              <w:rPr>
                <w:color w:val="auto"/>
                <w:szCs w:val="23"/>
              </w:rPr>
              <w:t>In 2019−20, New South Wales will be eligible for the full performance payment when the followin</w:t>
            </w:r>
            <w:r w:rsidR="0090113C" w:rsidRPr="00501756">
              <w:rPr>
                <w:color w:val="auto"/>
                <w:szCs w:val="23"/>
              </w:rPr>
              <w:t>g commencements are achieved (60</w:t>
            </w:r>
            <w:r w:rsidRPr="00501756">
              <w:rPr>
                <w:color w:val="auto"/>
                <w:szCs w:val="23"/>
              </w:rPr>
              <w:t xml:space="preserve"> per cent of the total performance benchmark for pre-apprenticeship and pre-traineeship commencements) between 1 July and up to 31 December 2019:</w:t>
            </w:r>
          </w:p>
          <w:p w14:paraId="6952029D" w14:textId="10CE329A" w:rsidR="00647667" w:rsidRPr="00501756" w:rsidRDefault="0090113C" w:rsidP="004C29B7">
            <w:pPr>
              <w:pStyle w:val="ListParagraph"/>
              <w:numPr>
                <w:ilvl w:val="0"/>
                <w:numId w:val="9"/>
              </w:numPr>
              <w:spacing w:after="120" w:line="240" w:lineRule="auto"/>
              <w:contextualSpacing w:val="0"/>
              <w:jc w:val="left"/>
            </w:pPr>
            <w:r w:rsidRPr="00501756">
              <w:t>2019-20:  10,941</w:t>
            </w:r>
            <w:r w:rsidR="00647667" w:rsidRPr="00501756">
              <w:t xml:space="preserve"> commencements</w:t>
            </w:r>
          </w:p>
          <w:p w14:paraId="240F6F66" w14:textId="51780AD2" w:rsidR="0023418F" w:rsidRPr="00501756" w:rsidRDefault="00C71020" w:rsidP="00891878">
            <w:pPr>
              <w:spacing w:after="120" w:line="240" w:lineRule="auto"/>
              <w:jc w:val="left"/>
            </w:pPr>
            <w:r w:rsidRPr="00501756">
              <w:t>New South Wales</w:t>
            </w:r>
            <w:r w:rsidR="00247520" w:rsidRPr="00501756">
              <w:t xml:space="preserve"> will be eligible for the minimum performance payment </w:t>
            </w:r>
            <w:r w:rsidR="00AD199A" w:rsidRPr="00501756">
              <w:t xml:space="preserve">each financial year </w:t>
            </w:r>
            <w:r w:rsidR="00247520" w:rsidRPr="00501756">
              <w:t xml:space="preserve">if the following pre-apprenticeship and pre-traineeship commencements are achieved </w:t>
            </w:r>
            <w:r w:rsidR="00AD199A" w:rsidRPr="00501756">
              <w:t xml:space="preserve">between </w:t>
            </w:r>
            <w:r w:rsidR="00AD199A" w:rsidRPr="00501756">
              <w:rPr>
                <w:color w:val="auto"/>
                <w:szCs w:val="23"/>
              </w:rPr>
              <w:t>1 July and up to 30 April</w:t>
            </w:r>
            <w:r w:rsidR="00AD199A" w:rsidRPr="00501756">
              <w:t xml:space="preserve"> </w:t>
            </w:r>
            <w:r w:rsidR="00247520" w:rsidRPr="00501756">
              <w:t>with pro</w:t>
            </w:r>
            <w:r w:rsidR="00A35051" w:rsidRPr="00501756">
              <w:t>-</w:t>
            </w:r>
            <w:r w:rsidR="00247520" w:rsidRPr="00501756">
              <w:t>rata amounts paid for commencements</w:t>
            </w:r>
            <w:r w:rsidR="00987654" w:rsidRPr="00501756">
              <w:t xml:space="preserve"> up to 82 per cent of the total performance benchmark between 1 July and up to 30 April</w:t>
            </w:r>
            <w:r w:rsidR="00AD199A" w:rsidRPr="00501756">
              <w:t>:</w:t>
            </w:r>
            <w:r w:rsidR="00247520" w:rsidRPr="00501756">
              <w:t xml:space="preserve"> </w:t>
            </w:r>
          </w:p>
        </w:tc>
        <w:tc>
          <w:tcPr>
            <w:tcW w:w="1560" w:type="dxa"/>
            <w:tcBorders>
              <w:top w:val="nil"/>
              <w:bottom w:val="single" w:sz="8" w:space="0" w:color="4F81BD"/>
            </w:tcBorders>
          </w:tcPr>
          <w:p w14:paraId="7F31512D" w14:textId="77777777" w:rsidR="00247520" w:rsidRPr="00501756" w:rsidRDefault="00247520" w:rsidP="00891878">
            <w:pPr>
              <w:spacing w:after="0" w:line="240" w:lineRule="auto"/>
              <w:jc w:val="right"/>
            </w:pPr>
            <w:r w:rsidRPr="00501756">
              <w:t>30 April 2019</w:t>
            </w:r>
          </w:p>
          <w:p w14:paraId="13C88041" w14:textId="77777777" w:rsidR="00247520" w:rsidRPr="00501756" w:rsidRDefault="00247520" w:rsidP="00891878">
            <w:pPr>
              <w:spacing w:after="0" w:line="240" w:lineRule="auto"/>
              <w:jc w:val="right"/>
            </w:pPr>
            <w:r w:rsidRPr="00501756">
              <w:t>30 April 2021</w:t>
            </w:r>
          </w:p>
          <w:p w14:paraId="0DECEDB8" w14:textId="77777777" w:rsidR="00247520" w:rsidRPr="00501756" w:rsidRDefault="00247520" w:rsidP="00891878">
            <w:pPr>
              <w:spacing w:after="0" w:line="240" w:lineRule="auto"/>
              <w:jc w:val="right"/>
            </w:pPr>
            <w:r w:rsidRPr="00501756">
              <w:t>30 April 2022</w:t>
            </w:r>
          </w:p>
          <w:p w14:paraId="24ACDA04" w14:textId="77777777" w:rsidR="00247520" w:rsidRPr="00501756" w:rsidRDefault="00247520" w:rsidP="00891878">
            <w:pPr>
              <w:spacing w:after="0" w:line="240" w:lineRule="auto"/>
              <w:jc w:val="right"/>
            </w:pPr>
          </w:p>
          <w:p w14:paraId="38620F3B" w14:textId="0F2FDD01" w:rsidR="00647667" w:rsidRPr="00501756" w:rsidRDefault="00647667" w:rsidP="00891878">
            <w:pPr>
              <w:spacing w:after="0" w:line="240" w:lineRule="auto"/>
              <w:jc w:val="right"/>
            </w:pPr>
          </w:p>
          <w:p w14:paraId="3A3E2816" w14:textId="353661E7" w:rsidR="00206135" w:rsidRPr="00501756" w:rsidRDefault="00206135" w:rsidP="00891878">
            <w:pPr>
              <w:spacing w:after="0" w:line="240" w:lineRule="auto"/>
              <w:jc w:val="right"/>
            </w:pPr>
          </w:p>
          <w:p w14:paraId="0256984A" w14:textId="37E6F8D2" w:rsidR="00206135" w:rsidRPr="00501756" w:rsidRDefault="00206135" w:rsidP="00891878">
            <w:pPr>
              <w:spacing w:after="0" w:line="240" w:lineRule="auto"/>
              <w:jc w:val="right"/>
            </w:pPr>
          </w:p>
          <w:p w14:paraId="32E46569" w14:textId="77777777" w:rsidR="00206135" w:rsidRPr="00501756" w:rsidRDefault="00206135" w:rsidP="00891878">
            <w:pPr>
              <w:spacing w:after="0" w:line="240" w:lineRule="auto"/>
              <w:jc w:val="right"/>
            </w:pPr>
          </w:p>
          <w:p w14:paraId="35C957DF" w14:textId="0596CF7F" w:rsidR="00647667" w:rsidRPr="00501756" w:rsidRDefault="00647667" w:rsidP="00891878">
            <w:pPr>
              <w:spacing w:after="0" w:line="240" w:lineRule="auto"/>
              <w:jc w:val="right"/>
            </w:pPr>
          </w:p>
          <w:p w14:paraId="05A2E0FB" w14:textId="48D3FBBE" w:rsidR="00710002" w:rsidRPr="00501756" w:rsidRDefault="00710002" w:rsidP="00710002">
            <w:pPr>
              <w:spacing w:after="120" w:line="240" w:lineRule="auto"/>
              <w:jc w:val="right"/>
            </w:pPr>
          </w:p>
          <w:p w14:paraId="556876D9" w14:textId="1148ED6E" w:rsidR="00647667" w:rsidRPr="00501756" w:rsidRDefault="00647667" w:rsidP="00891878">
            <w:pPr>
              <w:spacing w:after="0" w:line="240" w:lineRule="auto"/>
            </w:pPr>
            <w:r w:rsidRPr="00501756">
              <w:t>30 April 2020</w:t>
            </w:r>
          </w:p>
        </w:tc>
        <w:tc>
          <w:tcPr>
            <w:tcW w:w="1393" w:type="dxa"/>
            <w:tcBorders>
              <w:top w:val="nil"/>
              <w:bottom w:val="single" w:sz="8" w:space="0" w:color="4F81BD"/>
            </w:tcBorders>
          </w:tcPr>
          <w:p w14:paraId="23A435DB" w14:textId="77777777" w:rsidR="00247520" w:rsidRPr="00501756" w:rsidRDefault="00247520" w:rsidP="00891878">
            <w:pPr>
              <w:spacing w:after="0" w:line="240" w:lineRule="auto"/>
              <w:jc w:val="right"/>
              <w:rPr>
                <w:color w:val="auto"/>
                <w:szCs w:val="23"/>
              </w:rPr>
            </w:pPr>
            <w:r w:rsidRPr="00501756">
              <w:rPr>
                <w:color w:val="auto"/>
                <w:szCs w:val="23"/>
              </w:rPr>
              <w:t>$850,000</w:t>
            </w:r>
          </w:p>
          <w:p w14:paraId="7FDF87DE" w14:textId="0C338773" w:rsidR="00247520" w:rsidRPr="00501756" w:rsidRDefault="000D774C" w:rsidP="00891878">
            <w:pPr>
              <w:spacing w:after="0" w:line="240" w:lineRule="auto"/>
              <w:jc w:val="right"/>
              <w:rPr>
                <w:color w:val="auto"/>
                <w:szCs w:val="23"/>
              </w:rPr>
            </w:pPr>
            <w:r w:rsidRPr="00501756">
              <w:rPr>
                <w:color w:val="auto"/>
                <w:szCs w:val="23"/>
              </w:rPr>
              <w:t>$</w:t>
            </w:r>
            <w:r w:rsidR="00501756">
              <w:rPr>
                <w:color w:val="auto"/>
                <w:szCs w:val="23"/>
              </w:rPr>
              <w:t>3,344,489</w:t>
            </w:r>
            <w:r w:rsidRPr="00501756">
              <w:rPr>
                <w:color w:val="auto"/>
                <w:szCs w:val="23"/>
              </w:rPr>
              <w:t xml:space="preserve"> </w:t>
            </w:r>
          </w:p>
          <w:p w14:paraId="3D27545C" w14:textId="41845F46" w:rsidR="00D412DD" w:rsidRPr="00501756" w:rsidRDefault="00EA689E" w:rsidP="00891878">
            <w:pPr>
              <w:spacing w:after="0" w:line="240" w:lineRule="auto"/>
              <w:jc w:val="right"/>
              <w:rPr>
                <w:color w:val="auto"/>
                <w:szCs w:val="23"/>
              </w:rPr>
            </w:pPr>
            <w:r w:rsidRPr="00827A32">
              <w:rPr>
                <w:color w:val="auto"/>
                <w:szCs w:val="23"/>
              </w:rPr>
              <w:t>$1,493,</w:t>
            </w:r>
            <w:r w:rsidR="00ED0983">
              <w:rPr>
                <w:color w:val="auto"/>
                <w:szCs w:val="23"/>
              </w:rPr>
              <w:t>044</w:t>
            </w:r>
          </w:p>
          <w:p w14:paraId="3D6C48A8" w14:textId="74094C32" w:rsidR="00247520" w:rsidRPr="00D57744" w:rsidRDefault="00247520" w:rsidP="00891878">
            <w:pPr>
              <w:spacing w:after="0" w:line="240" w:lineRule="auto"/>
              <w:jc w:val="right"/>
              <w:rPr>
                <w:color w:val="auto"/>
                <w:szCs w:val="23"/>
              </w:rPr>
            </w:pPr>
          </w:p>
          <w:p w14:paraId="42F05B93" w14:textId="77777777" w:rsidR="00247520" w:rsidRPr="00501756" w:rsidRDefault="00247520" w:rsidP="00891878">
            <w:pPr>
              <w:spacing w:after="0" w:line="240" w:lineRule="auto"/>
              <w:jc w:val="right"/>
              <w:rPr>
                <w:color w:val="auto"/>
                <w:szCs w:val="23"/>
              </w:rPr>
            </w:pPr>
          </w:p>
          <w:p w14:paraId="731F8043" w14:textId="77777777" w:rsidR="00647667" w:rsidRPr="00501756" w:rsidRDefault="00647667" w:rsidP="00891878">
            <w:pPr>
              <w:spacing w:after="0" w:line="240" w:lineRule="auto"/>
              <w:jc w:val="right"/>
              <w:rPr>
                <w:color w:val="auto"/>
                <w:szCs w:val="23"/>
              </w:rPr>
            </w:pPr>
          </w:p>
          <w:p w14:paraId="31E5CBF8" w14:textId="461406B8" w:rsidR="00647667" w:rsidRPr="00501756" w:rsidRDefault="00647667" w:rsidP="00891878">
            <w:pPr>
              <w:spacing w:after="0" w:line="240" w:lineRule="auto"/>
              <w:jc w:val="right"/>
              <w:rPr>
                <w:color w:val="auto"/>
                <w:szCs w:val="23"/>
              </w:rPr>
            </w:pPr>
          </w:p>
          <w:p w14:paraId="0952A8A0" w14:textId="34C1F04E" w:rsidR="00206135" w:rsidRPr="00501756" w:rsidRDefault="00206135" w:rsidP="00891878">
            <w:pPr>
              <w:spacing w:after="0" w:line="240" w:lineRule="auto"/>
              <w:jc w:val="right"/>
              <w:rPr>
                <w:color w:val="auto"/>
                <w:szCs w:val="23"/>
              </w:rPr>
            </w:pPr>
          </w:p>
          <w:p w14:paraId="0F2CB05D" w14:textId="49EB90E9" w:rsidR="00206135" w:rsidRPr="00501756" w:rsidRDefault="00206135" w:rsidP="00891878">
            <w:pPr>
              <w:spacing w:after="0" w:line="240" w:lineRule="auto"/>
              <w:rPr>
                <w:color w:val="auto"/>
                <w:szCs w:val="23"/>
              </w:rPr>
            </w:pPr>
          </w:p>
          <w:p w14:paraId="0D8EB857" w14:textId="77777777" w:rsidR="00206135" w:rsidRPr="00501756" w:rsidRDefault="00206135" w:rsidP="00827A32">
            <w:pPr>
              <w:spacing w:after="120" w:line="240" w:lineRule="auto"/>
              <w:rPr>
                <w:color w:val="auto"/>
                <w:szCs w:val="23"/>
              </w:rPr>
            </w:pPr>
          </w:p>
          <w:p w14:paraId="7E2C3C5B" w14:textId="568E9D32" w:rsidR="00647667" w:rsidRPr="00501756" w:rsidRDefault="00647667" w:rsidP="00891878">
            <w:pPr>
              <w:spacing w:after="0" w:line="240" w:lineRule="auto"/>
              <w:jc w:val="right"/>
              <w:rPr>
                <w:color w:val="auto"/>
                <w:szCs w:val="23"/>
              </w:rPr>
            </w:pPr>
            <w:r w:rsidRPr="00501756">
              <w:rPr>
                <w:color w:val="auto"/>
                <w:szCs w:val="23"/>
              </w:rPr>
              <w:t>$12,646,000</w:t>
            </w:r>
          </w:p>
        </w:tc>
      </w:tr>
      <w:tr w:rsidR="00710002" w:rsidRPr="00C26C5B" w14:paraId="779621CB" w14:textId="77777777" w:rsidTr="00710002">
        <w:trPr>
          <w:tblHeader/>
        </w:trPr>
        <w:tc>
          <w:tcPr>
            <w:tcW w:w="1124" w:type="dxa"/>
            <w:tcBorders>
              <w:top w:val="single" w:sz="8" w:space="0" w:color="4F81BD"/>
              <w:bottom w:val="single" w:sz="8" w:space="0" w:color="4F81BD"/>
            </w:tcBorders>
            <w:shd w:val="clear" w:color="auto" w:fill="DBE5F1" w:themeFill="accent1" w:themeFillTint="33"/>
          </w:tcPr>
          <w:p w14:paraId="74E6355D" w14:textId="77777777" w:rsidR="00710002" w:rsidRPr="00C26C5B" w:rsidRDefault="00710002" w:rsidP="005137B6">
            <w:pPr>
              <w:pStyle w:val="Heading2"/>
              <w:spacing w:before="120"/>
              <w:rPr>
                <w:bCs w:val="0"/>
                <w:sz w:val="24"/>
                <w:szCs w:val="24"/>
              </w:rPr>
            </w:pPr>
            <w:r w:rsidRPr="00C26C5B">
              <w:rPr>
                <w:bCs w:val="0"/>
                <w:sz w:val="24"/>
                <w:szCs w:val="24"/>
              </w:rPr>
              <w:t>Output</w:t>
            </w:r>
          </w:p>
        </w:tc>
        <w:tc>
          <w:tcPr>
            <w:tcW w:w="5670" w:type="dxa"/>
            <w:tcBorders>
              <w:top w:val="single" w:sz="8" w:space="0" w:color="4F81BD"/>
              <w:bottom w:val="single" w:sz="8" w:space="0" w:color="4F81BD"/>
            </w:tcBorders>
            <w:shd w:val="clear" w:color="auto" w:fill="DBE5F1" w:themeFill="accent1" w:themeFillTint="33"/>
          </w:tcPr>
          <w:p w14:paraId="3E9A3303" w14:textId="77777777" w:rsidR="00710002" w:rsidRPr="00C26C5B" w:rsidRDefault="00710002" w:rsidP="005137B6">
            <w:pPr>
              <w:pStyle w:val="Heading2"/>
              <w:spacing w:before="120"/>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60" w:type="dxa"/>
            <w:tcBorders>
              <w:top w:val="single" w:sz="8" w:space="0" w:color="4F81BD"/>
              <w:bottom w:val="single" w:sz="8" w:space="0" w:color="4F81BD"/>
            </w:tcBorders>
            <w:shd w:val="clear" w:color="auto" w:fill="DBE5F1" w:themeFill="accent1" w:themeFillTint="33"/>
          </w:tcPr>
          <w:p w14:paraId="3CA3C83E" w14:textId="77777777" w:rsidR="00710002" w:rsidRPr="00D0312C" w:rsidRDefault="00710002" w:rsidP="005137B6">
            <w:pPr>
              <w:pStyle w:val="Heading2"/>
              <w:spacing w:before="120"/>
              <w:rPr>
                <w:sz w:val="18"/>
                <w:szCs w:val="18"/>
              </w:rPr>
            </w:pPr>
            <w:r w:rsidRPr="00DE36EB">
              <w:rPr>
                <w:bCs w:val="0"/>
                <w:sz w:val="24"/>
                <w:szCs w:val="24"/>
              </w:rPr>
              <w:t>Report due</w:t>
            </w:r>
          </w:p>
        </w:tc>
        <w:tc>
          <w:tcPr>
            <w:tcW w:w="1393" w:type="dxa"/>
            <w:tcBorders>
              <w:top w:val="single" w:sz="8" w:space="0" w:color="4F81BD"/>
              <w:bottom w:val="single" w:sz="8" w:space="0" w:color="4F81BD"/>
            </w:tcBorders>
            <w:shd w:val="clear" w:color="auto" w:fill="DBE5F1" w:themeFill="accent1" w:themeFillTint="33"/>
          </w:tcPr>
          <w:p w14:paraId="7245B74E" w14:textId="77777777" w:rsidR="00710002" w:rsidRPr="00C26C5B" w:rsidRDefault="00710002" w:rsidP="005137B6">
            <w:pPr>
              <w:pStyle w:val="Heading2"/>
              <w:spacing w:before="120"/>
              <w:rPr>
                <w:bCs w:val="0"/>
                <w:sz w:val="24"/>
                <w:szCs w:val="24"/>
              </w:rPr>
            </w:pPr>
            <w:r w:rsidRPr="00C26C5B">
              <w:rPr>
                <w:bCs w:val="0"/>
                <w:sz w:val="24"/>
                <w:szCs w:val="24"/>
              </w:rPr>
              <w:t>Payment</w:t>
            </w:r>
          </w:p>
        </w:tc>
      </w:tr>
      <w:tr w:rsidR="00710002" w:rsidRPr="00C26C5B" w14:paraId="7383BA3E" w14:textId="77777777" w:rsidTr="00710002">
        <w:trPr>
          <w:tblHeader/>
        </w:trPr>
        <w:tc>
          <w:tcPr>
            <w:tcW w:w="1124" w:type="dxa"/>
            <w:tcBorders>
              <w:top w:val="single" w:sz="8" w:space="0" w:color="4F81BD"/>
              <w:bottom w:val="single" w:sz="8" w:space="0" w:color="4F81BD"/>
            </w:tcBorders>
            <w:shd w:val="clear" w:color="auto" w:fill="auto"/>
          </w:tcPr>
          <w:p w14:paraId="2FD32424" w14:textId="77777777" w:rsidR="00710002" w:rsidRPr="00C26C5B" w:rsidRDefault="00710002" w:rsidP="005137B6">
            <w:pPr>
              <w:pStyle w:val="Heading2"/>
              <w:spacing w:before="120"/>
              <w:rPr>
                <w:bCs w:val="0"/>
                <w:sz w:val="24"/>
                <w:szCs w:val="24"/>
              </w:rPr>
            </w:pPr>
          </w:p>
        </w:tc>
        <w:tc>
          <w:tcPr>
            <w:tcW w:w="5670" w:type="dxa"/>
            <w:tcBorders>
              <w:top w:val="single" w:sz="8" w:space="0" w:color="4F81BD"/>
              <w:bottom w:val="single" w:sz="8" w:space="0" w:color="4F81BD"/>
            </w:tcBorders>
            <w:shd w:val="clear" w:color="auto" w:fill="auto"/>
          </w:tcPr>
          <w:p w14:paraId="398B885D" w14:textId="129EA387" w:rsidR="00710002" w:rsidRPr="00501756" w:rsidRDefault="00710002" w:rsidP="00710002">
            <w:pPr>
              <w:pStyle w:val="ListParagraph"/>
              <w:numPr>
                <w:ilvl w:val="0"/>
                <w:numId w:val="9"/>
              </w:numPr>
              <w:spacing w:after="0" w:line="240" w:lineRule="auto"/>
              <w:jc w:val="left"/>
            </w:pPr>
            <w:r w:rsidRPr="00501756">
              <w:t>2018-19: 3</w:t>
            </w:r>
            <w:r w:rsidR="00EF2B17">
              <w:t>,</w:t>
            </w:r>
            <w:r w:rsidRPr="00501756">
              <w:t>145 commencements</w:t>
            </w:r>
          </w:p>
          <w:p w14:paraId="38FB385E" w14:textId="399D60CB" w:rsidR="00710002" w:rsidRPr="003E11DE" w:rsidRDefault="00710002" w:rsidP="00710002">
            <w:pPr>
              <w:pStyle w:val="ListParagraph"/>
              <w:numPr>
                <w:ilvl w:val="0"/>
                <w:numId w:val="9"/>
              </w:numPr>
              <w:spacing w:after="0" w:line="240" w:lineRule="auto"/>
              <w:jc w:val="left"/>
            </w:pPr>
            <w:r w:rsidRPr="007F6D93">
              <w:t xml:space="preserve">2020-21: </w:t>
            </w:r>
            <w:r w:rsidR="000D774C" w:rsidRPr="00D57744">
              <w:t xml:space="preserve">2,689 </w:t>
            </w:r>
            <w:r w:rsidRPr="003E11DE">
              <w:t>commencements</w:t>
            </w:r>
          </w:p>
          <w:p w14:paraId="18AE4D29" w14:textId="6597250F" w:rsidR="00710002" w:rsidRPr="00501756" w:rsidRDefault="00710002" w:rsidP="00710002">
            <w:pPr>
              <w:pStyle w:val="ListParagraph"/>
              <w:numPr>
                <w:ilvl w:val="0"/>
                <w:numId w:val="9"/>
              </w:numPr>
              <w:spacing w:after="0" w:line="240" w:lineRule="auto"/>
              <w:jc w:val="left"/>
            </w:pPr>
            <w:r w:rsidRPr="00501756">
              <w:t xml:space="preserve">2021-22: </w:t>
            </w:r>
            <w:r w:rsidR="00224CE7" w:rsidRPr="00827A32">
              <w:t>1,759</w:t>
            </w:r>
            <w:r w:rsidR="00EA689E" w:rsidRPr="00501756">
              <w:t xml:space="preserve"> </w:t>
            </w:r>
            <w:r w:rsidRPr="00501756">
              <w:t>commencements</w:t>
            </w:r>
          </w:p>
          <w:p w14:paraId="71D2DDA8" w14:textId="77777777" w:rsidR="00710002" w:rsidRPr="007F6D93" w:rsidRDefault="00710002" w:rsidP="00710002">
            <w:pPr>
              <w:spacing w:after="0" w:line="240" w:lineRule="auto"/>
              <w:jc w:val="left"/>
            </w:pPr>
          </w:p>
          <w:p w14:paraId="418E65F9" w14:textId="77777777" w:rsidR="00710002" w:rsidRPr="00501756" w:rsidRDefault="00710002" w:rsidP="00710002">
            <w:pPr>
              <w:spacing w:after="120" w:line="240" w:lineRule="auto"/>
              <w:jc w:val="left"/>
            </w:pPr>
            <w:r w:rsidRPr="00501756">
              <w:t xml:space="preserve">In 2019−20, New South Wales will be eligible for the minimum performance payment if the following pre-apprenticeship and pre-traineeship commencements are achieved between </w:t>
            </w:r>
            <w:r w:rsidRPr="00501756">
              <w:rPr>
                <w:color w:val="auto"/>
                <w:szCs w:val="23"/>
              </w:rPr>
              <w:t>1 July and up to 31 December 2019</w:t>
            </w:r>
            <w:r w:rsidRPr="00501756">
              <w:t xml:space="preserve"> with pro rata amounts paid for commencements between 50 per cent and 100 per cent:</w:t>
            </w:r>
          </w:p>
          <w:p w14:paraId="521E4428" w14:textId="26F9B247" w:rsidR="00710002" w:rsidRPr="00501756" w:rsidRDefault="00710002" w:rsidP="00710002">
            <w:pPr>
              <w:pStyle w:val="ListParagraph"/>
              <w:numPr>
                <w:ilvl w:val="0"/>
                <w:numId w:val="9"/>
              </w:numPr>
              <w:spacing w:after="0" w:line="240" w:lineRule="auto"/>
              <w:jc w:val="left"/>
              <w:rPr>
                <w:bCs/>
                <w:sz w:val="24"/>
                <w:szCs w:val="24"/>
              </w:rPr>
            </w:pPr>
            <w:r w:rsidRPr="00501756">
              <w:t>2019-20: 6</w:t>
            </w:r>
            <w:r w:rsidR="00EF2B17">
              <w:t>,</w:t>
            </w:r>
            <w:r w:rsidRPr="00501756">
              <w:t>466 commencements</w:t>
            </w:r>
            <w:r w:rsidRPr="00501756">
              <w:br/>
            </w:r>
          </w:p>
        </w:tc>
        <w:tc>
          <w:tcPr>
            <w:tcW w:w="1560" w:type="dxa"/>
            <w:tcBorders>
              <w:top w:val="single" w:sz="8" w:space="0" w:color="4F81BD"/>
              <w:bottom w:val="single" w:sz="8" w:space="0" w:color="4F81BD"/>
            </w:tcBorders>
            <w:shd w:val="clear" w:color="auto" w:fill="auto"/>
          </w:tcPr>
          <w:p w14:paraId="0D7A6801" w14:textId="77777777" w:rsidR="00710002" w:rsidRPr="00501756" w:rsidRDefault="00710002" w:rsidP="00710002">
            <w:pPr>
              <w:spacing w:after="0" w:line="240" w:lineRule="auto"/>
              <w:jc w:val="right"/>
            </w:pPr>
            <w:r w:rsidRPr="00501756">
              <w:t>30 April 2019</w:t>
            </w:r>
          </w:p>
          <w:p w14:paraId="2BF4B8B2" w14:textId="77777777" w:rsidR="00710002" w:rsidRPr="00501756" w:rsidRDefault="00710002" w:rsidP="00710002">
            <w:pPr>
              <w:spacing w:after="0" w:line="240" w:lineRule="auto"/>
              <w:jc w:val="right"/>
            </w:pPr>
            <w:r w:rsidRPr="00501756">
              <w:t>30 April 2021</w:t>
            </w:r>
          </w:p>
          <w:p w14:paraId="665E3F55" w14:textId="77777777" w:rsidR="00710002" w:rsidRPr="00501756" w:rsidRDefault="00710002" w:rsidP="00710002">
            <w:pPr>
              <w:spacing w:after="0" w:line="240" w:lineRule="auto"/>
              <w:jc w:val="right"/>
            </w:pPr>
            <w:r w:rsidRPr="00501756">
              <w:t>30 April 2022</w:t>
            </w:r>
          </w:p>
          <w:p w14:paraId="48B08256" w14:textId="77777777" w:rsidR="00710002" w:rsidRPr="00501756" w:rsidRDefault="00710002" w:rsidP="00710002">
            <w:pPr>
              <w:spacing w:after="0" w:line="240" w:lineRule="auto"/>
              <w:jc w:val="right"/>
            </w:pPr>
          </w:p>
          <w:p w14:paraId="3684EAA5" w14:textId="77777777" w:rsidR="00710002" w:rsidRPr="00501756" w:rsidRDefault="00710002" w:rsidP="00710002">
            <w:pPr>
              <w:spacing w:after="0" w:line="240" w:lineRule="auto"/>
              <w:jc w:val="right"/>
            </w:pPr>
          </w:p>
          <w:p w14:paraId="242A87C5" w14:textId="77777777" w:rsidR="00710002" w:rsidRPr="00501756" w:rsidRDefault="00710002" w:rsidP="00710002">
            <w:pPr>
              <w:spacing w:after="0" w:line="240" w:lineRule="auto"/>
              <w:jc w:val="right"/>
            </w:pPr>
          </w:p>
          <w:p w14:paraId="0EA76384" w14:textId="77777777" w:rsidR="00710002" w:rsidRPr="00501756" w:rsidRDefault="00710002" w:rsidP="00710002">
            <w:pPr>
              <w:spacing w:after="0" w:line="240" w:lineRule="auto"/>
              <w:jc w:val="right"/>
            </w:pPr>
          </w:p>
          <w:p w14:paraId="46A1755A" w14:textId="77777777" w:rsidR="00710002" w:rsidRPr="00501756" w:rsidRDefault="00710002" w:rsidP="00710002">
            <w:pPr>
              <w:spacing w:after="0" w:line="240" w:lineRule="auto"/>
              <w:jc w:val="right"/>
            </w:pPr>
          </w:p>
          <w:p w14:paraId="3B1FD297" w14:textId="77777777" w:rsidR="00710002" w:rsidRPr="00501756" w:rsidRDefault="00710002" w:rsidP="00710002">
            <w:pPr>
              <w:spacing w:after="0" w:line="240" w:lineRule="auto"/>
              <w:jc w:val="right"/>
            </w:pPr>
          </w:p>
          <w:p w14:paraId="4EDEBCFA" w14:textId="77777777" w:rsidR="00710002" w:rsidRPr="00501756" w:rsidRDefault="00710002" w:rsidP="00710002">
            <w:pPr>
              <w:spacing w:after="120" w:line="240" w:lineRule="auto"/>
            </w:pPr>
          </w:p>
          <w:p w14:paraId="6E298C85" w14:textId="52049FA8" w:rsidR="00710002" w:rsidRPr="00501756" w:rsidRDefault="00710002" w:rsidP="00710002">
            <w:pPr>
              <w:pStyle w:val="Heading2"/>
              <w:spacing w:before="120"/>
              <w:rPr>
                <w:bCs w:val="0"/>
                <w:sz w:val="24"/>
                <w:szCs w:val="24"/>
              </w:rPr>
            </w:pPr>
            <w:r w:rsidRPr="00501756">
              <w:rPr>
                <w:rFonts w:cs="Times New Roman"/>
                <w:b w:val="0"/>
                <w:bCs w:val="0"/>
                <w:iCs w:val="0"/>
                <w:color w:val="000000"/>
                <w:sz w:val="23"/>
                <w:szCs w:val="20"/>
              </w:rPr>
              <w:t>30 April 2020</w:t>
            </w:r>
          </w:p>
        </w:tc>
        <w:tc>
          <w:tcPr>
            <w:tcW w:w="1393" w:type="dxa"/>
            <w:tcBorders>
              <w:top w:val="single" w:sz="8" w:space="0" w:color="4F81BD"/>
              <w:bottom w:val="single" w:sz="8" w:space="0" w:color="4F81BD"/>
            </w:tcBorders>
            <w:shd w:val="clear" w:color="auto" w:fill="auto"/>
          </w:tcPr>
          <w:p w14:paraId="1EDF30C5" w14:textId="77777777" w:rsidR="00710002" w:rsidRPr="00501756" w:rsidRDefault="00710002" w:rsidP="00710002">
            <w:pPr>
              <w:spacing w:after="0" w:line="240" w:lineRule="auto"/>
              <w:jc w:val="right"/>
              <w:rPr>
                <w:color w:val="auto"/>
                <w:szCs w:val="23"/>
              </w:rPr>
            </w:pPr>
            <w:r w:rsidRPr="00501756">
              <w:rPr>
                <w:color w:val="auto"/>
                <w:szCs w:val="23"/>
              </w:rPr>
              <w:t>$425,000</w:t>
            </w:r>
          </w:p>
          <w:p w14:paraId="735EBACC" w14:textId="68B13E4B" w:rsidR="00710002" w:rsidRPr="00501756" w:rsidRDefault="000D774C" w:rsidP="00710002">
            <w:pPr>
              <w:spacing w:after="0" w:line="240" w:lineRule="auto"/>
              <w:jc w:val="right"/>
              <w:rPr>
                <w:color w:val="auto"/>
                <w:szCs w:val="23"/>
              </w:rPr>
            </w:pPr>
            <w:r w:rsidRPr="00501756">
              <w:rPr>
                <w:color w:val="auto"/>
                <w:szCs w:val="23"/>
              </w:rPr>
              <w:t>$</w:t>
            </w:r>
            <w:r w:rsidR="00501756">
              <w:rPr>
                <w:color w:val="auto"/>
                <w:szCs w:val="23"/>
              </w:rPr>
              <w:t>1,672,245</w:t>
            </w:r>
          </w:p>
          <w:p w14:paraId="546FF84B" w14:textId="59ADDE2F" w:rsidR="00D412DD" w:rsidRPr="00501756" w:rsidRDefault="00501756" w:rsidP="00710002">
            <w:pPr>
              <w:spacing w:after="0" w:line="240" w:lineRule="auto"/>
              <w:jc w:val="right"/>
              <w:rPr>
                <w:color w:val="auto"/>
                <w:szCs w:val="23"/>
              </w:rPr>
            </w:pPr>
            <w:r w:rsidRPr="004C29B7">
              <w:rPr>
                <w:color w:val="auto"/>
                <w:szCs w:val="23"/>
              </w:rPr>
              <w:t>$</w:t>
            </w:r>
            <w:r>
              <w:rPr>
                <w:color w:val="auto"/>
                <w:szCs w:val="23"/>
              </w:rPr>
              <w:t>746,</w:t>
            </w:r>
            <w:r w:rsidR="00ED0983">
              <w:rPr>
                <w:color w:val="auto"/>
                <w:szCs w:val="23"/>
              </w:rPr>
              <w:t>522</w:t>
            </w:r>
          </w:p>
          <w:p w14:paraId="14312986" w14:textId="7E3198FF" w:rsidR="00710002" w:rsidRPr="00D57744" w:rsidRDefault="00710002" w:rsidP="00710002">
            <w:pPr>
              <w:spacing w:after="0" w:line="240" w:lineRule="auto"/>
              <w:jc w:val="right"/>
              <w:rPr>
                <w:color w:val="auto"/>
                <w:szCs w:val="23"/>
              </w:rPr>
            </w:pPr>
          </w:p>
          <w:p w14:paraId="3D12A9DC" w14:textId="77777777" w:rsidR="00710002" w:rsidRPr="00501756" w:rsidRDefault="00710002" w:rsidP="00710002">
            <w:pPr>
              <w:spacing w:after="0" w:line="240" w:lineRule="auto"/>
              <w:jc w:val="right"/>
              <w:rPr>
                <w:color w:val="auto"/>
                <w:szCs w:val="23"/>
              </w:rPr>
            </w:pPr>
          </w:p>
          <w:p w14:paraId="100B2EE6" w14:textId="77777777" w:rsidR="00710002" w:rsidRPr="00501756" w:rsidRDefault="00710002" w:rsidP="00710002">
            <w:pPr>
              <w:spacing w:after="0" w:line="240" w:lineRule="auto"/>
              <w:jc w:val="right"/>
              <w:rPr>
                <w:color w:val="auto"/>
                <w:szCs w:val="23"/>
              </w:rPr>
            </w:pPr>
          </w:p>
          <w:p w14:paraId="1812D618" w14:textId="77777777" w:rsidR="00710002" w:rsidRPr="00501756" w:rsidRDefault="00710002" w:rsidP="00710002">
            <w:pPr>
              <w:spacing w:after="0" w:line="240" w:lineRule="auto"/>
              <w:jc w:val="right"/>
              <w:rPr>
                <w:color w:val="auto"/>
                <w:szCs w:val="23"/>
              </w:rPr>
            </w:pPr>
          </w:p>
          <w:p w14:paraId="25AC1476" w14:textId="77777777" w:rsidR="00710002" w:rsidRPr="00501756" w:rsidRDefault="00710002" w:rsidP="00710002">
            <w:pPr>
              <w:spacing w:after="0" w:line="240" w:lineRule="auto"/>
              <w:jc w:val="right"/>
              <w:rPr>
                <w:color w:val="auto"/>
                <w:szCs w:val="23"/>
              </w:rPr>
            </w:pPr>
          </w:p>
          <w:p w14:paraId="5599C01E" w14:textId="77777777" w:rsidR="00710002" w:rsidRPr="00501756" w:rsidRDefault="00710002" w:rsidP="00710002">
            <w:pPr>
              <w:spacing w:after="0" w:line="240" w:lineRule="auto"/>
              <w:jc w:val="right"/>
              <w:rPr>
                <w:color w:val="auto"/>
                <w:szCs w:val="23"/>
              </w:rPr>
            </w:pPr>
          </w:p>
          <w:p w14:paraId="7D8D6A5A" w14:textId="77777777" w:rsidR="00710002" w:rsidRPr="00501756" w:rsidRDefault="00710002" w:rsidP="00710002">
            <w:pPr>
              <w:spacing w:after="120" w:line="240" w:lineRule="auto"/>
              <w:rPr>
                <w:color w:val="auto"/>
                <w:szCs w:val="23"/>
              </w:rPr>
            </w:pPr>
          </w:p>
          <w:p w14:paraId="4B00A9ED" w14:textId="35360112" w:rsidR="00710002" w:rsidRPr="00501756" w:rsidRDefault="00710002" w:rsidP="00710002">
            <w:pPr>
              <w:pStyle w:val="Heading2"/>
              <w:spacing w:before="120"/>
              <w:rPr>
                <w:bCs w:val="0"/>
                <w:sz w:val="24"/>
                <w:szCs w:val="24"/>
              </w:rPr>
            </w:pPr>
            <w:r w:rsidRPr="00501756">
              <w:rPr>
                <w:rFonts w:cs="Times New Roman"/>
                <w:b w:val="0"/>
                <w:bCs w:val="0"/>
                <w:iCs w:val="0"/>
                <w:color w:val="auto"/>
                <w:sz w:val="23"/>
                <w:szCs w:val="23"/>
              </w:rPr>
              <w:t>$6,323,000</w:t>
            </w:r>
          </w:p>
        </w:tc>
      </w:tr>
      <w:tr w:rsidR="00955C80" w:rsidRPr="00C26C5B" w14:paraId="458BD918" w14:textId="77777777" w:rsidTr="00891878">
        <w:trPr>
          <w:trHeight w:val="1272"/>
        </w:trPr>
        <w:tc>
          <w:tcPr>
            <w:tcW w:w="1124" w:type="dxa"/>
            <w:tcBorders>
              <w:top w:val="nil"/>
              <w:bottom w:val="nil"/>
            </w:tcBorders>
          </w:tcPr>
          <w:p w14:paraId="18ADC505" w14:textId="77777777" w:rsidR="00955C80" w:rsidRPr="003A5BC6" w:rsidRDefault="00955C80" w:rsidP="00891878">
            <w:pPr>
              <w:spacing w:line="240" w:lineRule="auto"/>
              <w:jc w:val="left"/>
              <w:rPr>
                <w:b/>
              </w:rPr>
            </w:pPr>
          </w:p>
        </w:tc>
        <w:tc>
          <w:tcPr>
            <w:tcW w:w="5670" w:type="dxa"/>
            <w:tcBorders>
              <w:top w:val="single" w:sz="8" w:space="0" w:color="4F81BD"/>
              <w:bottom w:val="nil"/>
            </w:tcBorders>
          </w:tcPr>
          <w:p w14:paraId="5D6BFFDF" w14:textId="77777777" w:rsidR="00955C80" w:rsidRPr="00501756" w:rsidRDefault="00955C80" w:rsidP="00891878">
            <w:pPr>
              <w:spacing w:after="120" w:line="240" w:lineRule="auto"/>
              <w:jc w:val="left"/>
              <w:rPr>
                <w:b/>
                <w:color w:val="auto"/>
                <w:szCs w:val="23"/>
              </w:rPr>
            </w:pPr>
            <w:r w:rsidRPr="00501756">
              <w:rPr>
                <w:b/>
                <w:color w:val="auto"/>
                <w:szCs w:val="23"/>
              </w:rPr>
              <w:t xml:space="preserve">Performance </w:t>
            </w:r>
            <w:r w:rsidR="00710737" w:rsidRPr="00501756">
              <w:rPr>
                <w:b/>
                <w:color w:val="auto"/>
                <w:szCs w:val="23"/>
              </w:rPr>
              <w:t>B</w:t>
            </w:r>
            <w:r w:rsidRPr="00501756">
              <w:rPr>
                <w:b/>
                <w:color w:val="auto"/>
                <w:szCs w:val="23"/>
              </w:rPr>
              <w:t>enchmark 3</w:t>
            </w:r>
            <w:r w:rsidR="00710737" w:rsidRPr="00501756">
              <w:rPr>
                <w:b/>
                <w:color w:val="auto"/>
                <w:szCs w:val="23"/>
              </w:rPr>
              <w:t>:</w:t>
            </w:r>
            <w:r w:rsidRPr="00501756">
              <w:rPr>
                <w:b/>
                <w:color w:val="auto"/>
                <w:szCs w:val="23"/>
              </w:rPr>
              <w:t xml:space="preserve"> </w:t>
            </w:r>
            <w:r w:rsidR="00710737" w:rsidRPr="00501756">
              <w:rPr>
                <w:b/>
                <w:color w:val="auto"/>
                <w:szCs w:val="23"/>
              </w:rPr>
              <w:t>H</w:t>
            </w:r>
            <w:r w:rsidR="00A35051" w:rsidRPr="00501756">
              <w:rPr>
                <w:b/>
                <w:color w:val="auto"/>
                <w:szCs w:val="23"/>
              </w:rPr>
              <w:t xml:space="preserve">igher </w:t>
            </w:r>
            <w:r w:rsidRPr="00501756">
              <w:rPr>
                <w:b/>
                <w:color w:val="auto"/>
                <w:szCs w:val="23"/>
              </w:rPr>
              <w:t>a</w:t>
            </w:r>
            <w:r w:rsidR="00EC11EB" w:rsidRPr="00501756">
              <w:rPr>
                <w:b/>
                <w:color w:val="auto"/>
                <w:szCs w:val="23"/>
              </w:rPr>
              <w:t xml:space="preserve">pprenticeships </w:t>
            </w:r>
          </w:p>
          <w:p w14:paraId="1343EA8D" w14:textId="77777777" w:rsidR="00955C80" w:rsidRPr="00501756" w:rsidRDefault="00955C80" w:rsidP="00891878">
            <w:pPr>
              <w:spacing w:after="120" w:line="240" w:lineRule="auto"/>
              <w:jc w:val="left"/>
              <w:rPr>
                <w:color w:val="auto"/>
                <w:szCs w:val="23"/>
              </w:rPr>
            </w:pPr>
            <w:r w:rsidRPr="007F6D93">
              <w:rPr>
                <w:color w:val="auto"/>
                <w:szCs w:val="23"/>
              </w:rPr>
              <w:t>Th</w:t>
            </w:r>
            <w:r w:rsidRPr="00D57744">
              <w:rPr>
                <w:color w:val="auto"/>
                <w:szCs w:val="23"/>
              </w:rPr>
              <w:t xml:space="preserve">e total performance benchmark </w:t>
            </w:r>
            <w:r w:rsidR="002C41BF" w:rsidRPr="00D57744">
              <w:rPr>
                <w:color w:val="auto"/>
                <w:szCs w:val="23"/>
              </w:rPr>
              <w:t xml:space="preserve">for each financial year </w:t>
            </w:r>
            <w:r w:rsidR="00804769" w:rsidRPr="00501756">
              <w:t xml:space="preserve">(baseline commencement plus additional commencement targets) </w:t>
            </w:r>
            <w:r w:rsidRPr="00501756">
              <w:rPr>
                <w:color w:val="auto"/>
                <w:szCs w:val="23"/>
              </w:rPr>
              <w:t xml:space="preserve">for </w:t>
            </w:r>
            <w:r w:rsidR="0023418F" w:rsidRPr="00501756">
              <w:rPr>
                <w:color w:val="auto"/>
                <w:szCs w:val="23"/>
              </w:rPr>
              <w:t>higher apprenticeship</w:t>
            </w:r>
            <w:r w:rsidRPr="00501756">
              <w:rPr>
                <w:color w:val="auto"/>
                <w:szCs w:val="23"/>
              </w:rPr>
              <w:t xml:space="preserve"> commencements</w:t>
            </w:r>
            <w:r w:rsidRPr="00501756">
              <w:t xml:space="preserve"> </w:t>
            </w:r>
            <w:r w:rsidRPr="00501756">
              <w:rPr>
                <w:color w:val="auto"/>
                <w:szCs w:val="23"/>
              </w:rPr>
              <w:t>are as follows:</w:t>
            </w:r>
          </w:p>
          <w:p w14:paraId="57DE6D1A" w14:textId="1A8E9C51" w:rsidR="00955C80" w:rsidRPr="00501756" w:rsidRDefault="00955C80" w:rsidP="00891878">
            <w:pPr>
              <w:pStyle w:val="ListParagraph"/>
              <w:numPr>
                <w:ilvl w:val="0"/>
                <w:numId w:val="9"/>
              </w:numPr>
              <w:spacing w:after="0" w:line="240" w:lineRule="auto"/>
              <w:jc w:val="left"/>
            </w:pPr>
            <w:r w:rsidRPr="00501756">
              <w:t>2018-19:</w:t>
            </w:r>
            <w:r w:rsidR="002C41BF" w:rsidRPr="00501756">
              <w:t xml:space="preserve"> </w:t>
            </w:r>
            <w:r w:rsidRPr="00501756">
              <w:t>1</w:t>
            </w:r>
            <w:r w:rsidR="00EF2B17">
              <w:t>,</w:t>
            </w:r>
            <w:r w:rsidRPr="00501756">
              <w:t>217</w:t>
            </w:r>
            <w:r w:rsidRPr="00501756">
              <w:rPr>
                <w:color w:val="auto"/>
                <w:szCs w:val="23"/>
              </w:rPr>
              <w:t xml:space="preserve"> </w:t>
            </w:r>
            <w:r w:rsidRPr="00501756">
              <w:t>commencements</w:t>
            </w:r>
          </w:p>
          <w:p w14:paraId="0B0C5A29" w14:textId="1AB64D3F" w:rsidR="00955C80" w:rsidRPr="00501756" w:rsidRDefault="00955C80" w:rsidP="00891878">
            <w:pPr>
              <w:pStyle w:val="ListParagraph"/>
              <w:numPr>
                <w:ilvl w:val="0"/>
                <w:numId w:val="9"/>
              </w:numPr>
              <w:spacing w:after="0" w:line="240" w:lineRule="auto"/>
              <w:jc w:val="left"/>
            </w:pPr>
            <w:r w:rsidRPr="00501756">
              <w:t>2019-20: 1217</w:t>
            </w:r>
            <w:r w:rsidRPr="00501756">
              <w:rPr>
                <w:color w:val="auto"/>
                <w:szCs w:val="23"/>
              </w:rPr>
              <w:t xml:space="preserve"> </w:t>
            </w:r>
            <w:r w:rsidRPr="00501756">
              <w:t>commencements</w:t>
            </w:r>
          </w:p>
          <w:p w14:paraId="73EB96F5" w14:textId="72759E11" w:rsidR="00955C80" w:rsidRPr="00501756" w:rsidRDefault="00955C80" w:rsidP="00891878">
            <w:pPr>
              <w:pStyle w:val="ListParagraph"/>
              <w:numPr>
                <w:ilvl w:val="0"/>
                <w:numId w:val="9"/>
              </w:numPr>
              <w:spacing w:after="0" w:line="240" w:lineRule="auto"/>
              <w:jc w:val="left"/>
            </w:pPr>
            <w:r w:rsidRPr="00501756">
              <w:t xml:space="preserve">2020-21: </w:t>
            </w:r>
            <w:r w:rsidR="000D774C" w:rsidRPr="00501756">
              <w:t xml:space="preserve">1,180 </w:t>
            </w:r>
            <w:r w:rsidRPr="00501756">
              <w:t>commencements</w:t>
            </w:r>
          </w:p>
          <w:p w14:paraId="300B1A75" w14:textId="253DE86A" w:rsidR="00955C80" w:rsidRPr="00501756" w:rsidRDefault="00955C80" w:rsidP="00891878">
            <w:pPr>
              <w:pStyle w:val="ListParagraph"/>
              <w:numPr>
                <w:ilvl w:val="0"/>
                <w:numId w:val="9"/>
              </w:numPr>
              <w:spacing w:after="0" w:line="240" w:lineRule="auto"/>
              <w:jc w:val="left"/>
            </w:pPr>
            <w:r w:rsidRPr="00501756">
              <w:t xml:space="preserve">2021-22: </w:t>
            </w:r>
            <w:r w:rsidR="00EA689E" w:rsidRPr="00501756">
              <w:t>1,041</w:t>
            </w:r>
            <w:r w:rsidR="000D774C" w:rsidRPr="00501756">
              <w:t xml:space="preserve"> </w:t>
            </w:r>
            <w:r w:rsidRPr="00501756">
              <w:t>commencements</w:t>
            </w:r>
          </w:p>
          <w:p w14:paraId="3502D23F" w14:textId="77777777" w:rsidR="00955C80" w:rsidRPr="00501756" w:rsidRDefault="00955C80" w:rsidP="00891878">
            <w:pPr>
              <w:pStyle w:val="ListParagraph"/>
              <w:spacing w:after="0" w:line="240" w:lineRule="auto"/>
              <w:jc w:val="left"/>
            </w:pPr>
          </w:p>
          <w:p w14:paraId="21C6A908" w14:textId="4368CDB3" w:rsidR="0023418F" w:rsidRPr="00501756" w:rsidRDefault="00C71020" w:rsidP="00891878">
            <w:pPr>
              <w:spacing w:after="120" w:line="240" w:lineRule="auto"/>
              <w:jc w:val="left"/>
              <w:rPr>
                <w:color w:val="auto"/>
                <w:szCs w:val="23"/>
              </w:rPr>
            </w:pPr>
            <w:r w:rsidRPr="00501756">
              <w:rPr>
                <w:color w:val="auto"/>
                <w:szCs w:val="23"/>
              </w:rPr>
              <w:t>New South Wales</w:t>
            </w:r>
            <w:r w:rsidR="00955C80" w:rsidRPr="00501756">
              <w:rPr>
                <w:color w:val="auto"/>
                <w:szCs w:val="23"/>
              </w:rPr>
              <w:t xml:space="preserve"> will be eligible for the full performance payment each financial year when </w:t>
            </w:r>
            <w:r w:rsidR="00AD199A" w:rsidRPr="00501756">
              <w:rPr>
                <w:color w:val="auto"/>
                <w:szCs w:val="23"/>
              </w:rPr>
              <w:t>the following commencements are achieved (</w:t>
            </w:r>
            <w:r w:rsidR="00955C80" w:rsidRPr="00501756">
              <w:rPr>
                <w:color w:val="auto"/>
                <w:szCs w:val="23"/>
              </w:rPr>
              <w:t xml:space="preserve">60 per cent of the total performance benchmark for higher </w:t>
            </w:r>
            <w:r w:rsidR="0023418F" w:rsidRPr="00501756">
              <w:rPr>
                <w:color w:val="auto"/>
                <w:szCs w:val="23"/>
              </w:rPr>
              <w:t>apprenticeship</w:t>
            </w:r>
            <w:r w:rsidR="00955C80" w:rsidRPr="00501756">
              <w:rPr>
                <w:color w:val="auto"/>
                <w:szCs w:val="23"/>
              </w:rPr>
              <w:t xml:space="preserve"> commencements</w:t>
            </w:r>
            <w:r w:rsidR="00AD199A" w:rsidRPr="00501756">
              <w:rPr>
                <w:color w:val="auto"/>
                <w:szCs w:val="23"/>
              </w:rPr>
              <w:t>)</w:t>
            </w:r>
            <w:r w:rsidR="00955C80" w:rsidRPr="00501756">
              <w:rPr>
                <w:color w:val="auto"/>
                <w:szCs w:val="23"/>
              </w:rPr>
              <w:t xml:space="preserve"> between 1 July and up to 30 April</w:t>
            </w:r>
            <w:r w:rsidR="00AD199A" w:rsidRPr="00501756">
              <w:rPr>
                <w:color w:val="auto"/>
                <w:szCs w:val="23"/>
              </w:rPr>
              <w:t>:</w:t>
            </w:r>
          </w:p>
        </w:tc>
        <w:tc>
          <w:tcPr>
            <w:tcW w:w="1560" w:type="dxa"/>
            <w:tcBorders>
              <w:top w:val="single" w:sz="8" w:space="0" w:color="4F81BD"/>
              <w:bottom w:val="nil"/>
            </w:tcBorders>
          </w:tcPr>
          <w:p w14:paraId="5D4F5BA4" w14:textId="77777777" w:rsidR="00955C80" w:rsidRPr="00501756" w:rsidRDefault="00955C80" w:rsidP="00891878">
            <w:pPr>
              <w:spacing w:after="0" w:line="240" w:lineRule="auto"/>
              <w:jc w:val="right"/>
            </w:pPr>
          </w:p>
        </w:tc>
        <w:tc>
          <w:tcPr>
            <w:tcW w:w="1393" w:type="dxa"/>
            <w:tcBorders>
              <w:top w:val="single" w:sz="8" w:space="0" w:color="4F81BD"/>
              <w:bottom w:val="nil"/>
            </w:tcBorders>
          </w:tcPr>
          <w:p w14:paraId="487B8436" w14:textId="77777777" w:rsidR="00955C80" w:rsidRPr="00501756" w:rsidRDefault="00955C80" w:rsidP="00891878">
            <w:pPr>
              <w:spacing w:after="0" w:line="240" w:lineRule="auto"/>
              <w:jc w:val="right"/>
              <w:rPr>
                <w:color w:val="auto"/>
                <w:szCs w:val="23"/>
              </w:rPr>
            </w:pPr>
          </w:p>
        </w:tc>
      </w:tr>
      <w:tr w:rsidR="00955C80" w:rsidRPr="00C26C5B" w14:paraId="37AFC73A" w14:textId="77777777" w:rsidTr="00891878">
        <w:trPr>
          <w:trHeight w:val="1272"/>
        </w:trPr>
        <w:tc>
          <w:tcPr>
            <w:tcW w:w="1124" w:type="dxa"/>
            <w:tcBorders>
              <w:top w:val="nil"/>
              <w:bottom w:val="nil"/>
            </w:tcBorders>
          </w:tcPr>
          <w:p w14:paraId="21144084" w14:textId="77777777" w:rsidR="00955C80" w:rsidRPr="003A5BC6" w:rsidRDefault="00955C80" w:rsidP="00891878">
            <w:pPr>
              <w:spacing w:line="240" w:lineRule="auto"/>
              <w:jc w:val="left"/>
              <w:rPr>
                <w:b/>
              </w:rPr>
            </w:pPr>
          </w:p>
        </w:tc>
        <w:tc>
          <w:tcPr>
            <w:tcW w:w="5670" w:type="dxa"/>
            <w:tcBorders>
              <w:top w:val="nil"/>
              <w:bottom w:val="nil"/>
            </w:tcBorders>
          </w:tcPr>
          <w:p w14:paraId="20FBD6C8" w14:textId="77777777" w:rsidR="00955C80" w:rsidRPr="00501756" w:rsidRDefault="00955C80" w:rsidP="00891878">
            <w:pPr>
              <w:pStyle w:val="ListParagraph"/>
              <w:numPr>
                <w:ilvl w:val="0"/>
                <w:numId w:val="9"/>
              </w:numPr>
              <w:spacing w:after="0" w:line="240" w:lineRule="auto"/>
              <w:jc w:val="left"/>
              <w:rPr>
                <w:color w:val="auto"/>
                <w:szCs w:val="23"/>
              </w:rPr>
            </w:pPr>
            <w:r w:rsidRPr="00501756">
              <w:t>2018</w:t>
            </w:r>
            <w:r w:rsidRPr="00501756">
              <w:rPr>
                <w:color w:val="auto"/>
                <w:szCs w:val="23"/>
              </w:rPr>
              <w:t>-19: 730 commencements</w:t>
            </w:r>
          </w:p>
          <w:p w14:paraId="786B6D6D" w14:textId="77777777" w:rsidR="00955C80" w:rsidRPr="00D57744" w:rsidRDefault="00955C80" w:rsidP="00891878">
            <w:pPr>
              <w:pStyle w:val="ListParagraph"/>
              <w:numPr>
                <w:ilvl w:val="0"/>
                <w:numId w:val="9"/>
              </w:numPr>
              <w:spacing w:after="0" w:line="240" w:lineRule="auto"/>
              <w:jc w:val="left"/>
            </w:pPr>
            <w:r w:rsidRPr="007F6D93">
              <w:t xml:space="preserve">2019-20: </w:t>
            </w:r>
            <w:r w:rsidRPr="00D57744">
              <w:rPr>
                <w:color w:val="auto"/>
                <w:szCs w:val="23"/>
              </w:rPr>
              <w:t xml:space="preserve">730 </w:t>
            </w:r>
            <w:r w:rsidRPr="00D57744">
              <w:t>commencements</w:t>
            </w:r>
          </w:p>
          <w:p w14:paraId="4C51E655" w14:textId="5309F642" w:rsidR="00955C80" w:rsidRPr="00501756" w:rsidRDefault="00955C80" w:rsidP="00891878">
            <w:pPr>
              <w:pStyle w:val="ListParagraph"/>
              <w:numPr>
                <w:ilvl w:val="0"/>
                <w:numId w:val="9"/>
              </w:numPr>
              <w:spacing w:after="0" w:line="240" w:lineRule="auto"/>
              <w:jc w:val="left"/>
            </w:pPr>
            <w:r w:rsidRPr="00501756">
              <w:t xml:space="preserve">2020-21: </w:t>
            </w:r>
            <w:r w:rsidR="000D774C" w:rsidRPr="00501756">
              <w:t xml:space="preserve">708 </w:t>
            </w:r>
            <w:r w:rsidRPr="00501756">
              <w:t>commencements</w:t>
            </w:r>
          </w:p>
          <w:p w14:paraId="7CFE2EE8" w14:textId="40393451" w:rsidR="00955C80" w:rsidRPr="00501756" w:rsidRDefault="00955C80" w:rsidP="00891878">
            <w:pPr>
              <w:pStyle w:val="ListParagraph"/>
              <w:numPr>
                <w:ilvl w:val="0"/>
                <w:numId w:val="9"/>
              </w:numPr>
              <w:spacing w:after="0" w:line="240" w:lineRule="auto"/>
              <w:jc w:val="left"/>
            </w:pPr>
            <w:r w:rsidRPr="00501756">
              <w:t xml:space="preserve">2021-22: </w:t>
            </w:r>
            <w:r w:rsidR="00224CE7" w:rsidRPr="00501756">
              <w:t>625</w:t>
            </w:r>
            <w:r w:rsidR="00EA689E" w:rsidRPr="00501756">
              <w:t xml:space="preserve"> </w:t>
            </w:r>
            <w:r w:rsidRPr="00501756">
              <w:t>commencements</w:t>
            </w:r>
          </w:p>
          <w:p w14:paraId="3E5A66ED" w14:textId="77777777" w:rsidR="00955C80" w:rsidRPr="00501756" w:rsidRDefault="00955C80" w:rsidP="00891878">
            <w:pPr>
              <w:spacing w:after="0" w:line="240" w:lineRule="auto"/>
              <w:jc w:val="left"/>
            </w:pPr>
          </w:p>
        </w:tc>
        <w:tc>
          <w:tcPr>
            <w:tcW w:w="1560" w:type="dxa"/>
            <w:tcBorders>
              <w:top w:val="nil"/>
              <w:bottom w:val="nil"/>
            </w:tcBorders>
          </w:tcPr>
          <w:p w14:paraId="2D2B7AA0" w14:textId="77777777" w:rsidR="00955C80" w:rsidRPr="00501756" w:rsidRDefault="00955C80" w:rsidP="00891878">
            <w:pPr>
              <w:spacing w:after="0" w:line="240" w:lineRule="auto"/>
              <w:jc w:val="right"/>
            </w:pPr>
            <w:r w:rsidRPr="00501756">
              <w:t>30 April 2019</w:t>
            </w:r>
          </w:p>
          <w:p w14:paraId="780C0E82" w14:textId="77777777" w:rsidR="00955C80" w:rsidRPr="00501756" w:rsidRDefault="00955C80" w:rsidP="00891878">
            <w:pPr>
              <w:spacing w:after="0" w:line="240" w:lineRule="auto"/>
              <w:jc w:val="right"/>
            </w:pPr>
            <w:r w:rsidRPr="00501756">
              <w:t>30 April 2020</w:t>
            </w:r>
          </w:p>
          <w:p w14:paraId="01958EE3" w14:textId="77777777" w:rsidR="00955C80" w:rsidRPr="00501756" w:rsidRDefault="00955C80" w:rsidP="00891878">
            <w:pPr>
              <w:spacing w:after="0" w:line="240" w:lineRule="auto"/>
              <w:jc w:val="right"/>
            </w:pPr>
            <w:r w:rsidRPr="00501756">
              <w:t>30 April 2021</w:t>
            </w:r>
          </w:p>
          <w:p w14:paraId="61973F1A" w14:textId="77777777" w:rsidR="00955C80" w:rsidRPr="00501756" w:rsidRDefault="00955C80" w:rsidP="00891878">
            <w:pPr>
              <w:spacing w:after="0" w:line="240" w:lineRule="auto"/>
              <w:jc w:val="right"/>
            </w:pPr>
            <w:r w:rsidRPr="00501756">
              <w:t>30 April 2022</w:t>
            </w:r>
          </w:p>
          <w:p w14:paraId="025CC1D6" w14:textId="77777777" w:rsidR="00955C80" w:rsidRPr="00501756" w:rsidRDefault="00955C80" w:rsidP="00891878">
            <w:pPr>
              <w:spacing w:after="0" w:line="240" w:lineRule="auto"/>
              <w:jc w:val="right"/>
            </w:pPr>
          </w:p>
        </w:tc>
        <w:tc>
          <w:tcPr>
            <w:tcW w:w="1393" w:type="dxa"/>
            <w:tcBorders>
              <w:top w:val="nil"/>
              <w:bottom w:val="nil"/>
            </w:tcBorders>
          </w:tcPr>
          <w:p w14:paraId="3B84D136" w14:textId="77777777" w:rsidR="00955C80" w:rsidRPr="00501756" w:rsidRDefault="00955C80" w:rsidP="00891878">
            <w:pPr>
              <w:spacing w:after="0" w:line="240" w:lineRule="auto"/>
              <w:jc w:val="right"/>
              <w:rPr>
                <w:color w:val="auto"/>
                <w:szCs w:val="23"/>
              </w:rPr>
            </w:pPr>
            <w:r w:rsidRPr="00501756">
              <w:rPr>
                <w:color w:val="auto"/>
                <w:szCs w:val="23"/>
              </w:rPr>
              <w:t>$703,000</w:t>
            </w:r>
          </w:p>
          <w:p w14:paraId="715ACD5F" w14:textId="77777777" w:rsidR="00955C80" w:rsidRPr="00501756" w:rsidRDefault="00955C80" w:rsidP="00891878">
            <w:pPr>
              <w:spacing w:after="0" w:line="240" w:lineRule="auto"/>
              <w:jc w:val="right"/>
              <w:rPr>
                <w:color w:val="auto"/>
                <w:szCs w:val="23"/>
              </w:rPr>
            </w:pPr>
            <w:r w:rsidRPr="00501756">
              <w:rPr>
                <w:color w:val="auto"/>
                <w:szCs w:val="23"/>
              </w:rPr>
              <w:t>$</w:t>
            </w:r>
            <w:r w:rsidR="009E0E02" w:rsidRPr="00501756">
              <w:rPr>
                <w:color w:val="auto"/>
                <w:szCs w:val="23"/>
              </w:rPr>
              <w:t>800</w:t>
            </w:r>
            <w:r w:rsidR="00212FA7" w:rsidRPr="00501756">
              <w:rPr>
                <w:color w:val="auto"/>
                <w:szCs w:val="23"/>
              </w:rPr>
              <w:t>,000</w:t>
            </w:r>
          </w:p>
          <w:p w14:paraId="4385B4AA" w14:textId="63E19C28" w:rsidR="00955C80" w:rsidRPr="00501756" w:rsidRDefault="000D774C" w:rsidP="00891878">
            <w:pPr>
              <w:spacing w:after="0" w:line="240" w:lineRule="auto"/>
              <w:jc w:val="right"/>
              <w:rPr>
                <w:color w:val="auto"/>
                <w:szCs w:val="23"/>
              </w:rPr>
            </w:pPr>
            <w:r w:rsidRPr="00501756">
              <w:rPr>
                <w:color w:val="auto"/>
                <w:szCs w:val="23"/>
              </w:rPr>
              <w:t>$</w:t>
            </w:r>
            <w:r w:rsidR="00501756">
              <w:rPr>
                <w:color w:val="auto"/>
                <w:szCs w:val="23"/>
              </w:rPr>
              <w:t>663,370</w:t>
            </w:r>
            <w:r w:rsidRPr="00501756">
              <w:rPr>
                <w:color w:val="auto"/>
                <w:szCs w:val="23"/>
              </w:rPr>
              <w:t xml:space="preserve"> </w:t>
            </w:r>
          </w:p>
          <w:p w14:paraId="4254624A" w14:textId="1E66F5C5" w:rsidR="00D412DD" w:rsidRPr="00501756" w:rsidRDefault="00EA689E" w:rsidP="00891878">
            <w:pPr>
              <w:spacing w:after="0" w:line="240" w:lineRule="auto"/>
              <w:jc w:val="right"/>
              <w:rPr>
                <w:color w:val="auto"/>
                <w:szCs w:val="23"/>
              </w:rPr>
            </w:pPr>
            <w:r w:rsidRPr="00827A32">
              <w:rPr>
                <w:color w:val="auto"/>
                <w:szCs w:val="23"/>
              </w:rPr>
              <w:t>$</w:t>
            </w:r>
            <w:r w:rsidR="00501756">
              <w:rPr>
                <w:color w:val="auto"/>
                <w:szCs w:val="23"/>
              </w:rPr>
              <w:t>2</w:t>
            </w:r>
            <w:r w:rsidR="003E11DE">
              <w:rPr>
                <w:color w:val="auto"/>
                <w:szCs w:val="23"/>
              </w:rPr>
              <w:t>9</w:t>
            </w:r>
            <w:r w:rsidR="00501756">
              <w:rPr>
                <w:color w:val="auto"/>
                <w:szCs w:val="23"/>
              </w:rPr>
              <w:t>6,</w:t>
            </w:r>
            <w:r w:rsidR="00ED0983">
              <w:rPr>
                <w:color w:val="auto"/>
                <w:szCs w:val="23"/>
              </w:rPr>
              <w:t>141</w:t>
            </w:r>
          </w:p>
          <w:p w14:paraId="7B70C109" w14:textId="1DE35CAF" w:rsidR="00955C80" w:rsidRPr="003E11DE" w:rsidRDefault="00955C80" w:rsidP="00891878">
            <w:pPr>
              <w:spacing w:after="0" w:line="240" w:lineRule="auto"/>
              <w:jc w:val="right"/>
              <w:rPr>
                <w:color w:val="auto"/>
                <w:szCs w:val="23"/>
              </w:rPr>
            </w:pPr>
          </w:p>
          <w:p w14:paraId="2FAA69F6" w14:textId="77777777" w:rsidR="00955C80" w:rsidRPr="00501756" w:rsidRDefault="00955C80" w:rsidP="00891878">
            <w:pPr>
              <w:spacing w:after="0" w:line="240" w:lineRule="auto"/>
              <w:jc w:val="right"/>
              <w:rPr>
                <w:color w:val="auto"/>
                <w:szCs w:val="23"/>
              </w:rPr>
            </w:pPr>
          </w:p>
        </w:tc>
      </w:tr>
      <w:tr w:rsidR="00955C80" w:rsidRPr="00C26C5B" w14:paraId="070DBE61" w14:textId="77777777" w:rsidTr="00891878">
        <w:trPr>
          <w:trHeight w:val="1352"/>
        </w:trPr>
        <w:tc>
          <w:tcPr>
            <w:tcW w:w="1124" w:type="dxa"/>
            <w:tcBorders>
              <w:top w:val="nil"/>
              <w:bottom w:val="nil"/>
            </w:tcBorders>
          </w:tcPr>
          <w:p w14:paraId="6D7AD322" w14:textId="2CD4E12B" w:rsidR="00955C80" w:rsidRPr="003A5BC6" w:rsidRDefault="00955C80" w:rsidP="00891878">
            <w:pPr>
              <w:spacing w:line="240" w:lineRule="auto"/>
              <w:jc w:val="left"/>
              <w:rPr>
                <w:b/>
              </w:rPr>
            </w:pPr>
          </w:p>
        </w:tc>
        <w:tc>
          <w:tcPr>
            <w:tcW w:w="5670" w:type="dxa"/>
            <w:tcBorders>
              <w:top w:val="nil"/>
              <w:bottom w:val="nil"/>
            </w:tcBorders>
          </w:tcPr>
          <w:p w14:paraId="30DD37F0" w14:textId="36431439" w:rsidR="0023418F" w:rsidRPr="00906BEF" w:rsidRDefault="00C71020" w:rsidP="00891878">
            <w:pPr>
              <w:spacing w:after="120" w:line="240" w:lineRule="auto"/>
              <w:jc w:val="left"/>
            </w:pPr>
            <w:r>
              <w:t>New South Wales</w:t>
            </w:r>
            <w:r w:rsidR="00955C80">
              <w:t xml:space="preserve"> will be eligible for the minimum performance payment</w:t>
            </w:r>
            <w:r w:rsidR="00AD199A">
              <w:t xml:space="preserve"> each financial year</w:t>
            </w:r>
            <w:r w:rsidR="00955C80">
              <w:t xml:space="preserve"> if the following higher </w:t>
            </w:r>
            <w:r w:rsidR="00955C80" w:rsidRPr="00B4773E">
              <w:t xml:space="preserve">apprenticeship </w:t>
            </w:r>
            <w:r w:rsidR="00955C80">
              <w:t xml:space="preserve">commencements are achieved </w:t>
            </w:r>
            <w:r w:rsidR="00AD199A">
              <w:t xml:space="preserve">between </w:t>
            </w:r>
            <w:r w:rsidR="00AD199A">
              <w:rPr>
                <w:color w:val="auto"/>
                <w:szCs w:val="23"/>
              </w:rPr>
              <w:t>1 July and up to 30 April</w:t>
            </w:r>
            <w:r w:rsidR="00AD199A">
              <w:t xml:space="preserve"> </w:t>
            </w:r>
            <w:r w:rsidR="00955C80">
              <w:t xml:space="preserve">with </w:t>
            </w:r>
            <w:r w:rsidR="00A35051">
              <w:t>pro</w:t>
            </w:r>
            <w:r w:rsidR="00535F24">
              <w:t xml:space="preserve"> </w:t>
            </w:r>
            <w:r w:rsidR="00955C80">
              <w:t>rata amounts paid for commencements</w:t>
            </w:r>
            <w:r w:rsidR="00987654">
              <w:t xml:space="preserve"> up to 60 per cent of the total performance benchmark</w:t>
            </w:r>
            <w:r w:rsidR="00955C80">
              <w:t xml:space="preserve"> between </w:t>
            </w:r>
            <w:r w:rsidR="00987654">
              <w:t>1 July and up to 30 April</w:t>
            </w:r>
            <w:r w:rsidR="00AD199A">
              <w:t>:</w:t>
            </w:r>
          </w:p>
        </w:tc>
        <w:tc>
          <w:tcPr>
            <w:tcW w:w="1560" w:type="dxa"/>
            <w:tcBorders>
              <w:top w:val="nil"/>
              <w:bottom w:val="nil"/>
            </w:tcBorders>
          </w:tcPr>
          <w:p w14:paraId="31B7B985" w14:textId="77777777" w:rsidR="00955C80" w:rsidRDefault="00955C80" w:rsidP="00891878">
            <w:pPr>
              <w:spacing w:after="0" w:line="240" w:lineRule="auto"/>
              <w:jc w:val="right"/>
            </w:pPr>
          </w:p>
        </w:tc>
        <w:tc>
          <w:tcPr>
            <w:tcW w:w="1393" w:type="dxa"/>
            <w:tcBorders>
              <w:top w:val="nil"/>
              <w:bottom w:val="nil"/>
            </w:tcBorders>
          </w:tcPr>
          <w:p w14:paraId="7054FA28" w14:textId="77777777" w:rsidR="00955C80" w:rsidRDefault="00955C80" w:rsidP="00891878">
            <w:pPr>
              <w:spacing w:after="0" w:line="240" w:lineRule="auto"/>
              <w:jc w:val="right"/>
              <w:rPr>
                <w:color w:val="auto"/>
                <w:szCs w:val="23"/>
              </w:rPr>
            </w:pPr>
          </w:p>
        </w:tc>
      </w:tr>
      <w:tr w:rsidR="006879D7" w:rsidRPr="00501756" w14:paraId="31DDBA01" w14:textId="77777777" w:rsidTr="00891878">
        <w:trPr>
          <w:trHeight w:val="1195"/>
        </w:trPr>
        <w:tc>
          <w:tcPr>
            <w:tcW w:w="1124" w:type="dxa"/>
            <w:tcBorders>
              <w:top w:val="nil"/>
              <w:bottom w:val="single" w:sz="4" w:space="0" w:color="4F81BD"/>
            </w:tcBorders>
          </w:tcPr>
          <w:p w14:paraId="354D4DCE" w14:textId="77777777" w:rsidR="006879D7" w:rsidRPr="003A5BC6" w:rsidRDefault="006879D7" w:rsidP="00891878">
            <w:pPr>
              <w:spacing w:line="240" w:lineRule="auto"/>
              <w:jc w:val="left"/>
              <w:rPr>
                <w:b/>
              </w:rPr>
            </w:pPr>
          </w:p>
        </w:tc>
        <w:tc>
          <w:tcPr>
            <w:tcW w:w="5670" w:type="dxa"/>
            <w:tcBorders>
              <w:top w:val="nil"/>
              <w:bottom w:val="single" w:sz="4" w:space="0" w:color="4F81BD"/>
            </w:tcBorders>
          </w:tcPr>
          <w:p w14:paraId="71AEA502" w14:textId="77777777" w:rsidR="00955C80" w:rsidRPr="00906BEF" w:rsidRDefault="00955C80" w:rsidP="00891878">
            <w:pPr>
              <w:pStyle w:val="ListParagraph"/>
              <w:numPr>
                <w:ilvl w:val="0"/>
                <w:numId w:val="11"/>
              </w:numPr>
              <w:spacing w:after="0" w:line="240" w:lineRule="auto"/>
              <w:jc w:val="left"/>
            </w:pPr>
            <w:r w:rsidRPr="00906BEF">
              <w:t xml:space="preserve">2018-19: </w:t>
            </w:r>
            <w:r>
              <w:t>64</w:t>
            </w:r>
            <w:r w:rsidR="002F325A">
              <w:t>3</w:t>
            </w:r>
            <w:r w:rsidRPr="00906BEF">
              <w:t xml:space="preserve"> commencements</w:t>
            </w:r>
          </w:p>
          <w:p w14:paraId="53FD4160" w14:textId="77777777" w:rsidR="00955C80" w:rsidRPr="00CD27ED" w:rsidRDefault="00955C80" w:rsidP="00891878">
            <w:pPr>
              <w:pStyle w:val="ListParagraph"/>
              <w:numPr>
                <w:ilvl w:val="0"/>
                <w:numId w:val="11"/>
              </w:numPr>
              <w:spacing w:after="0" w:line="240" w:lineRule="auto"/>
              <w:jc w:val="left"/>
            </w:pPr>
            <w:r w:rsidRPr="00CD27ED">
              <w:t xml:space="preserve">2019-20: </w:t>
            </w:r>
            <w:r>
              <w:t>64</w:t>
            </w:r>
            <w:r w:rsidR="002F325A">
              <w:t>3</w:t>
            </w:r>
            <w:r w:rsidRPr="00CD27ED">
              <w:t xml:space="preserve"> commencements</w:t>
            </w:r>
          </w:p>
          <w:p w14:paraId="35C1DF42" w14:textId="6D98E84E" w:rsidR="00955C80" w:rsidRDefault="00955C80" w:rsidP="00891878">
            <w:pPr>
              <w:pStyle w:val="ListParagraph"/>
              <w:numPr>
                <w:ilvl w:val="0"/>
                <w:numId w:val="11"/>
              </w:numPr>
              <w:spacing w:after="0" w:line="240" w:lineRule="auto"/>
              <w:jc w:val="left"/>
            </w:pPr>
            <w:r w:rsidRPr="00CD27ED">
              <w:t xml:space="preserve">2020-21: </w:t>
            </w:r>
            <w:r w:rsidR="000D774C">
              <w:t xml:space="preserve">632 </w:t>
            </w:r>
            <w:r w:rsidRPr="00CD27ED">
              <w:t>commencements</w:t>
            </w:r>
          </w:p>
          <w:p w14:paraId="699EC994" w14:textId="1E14F339" w:rsidR="00922D31" w:rsidRPr="0018637E" w:rsidRDefault="00955C80">
            <w:pPr>
              <w:pStyle w:val="ListParagraph"/>
              <w:numPr>
                <w:ilvl w:val="0"/>
                <w:numId w:val="11"/>
              </w:numPr>
              <w:spacing w:after="0" w:line="240" w:lineRule="auto"/>
              <w:jc w:val="left"/>
              <w:rPr>
                <w:color w:val="auto"/>
                <w:szCs w:val="23"/>
              </w:rPr>
            </w:pPr>
            <w:r>
              <w:t xml:space="preserve">2021-22: </w:t>
            </w:r>
            <w:r w:rsidR="00224CE7">
              <w:t>591</w:t>
            </w:r>
            <w:r w:rsidR="00EA689E">
              <w:t xml:space="preserve"> </w:t>
            </w:r>
            <w:r>
              <w:t>commencements</w:t>
            </w:r>
            <w:r w:rsidR="00891878">
              <w:br/>
            </w:r>
          </w:p>
        </w:tc>
        <w:tc>
          <w:tcPr>
            <w:tcW w:w="1560" w:type="dxa"/>
            <w:tcBorders>
              <w:top w:val="nil"/>
              <w:bottom w:val="single" w:sz="4" w:space="0" w:color="4F81BD"/>
            </w:tcBorders>
          </w:tcPr>
          <w:p w14:paraId="0BA83478" w14:textId="77777777" w:rsidR="0056564D" w:rsidRDefault="0056564D" w:rsidP="00891878">
            <w:pPr>
              <w:spacing w:after="0" w:line="240" w:lineRule="auto"/>
              <w:jc w:val="right"/>
            </w:pPr>
            <w:r>
              <w:t>30 April 2019</w:t>
            </w:r>
          </w:p>
          <w:p w14:paraId="4EF1A32E" w14:textId="77777777" w:rsidR="0056564D" w:rsidRDefault="0056564D" w:rsidP="00891878">
            <w:pPr>
              <w:spacing w:after="0" w:line="240" w:lineRule="auto"/>
              <w:jc w:val="right"/>
            </w:pPr>
            <w:r>
              <w:t>30 April 2020</w:t>
            </w:r>
          </w:p>
          <w:p w14:paraId="270DEF68" w14:textId="77777777" w:rsidR="0056564D" w:rsidRDefault="0056564D" w:rsidP="00891878">
            <w:pPr>
              <w:spacing w:after="0" w:line="240" w:lineRule="auto"/>
              <w:jc w:val="right"/>
            </w:pPr>
            <w:r>
              <w:t>30 April 2021</w:t>
            </w:r>
          </w:p>
          <w:p w14:paraId="5CA63E7F" w14:textId="77777777" w:rsidR="0056564D" w:rsidRDefault="0056564D" w:rsidP="00891878">
            <w:pPr>
              <w:spacing w:after="0" w:line="240" w:lineRule="auto"/>
              <w:jc w:val="right"/>
            </w:pPr>
            <w:r>
              <w:t>30 April 2022</w:t>
            </w:r>
          </w:p>
        </w:tc>
        <w:tc>
          <w:tcPr>
            <w:tcW w:w="1393" w:type="dxa"/>
            <w:tcBorders>
              <w:top w:val="nil"/>
              <w:bottom w:val="single" w:sz="4" w:space="0" w:color="4F81BD"/>
            </w:tcBorders>
          </w:tcPr>
          <w:p w14:paraId="70B8868B" w14:textId="77777777" w:rsidR="0056564D" w:rsidRPr="00501756" w:rsidRDefault="007C659F" w:rsidP="00891878">
            <w:pPr>
              <w:spacing w:after="0" w:line="240" w:lineRule="auto"/>
              <w:jc w:val="right"/>
              <w:rPr>
                <w:color w:val="auto"/>
                <w:szCs w:val="23"/>
              </w:rPr>
            </w:pPr>
            <w:r w:rsidRPr="00501756">
              <w:rPr>
                <w:color w:val="auto"/>
                <w:szCs w:val="23"/>
              </w:rPr>
              <w:t>$</w:t>
            </w:r>
            <w:r w:rsidR="00F75FB5" w:rsidRPr="00501756">
              <w:rPr>
                <w:color w:val="auto"/>
                <w:szCs w:val="23"/>
              </w:rPr>
              <w:t>35</w:t>
            </w:r>
            <w:r w:rsidR="009A6B24" w:rsidRPr="00501756">
              <w:rPr>
                <w:color w:val="auto"/>
                <w:szCs w:val="23"/>
              </w:rPr>
              <w:t>1</w:t>
            </w:r>
            <w:r w:rsidR="00F75FB5" w:rsidRPr="00501756">
              <w:rPr>
                <w:color w:val="auto"/>
                <w:szCs w:val="23"/>
              </w:rPr>
              <w:t>,</w:t>
            </w:r>
            <w:r w:rsidR="009A6B24" w:rsidRPr="00501756">
              <w:rPr>
                <w:color w:val="auto"/>
                <w:szCs w:val="23"/>
              </w:rPr>
              <w:t>5</w:t>
            </w:r>
            <w:r w:rsidR="00F75FB5" w:rsidRPr="00501756">
              <w:rPr>
                <w:color w:val="auto"/>
                <w:szCs w:val="23"/>
              </w:rPr>
              <w:t>00</w:t>
            </w:r>
          </w:p>
          <w:p w14:paraId="720E7EB9" w14:textId="77777777" w:rsidR="0056564D" w:rsidRPr="00501756" w:rsidRDefault="0056564D" w:rsidP="00891878">
            <w:pPr>
              <w:spacing w:after="0" w:line="240" w:lineRule="auto"/>
              <w:jc w:val="right"/>
              <w:rPr>
                <w:color w:val="auto"/>
                <w:szCs w:val="23"/>
              </w:rPr>
            </w:pPr>
            <w:r w:rsidRPr="007F6D93">
              <w:rPr>
                <w:color w:val="auto"/>
                <w:szCs w:val="23"/>
              </w:rPr>
              <w:t>$</w:t>
            </w:r>
            <w:r w:rsidR="008E5C21" w:rsidRPr="00D57744">
              <w:rPr>
                <w:color w:val="auto"/>
                <w:szCs w:val="23"/>
              </w:rPr>
              <w:t>400</w:t>
            </w:r>
            <w:r w:rsidR="00F75FB5" w:rsidRPr="00D57744">
              <w:rPr>
                <w:color w:val="auto"/>
                <w:szCs w:val="23"/>
              </w:rPr>
              <w:t>,</w:t>
            </w:r>
            <w:r w:rsidR="008E5C21" w:rsidRPr="003E11DE">
              <w:rPr>
                <w:color w:val="auto"/>
                <w:szCs w:val="23"/>
              </w:rPr>
              <w:t>0</w:t>
            </w:r>
            <w:r w:rsidR="00F75FB5" w:rsidRPr="00501756">
              <w:rPr>
                <w:color w:val="auto"/>
                <w:szCs w:val="23"/>
              </w:rPr>
              <w:t>00</w:t>
            </w:r>
          </w:p>
          <w:p w14:paraId="312085B4" w14:textId="2F35A584" w:rsidR="0056564D" w:rsidRPr="00501756" w:rsidRDefault="000D774C" w:rsidP="00891878">
            <w:pPr>
              <w:spacing w:after="0" w:line="240" w:lineRule="auto"/>
              <w:jc w:val="right"/>
              <w:rPr>
                <w:color w:val="auto"/>
                <w:szCs w:val="23"/>
              </w:rPr>
            </w:pPr>
            <w:r w:rsidRPr="00501756">
              <w:rPr>
                <w:color w:val="auto"/>
                <w:szCs w:val="23"/>
              </w:rPr>
              <w:t>$</w:t>
            </w:r>
            <w:r w:rsidR="00501756" w:rsidRPr="00501756">
              <w:rPr>
                <w:color w:val="auto"/>
                <w:szCs w:val="23"/>
              </w:rPr>
              <w:t>331,685</w:t>
            </w:r>
            <w:r w:rsidRPr="00501756">
              <w:rPr>
                <w:color w:val="auto"/>
                <w:szCs w:val="23"/>
              </w:rPr>
              <w:t xml:space="preserve"> </w:t>
            </w:r>
          </w:p>
          <w:p w14:paraId="02D4B061" w14:textId="114C106B" w:rsidR="00D412DD" w:rsidRPr="00501756" w:rsidRDefault="00501756" w:rsidP="000D774C">
            <w:pPr>
              <w:spacing w:after="0" w:line="240" w:lineRule="auto"/>
              <w:jc w:val="right"/>
              <w:rPr>
                <w:color w:val="auto"/>
                <w:szCs w:val="23"/>
              </w:rPr>
            </w:pPr>
            <w:r w:rsidRPr="00827A32">
              <w:rPr>
                <w:color w:val="auto"/>
                <w:szCs w:val="23"/>
              </w:rPr>
              <w:t>$</w:t>
            </w:r>
            <w:r>
              <w:rPr>
                <w:color w:val="auto"/>
                <w:szCs w:val="23"/>
              </w:rPr>
              <w:t>148,</w:t>
            </w:r>
            <w:r w:rsidR="00ED0983">
              <w:rPr>
                <w:color w:val="auto"/>
                <w:szCs w:val="23"/>
              </w:rPr>
              <w:t>070</w:t>
            </w:r>
          </w:p>
          <w:p w14:paraId="47B62607" w14:textId="189C2376" w:rsidR="0056564D" w:rsidRPr="003E11DE" w:rsidRDefault="0056564D" w:rsidP="000D774C">
            <w:pPr>
              <w:spacing w:after="0" w:line="240" w:lineRule="auto"/>
              <w:jc w:val="right"/>
              <w:rPr>
                <w:color w:val="auto"/>
                <w:szCs w:val="23"/>
              </w:rPr>
            </w:pPr>
          </w:p>
        </w:tc>
      </w:tr>
    </w:tbl>
    <w:p w14:paraId="22357B93" w14:textId="77777777" w:rsidR="0023418F" w:rsidRDefault="0023418F" w:rsidP="00891878">
      <w:pPr>
        <w:spacing w:line="240" w:lineRule="auto"/>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24"/>
        <w:gridCol w:w="5529"/>
        <w:gridCol w:w="1559"/>
        <w:gridCol w:w="1535"/>
      </w:tblGrid>
      <w:tr w:rsidR="0023418F" w:rsidRPr="00C26C5B" w14:paraId="794DFB4A" w14:textId="77777777" w:rsidTr="00891878">
        <w:trPr>
          <w:tblHeader/>
        </w:trPr>
        <w:tc>
          <w:tcPr>
            <w:tcW w:w="1124" w:type="dxa"/>
            <w:tcBorders>
              <w:bottom w:val="single" w:sz="8" w:space="0" w:color="4F81BD"/>
            </w:tcBorders>
            <w:shd w:val="clear" w:color="auto" w:fill="DBE5F1" w:themeFill="accent1" w:themeFillTint="33"/>
          </w:tcPr>
          <w:p w14:paraId="78D28D9E" w14:textId="77777777" w:rsidR="0023418F" w:rsidRPr="00C26C5B" w:rsidRDefault="0023418F" w:rsidP="00891878">
            <w:pPr>
              <w:pStyle w:val="Heading2"/>
              <w:spacing w:before="120"/>
              <w:rPr>
                <w:bCs w:val="0"/>
                <w:sz w:val="24"/>
                <w:szCs w:val="24"/>
              </w:rPr>
            </w:pPr>
            <w:r w:rsidRPr="00C26C5B">
              <w:rPr>
                <w:bCs w:val="0"/>
                <w:sz w:val="24"/>
                <w:szCs w:val="24"/>
              </w:rPr>
              <w:t>Output</w:t>
            </w:r>
          </w:p>
        </w:tc>
        <w:tc>
          <w:tcPr>
            <w:tcW w:w="5529" w:type="dxa"/>
            <w:tcBorders>
              <w:bottom w:val="single" w:sz="8" w:space="0" w:color="4F81BD"/>
            </w:tcBorders>
            <w:shd w:val="clear" w:color="auto" w:fill="DBE5F1" w:themeFill="accent1" w:themeFillTint="33"/>
          </w:tcPr>
          <w:p w14:paraId="408FD0B9" w14:textId="77777777" w:rsidR="0023418F" w:rsidRPr="00C26C5B" w:rsidRDefault="0023418F" w:rsidP="00891878">
            <w:pPr>
              <w:pStyle w:val="Heading2"/>
              <w:spacing w:before="120"/>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bottom w:val="single" w:sz="8" w:space="0" w:color="4F81BD"/>
            </w:tcBorders>
            <w:shd w:val="clear" w:color="auto" w:fill="DBE5F1" w:themeFill="accent1" w:themeFillTint="33"/>
          </w:tcPr>
          <w:p w14:paraId="68471974" w14:textId="77777777" w:rsidR="0023418F" w:rsidRPr="00D0312C" w:rsidRDefault="0023418F" w:rsidP="00891878">
            <w:pPr>
              <w:pStyle w:val="Heading2"/>
              <w:spacing w:before="120"/>
              <w:rPr>
                <w:sz w:val="18"/>
                <w:szCs w:val="18"/>
              </w:rPr>
            </w:pPr>
            <w:r w:rsidRPr="00DE36EB">
              <w:rPr>
                <w:bCs w:val="0"/>
                <w:sz w:val="24"/>
                <w:szCs w:val="24"/>
              </w:rPr>
              <w:t>Report due</w:t>
            </w:r>
          </w:p>
        </w:tc>
        <w:tc>
          <w:tcPr>
            <w:tcW w:w="1535" w:type="dxa"/>
            <w:tcBorders>
              <w:bottom w:val="single" w:sz="8" w:space="0" w:color="4F81BD"/>
            </w:tcBorders>
            <w:shd w:val="clear" w:color="auto" w:fill="DBE5F1" w:themeFill="accent1" w:themeFillTint="33"/>
          </w:tcPr>
          <w:p w14:paraId="0AA86597" w14:textId="77777777" w:rsidR="0023418F" w:rsidRPr="00C26C5B" w:rsidRDefault="0023418F" w:rsidP="00891878">
            <w:pPr>
              <w:pStyle w:val="Heading2"/>
              <w:spacing w:before="120"/>
              <w:rPr>
                <w:bCs w:val="0"/>
                <w:sz w:val="24"/>
                <w:szCs w:val="24"/>
              </w:rPr>
            </w:pPr>
            <w:r w:rsidRPr="00C26C5B">
              <w:rPr>
                <w:bCs w:val="0"/>
                <w:sz w:val="24"/>
                <w:szCs w:val="24"/>
              </w:rPr>
              <w:t>Payment</w:t>
            </w:r>
          </w:p>
        </w:tc>
      </w:tr>
      <w:tr w:rsidR="00955C80" w:rsidRPr="00C26C5B" w14:paraId="2B0640E9" w14:textId="77777777" w:rsidTr="0023418F">
        <w:trPr>
          <w:trHeight w:val="1195"/>
        </w:trPr>
        <w:tc>
          <w:tcPr>
            <w:tcW w:w="1124" w:type="dxa"/>
            <w:tcBorders>
              <w:top w:val="nil"/>
              <w:bottom w:val="nil"/>
            </w:tcBorders>
          </w:tcPr>
          <w:p w14:paraId="3FAE30E1" w14:textId="77777777" w:rsidR="00955C80" w:rsidRPr="003A5BC6" w:rsidRDefault="00955C80" w:rsidP="00891878">
            <w:pPr>
              <w:spacing w:line="240" w:lineRule="auto"/>
              <w:jc w:val="left"/>
              <w:rPr>
                <w:b/>
              </w:rPr>
            </w:pPr>
          </w:p>
        </w:tc>
        <w:tc>
          <w:tcPr>
            <w:tcW w:w="5529" w:type="dxa"/>
            <w:tcBorders>
              <w:top w:val="nil"/>
              <w:bottom w:val="nil"/>
            </w:tcBorders>
          </w:tcPr>
          <w:p w14:paraId="18961044" w14:textId="77777777" w:rsidR="00955C80" w:rsidRPr="00000388" w:rsidRDefault="00955C80" w:rsidP="00891878">
            <w:pPr>
              <w:spacing w:after="120" w:line="240" w:lineRule="auto"/>
              <w:jc w:val="left"/>
              <w:rPr>
                <w:b/>
                <w:color w:val="auto"/>
                <w:szCs w:val="23"/>
              </w:rPr>
            </w:pPr>
            <w:r w:rsidRPr="00000388">
              <w:rPr>
                <w:b/>
                <w:color w:val="auto"/>
                <w:szCs w:val="23"/>
              </w:rPr>
              <w:t xml:space="preserve">Performance </w:t>
            </w:r>
            <w:r w:rsidR="00710737">
              <w:rPr>
                <w:b/>
                <w:color w:val="auto"/>
                <w:szCs w:val="23"/>
              </w:rPr>
              <w:t>B</w:t>
            </w:r>
            <w:r w:rsidRPr="00000388">
              <w:rPr>
                <w:b/>
                <w:color w:val="auto"/>
                <w:szCs w:val="23"/>
              </w:rPr>
              <w:t>enchmark 4</w:t>
            </w:r>
            <w:r w:rsidR="00710737">
              <w:rPr>
                <w:b/>
                <w:color w:val="auto"/>
                <w:szCs w:val="23"/>
              </w:rPr>
              <w:t>:</w:t>
            </w:r>
            <w:r w:rsidRPr="00000388">
              <w:rPr>
                <w:b/>
                <w:color w:val="auto"/>
                <w:szCs w:val="23"/>
              </w:rPr>
              <w:t xml:space="preserve"> Like-apprenticeship</w:t>
            </w:r>
            <w:r w:rsidR="0014127E">
              <w:rPr>
                <w:b/>
                <w:color w:val="auto"/>
                <w:szCs w:val="23"/>
              </w:rPr>
              <w:t>s</w:t>
            </w:r>
          </w:p>
          <w:p w14:paraId="621B20A5" w14:textId="0017635D" w:rsidR="0023418F" w:rsidRDefault="00955C80" w:rsidP="00891878">
            <w:pPr>
              <w:spacing w:after="120" w:line="240" w:lineRule="auto"/>
              <w:jc w:val="left"/>
              <w:rPr>
                <w:color w:val="auto"/>
                <w:szCs w:val="23"/>
              </w:rPr>
            </w:pPr>
            <w:r>
              <w:rPr>
                <w:color w:val="auto"/>
                <w:szCs w:val="23"/>
              </w:rPr>
              <w:t xml:space="preserve">The total performance benchmark </w:t>
            </w:r>
            <w:r w:rsidR="00535F24">
              <w:rPr>
                <w:color w:val="auto"/>
                <w:szCs w:val="23"/>
              </w:rPr>
              <w:t xml:space="preserve">for each financial year </w:t>
            </w:r>
            <w:r w:rsidR="00804769">
              <w:t xml:space="preserve">(baseline commencements plus additional commencement targets) </w:t>
            </w:r>
            <w:r>
              <w:rPr>
                <w:color w:val="auto"/>
                <w:szCs w:val="23"/>
              </w:rPr>
              <w:t>for like-apprenticeship commencements</w:t>
            </w:r>
            <w:r>
              <w:t xml:space="preserve"> </w:t>
            </w:r>
            <w:r>
              <w:rPr>
                <w:color w:val="auto"/>
                <w:szCs w:val="23"/>
              </w:rPr>
              <w:t>are as follows:</w:t>
            </w:r>
          </w:p>
          <w:p w14:paraId="45C04B3C" w14:textId="77777777" w:rsidR="00955C80" w:rsidRDefault="00955C80" w:rsidP="00891878">
            <w:pPr>
              <w:pStyle w:val="ListParagraph"/>
              <w:numPr>
                <w:ilvl w:val="0"/>
                <w:numId w:val="11"/>
              </w:numPr>
              <w:spacing w:after="0" w:line="240" w:lineRule="auto"/>
              <w:jc w:val="left"/>
              <w:rPr>
                <w:color w:val="auto"/>
                <w:szCs w:val="23"/>
              </w:rPr>
            </w:pPr>
            <w:r>
              <w:rPr>
                <w:color w:val="auto"/>
                <w:szCs w:val="23"/>
              </w:rPr>
              <w:t>2018-19: 63,</w:t>
            </w:r>
            <w:r w:rsidR="00190E5B">
              <w:rPr>
                <w:color w:val="auto"/>
                <w:szCs w:val="23"/>
              </w:rPr>
              <w:t>5</w:t>
            </w:r>
            <w:r>
              <w:rPr>
                <w:color w:val="auto"/>
                <w:szCs w:val="23"/>
              </w:rPr>
              <w:t xml:space="preserve">86 </w:t>
            </w:r>
            <w:r>
              <w:t>commencements</w:t>
            </w:r>
          </w:p>
          <w:p w14:paraId="7D1308D8" w14:textId="77777777" w:rsidR="00955C80" w:rsidRDefault="00955C80" w:rsidP="00891878">
            <w:pPr>
              <w:pStyle w:val="ListParagraph"/>
              <w:numPr>
                <w:ilvl w:val="0"/>
                <w:numId w:val="11"/>
              </w:numPr>
              <w:spacing w:after="0" w:line="240" w:lineRule="auto"/>
              <w:jc w:val="left"/>
              <w:rPr>
                <w:color w:val="auto"/>
                <w:szCs w:val="23"/>
              </w:rPr>
            </w:pPr>
            <w:r>
              <w:rPr>
                <w:color w:val="auto"/>
                <w:szCs w:val="23"/>
              </w:rPr>
              <w:t>2019-20: 63,</w:t>
            </w:r>
            <w:r w:rsidR="00190E5B">
              <w:rPr>
                <w:color w:val="auto"/>
                <w:szCs w:val="23"/>
              </w:rPr>
              <w:t>5</w:t>
            </w:r>
            <w:r>
              <w:rPr>
                <w:color w:val="auto"/>
                <w:szCs w:val="23"/>
              </w:rPr>
              <w:t xml:space="preserve">86 </w:t>
            </w:r>
            <w:r>
              <w:t>commencements</w:t>
            </w:r>
          </w:p>
          <w:p w14:paraId="5E4754AE" w14:textId="24C380FD" w:rsidR="00955C80" w:rsidRDefault="00955C80" w:rsidP="00891878">
            <w:pPr>
              <w:pStyle w:val="ListParagraph"/>
              <w:numPr>
                <w:ilvl w:val="0"/>
                <w:numId w:val="11"/>
              </w:numPr>
              <w:spacing w:after="0" w:line="240" w:lineRule="auto"/>
              <w:jc w:val="left"/>
              <w:rPr>
                <w:color w:val="auto"/>
                <w:szCs w:val="23"/>
              </w:rPr>
            </w:pPr>
            <w:r>
              <w:rPr>
                <w:color w:val="auto"/>
                <w:szCs w:val="23"/>
              </w:rPr>
              <w:t xml:space="preserve">2020-21: </w:t>
            </w:r>
            <w:r w:rsidR="000D774C">
              <w:rPr>
                <w:color w:val="auto"/>
                <w:szCs w:val="23"/>
              </w:rPr>
              <w:t xml:space="preserve">58,481 </w:t>
            </w:r>
            <w:r>
              <w:t>commencements</w:t>
            </w:r>
          </w:p>
          <w:p w14:paraId="71888E1F" w14:textId="7B3834FC" w:rsidR="00955C80" w:rsidRDefault="00955C80" w:rsidP="00891878">
            <w:pPr>
              <w:pStyle w:val="ListParagraph"/>
              <w:numPr>
                <w:ilvl w:val="0"/>
                <w:numId w:val="11"/>
              </w:numPr>
              <w:spacing w:after="0" w:line="240" w:lineRule="auto"/>
              <w:jc w:val="left"/>
              <w:rPr>
                <w:color w:val="auto"/>
                <w:szCs w:val="23"/>
              </w:rPr>
            </w:pPr>
            <w:r>
              <w:rPr>
                <w:color w:val="auto"/>
                <w:szCs w:val="23"/>
              </w:rPr>
              <w:t xml:space="preserve">2021-22: </w:t>
            </w:r>
            <w:r w:rsidR="00EA689E">
              <w:rPr>
                <w:color w:val="auto"/>
                <w:szCs w:val="23"/>
              </w:rPr>
              <w:t xml:space="preserve">52,937 </w:t>
            </w:r>
            <w:r>
              <w:t>commencements</w:t>
            </w:r>
          </w:p>
          <w:p w14:paraId="1EC11F38" w14:textId="77777777" w:rsidR="00955C80" w:rsidRDefault="00955C80" w:rsidP="00891878">
            <w:pPr>
              <w:spacing w:after="0" w:line="240" w:lineRule="auto"/>
              <w:jc w:val="left"/>
              <w:rPr>
                <w:color w:val="auto"/>
                <w:szCs w:val="23"/>
              </w:rPr>
            </w:pPr>
          </w:p>
          <w:p w14:paraId="6F8FE744" w14:textId="13AB8E61" w:rsidR="0023418F" w:rsidRPr="00955C80" w:rsidRDefault="00C71020" w:rsidP="00891878">
            <w:pPr>
              <w:spacing w:after="120" w:line="240" w:lineRule="auto"/>
              <w:jc w:val="left"/>
              <w:rPr>
                <w:color w:val="auto"/>
                <w:szCs w:val="23"/>
              </w:rPr>
            </w:pPr>
            <w:r>
              <w:rPr>
                <w:color w:val="auto"/>
                <w:szCs w:val="23"/>
              </w:rPr>
              <w:t>New South Wales</w:t>
            </w:r>
            <w:r w:rsidR="00955C80" w:rsidRPr="00E03F8A">
              <w:rPr>
                <w:color w:val="auto"/>
                <w:szCs w:val="23"/>
              </w:rPr>
              <w:t xml:space="preserve"> will be eligible for the full performance payment each financial year when </w:t>
            </w:r>
            <w:r w:rsidR="00AD199A">
              <w:rPr>
                <w:color w:val="auto"/>
                <w:szCs w:val="23"/>
              </w:rPr>
              <w:t>the following commencements are achieved (</w:t>
            </w:r>
            <w:r w:rsidR="00955C80">
              <w:rPr>
                <w:color w:val="auto"/>
                <w:szCs w:val="23"/>
              </w:rPr>
              <w:t>8</w:t>
            </w:r>
            <w:r w:rsidR="00955C80" w:rsidRPr="00E03F8A">
              <w:rPr>
                <w:color w:val="auto"/>
                <w:szCs w:val="23"/>
              </w:rPr>
              <w:t xml:space="preserve">0 per cent of the total performance benchmark for </w:t>
            </w:r>
            <w:r w:rsidR="00955C80">
              <w:rPr>
                <w:color w:val="auto"/>
                <w:szCs w:val="23"/>
              </w:rPr>
              <w:t>like</w:t>
            </w:r>
            <w:r w:rsidR="00535F24">
              <w:rPr>
                <w:color w:val="auto"/>
                <w:szCs w:val="23"/>
              </w:rPr>
              <w:t>-</w:t>
            </w:r>
            <w:r w:rsidR="00955C80">
              <w:rPr>
                <w:color w:val="auto"/>
                <w:szCs w:val="23"/>
              </w:rPr>
              <w:t>apprenticeship c</w:t>
            </w:r>
            <w:r w:rsidR="00955C80" w:rsidRPr="00E03F8A">
              <w:rPr>
                <w:color w:val="auto"/>
                <w:szCs w:val="23"/>
              </w:rPr>
              <w:t>ommencements</w:t>
            </w:r>
            <w:r w:rsidR="00AD199A">
              <w:rPr>
                <w:color w:val="auto"/>
                <w:szCs w:val="23"/>
              </w:rPr>
              <w:t>)</w:t>
            </w:r>
            <w:r w:rsidR="00955C80" w:rsidRPr="00E03F8A">
              <w:rPr>
                <w:color w:val="auto"/>
                <w:szCs w:val="23"/>
              </w:rPr>
              <w:t xml:space="preserve"> between 1 July and up to 30 April</w:t>
            </w:r>
            <w:r w:rsidR="00AD199A">
              <w:rPr>
                <w:color w:val="auto"/>
                <w:szCs w:val="23"/>
              </w:rPr>
              <w:t>:</w:t>
            </w:r>
          </w:p>
        </w:tc>
        <w:tc>
          <w:tcPr>
            <w:tcW w:w="1559" w:type="dxa"/>
            <w:tcBorders>
              <w:top w:val="nil"/>
              <w:bottom w:val="nil"/>
            </w:tcBorders>
          </w:tcPr>
          <w:p w14:paraId="7EA81469" w14:textId="77777777" w:rsidR="00955C80" w:rsidRDefault="00955C80" w:rsidP="00891878">
            <w:pPr>
              <w:spacing w:after="0" w:line="240" w:lineRule="auto"/>
              <w:jc w:val="right"/>
            </w:pPr>
          </w:p>
        </w:tc>
        <w:tc>
          <w:tcPr>
            <w:tcW w:w="1535" w:type="dxa"/>
            <w:tcBorders>
              <w:top w:val="nil"/>
              <w:bottom w:val="nil"/>
            </w:tcBorders>
          </w:tcPr>
          <w:p w14:paraId="1123F1F7" w14:textId="77777777" w:rsidR="00955C80" w:rsidRDefault="00955C80" w:rsidP="00891878">
            <w:pPr>
              <w:spacing w:after="0" w:line="240" w:lineRule="auto"/>
              <w:jc w:val="right"/>
              <w:rPr>
                <w:color w:val="auto"/>
                <w:szCs w:val="23"/>
              </w:rPr>
            </w:pPr>
          </w:p>
        </w:tc>
      </w:tr>
      <w:tr w:rsidR="00955C80" w:rsidRPr="00C26C5B" w14:paraId="5E230B7E" w14:textId="77777777" w:rsidTr="004A5957">
        <w:trPr>
          <w:trHeight w:val="1195"/>
        </w:trPr>
        <w:tc>
          <w:tcPr>
            <w:tcW w:w="1124" w:type="dxa"/>
            <w:tcBorders>
              <w:top w:val="nil"/>
              <w:bottom w:val="nil"/>
            </w:tcBorders>
          </w:tcPr>
          <w:p w14:paraId="29F4FC9E" w14:textId="77777777" w:rsidR="00955C80" w:rsidRPr="003A5BC6" w:rsidRDefault="00955C80" w:rsidP="00891878">
            <w:pPr>
              <w:spacing w:line="240" w:lineRule="auto"/>
              <w:jc w:val="left"/>
              <w:rPr>
                <w:b/>
              </w:rPr>
            </w:pPr>
          </w:p>
        </w:tc>
        <w:tc>
          <w:tcPr>
            <w:tcW w:w="5529" w:type="dxa"/>
            <w:tcBorders>
              <w:top w:val="nil"/>
              <w:bottom w:val="nil"/>
            </w:tcBorders>
          </w:tcPr>
          <w:p w14:paraId="368C084D" w14:textId="77777777" w:rsidR="00955C80" w:rsidRDefault="00955C80" w:rsidP="00891878">
            <w:pPr>
              <w:pStyle w:val="ListParagraph"/>
              <w:numPr>
                <w:ilvl w:val="0"/>
                <w:numId w:val="11"/>
              </w:numPr>
              <w:spacing w:after="0" w:line="240" w:lineRule="auto"/>
              <w:jc w:val="left"/>
            </w:pPr>
            <w:r>
              <w:t>2018-19: 50,86</w:t>
            </w:r>
            <w:r w:rsidR="00190E5B">
              <w:t>9</w:t>
            </w:r>
            <w:r>
              <w:t xml:space="preserve"> commencements</w:t>
            </w:r>
          </w:p>
          <w:p w14:paraId="35272FB7" w14:textId="19F8AF78" w:rsidR="00955C80" w:rsidRDefault="00955C80" w:rsidP="00891878">
            <w:pPr>
              <w:pStyle w:val="ListParagraph"/>
              <w:numPr>
                <w:ilvl w:val="0"/>
                <w:numId w:val="11"/>
              </w:numPr>
              <w:spacing w:after="0" w:line="240" w:lineRule="auto"/>
              <w:jc w:val="left"/>
              <w:rPr>
                <w:color w:val="auto"/>
                <w:szCs w:val="23"/>
              </w:rPr>
            </w:pPr>
            <w:r>
              <w:rPr>
                <w:color w:val="auto"/>
                <w:szCs w:val="23"/>
              </w:rPr>
              <w:t>2019-20: 50,86</w:t>
            </w:r>
            <w:r w:rsidR="00B41B43">
              <w:rPr>
                <w:color w:val="auto"/>
                <w:szCs w:val="23"/>
              </w:rPr>
              <w:t>9</w:t>
            </w:r>
            <w:r>
              <w:rPr>
                <w:color w:val="auto"/>
                <w:szCs w:val="23"/>
              </w:rPr>
              <w:t xml:space="preserve"> </w:t>
            </w:r>
            <w:r>
              <w:t>commencements</w:t>
            </w:r>
          </w:p>
          <w:p w14:paraId="6AEBBC06" w14:textId="3655A7E6" w:rsidR="00162A85" w:rsidRPr="00162A85" w:rsidRDefault="00955C80" w:rsidP="00891878">
            <w:pPr>
              <w:pStyle w:val="ListParagraph"/>
              <w:numPr>
                <w:ilvl w:val="0"/>
                <w:numId w:val="11"/>
              </w:numPr>
              <w:spacing w:after="0" w:line="240" w:lineRule="auto"/>
              <w:jc w:val="left"/>
              <w:rPr>
                <w:color w:val="auto"/>
                <w:szCs w:val="23"/>
              </w:rPr>
            </w:pPr>
            <w:r>
              <w:rPr>
                <w:color w:val="auto"/>
                <w:szCs w:val="23"/>
              </w:rPr>
              <w:t xml:space="preserve">2020-21: </w:t>
            </w:r>
            <w:r w:rsidR="000D774C">
              <w:rPr>
                <w:color w:val="auto"/>
                <w:szCs w:val="23"/>
              </w:rPr>
              <w:t xml:space="preserve">46,785 </w:t>
            </w:r>
            <w:r>
              <w:t>commencements</w:t>
            </w:r>
          </w:p>
          <w:p w14:paraId="7EAAC877" w14:textId="0F17023E" w:rsidR="007D4495" w:rsidRPr="00162A85" w:rsidRDefault="00955C80" w:rsidP="00891878">
            <w:pPr>
              <w:pStyle w:val="ListParagraph"/>
              <w:numPr>
                <w:ilvl w:val="0"/>
                <w:numId w:val="11"/>
              </w:numPr>
              <w:spacing w:after="0" w:line="240" w:lineRule="auto"/>
              <w:jc w:val="left"/>
              <w:rPr>
                <w:color w:val="auto"/>
                <w:szCs w:val="23"/>
              </w:rPr>
            </w:pPr>
            <w:r w:rsidRPr="00162A85">
              <w:rPr>
                <w:color w:val="auto"/>
                <w:szCs w:val="23"/>
              </w:rPr>
              <w:t xml:space="preserve">2021-22: </w:t>
            </w:r>
            <w:r w:rsidR="00224CE7">
              <w:rPr>
                <w:color w:val="auto"/>
                <w:szCs w:val="23"/>
              </w:rPr>
              <w:t>42,3</w:t>
            </w:r>
            <w:r w:rsidR="00501756">
              <w:rPr>
                <w:color w:val="auto"/>
                <w:szCs w:val="23"/>
              </w:rPr>
              <w:t>50</w:t>
            </w:r>
            <w:r w:rsidR="00EA689E">
              <w:rPr>
                <w:color w:val="auto"/>
                <w:szCs w:val="23"/>
              </w:rPr>
              <w:t xml:space="preserve"> </w:t>
            </w:r>
            <w:r>
              <w:t>commencements</w:t>
            </w:r>
            <w:r w:rsidR="00891878">
              <w:br/>
            </w:r>
          </w:p>
          <w:p w14:paraId="37FDE2A7" w14:textId="4741B9F8" w:rsidR="0023418F" w:rsidRPr="00955C80" w:rsidRDefault="00C71020" w:rsidP="00891878">
            <w:pPr>
              <w:spacing w:after="120" w:line="240" w:lineRule="auto"/>
              <w:jc w:val="left"/>
            </w:pPr>
            <w:r>
              <w:t>New South Wales</w:t>
            </w:r>
            <w:r w:rsidR="00955C80">
              <w:t xml:space="preserve"> will be eligible for the minimum performance payment if the following </w:t>
            </w:r>
            <w:r w:rsidR="00A35051">
              <w:t>like</w:t>
            </w:r>
            <w:r w:rsidR="00345270">
              <w:t>-</w:t>
            </w:r>
            <w:r w:rsidR="00955C80" w:rsidRPr="00B4773E">
              <w:t xml:space="preserve">apprenticeship </w:t>
            </w:r>
            <w:r w:rsidR="00955C80">
              <w:t xml:space="preserve">commencements are achieved </w:t>
            </w:r>
            <w:r w:rsidR="00AD199A">
              <w:t>between 1 July and</w:t>
            </w:r>
            <w:r w:rsidR="00F068C2">
              <w:t xml:space="preserve">  up to</w:t>
            </w:r>
            <w:r w:rsidR="00AD199A">
              <w:t xml:space="preserve"> 30 April </w:t>
            </w:r>
            <w:r w:rsidR="00955C80">
              <w:t xml:space="preserve">with pro rata amounts paid for commencements </w:t>
            </w:r>
            <w:r w:rsidR="00F068C2">
              <w:t xml:space="preserve">up to 80 per cent of the total performance benchmark </w:t>
            </w:r>
            <w:r w:rsidR="00955C80">
              <w:t xml:space="preserve">between </w:t>
            </w:r>
            <w:r w:rsidR="00F068C2">
              <w:t>1 July and up to 30 April</w:t>
            </w:r>
            <w:r w:rsidR="00AD199A">
              <w:t>:</w:t>
            </w:r>
            <w:r w:rsidR="00955C80">
              <w:t xml:space="preserve"> </w:t>
            </w:r>
          </w:p>
        </w:tc>
        <w:tc>
          <w:tcPr>
            <w:tcW w:w="1559" w:type="dxa"/>
            <w:tcBorders>
              <w:top w:val="nil"/>
              <w:bottom w:val="nil"/>
            </w:tcBorders>
          </w:tcPr>
          <w:p w14:paraId="21ECF5A4" w14:textId="77777777" w:rsidR="00955C80" w:rsidRDefault="00955C80" w:rsidP="00891878">
            <w:pPr>
              <w:spacing w:after="0" w:line="240" w:lineRule="auto"/>
              <w:jc w:val="right"/>
            </w:pPr>
            <w:r>
              <w:t>30 April 2019</w:t>
            </w:r>
          </w:p>
          <w:p w14:paraId="1A9852C5" w14:textId="6F6EFE2B" w:rsidR="00955C80" w:rsidRDefault="00955C80" w:rsidP="00891878">
            <w:pPr>
              <w:spacing w:after="0" w:line="240" w:lineRule="auto"/>
              <w:jc w:val="right"/>
            </w:pPr>
            <w:r>
              <w:t>30 April 2020</w:t>
            </w:r>
          </w:p>
          <w:p w14:paraId="60AC2043" w14:textId="77777777" w:rsidR="00955C80" w:rsidRDefault="00955C80" w:rsidP="00891878">
            <w:pPr>
              <w:spacing w:after="0" w:line="240" w:lineRule="auto"/>
              <w:jc w:val="right"/>
            </w:pPr>
            <w:r>
              <w:t>30 April 2021</w:t>
            </w:r>
          </w:p>
          <w:p w14:paraId="465E9C3B" w14:textId="77777777" w:rsidR="00955C80" w:rsidRDefault="00955C80" w:rsidP="00891878">
            <w:pPr>
              <w:spacing w:after="0" w:line="240" w:lineRule="auto"/>
              <w:jc w:val="right"/>
            </w:pPr>
            <w:r>
              <w:t>30 April 2022</w:t>
            </w:r>
          </w:p>
          <w:p w14:paraId="4B916D3D" w14:textId="77777777" w:rsidR="00955C80" w:rsidRDefault="00955C80" w:rsidP="00891878">
            <w:pPr>
              <w:spacing w:after="0" w:line="240" w:lineRule="auto"/>
              <w:jc w:val="right"/>
            </w:pPr>
          </w:p>
          <w:p w14:paraId="2859D7F6" w14:textId="77777777" w:rsidR="007D4495" w:rsidRDefault="007D4495" w:rsidP="00891878">
            <w:pPr>
              <w:spacing w:after="0" w:line="240" w:lineRule="auto"/>
              <w:jc w:val="right"/>
            </w:pPr>
          </w:p>
          <w:p w14:paraId="369C60DF" w14:textId="0B903B91" w:rsidR="007D4495" w:rsidRDefault="007D4495" w:rsidP="00891878">
            <w:pPr>
              <w:spacing w:after="0" w:line="240" w:lineRule="auto"/>
              <w:jc w:val="right"/>
            </w:pPr>
          </w:p>
        </w:tc>
        <w:tc>
          <w:tcPr>
            <w:tcW w:w="1535" w:type="dxa"/>
            <w:tcBorders>
              <w:top w:val="nil"/>
              <w:bottom w:val="nil"/>
            </w:tcBorders>
          </w:tcPr>
          <w:p w14:paraId="283D11E5" w14:textId="77777777" w:rsidR="00955C80" w:rsidRDefault="00955C80" w:rsidP="00891878">
            <w:pPr>
              <w:spacing w:after="0" w:line="240" w:lineRule="auto"/>
              <w:jc w:val="right"/>
              <w:rPr>
                <w:color w:val="auto"/>
                <w:szCs w:val="23"/>
              </w:rPr>
            </w:pPr>
            <w:r>
              <w:rPr>
                <w:color w:val="auto"/>
                <w:szCs w:val="23"/>
              </w:rPr>
              <w:t>$21,680,000</w:t>
            </w:r>
          </w:p>
          <w:p w14:paraId="49E45196" w14:textId="0AD067B0" w:rsidR="002F325A" w:rsidRDefault="002F325A" w:rsidP="00891878">
            <w:pPr>
              <w:spacing w:after="0" w:line="240" w:lineRule="auto"/>
              <w:jc w:val="right"/>
              <w:rPr>
                <w:color w:val="auto"/>
                <w:szCs w:val="23"/>
              </w:rPr>
            </w:pPr>
            <w:r>
              <w:rPr>
                <w:color w:val="auto"/>
                <w:szCs w:val="23"/>
              </w:rPr>
              <w:t>$25,000,000</w:t>
            </w:r>
          </w:p>
          <w:p w14:paraId="571AC7B3" w14:textId="6650ADC3" w:rsidR="002F325A" w:rsidRPr="00D57744" w:rsidRDefault="000D774C" w:rsidP="00891878">
            <w:pPr>
              <w:spacing w:after="0" w:line="240" w:lineRule="auto"/>
              <w:jc w:val="right"/>
              <w:rPr>
                <w:color w:val="auto"/>
                <w:szCs w:val="23"/>
              </w:rPr>
            </w:pPr>
            <w:r w:rsidRPr="00501756">
              <w:rPr>
                <w:color w:val="auto"/>
                <w:szCs w:val="23"/>
              </w:rPr>
              <w:t>$</w:t>
            </w:r>
            <w:r w:rsidR="00501756">
              <w:rPr>
                <w:color w:val="auto"/>
                <w:szCs w:val="23"/>
              </w:rPr>
              <w:t>14,373,011</w:t>
            </w:r>
            <w:r w:rsidRPr="00501756">
              <w:rPr>
                <w:color w:val="auto"/>
                <w:szCs w:val="23"/>
              </w:rPr>
              <w:t xml:space="preserve"> </w:t>
            </w:r>
          </w:p>
          <w:p w14:paraId="099C5FFB" w14:textId="6F3598D6" w:rsidR="00D412DD" w:rsidRDefault="00EA689E" w:rsidP="00891878">
            <w:pPr>
              <w:spacing w:after="0" w:line="240" w:lineRule="auto"/>
              <w:jc w:val="right"/>
              <w:rPr>
                <w:color w:val="auto"/>
                <w:szCs w:val="23"/>
              </w:rPr>
            </w:pPr>
            <w:r w:rsidRPr="005C09F5">
              <w:rPr>
                <w:color w:val="auto"/>
                <w:szCs w:val="23"/>
              </w:rPr>
              <w:t>$6,420,</w:t>
            </w:r>
            <w:r w:rsidR="00ED0983">
              <w:rPr>
                <w:color w:val="auto"/>
                <w:szCs w:val="23"/>
              </w:rPr>
              <w:t>335</w:t>
            </w:r>
          </w:p>
          <w:p w14:paraId="396C008F" w14:textId="07C6456A" w:rsidR="00955C80" w:rsidRDefault="00955C80" w:rsidP="00891878">
            <w:pPr>
              <w:spacing w:after="0" w:line="240" w:lineRule="auto"/>
              <w:jc w:val="right"/>
              <w:rPr>
                <w:color w:val="auto"/>
                <w:szCs w:val="23"/>
              </w:rPr>
            </w:pPr>
          </w:p>
          <w:p w14:paraId="0A179907" w14:textId="77777777" w:rsidR="00955C80" w:rsidRDefault="00955C80" w:rsidP="00891878">
            <w:pPr>
              <w:spacing w:after="0" w:line="240" w:lineRule="auto"/>
              <w:jc w:val="right"/>
              <w:rPr>
                <w:color w:val="auto"/>
                <w:szCs w:val="23"/>
              </w:rPr>
            </w:pPr>
          </w:p>
          <w:p w14:paraId="3BC0D268" w14:textId="77777777" w:rsidR="007D4495" w:rsidRDefault="007D4495" w:rsidP="00891878">
            <w:pPr>
              <w:spacing w:after="0" w:line="240" w:lineRule="auto"/>
              <w:jc w:val="right"/>
              <w:rPr>
                <w:color w:val="auto"/>
                <w:szCs w:val="23"/>
              </w:rPr>
            </w:pPr>
          </w:p>
          <w:p w14:paraId="7F5E4251" w14:textId="369F56CA" w:rsidR="007D4495" w:rsidRDefault="007D4495" w:rsidP="00891878">
            <w:pPr>
              <w:spacing w:after="0" w:line="240" w:lineRule="auto"/>
              <w:jc w:val="right"/>
              <w:rPr>
                <w:color w:val="auto"/>
                <w:szCs w:val="23"/>
              </w:rPr>
            </w:pPr>
          </w:p>
        </w:tc>
      </w:tr>
      <w:tr w:rsidR="00955C80" w:rsidRPr="00C26C5B" w14:paraId="36FE57F0" w14:textId="77777777" w:rsidTr="00FA5841">
        <w:trPr>
          <w:trHeight w:val="1607"/>
        </w:trPr>
        <w:tc>
          <w:tcPr>
            <w:tcW w:w="1124" w:type="dxa"/>
            <w:tcBorders>
              <w:top w:val="nil"/>
              <w:bottom w:val="single" w:sz="4" w:space="0" w:color="4F81BD"/>
            </w:tcBorders>
          </w:tcPr>
          <w:p w14:paraId="017CDA89" w14:textId="77777777" w:rsidR="00955C80" w:rsidRPr="003A5BC6" w:rsidRDefault="00955C80" w:rsidP="00891878">
            <w:pPr>
              <w:spacing w:line="240" w:lineRule="auto"/>
              <w:jc w:val="left"/>
              <w:rPr>
                <w:b/>
              </w:rPr>
            </w:pPr>
          </w:p>
        </w:tc>
        <w:tc>
          <w:tcPr>
            <w:tcW w:w="5529" w:type="dxa"/>
            <w:tcBorders>
              <w:top w:val="nil"/>
              <w:bottom w:val="single" w:sz="4" w:space="0" w:color="4F81BD"/>
            </w:tcBorders>
          </w:tcPr>
          <w:p w14:paraId="2DD8739E" w14:textId="77777777" w:rsidR="00955C80" w:rsidRPr="00906BEF" w:rsidRDefault="00955C80" w:rsidP="00891878">
            <w:pPr>
              <w:pStyle w:val="ListParagraph"/>
              <w:numPr>
                <w:ilvl w:val="0"/>
                <w:numId w:val="11"/>
              </w:numPr>
              <w:spacing w:after="0" w:line="240" w:lineRule="auto"/>
              <w:jc w:val="left"/>
            </w:pPr>
            <w:r w:rsidRPr="00906BEF">
              <w:t xml:space="preserve">2018-19: </w:t>
            </w:r>
            <w:r>
              <w:t>44,821</w:t>
            </w:r>
            <w:r w:rsidRPr="00906BEF">
              <w:t xml:space="preserve"> commencements</w:t>
            </w:r>
          </w:p>
          <w:p w14:paraId="63D83091" w14:textId="7A108E5F" w:rsidR="00955C80" w:rsidRPr="00CD27ED" w:rsidRDefault="00955C80" w:rsidP="00891878">
            <w:pPr>
              <w:pStyle w:val="ListParagraph"/>
              <w:numPr>
                <w:ilvl w:val="0"/>
                <w:numId w:val="11"/>
              </w:numPr>
              <w:spacing w:after="0" w:line="240" w:lineRule="auto"/>
              <w:jc w:val="left"/>
            </w:pPr>
            <w:r w:rsidRPr="00CD27ED">
              <w:t xml:space="preserve">2019-20: </w:t>
            </w:r>
            <w:r>
              <w:t>44,821</w:t>
            </w:r>
            <w:r w:rsidRPr="00CD27ED">
              <w:t xml:space="preserve"> commencements</w:t>
            </w:r>
          </w:p>
          <w:p w14:paraId="77CC0A8B" w14:textId="00BDB648" w:rsidR="00955C80" w:rsidRDefault="00955C80" w:rsidP="00891878">
            <w:pPr>
              <w:pStyle w:val="ListParagraph"/>
              <w:numPr>
                <w:ilvl w:val="0"/>
                <w:numId w:val="11"/>
              </w:numPr>
              <w:spacing w:after="0" w:line="240" w:lineRule="auto"/>
              <w:jc w:val="left"/>
            </w:pPr>
            <w:r w:rsidRPr="00CD27ED">
              <w:t xml:space="preserve">2020-21: </w:t>
            </w:r>
            <w:r w:rsidR="000D774C">
              <w:t xml:space="preserve">42,779 </w:t>
            </w:r>
            <w:r w:rsidRPr="00CD27ED">
              <w:t>commencements</w:t>
            </w:r>
          </w:p>
          <w:p w14:paraId="69BD732D" w14:textId="09068CA6" w:rsidR="007D4495" w:rsidRDefault="00955C80" w:rsidP="00224CE7">
            <w:pPr>
              <w:pStyle w:val="ListParagraph"/>
              <w:numPr>
                <w:ilvl w:val="0"/>
                <w:numId w:val="11"/>
              </w:numPr>
              <w:spacing w:after="0" w:line="240" w:lineRule="auto"/>
              <w:jc w:val="left"/>
            </w:pPr>
            <w:r>
              <w:t xml:space="preserve">2021-22: </w:t>
            </w:r>
            <w:r w:rsidR="00224CE7">
              <w:t>40,561</w:t>
            </w:r>
            <w:r w:rsidR="00EA689E">
              <w:t xml:space="preserve"> </w:t>
            </w:r>
            <w:r>
              <w:t xml:space="preserve"> commencements </w:t>
            </w:r>
          </w:p>
        </w:tc>
        <w:tc>
          <w:tcPr>
            <w:tcW w:w="1559" w:type="dxa"/>
            <w:tcBorders>
              <w:top w:val="nil"/>
              <w:bottom w:val="single" w:sz="4" w:space="0" w:color="4F81BD"/>
            </w:tcBorders>
          </w:tcPr>
          <w:p w14:paraId="23F868C8" w14:textId="77777777" w:rsidR="00955C80" w:rsidRDefault="00955C80" w:rsidP="00891878">
            <w:pPr>
              <w:spacing w:after="0" w:line="240" w:lineRule="auto"/>
              <w:jc w:val="right"/>
            </w:pPr>
            <w:r>
              <w:t>30 April 2019</w:t>
            </w:r>
          </w:p>
          <w:p w14:paraId="0BD8758F" w14:textId="0238484B" w:rsidR="00955C80" w:rsidRDefault="00955C80" w:rsidP="00891878">
            <w:pPr>
              <w:spacing w:after="0" w:line="240" w:lineRule="auto"/>
              <w:jc w:val="right"/>
            </w:pPr>
            <w:r>
              <w:t>30 April 2020</w:t>
            </w:r>
          </w:p>
          <w:p w14:paraId="0A22AB92" w14:textId="77777777" w:rsidR="00955C80" w:rsidRDefault="00955C80" w:rsidP="00891878">
            <w:pPr>
              <w:spacing w:after="0" w:line="240" w:lineRule="auto"/>
              <w:jc w:val="right"/>
            </w:pPr>
            <w:r>
              <w:t>30 April 2021</w:t>
            </w:r>
          </w:p>
          <w:p w14:paraId="6F1CB17D" w14:textId="0B19E967" w:rsidR="007D4495" w:rsidRDefault="00955C80" w:rsidP="00891878">
            <w:pPr>
              <w:spacing w:after="0" w:line="240" w:lineRule="auto"/>
              <w:jc w:val="center"/>
            </w:pPr>
            <w:r>
              <w:t>30 April 2022</w:t>
            </w:r>
          </w:p>
        </w:tc>
        <w:tc>
          <w:tcPr>
            <w:tcW w:w="1535" w:type="dxa"/>
            <w:tcBorders>
              <w:top w:val="nil"/>
              <w:bottom w:val="single" w:sz="8" w:space="0" w:color="4F81BD"/>
            </w:tcBorders>
          </w:tcPr>
          <w:p w14:paraId="3AD2041E" w14:textId="77777777" w:rsidR="00955C80" w:rsidRDefault="00955C80" w:rsidP="00891878">
            <w:pPr>
              <w:spacing w:after="0" w:line="240" w:lineRule="auto"/>
              <w:jc w:val="right"/>
              <w:rPr>
                <w:color w:val="auto"/>
                <w:szCs w:val="23"/>
              </w:rPr>
            </w:pPr>
            <w:r>
              <w:rPr>
                <w:color w:val="auto"/>
                <w:szCs w:val="23"/>
              </w:rPr>
              <w:t>$10,840,000</w:t>
            </w:r>
          </w:p>
          <w:p w14:paraId="25F4C88B" w14:textId="7CC1A5ED" w:rsidR="009D31E1" w:rsidRDefault="009D31E1" w:rsidP="00891878">
            <w:pPr>
              <w:spacing w:after="0" w:line="240" w:lineRule="auto"/>
              <w:jc w:val="right"/>
              <w:rPr>
                <w:color w:val="auto"/>
                <w:szCs w:val="23"/>
              </w:rPr>
            </w:pPr>
            <w:r>
              <w:rPr>
                <w:color w:val="auto"/>
                <w:szCs w:val="23"/>
              </w:rPr>
              <w:t>$12,500,000</w:t>
            </w:r>
          </w:p>
          <w:p w14:paraId="3ABE4793" w14:textId="4399E4AC" w:rsidR="009D31E1" w:rsidRPr="00D57744" w:rsidRDefault="000D774C">
            <w:pPr>
              <w:spacing w:after="0" w:line="240" w:lineRule="auto"/>
              <w:jc w:val="right"/>
              <w:rPr>
                <w:color w:val="auto"/>
                <w:szCs w:val="23"/>
              </w:rPr>
            </w:pPr>
            <w:r>
              <w:rPr>
                <w:color w:val="auto"/>
                <w:szCs w:val="23"/>
              </w:rPr>
              <w:t>$</w:t>
            </w:r>
            <w:r w:rsidR="00501756">
              <w:rPr>
                <w:color w:val="auto"/>
                <w:szCs w:val="23"/>
              </w:rPr>
              <w:t>7,186,505</w:t>
            </w:r>
          </w:p>
          <w:p w14:paraId="520909BF" w14:textId="7FBED4B1" w:rsidR="00D412DD" w:rsidRDefault="00501756" w:rsidP="000D774C">
            <w:pPr>
              <w:spacing w:after="0" w:line="240" w:lineRule="auto"/>
              <w:jc w:val="right"/>
              <w:rPr>
                <w:color w:val="auto"/>
                <w:szCs w:val="23"/>
              </w:rPr>
            </w:pPr>
            <w:r>
              <w:rPr>
                <w:color w:val="auto"/>
                <w:szCs w:val="23"/>
              </w:rPr>
              <w:t>$3,210,</w:t>
            </w:r>
            <w:r w:rsidR="00ED0983">
              <w:rPr>
                <w:color w:val="auto"/>
                <w:szCs w:val="23"/>
              </w:rPr>
              <w:t>167</w:t>
            </w:r>
          </w:p>
          <w:p w14:paraId="30CCAC64" w14:textId="5A75011D" w:rsidR="007D4495" w:rsidRDefault="007D4495" w:rsidP="000D774C">
            <w:pPr>
              <w:spacing w:after="0" w:line="240" w:lineRule="auto"/>
              <w:jc w:val="right"/>
              <w:rPr>
                <w:color w:val="auto"/>
                <w:szCs w:val="23"/>
              </w:rPr>
            </w:pPr>
          </w:p>
        </w:tc>
      </w:tr>
      <w:tr w:rsidR="00B206BE" w:rsidRPr="00C26C5B" w14:paraId="0449B89B" w14:textId="77777777" w:rsidTr="00891878">
        <w:trPr>
          <w:trHeight w:val="628"/>
        </w:trPr>
        <w:tc>
          <w:tcPr>
            <w:tcW w:w="1124" w:type="dxa"/>
            <w:tcBorders>
              <w:top w:val="nil"/>
              <w:left w:val="single" w:sz="8" w:space="0" w:color="4F81BD"/>
              <w:bottom w:val="single" w:sz="4" w:space="0" w:color="4F81BD"/>
              <w:right w:val="single" w:sz="8" w:space="0" w:color="4F81BD"/>
            </w:tcBorders>
          </w:tcPr>
          <w:p w14:paraId="56806355" w14:textId="77777777" w:rsidR="00B206BE" w:rsidRPr="003A5BC6" w:rsidRDefault="00B206BE" w:rsidP="00891878">
            <w:pPr>
              <w:spacing w:line="240" w:lineRule="auto"/>
              <w:jc w:val="left"/>
              <w:rPr>
                <w:b/>
              </w:rPr>
            </w:pPr>
          </w:p>
        </w:tc>
        <w:tc>
          <w:tcPr>
            <w:tcW w:w="5529" w:type="dxa"/>
            <w:tcBorders>
              <w:top w:val="nil"/>
              <w:left w:val="single" w:sz="8" w:space="0" w:color="4F81BD"/>
              <w:bottom w:val="single" w:sz="4" w:space="0" w:color="4F81BD"/>
              <w:right w:val="single" w:sz="8" w:space="0" w:color="4F81BD"/>
            </w:tcBorders>
          </w:tcPr>
          <w:p w14:paraId="166FA938" w14:textId="77777777" w:rsidR="00B206BE" w:rsidRPr="00B206BE" w:rsidRDefault="00B206BE" w:rsidP="00891878">
            <w:pPr>
              <w:spacing w:after="120" w:line="240" w:lineRule="auto"/>
              <w:jc w:val="left"/>
              <w:rPr>
                <w:b/>
                <w:color w:val="auto"/>
                <w:szCs w:val="23"/>
              </w:rPr>
            </w:pPr>
            <w:r w:rsidRPr="00B206BE">
              <w:rPr>
                <w:b/>
                <w:color w:val="auto"/>
                <w:szCs w:val="23"/>
              </w:rPr>
              <w:t xml:space="preserve">Performance Benchmark 5: Fee-free apprenticeships </w:t>
            </w:r>
          </w:p>
          <w:p w14:paraId="54BB8E0D" w14:textId="77777777" w:rsidR="00B206BE" w:rsidRPr="00B206BE" w:rsidRDefault="00B206BE" w:rsidP="00891878">
            <w:pPr>
              <w:spacing w:after="120" w:line="240" w:lineRule="auto"/>
              <w:jc w:val="left"/>
              <w:rPr>
                <w:color w:val="auto"/>
                <w:szCs w:val="23"/>
              </w:rPr>
            </w:pPr>
            <w:r w:rsidRPr="00B206BE">
              <w:rPr>
                <w:color w:val="auto"/>
                <w:szCs w:val="23"/>
              </w:rPr>
              <w:t xml:space="preserve">The total performance benchmark for </w:t>
            </w:r>
            <w:r>
              <w:rPr>
                <w:color w:val="auto"/>
                <w:szCs w:val="23"/>
              </w:rPr>
              <w:t>the</w:t>
            </w:r>
            <w:r w:rsidRPr="00B206BE">
              <w:rPr>
                <w:color w:val="auto"/>
                <w:szCs w:val="23"/>
              </w:rPr>
              <w:t xml:space="preserve"> fee-free apprenticeship commencements</w:t>
            </w:r>
            <w:r>
              <w:rPr>
                <w:color w:val="auto"/>
                <w:szCs w:val="23"/>
              </w:rPr>
              <w:t xml:space="preserve"> in 2018-19</w:t>
            </w:r>
            <w:r w:rsidRPr="00B206BE">
              <w:rPr>
                <w:color w:val="auto"/>
                <w:szCs w:val="23"/>
              </w:rPr>
              <w:t xml:space="preserve"> </w:t>
            </w:r>
            <w:r>
              <w:rPr>
                <w:color w:val="auto"/>
                <w:szCs w:val="23"/>
              </w:rPr>
              <w:t xml:space="preserve">is </w:t>
            </w:r>
            <w:r>
              <w:t xml:space="preserve">28,655. </w:t>
            </w:r>
          </w:p>
          <w:p w14:paraId="3A457837" w14:textId="77777777" w:rsidR="00B206BE" w:rsidRDefault="00B206BE" w:rsidP="00891878">
            <w:pPr>
              <w:spacing w:line="240" w:lineRule="auto"/>
              <w:jc w:val="left"/>
            </w:pPr>
            <w:r w:rsidRPr="00B206BE">
              <w:t xml:space="preserve">New South Wales will be eligible for the full performance payment when </w:t>
            </w:r>
            <w:r>
              <w:t xml:space="preserve">18,339 </w:t>
            </w:r>
            <w:r w:rsidRPr="00B206BE">
              <w:t xml:space="preserve">fee-free apprenticeship commencements are achieved </w:t>
            </w:r>
            <w:r>
              <w:br/>
            </w:r>
            <w:r w:rsidRPr="00B206BE">
              <w:t xml:space="preserve">(64 per cent of the total performance benchmark for fee-free apprenticeship places between 1 July </w:t>
            </w:r>
            <w:r>
              <w:t xml:space="preserve">2018 </w:t>
            </w:r>
            <w:r w:rsidRPr="00B206BE">
              <w:t>and up to 30 April</w:t>
            </w:r>
            <w:r>
              <w:t>2019).</w:t>
            </w:r>
          </w:p>
          <w:p w14:paraId="1621BA9D" w14:textId="77777777" w:rsidR="00B206BE" w:rsidRPr="00B206BE" w:rsidRDefault="00B206BE" w:rsidP="00891878">
            <w:pPr>
              <w:spacing w:line="240" w:lineRule="auto"/>
              <w:jc w:val="left"/>
            </w:pPr>
            <w:r>
              <w:t>New South Wales</w:t>
            </w:r>
            <w:r w:rsidRPr="002B6437">
              <w:t xml:space="preserve"> will be eligible for the minimum performance payment if </w:t>
            </w:r>
            <w:r>
              <w:t xml:space="preserve">14,101 </w:t>
            </w:r>
            <w:r w:rsidRPr="002B6437">
              <w:t xml:space="preserve">fee-free apprenticeship commencements are achieved between 1 July </w:t>
            </w:r>
            <w:r>
              <w:t xml:space="preserve">2018 </w:t>
            </w:r>
            <w:r w:rsidRPr="002B6437">
              <w:t xml:space="preserve">and </w:t>
            </w:r>
            <w:r>
              <w:t xml:space="preserve">up to </w:t>
            </w:r>
            <w:r w:rsidRPr="002B6437">
              <w:t xml:space="preserve">30 April </w:t>
            </w:r>
            <w:r>
              <w:t xml:space="preserve">2019 </w:t>
            </w:r>
            <w:r w:rsidRPr="002B6437">
              <w:t>with pro rata amounts paid for commencements between 50 per cent and 100 per cent</w:t>
            </w:r>
            <w:r>
              <w:t xml:space="preserve">. </w:t>
            </w:r>
          </w:p>
        </w:tc>
        <w:tc>
          <w:tcPr>
            <w:tcW w:w="1559" w:type="dxa"/>
            <w:tcBorders>
              <w:top w:val="nil"/>
              <w:left w:val="single" w:sz="8" w:space="0" w:color="4F81BD"/>
              <w:bottom w:val="single" w:sz="4" w:space="0" w:color="4F81BD"/>
              <w:right w:val="single" w:sz="8" w:space="0" w:color="4F81BD"/>
            </w:tcBorders>
          </w:tcPr>
          <w:p w14:paraId="2700CA57" w14:textId="77777777" w:rsidR="00B206BE" w:rsidRDefault="00B206BE" w:rsidP="00891878">
            <w:pPr>
              <w:spacing w:after="0" w:line="240" w:lineRule="auto"/>
              <w:jc w:val="right"/>
            </w:pPr>
          </w:p>
          <w:p w14:paraId="645F3303" w14:textId="77777777" w:rsidR="00B206BE" w:rsidRDefault="00B206BE" w:rsidP="00891878">
            <w:pPr>
              <w:spacing w:after="0" w:line="240" w:lineRule="auto"/>
              <w:jc w:val="right"/>
            </w:pPr>
          </w:p>
          <w:p w14:paraId="3334D7E7" w14:textId="77777777" w:rsidR="00B206BE" w:rsidRDefault="00B206BE" w:rsidP="00891878">
            <w:pPr>
              <w:spacing w:after="0" w:line="240" w:lineRule="auto"/>
              <w:jc w:val="right"/>
            </w:pPr>
          </w:p>
          <w:p w14:paraId="0D4B7C48" w14:textId="77777777" w:rsidR="00B206BE" w:rsidRDefault="00B206BE" w:rsidP="00891878">
            <w:pPr>
              <w:spacing w:after="0" w:line="240" w:lineRule="auto"/>
              <w:jc w:val="right"/>
            </w:pPr>
          </w:p>
          <w:p w14:paraId="23EB94F3" w14:textId="77777777" w:rsidR="00B206BE" w:rsidRDefault="00B206BE" w:rsidP="00891878">
            <w:pPr>
              <w:spacing w:after="0" w:line="240" w:lineRule="auto"/>
              <w:jc w:val="right"/>
            </w:pPr>
            <w:r>
              <w:t>30 April 2019</w:t>
            </w:r>
          </w:p>
          <w:p w14:paraId="1FBDE9FF" w14:textId="77777777" w:rsidR="00B206BE" w:rsidRDefault="00B206BE" w:rsidP="00891878">
            <w:pPr>
              <w:spacing w:after="0" w:line="240" w:lineRule="auto"/>
              <w:jc w:val="right"/>
            </w:pPr>
          </w:p>
          <w:p w14:paraId="53C6AC8F" w14:textId="77777777" w:rsidR="00B206BE" w:rsidRDefault="00B206BE" w:rsidP="00891878">
            <w:pPr>
              <w:spacing w:after="0" w:line="240" w:lineRule="auto"/>
              <w:jc w:val="right"/>
            </w:pPr>
          </w:p>
          <w:p w14:paraId="07D6CA63" w14:textId="1BEEE9FD" w:rsidR="00B206BE" w:rsidRDefault="00B206BE" w:rsidP="00891878">
            <w:pPr>
              <w:spacing w:after="0" w:line="240" w:lineRule="auto"/>
              <w:jc w:val="right"/>
            </w:pPr>
          </w:p>
          <w:p w14:paraId="3793454F" w14:textId="77777777" w:rsidR="00891878" w:rsidRDefault="00891878" w:rsidP="00891878">
            <w:pPr>
              <w:spacing w:after="0" w:line="240" w:lineRule="auto"/>
              <w:jc w:val="right"/>
            </w:pPr>
          </w:p>
          <w:p w14:paraId="561EE2AC" w14:textId="77777777" w:rsidR="00B206BE" w:rsidRDefault="00B206BE" w:rsidP="00891878">
            <w:pPr>
              <w:spacing w:after="0" w:line="240" w:lineRule="auto"/>
              <w:jc w:val="right"/>
            </w:pPr>
          </w:p>
          <w:p w14:paraId="79EACEDA" w14:textId="77777777" w:rsidR="00B206BE" w:rsidRDefault="00B206BE" w:rsidP="00891878">
            <w:pPr>
              <w:spacing w:after="0" w:line="240" w:lineRule="auto"/>
              <w:jc w:val="right"/>
            </w:pPr>
          </w:p>
          <w:p w14:paraId="400E7064" w14:textId="77777777" w:rsidR="00B206BE" w:rsidRDefault="00B206BE" w:rsidP="00891878">
            <w:pPr>
              <w:spacing w:after="0" w:line="240" w:lineRule="auto"/>
              <w:jc w:val="right"/>
            </w:pPr>
            <w:r>
              <w:t>30 April 2019</w:t>
            </w:r>
          </w:p>
        </w:tc>
        <w:tc>
          <w:tcPr>
            <w:tcW w:w="1535" w:type="dxa"/>
            <w:tcBorders>
              <w:top w:val="nil"/>
              <w:left w:val="single" w:sz="8" w:space="0" w:color="4F81BD"/>
              <w:bottom w:val="single" w:sz="8" w:space="0" w:color="4F81BD"/>
              <w:right w:val="single" w:sz="8" w:space="0" w:color="4F81BD"/>
            </w:tcBorders>
          </w:tcPr>
          <w:p w14:paraId="04FA7516" w14:textId="77777777" w:rsidR="00B206BE" w:rsidRPr="00B206BE" w:rsidRDefault="00B206BE" w:rsidP="00891878">
            <w:pPr>
              <w:spacing w:after="0" w:line="240" w:lineRule="auto"/>
              <w:jc w:val="right"/>
            </w:pPr>
          </w:p>
          <w:p w14:paraId="176A8EC8" w14:textId="77777777" w:rsidR="00B206BE" w:rsidRPr="00B206BE" w:rsidRDefault="00B206BE" w:rsidP="00891878">
            <w:pPr>
              <w:spacing w:after="0" w:line="240" w:lineRule="auto"/>
              <w:jc w:val="right"/>
            </w:pPr>
          </w:p>
          <w:p w14:paraId="6DF45490" w14:textId="77777777" w:rsidR="00B206BE" w:rsidRPr="00B206BE" w:rsidRDefault="00B206BE" w:rsidP="00891878">
            <w:pPr>
              <w:spacing w:after="0" w:line="240" w:lineRule="auto"/>
              <w:jc w:val="right"/>
            </w:pPr>
          </w:p>
          <w:p w14:paraId="515D0435" w14:textId="77777777" w:rsidR="00B206BE" w:rsidRPr="00B206BE" w:rsidRDefault="00B206BE" w:rsidP="00891878">
            <w:pPr>
              <w:spacing w:after="0" w:line="240" w:lineRule="auto"/>
              <w:jc w:val="right"/>
            </w:pPr>
          </w:p>
          <w:p w14:paraId="787754AB" w14:textId="77777777" w:rsidR="00B206BE" w:rsidRPr="00B206BE" w:rsidRDefault="00B206BE" w:rsidP="00891878">
            <w:pPr>
              <w:spacing w:after="0" w:line="240" w:lineRule="auto"/>
              <w:jc w:val="right"/>
            </w:pPr>
            <w:r w:rsidRPr="00B206BE">
              <w:t>$28,655,000</w:t>
            </w:r>
          </w:p>
          <w:p w14:paraId="14F82826" w14:textId="77777777" w:rsidR="00B206BE" w:rsidRDefault="00B206BE" w:rsidP="00891878">
            <w:pPr>
              <w:spacing w:after="0" w:line="240" w:lineRule="auto"/>
              <w:jc w:val="right"/>
            </w:pPr>
          </w:p>
          <w:p w14:paraId="0F28EF62" w14:textId="77777777" w:rsidR="00B206BE" w:rsidRDefault="00B206BE" w:rsidP="00891878">
            <w:pPr>
              <w:spacing w:after="0" w:line="240" w:lineRule="auto"/>
              <w:jc w:val="right"/>
            </w:pPr>
          </w:p>
          <w:p w14:paraId="30743135" w14:textId="77777777" w:rsidR="00B206BE" w:rsidRDefault="00B206BE" w:rsidP="00891878">
            <w:pPr>
              <w:spacing w:after="0" w:line="240" w:lineRule="auto"/>
              <w:jc w:val="right"/>
            </w:pPr>
          </w:p>
          <w:p w14:paraId="74909757" w14:textId="77777777" w:rsidR="00B206BE" w:rsidRDefault="00B206BE" w:rsidP="00891878">
            <w:pPr>
              <w:spacing w:after="0" w:line="240" w:lineRule="auto"/>
              <w:jc w:val="right"/>
            </w:pPr>
          </w:p>
          <w:p w14:paraId="6A0AE3AE" w14:textId="344D43BC" w:rsidR="00B206BE" w:rsidRDefault="00B206BE" w:rsidP="00891878">
            <w:pPr>
              <w:spacing w:after="0" w:line="240" w:lineRule="auto"/>
              <w:jc w:val="right"/>
            </w:pPr>
          </w:p>
          <w:p w14:paraId="132C5E1D" w14:textId="77777777" w:rsidR="00891878" w:rsidRDefault="00891878" w:rsidP="00891878">
            <w:pPr>
              <w:spacing w:after="0" w:line="240" w:lineRule="auto"/>
              <w:jc w:val="right"/>
            </w:pPr>
          </w:p>
          <w:p w14:paraId="3ECD8CD0" w14:textId="77777777" w:rsidR="00B206BE" w:rsidRPr="00B206BE" w:rsidRDefault="00B206BE" w:rsidP="00891878">
            <w:pPr>
              <w:spacing w:after="0" w:line="240" w:lineRule="auto"/>
              <w:jc w:val="right"/>
              <w:rPr>
                <w:color w:val="auto"/>
                <w:szCs w:val="23"/>
              </w:rPr>
            </w:pPr>
            <w:r w:rsidRPr="00B206BE">
              <w:rPr>
                <w:color w:val="auto"/>
                <w:szCs w:val="23"/>
              </w:rPr>
              <w:t>$14,327,500</w:t>
            </w:r>
          </w:p>
          <w:p w14:paraId="6E9FD20A" w14:textId="77777777" w:rsidR="00B206BE" w:rsidRPr="00B206BE" w:rsidRDefault="00B206BE" w:rsidP="00891878">
            <w:pPr>
              <w:spacing w:after="0" w:line="240" w:lineRule="auto"/>
              <w:jc w:val="right"/>
            </w:pPr>
          </w:p>
        </w:tc>
      </w:tr>
      <w:tr w:rsidR="002F2BEB" w:rsidRPr="00C26C5B" w14:paraId="6572DB74" w14:textId="77777777" w:rsidTr="00EB0217">
        <w:trPr>
          <w:trHeight w:val="1808"/>
        </w:trPr>
        <w:tc>
          <w:tcPr>
            <w:tcW w:w="1124" w:type="dxa"/>
            <w:tcBorders>
              <w:top w:val="single" w:sz="8" w:space="0" w:color="4F81BD"/>
              <w:left w:val="single" w:sz="8" w:space="0" w:color="4F81BD"/>
              <w:bottom w:val="single" w:sz="4" w:space="0" w:color="4F81BD" w:themeColor="accent1"/>
              <w:right w:val="single" w:sz="8" w:space="0" w:color="4F81BD"/>
            </w:tcBorders>
          </w:tcPr>
          <w:p w14:paraId="11D2FD96" w14:textId="77777777" w:rsidR="002F2BEB" w:rsidRPr="003A5BC6" w:rsidRDefault="002F2BEB" w:rsidP="006F3732">
            <w:pPr>
              <w:jc w:val="left"/>
              <w:rPr>
                <w:b/>
              </w:rPr>
            </w:pPr>
          </w:p>
        </w:tc>
        <w:tc>
          <w:tcPr>
            <w:tcW w:w="5529" w:type="dxa"/>
            <w:tcBorders>
              <w:top w:val="single" w:sz="8" w:space="0" w:color="4F81BD"/>
              <w:left w:val="single" w:sz="8" w:space="0" w:color="4F81BD"/>
              <w:bottom w:val="single" w:sz="8" w:space="0" w:color="4F81BD"/>
              <w:right w:val="single" w:sz="8" w:space="0" w:color="4F81BD"/>
            </w:tcBorders>
          </w:tcPr>
          <w:p w14:paraId="66571BD6" w14:textId="77777777" w:rsidR="002F2BEB" w:rsidRDefault="002F2BEB" w:rsidP="00905AA2">
            <w:pPr>
              <w:spacing w:after="120"/>
              <w:jc w:val="left"/>
              <w:rPr>
                <w:b/>
              </w:rPr>
            </w:pPr>
            <w:r>
              <w:rPr>
                <w:b/>
              </w:rPr>
              <w:t>Milestone 1</w:t>
            </w:r>
          </w:p>
          <w:p w14:paraId="36D3D15C" w14:textId="77777777" w:rsidR="002F2BEB" w:rsidRDefault="00C71020" w:rsidP="00905AA2">
            <w:pPr>
              <w:spacing w:after="120" w:line="240" w:lineRule="auto"/>
              <w:jc w:val="left"/>
              <w:rPr>
                <w:color w:val="auto"/>
                <w:szCs w:val="23"/>
              </w:rPr>
            </w:pPr>
            <w:r>
              <w:t>New South Wales</w:t>
            </w:r>
            <w:r w:rsidR="002F2BEB">
              <w:t xml:space="preserve"> will be eligible for the milestone</w:t>
            </w:r>
            <w:r w:rsidR="002F2BEB" w:rsidRPr="00B4773E">
              <w:t xml:space="preserve"> payment</w:t>
            </w:r>
            <w:r w:rsidR="002F2BEB">
              <w:rPr>
                <w:color w:val="auto"/>
                <w:szCs w:val="23"/>
              </w:rPr>
              <w:t xml:space="preserve"> when the following deliverable is met: </w:t>
            </w:r>
          </w:p>
          <w:p w14:paraId="7713907C" w14:textId="77777777" w:rsidR="002F2BEB" w:rsidRDefault="002F2BEB" w:rsidP="00905AA2">
            <w:pPr>
              <w:spacing w:after="120" w:line="240" w:lineRule="auto"/>
              <w:jc w:val="left"/>
              <w:rPr>
                <w:b/>
              </w:rPr>
            </w:pPr>
            <w:r>
              <w:t>1.1 I</w:t>
            </w:r>
            <w:r w:rsidRPr="00E03F8A">
              <w:t>mplementation</w:t>
            </w:r>
            <w:r w:rsidRPr="00BF52D9">
              <w:rPr>
                <w:color w:val="auto"/>
                <w:szCs w:val="23"/>
              </w:rPr>
              <w:t xml:space="preserve"> </w:t>
            </w:r>
            <w:r>
              <w:rPr>
                <w:color w:val="auto"/>
                <w:szCs w:val="23"/>
              </w:rPr>
              <w:t xml:space="preserve">and expansion of the </w:t>
            </w:r>
            <w:r w:rsidR="00C71020">
              <w:rPr>
                <w:color w:val="auto"/>
                <w:szCs w:val="23"/>
              </w:rPr>
              <w:t>New South Wales</w:t>
            </w:r>
            <w:r w:rsidRPr="00BF52D9">
              <w:rPr>
                <w:color w:val="auto"/>
                <w:szCs w:val="23"/>
              </w:rPr>
              <w:t xml:space="preserve"> Smart and Skilled programs (fee-fee apprenticeships)</w:t>
            </w:r>
            <w:r>
              <w:rPr>
                <w:color w:val="auto"/>
                <w:szCs w:val="23"/>
              </w:rPr>
              <w:t>, including the development of a communication plan, modifications to system,</w:t>
            </w:r>
            <w:r w:rsidRPr="00BF52D9">
              <w:rPr>
                <w:color w:val="auto"/>
                <w:szCs w:val="23"/>
              </w:rPr>
              <w:t xml:space="preserve"> </w:t>
            </w:r>
            <w:r>
              <w:rPr>
                <w:color w:val="auto"/>
                <w:szCs w:val="23"/>
              </w:rPr>
              <w:t>breakdown of fee-free apprenticeships by qualifications.</w:t>
            </w:r>
          </w:p>
        </w:tc>
        <w:tc>
          <w:tcPr>
            <w:tcW w:w="1559" w:type="dxa"/>
            <w:tcBorders>
              <w:top w:val="single" w:sz="8" w:space="0" w:color="4F81BD"/>
              <w:left w:val="single" w:sz="8" w:space="0" w:color="4F81BD"/>
              <w:bottom w:val="single" w:sz="8" w:space="0" w:color="4F81BD"/>
              <w:right w:val="single" w:sz="8" w:space="0" w:color="4F81BD"/>
            </w:tcBorders>
          </w:tcPr>
          <w:p w14:paraId="449ACBA0" w14:textId="77777777" w:rsidR="002F2BEB" w:rsidRDefault="002F2BEB" w:rsidP="001A19B0">
            <w:pPr>
              <w:spacing w:after="0" w:line="240" w:lineRule="auto"/>
              <w:jc w:val="right"/>
            </w:pPr>
            <w:r>
              <w:t>30 April 2019</w:t>
            </w:r>
          </w:p>
          <w:p w14:paraId="0182863B" w14:textId="77777777" w:rsidR="002F2BEB" w:rsidRDefault="002F2BEB" w:rsidP="001A19B0">
            <w:pPr>
              <w:spacing w:after="0" w:line="240" w:lineRule="auto"/>
              <w:jc w:val="right"/>
            </w:pPr>
          </w:p>
        </w:tc>
        <w:tc>
          <w:tcPr>
            <w:tcW w:w="1535" w:type="dxa"/>
            <w:tcBorders>
              <w:top w:val="single" w:sz="8" w:space="0" w:color="4F81BD"/>
              <w:left w:val="single" w:sz="8" w:space="0" w:color="4F81BD"/>
              <w:bottom w:val="single" w:sz="8" w:space="0" w:color="4F81BD"/>
              <w:right w:val="single" w:sz="8" w:space="0" w:color="4F81BD"/>
            </w:tcBorders>
          </w:tcPr>
          <w:p w14:paraId="07643564" w14:textId="77777777" w:rsidR="002F2BEB" w:rsidRDefault="002F2BEB" w:rsidP="001A19B0">
            <w:pPr>
              <w:spacing w:after="0" w:line="240" w:lineRule="auto"/>
              <w:jc w:val="right"/>
            </w:pPr>
            <w:r>
              <w:t>$2,500,000</w:t>
            </w:r>
          </w:p>
          <w:p w14:paraId="2A60FA66" w14:textId="77777777" w:rsidR="002F2BEB" w:rsidRDefault="002F2BEB" w:rsidP="001A19B0">
            <w:pPr>
              <w:spacing w:after="0" w:line="240" w:lineRule="auto"/>
              <w:jc w:val="right"/>
            </w:pPr>
          </w:p>
        </w:tc>
      </w:tr>
      <w:tr w:rsidR="002F2BEB" w:rsidRPr="00C26C5B" w14:paraId="12DE6B81" w14:textId="77777777" w:rsidTr="00EB0217">
        <w:trPr>
          <w:trHeight w:val="1808"/>
        </w:trPr>
        <w:tc>
          <w:tcPr>
            <w:tcW w:w="1124" w:type="dxa"/>
            <w:tcBorders>
              <w:top w:val="single" w:sz="4" w:space="0" w:color="4F81BD" w:themeColor="accent1"/>
              <w:bottom w:val="single" w:sz="8" w:space="0" w:color="4F81BD"/>
            </w:tcBorders>
          </w:tcPr>
          <w:p w14:paraId="0259E2C6" w14:textId="77777777" w:rsidR="002F2BEB" w:rsidRPr="003A5BC6" w:rsidRDefault="002F2BEB" w:rsidP="00802E07">
            <w:pPr>
              <w:jc w:val="left"/>
              <w:rPr>
                <w:b/>
              </w:rPr>
            </w:pPr>
          </w:p>
        </w:tc>
        <w:tc>
          <w:tcPr>
            <w:tcW w:w="5529" w:type="dxa"/>
          </w:tcPr>
          <w:p w14:paraId="4D5D77D5" w14:textId="77777777" w:rsidR="002F2BEB" w:rsidRDefault="002F2BEB" w:rsidP="00905AA2">
            <w:pPr>
              <w:spacing w:after="120"/>
              <w:jc w:val="left"/>
              <w:rPr>
                <w:b/>
              </w:rPr>
            </w:pPr>
            <w:r w:rsidRPr="002F2BEB">
              <w:rPr>
                <w:b/>
              </w:rPr>
              <w:t>Milestone 2</w:t>
            </w:r>
          </w:p>
          <w:p w14:paraId="15CAFF2D" w14:textId="77777777" w:rsidR="00B666BD" w:rsidRPr="00147F14" w:rsidRDefault="00C71020" w:rsidP="00905AA2">
            <w:pPr>
              <w:spacing w:after="120" w:line="240" w:lineRule="auto"/>
              <w:jc w:val="left"/>
              <w:rPr>
                <w:color w:val="auto"/>
                <w:szCs w:val="23"/>
              </w:rPr>
            </w:pPr>
            <w:r>
              <w:rPr>
                <w:color w:val="auto"/>
                <w:szCs w:val="23"/>
              </w:rPr>
              <w:t>New South Wales</w:t>
            </w:r>
            <w:r w:rsidR="00B666BD" w:rsidRPr="00147F14">
              <w:rPr>
                <w:color w:val="auto"/>
                <w:szCs w:val="23"/>
              </w:rPr>
              <w:t xml:space="preserve"> will be eligible for the milestone payment when the following deliverable is met:</w:t>
            </w:r>
          </w:p>
          <w:p w14:paraId="27AC0ED5" w14:textId="77777777" w:rsidR="002F2BEB" w:rsidRPr="002F2BEB" w:rsidRDefault="00B666BD" w:rsidP="00905AA2">
            <w:pPr>
              <w:spacing w:after="120" w:line="240" w:lineRule="auto"/>
              <w:jc w:val="left"/>
              <w:rPr>
                <w:u w:val="single"/>
              </w:rPr>
            </w:pPr>
            <w:r>
              <w:rPr>
                <w:color w:val="auto"/>
                <w:szCs w:val="23"/>
              </w:rPr>
              <w:t>2.1 A</w:t>
            </w:r>
            <w:r w:rsidR="002F2BEB">
              <w:rPr>
                <w:color w:val="auto"/>
                <w:szCs w:val="23"/>
              </w:rPr>
              <w:t xml:space="preserve"> </w:t>
            </w:r>
            <w:r w:rsidR="002F2BEB">
              <w:t>report on the population of non-</w:t>
            </w:r>
            <w:r w:rsidR="00C71020">
              <w:t>New South Wales</w:t>
            </w:r>
            <w:r w:rsidR="002F2BEB">
              <w:t xml:space="preserve"> </w:t>
            </w:r>
            <w:r w:rsidR="002F2BEB" w:rsidRPr="001431EB">
              <w:t xml:space="preserve">Government </w:t>
            </w:r>
            <w:r w:rsidR="002F2BEB">
              <w:t xml:space="preserve">and </w:t>
            </w:r>
            <w:r w:rsidR="00C71020">
              <w:t>New South Wales</w:t>
            </w:r>
            <w:r w:rsidR="002F2BEB">
              <w:t xml:space="preserve"> Government funded a</w:t>
            </w:r>
            <w:r w:rsidR="002F2BEB" w:rsidRPr="001431EB">
              <w:t>pprenticeships and traineeships</w:t>
            </w:r>
            <w:r w:rsidR="002F2BEB">
              <w:t xml:space="preserve"> in 2018-19 (up to 30 April 2019) is delivered to </w:t>
            </w:r>
            <w:r w:rsidR="002F2BEB" w:rsidRPr="002F2BEB">
              <w:t>compare government-funded versus fee-for-service apprenticeships and traineeships in 2018-19.</w:t>
            </w:r>
          </w:p>
        </w:tc>
        <w:tc>
          <w:tcPr>
            <w:tcW w:w="1559" w:type="dxa"/>
          </w:tcPr>
          <w:p w14:paraId="0EC1BEAC" w14:textId="77777777" w:rsidR="002F2BEB" w:rsidRDefault="002F2BEB" w:rsidP="001A19B0">
            <w:pPr>
              <w:spacing w:before="120" w:after="0"/>
              <w:jc w:val="right"/>
            </w:pPr>
            <w:r>
              <w:t>30 April 2019</w:t>
            </w:r>
          </w:p>
        </w:tc>
        <w:tc>
          <w:tcPr>
            <w:tcW w:w="1535" w:type="dxa"/>
          </w:tcPr>
          <w:p w14:paraId="39BC964A" w14:textId="77777777" w:rsidR="002F2BEB" w:rsidRDefault="002F2BEB" w:rsidP="001A19B0">
            <w:pPr>
              <w:spacing w:before="120" w:after="0"/>
              <w:jc w:val="right"/>
            </w:pPr>
            <w:r>
              <w:t>$500,000</w:t>
            </w:r>
          </w:p>
        </w:tc>
      </w:tr>
      <w:tr w:rsidR="002F2BEB" w:rsidRPr="00C26C5B" w14:paraId="67B5B526" w14:textId="77777777" w:rsidTr="00EB0217">
        <w:trPr>
          <w:trHeight w:val="1808"/>
        </w:trPr>
        <w:tc>
          <w:tcPr>
            <w:tcW w:w="1124" w:type="dxa"/>
            <w:tcBorders>
              <w:bottom w:val="single" w:sz="4" w:space="0" w:color="4F81BD" w:themeColor="accent1"/>
            </w:tcBorders>
          </w:tcPr>
          <w:p w14:paraId="79CEE670" w14:textId="77777777" w:rsidR="002F2BEB" w:rsidRPr="003A5BC6" w:rsidRDefault="002F2BEB" w:rsidP="00802E07">
            <w:pPr>
              <w:jc w:val="left"/>
              <w:rPr>
                <w:b/>
              </w:rPr>
            </w:pPr>
          </w:p>
        </w:tc>
        <w:tc>
          <w:tcPr>
            <w:tcW w:w="5529" w:type="dxa"/>
          </w:tcPr>
          <w:p w14:paraId="116B47D5" w14:textId="77777777" w:rsidR="002F2BEB" w:rsidRPr="002F2BEB" w:rsidRDefault="002F2BEB" w:rsidP="00905AA2">
            <w:pPr>
              <w:spacing w:after="120"/>
              <w:jc w:val="left"/>
              <w:rPr>
                <w:b/>
              </w:rPr>
            </w:pPr>
            <w:r w:rsidRPr="002F2BEB">
              <w:rPr>
                <w:b/>
              </w:rPr>
              <w:t>Milestone</w:t>
            </w:r>
            <w:r w:rsidRPr="002F2BEB">
              <w:rPr>
                <w:b/>
                <w:lang w:eastAsia="en-US"/>
              </w:rPr>
              <w:t xml:space="preserve"> 3</w:t>
            </w:r>
          </w:p>
          <w:p w14:paraId="5BAF74A5" w14:textId="77777777" w:rsidR="00D66E12" w:rsidRDefault="00C71020" w:rsidP="00905AA2">
            <w:pPr>
              <w:spacing w:after="120" w:line="240" w:lineRule="auto"/>
              <w:jc w:val="left"/>
            </w:pPr>
            <w:r>
              <w:rPr>
                <w:color w:val="auto"/>
                <w:szCs w:val="23"/>
              </w:rPr>
              <w:t>New South Wales</w:t>
            </w:r>
            <w:r w:rsidR="002F2BEB" w:rsidRPr="004B555B">
              <w:rPr>
                <w:color w:val="auto"/>
                <w:szCs w:val="23"/>
              </w:rPr>
              <w:t xml:space="preserve"> will be eligible for the milestone payment</w:t>
            </w:r>
            <w:r w:rsidR="002F2BEB">
              <w:rPr>
                <w:color w:val="auto"/>
                <w:szCs w:val="23"/>
              </w:rPr>
              <w:t xml:space="preserve"> for implementing the </w:t>
            </w:r>
            <w:r w:rsidR="002F2BEB" w:rsidRPr="002F2BEB">
              <w:t>Infrastructure Skills Legacy Program</w:t>
            </w:r>
            <w:r w:rsidR="00D66E12">
              <w:t xml:space="preserve"> when the following deliverables are met: </w:t>
            </w:r>
          </w:p>
          <w:p w14:paraId="751AB59B" w14:textId="77777777" w:rsidR="00D66E12" w:rsidRDefault="00D66E12" w:rsidP="00905AA2">
            <w:pPr>
              <w:spacing w:after="120" w:line="240" w:lineRule="auto"/>
              <w:jc w:val="left"/>
              <w:rPr>
                <w:color w:val="auto"/>
                <w:szCs w:val="23"/>
              </w:rPr>
            </w:pPr>
            <w:r>
              <w:t>3.1 C</w:t>
            </w:r>
            <w:r w:rsidR="002F2BEB">
              <w:t>onsultation with industry and government agencies</w:t>
            </w:r>
            <w:r>
              <w:t>.</w:t>
            </w:r>
            <w:r w:rsidR="002F2BEB">
              <w:rPr>
                <w:color w:val="auto"/>
                <w:szCs w:val="23"/>
              </w:rPr>
              <w:t xml:space="preserve"> </w:t>
            </w:r>
          </w:p>
          <w:p w14:paraId="1CB5E915" w14:textId="77777777" w:rsidR="002F2BEB" w:rsidRPr="002F2BEB" w:rsidRDefault="00D66E12" w:rsidP="00905AA2">
            <w:pPr>
              <w:spacing w:after="120" w:line="240" w:lineRule="auto"/>
              <w:jc w:val="left"/>
              <w:rPr>
                <w:b/>
              </w:rPr>
            </w:pPr>
            <w:r>
              <w:rPr>
                <w:color w:val="auto"/>
                <w:szCs w:val="23"/>
              </w:rPr>
              <w:t>3.2 D</w:t>
            </w:r>
            <w:r w:rsidR="002F2BEB">
              <w:t xml:space="preserve">esigning the program in response to industry needs </w:t>
            </w:r>
            <w:r>
              <w:t>that gives consideration to</w:t>
            </w:r>
            <w:r w:rsidR="002F2BEB">
              <w:t xml:space="preserve"> training and employment targets</w:t>
            </w:r>
            <w:r>
              <w:t xml:space="preserve">, </w:t>
            </w:r>
            <w:r w:rsidR="002F2BEB">
              <w:t>data collection</w:t>
            </w:r>
            <w:r>
              <w:t xml:space="preserve">, </w:t>
            </w:r>
            <w:r w:rsidR="002F2BEB">
              <w:t>targeted communication of program to students, employers and providers in the local areas where the program is run.</w:t>
            </w:r>
          </w:p>
        </w:tc>
        <w:tc>
          <w:tcPr>
            <w:tcW w:w="1559" w:type="dxa"/>
          </w:tcPr>
          <w:p w14:paraId="09BB8228" w14:textId="77777777" w:rsidR="002F2BEB" w:rsidRDefault="002F2BEB" w:rsidP="001A19B0">
            <w:pPr>
              <w:spacing w:after="0"/>
              <w:jc w:val="right"/>
            </w:pPr>
            <w:r>
              <w:t>30 April 2019</w:t>
            </w:r>
          </w:p>
        </w:tc>
        <w:tc>
          <w:tcPr>
            <w:tcW w:w="1535" w:type="dxa"/>
          </w:tcPr>
          <w:p w14:paraId="797CDC7E" w14:textId="77777777" w:rsidR="002F2BEB" w:rsidRDefault="002F2BEB" w:rsidP="001A19B0">
            <w:pPr>
              <w:spacing w:after="0" w:line="240" w:lineRule="auto"/>
              <w:jc w:val="right"/>
            </w:pPr>
            <w:r>
              <w:t>$2,500,000</w:t>
            </w:r>
          </w:p>
          <w:p w14:paraId="4623D52B" w14:textId="77777777" w:rsidR="002F2BEB" w:rsidRDefault="002F2BEB" w:rsidP="001A19B0">
            <w:pPr>
              <w:spacing w:before="120" w:after="0"/>
              <w:jc w:val="right"/>
            </w:pPr>
          </w:p>
        </w:tc>
      </w:tr>
      <w:tr w:rsidR="00D66E12" w:rsidRPr="00C26C5B" w14:paraId="3D3A3B63" w14:textId="77777777" w:rsidTr="00F11D74">
        <w:tc>
          <w:tcPr>
            <w:tcW w:w="1124" w:type="dxa"/>
            <w:tcBorders>
              <w:top w:val="single" w:sz="4" w:space="0" w:color="4F81BD" w:themeColor="accent1"/>
              <w:bottom w:val="single" w:sz="4" w:space="0" w:color="4F81BD"/>
            </w:tcBorders>
          </w:tcPr>
          <w:p w14:paraId="40F36D8A" w14:textId="77777777" w:rsidR="00D66E12" w:rsidRPr="003A5BC6" w:rsidRDefault="00D66E12" w:rsidP="00802E07">
            <w:pPr>
              <w:jc w:val="left"/>
              <w:rPr>
                <w:b/>
              </w:rPr>
            </w:pPr>
          </w:p>
        </w:tc>
        <w:tc>
          <w:tcPr>
            <w:tcW w:w="5529" w:type="dxa"/>
            <w:tcBorders>
              <w:bottom w:val="single" w:sz="4" w:space="0" w:color="4F81BD"/>
            </w:tcBorders>
          </w:tcPr>
          <w:p w14:paraId="55BE0ED7" w14:textId="77777777" w:rsidR="00D66E12" w:rsidRDefault="00D66E12" w:rsidP="00905AA2">
            <w:pPr>
              <w:spacing w:after="120"/>
              <w:jc w:val="left"/>
              <w:rPr>
                <w:b/>
              </w:rPr>
            </w:pPr>
            <w:r>
              <w:rPr>
                <w:b/>
              </w:rPr>
              <w:t>Milestone 4</w:t>
            </w:r>
          </w:p>
          <w:p w14:paraId="774C216C" w14:textId="77777777" w:rsidR="00B666BD" w:rsidRPr="00147F14" w:rsidRDefault="00C71020" w:rsidP="00905AA2">
            <w:pPr>
              <w:spacing w:after="120" w:line="240" w:lineRule="auto"/>
              <w:jc w:val="left"/>
              <w:rPr>
                <w:color w:val="auto"/>
                <w:szCs w:val="23"/>
              </w:rPr>
            </w:pPr>
            <w:r>
              <w:rPr>
                <w:color w:val="auto"/>
                <w:szCs w:val="23"/>
              </w:rPr>
              <w:t>New South Wales</w:t>
            </w:r>
            <w:r w:rsidR="00B666BD" w:rsidRPr="00147F14">
              <w:rPr>
                <w:color w:val="auto"/>
                <w:szCs w:val="23"/>
              </w:rPr>
              <w:t xml:space="preserve"> will be eligible for the milestone payment when the following deliverable is met:</w:t>
            </w:r>
          </w:p>
          <w:p w14:paraId="3EAB2BD6" w14:textId="0486F4E3" w:rsidR="00D66E12" w:rsidRPr="002609FC" w:rsidRDefault="00D66E12" w:rsidP="00905AA2">
            <w:pPr>
              <w:spacing w:after="120" w:line="240" w:lineRule="auto"/>
              <w:jc w:val="left"/>
              <w:rPr>
                <w:lang w:eastAsia="en-US"/>
              </w:rPr>
            </w:pPr>
            <w:r>
              <w:rPr>
                <w:color w:val="auto"/>
                <w:szCs w:val="23"/>
              </w:rPr>
              <w:t xml:space="preserve">4.1 </w:t>
            </w:r>
            <w:r w:rsidR="00B666BD">
              <w:rPr>
                <w:color w:val="auto"/>
                <w:szCs w:val="23"/>
              </w:rPr>
              <w:t>I</w:t>
            </w:r>
            <w:r>
              <w:rPr>
                <w:color w:val="auto"/>
                <w:szCs w:val="23"/>
              </w:rPr>
              <w:t xml:space="preserve">t </w:t>
            </w:r>
            <w:r w:rsidR="002609FC">
              <w:rPr>
                <w:color w:val="auto"/>
                <w:szCs w:val="23"/>
              </w:rPr>
              <w:t xml:space="preserve">demonstrates that the activity undertaken to ensure that the </w:t>
            </w:r>
            <w:r w:rsidR="00C71020">
              <w:rPr>
                <w:color w:val="auto"/>
                <w:szCs w:val="23"/>
              </w:rPr>
              <w:t>New South Wales</w:t>
            </w:r>
            <w:r w:rsidR="002609FC">
              <w:rPr>
                <w:color w:val="auto"/>
                <w:szCs w:val="23"/>
              </w:rPr>
              <w:t xml:space="preserve"> Smart and Skilled targeted Priorities Pre-Vocational and Part Qualifications program, training leading to higher level qualifications through apprenticeships and traineeships (at the AQF levels V and VI) and ‘like apprenticeship’ training remains aligned to the objectives of the Agreement. This include</w:t>
            </w:r>
            <w:r w:rsidR="004A5957">
              <w:rPr>
                <w:color w:val="auto"/>
                <w:szCs w:val="23"/>
              </w:rPr>
              <w:t>s</w:t>
            </w:r>
            <w:r w:rsidR="002609FC">
              <w:rPr>
                <w:color w:val="auto"/>
                <w:szCs w:val="23"/>
              </w:rPr>
              <w:t xml:space="preserve"> </w:t>
            </w:r>
            <w:r>
              <w:t xml:space="preserve">consultation with stakeholders, promoting </w:t>
            </w:r>
            <w:r w:rsidRPr="007038B9">
              <w:rPr>
                <w:rFonts w:cs="Arial"/>
              </w:rPr>
              <w:t>the opportunities available through these programs,</w:t>
            </w:r>
            <w:r>
              <w:rPr>
                <w:rFonts w:cs="Arial"/>
              </w:rPr>
              <w:t xml:space="preserve"> </w:t>
            </w:r>
            <w:r w:rsidRPr="007038B9">
              <w:rPr>
                <w:rFonts w:cs="Arial"/>
              </w:rPr>
              <w:t>reviewing policies and guidelines, or</w:t>
            </w:r>
            <w:r>
              <w:rPr>
                <w:rFonts w:cs="Arial"/>
              </w:rPr>
              <w:t xml:space="preserve"> </w:t>
            </w:r>
            <w:r w:rsidRPr="007038B9">
              <w:rPr>
                <w:rFonts w:cs="Arial"/>
              </w:rPr>
              <w:t xml:space="preserve">implementing </w:t>
            </w:r>
            <w:r>
              <w:rPr>
                <w:lang w:eastAsia="en-US"/>
              </w:rPr>
              <w:t>systems changes.</w:t>
            </w:r>
            <w:r w:rsidR="00F11D74">
              <w:rPr>
                <w:lang w:eastAsia="en-US"/>
              </w:rPr>
              <w:br/>
            </w:r>
          </w:p>
        </w:tc>
        <w:tc>
          <w:tcPr>
            <w:tcW w:w="1559" w:type="dxa"/>
            <w:tcBorders>
              <w:bottom w:val="single" w:sz="4" w:space="0" w:color="4F81BD"/>
            </w:tcBorders>
          </w:tcPr>
          <w:p w14:paraId="47BD9778" w14:textId="77777777" w:rsidR="00D66E12" w:rsidRDefault="00D66E12" w:rsidP="001A19B0">
            <w:pPr>
              <w:spacing w:after="0"/>
              <w:jc w:val="right"/>
            </w:pPr>
            <w:r>
              <w:t>30 April 2019</w:t>
            </w:r>
          </w:p>
        </w:tc>
        <w:tc>
          <w:tcPr>
            <w:tcW w:w="1535" w:type="dxa"/>
            <w:tcBorders>
              <w:bottom w:val="single" w:sz="4" w:space="0" w:color="4F81BD"/>
            </w:tcBorders>
          </w:tcPr>
          <w:p w14:paraId="4F68B18E" w14:textId="77777777" w:rsidR="00D66E12" w:rsidRDefault="00D66E12" w:rsidP="001A19B0">
            <w:pPr>
              <w:spacing w:after="0"/>
              <w:jc w:val="right"/>
            </w:pPr>
            <w:r>
              <w:t>$2,500,000</w:t>
            </w:r>
          </w:p>
          <w:p w14:paraId="7E70820D" w14:textId="77777777" w:rsidR="00D66E12" w:rsidRDefault="00D66E12" w:rsidP="001A19B0">
            <w:pPr>
              <w:spacing w:after="0" w:line="240" w:lineRule="auto"/>
              <w:jc w:val="right"/>
            </w:pPr>
          </w:p>
        </w:tc>
      </w:tr>
      <w:tr w:rsidR="001431EB" w:rsidRPr="00C26C5B" w14:paraId="1E7AB76F" w14:textId="77777777" w:rsidTr="000669C0">
        <w:trPr>
          <w:trHeight w:val="50"/>
        </w:trPr>
        <w:tc>
          <w:tcPr>
            <w:tcW w:w="1124" w:type="dxa"/>
            <w:tcBorders>
              <w:top w:val="single" w:sz="8" w:space="0" w:color="4F81BD"/>
              <w:left w:val="single" w:sz="8" w:space="0" w:color="4F81BD"/>
              <w:bottom w:val="single" w:sz="4" w:space="0" w:color="4F81BD"/>
              <w:right w:val="single" w:sz="8" w:space="0" w:color="4F81BD"/>
            </w:tcBorders>
          </w:tcPr>
          <w:p w14:paraId="7E0518CE" w14:textId="77777777" w:rsidR="001431EB" w:rsidRPr="003A5BC6" w:rsidRDefault="001431EB" w:rsidP="006F3732">
            <w:pPr>
              <w:jc w:val="left"/>
              <w:rPr>
                <w:b/>
              </w:rPr>
            </w:pPr>
          </w:p>
        </w:tc>
        <w:tc>
          <w:tcPr>
            <w:tcW w:w="5529" w:type="dxa"/>
            <w:tcBorders>
              <w:top w:val="single" w:sz="8" w:space="0" w:color="4F81BD"/>
              <w:left w:val="single" w:sz="8" w:space="0" w:color="4F81BD"/>
              <w:bottom w:val="single" w:sz="4" w:space="0" w:color="4F81BD"/>
              <w:right w:val="single" w:sz="8" w:space="0" w:color="4F81BD"/>
            </w:tcBorders>
          </w:tcPr>
          <w:p w14:paraId="2495A0DB" w14:textId="77777777" w:rsidR="002609FC" w:rsidRPr="002609FC" w:rsidRDefault="002609FC" w:rsidP="00013B31">
            <w:pPr>
              <w:spacing w:after="120"/>
              <w:jc w:val="left"/>
              <w:rPr>
                <w:b/>
              </w:rPr>
            </w:pPr>
            <w:r w:rsidRPr="002609FC">
              <w:rPr>
                <w:b/>
              </w:rPr>
              <w:t>Milestone 5</w:t>
            </w:r>
          </w:p>
          <w:p w14:paraId="1B48BB84" w14:textId="77777777" w:rsidR="00854036" w:rsidRDefault="00C71020" w:rsidP="00905AA2">
            <w:pPr>
              <w:spacing w:after="120" w:line="240" w:lineRule="auto"/>
              <w:jc w:val="left"/>
              <w:rPr>
                <w:color w:val="auto"/>
                <w:szCs w:val="23"/>
              </w:rPr>
            </w:pPr>
            <w:r>
              <w:t>New South Wales</w:t>
            </w:r>
            <w:r w:rsidR="001E0D7D">
              <w:t xml:space="preserve"> will be eligible for the milestone</w:t>
            </w:r>
            <w:r w:rsidR="001E0D7D" w:rsidRPr="00B4773E">
              <w:t xml:space="preserve"> payment</w:t>
            </w:r>
            <w:r w:rsidR="00000388">
              <w:t>s</w:t>
            </w:r>
            <w:r w:rsidR="001E0D7D">
              <w:rPr>
                <w:color w:val="auto"/>
                <w:szCs w:val="23"/>
              </w:rPr>
              <w:t xml:space="preserve"> when the following</w:t>
            </w:r>
            <w:r w:rsidR="00BF52D9">
              <w:rPr>
                <w:color w:val="auto"/>
                <w:szCs w:val="23"/>
              </w:rPr>
              <w:t xml:space="preserve"> deliverables </w:t>
            </w:r>
            <w:r w:rsidR="001E0D7D">
              <w:rPr>
                <w:color w:val="auto"/>
                <w:szCs w:val="23"/>
              </w:rPr>
              <w:t xml:space="preserve">are met: </w:t>
            </w:r>
          </w:p>
          <w:p w14:paraId="504E7525" w14:textId="0601452E" w:rsidR="00006CF7" w:rsidRPr="00504C0A" w:rsidRDefault="00006CF7" w:rsidP="00905AA2">
            <w:pPr>
              <w:spacing w:after="120" w:line="240" w:lineRule="auto"/>
              <w:jc w:val="left"/>
              <w:rPr>
                <w:color w:val="auto"/>
                <w:szCs w:val="23"/>
              </w:rPr>
            </w:pPr>
            <w:r>
              <w:t>5.1 Delivery</w:t>
            </w:r>
            <w:r w:rsidRPr="00BF52D9">
              <w:rPr>
                <w:color w:val="auto"/>
                <w:szCs w:val="23"/>
              </w:rPr>
              <w:t xml:space="preserve"> </w:t>
            </w:r>
            <w:r>
              <w:rPr>
                <w:color w:val="auto"/>
                <w:szCs w:val="23"/>
              </w:rPr>
              <w:t xml:space="preserve">of the </w:t>
            </w:r>
            <w:r w:rsidR="00C71020">
              <w:rPr>
                <w:color w:val="auto"/>
                <w:szCs w:val="23"/>
              </w:rPr>
              <w:t>New South Wales</w:t>
            </w:r>
            <w:r w:rsidRPr="00BF52D9">
              <w:rPr>
                <w:color w:val="auto"/>
                <w:szCs w:val="23"/>
              </w:rPr>
              <w:t xml:space="preserve"> Smart and Skilled </w:t>
            </w:r>
            <w:r>
              <w:rPr>
                <w:color w:val="auto"/>
                <w:szCs w:val="23"/>
              </w:rPr>
              <w:t>fee</w:t>
            </w:r>
            <w:r w:rsidR="008676A6">
              <w:rPr>
                <w:color w:val="auto"/>
                <w:szCs w:val="23"/>
              </w:rPr>
              <w:t>-</w:t>
            </w:r>
            <w:r>
              <w:rPr>
                <w:color w:val="auto"/>
                <w:szCs w:val="23"/>
              </w:rPr>
              <w:t xml:space="preserve">free apprenticeship program, including </w:t>
            </w:r>
            <w:r w:rsidRPr="00504C0A">
              <w:rPr>
                <w:color w:val="auto"/>
                <w:szCs w:val="23"/>
              </w:rPr>
              <w:t xml:space="preserve">implementation of communications activities </w:t>
            </w:r>
            <w:r w:rsidR="004B67AB" w:rsidRPr="00504C0A">
              <w:rPr>
                <w:color w:val="auto"/>
              </w:rPr>
              <w:t>and adjustments made to the program to support students impacted by the drought, bushfires and COVID-19</w:t>
            </w:r>
            <w:r w:rsidR="00592942" w:rsidRPr="00504C0A">
              <w:rPr>
                <w:color w:val="auto"/>
              </w:rPr>
              <w:t>, to ensure that apprentices are supported and the program, continues to meet industry needs</w:t>
            </w:r>
            <w:r w:rsidR="00F560ED" w:rsidRPr="00504C0A">
              <w:rPr>
                <w:color w:val="auto"/>
              </w:rPr>
              <w:t>.</w:t>
            </w:r>
            <w:r w:rsidR="004B67AB" w:rsidRPr="00504C0A">
              <w:rPr>
                <w:color w:val="auto"/>
              </w:rPr>
              <w:t xml:space="preserve"> </w:t>
            </w:r>
          </w:p>
          <w:p w14:paraId="6CF0DD23" w14:textId="77777777" w:rsidR="006A131D" w:rsidRDefault="00006CF7" w:rsidP="00905AA2">
            <w:pPr>
              <w:spacing w:after="120" w:line="240" w:lineRule="auto"/>
              <w:jc w:val="left"/>
              <w:rPr>
                <w:color w:val="auto"/>
                <w:szCs w:val="23"/>
              </w:rPr>
            </w:pPr>
            <w:r w:rsidRPr="00504C0A">
              <w:rPr>
                <w:color w:val="auto"/>
                <w:szCs w:val="23"/>
              </w:rPr>
              <w:t xml:space="preserve">5.2 </w:t>
            </w:r>
            <w:r w:rsidR="00E228D3" w:rsidRPr="00504C0A">
              <w:rPr>
                <w:color w:val="auto"/>
                <w:szCs w:val="23"/>
              </w:rPr>
              <w:t>Launch and i</w:t>
            </w:r>
            <w:r w:rsidRPr="00504C0A">
              <w:rPr>
                <w:color w:val="auto"/>
                <w:szCs w:val="23"/>
              </w:rPr>
              <w:t xml:space="preserve">mplementation of the </w:t>
            </w:r>
            <w:r w:rsidR="00C71020" w:rsidRPr="00504C0A">
              <w:rPr>
                <w:color w:val="auto"/>
                <w:szCs w:val="23"/>
              </w:rPr>
              <w:t>New South Wales</w:t>
            </w:r>
            <w:r w:rsidRPr="00504C0A">
              <w:rPr>
                <w:color w:val="auto"/>
                <w:szCs w:val="23"/>
              </w:rPr>
              <w:t xml:space="preserve"> Smart and Skilled fee</w:t>
            </w:r>
            <w:r w:rsidR="008676A6" w:rsidRPr="00504C0A">
              <w:rPr>
                <w:color w:val="auto"/>
                <w:szCs w:val="23"/>
              </w:rPr>
              <w:t>-</w:t>
            </w:r>
            <w:r w:rsidRPr="00504C0A">
              <w:rPr>
                <w:color w:val="auto"/>
                <w:szCs w:val="23"/>
              </w:rPr>
              <w:t>free traineeship</w:t>
            </w:r>
            <w:r w:rsidR="002F325A" w:rsidRPr="00504C0A">
              <w:rPr>
                <w:color w:val="auto"/>
                <w:szCs w:val="23"/>
              </w:rPr>
              <w:t xml:space="preserve"> </w:t>
            </w:r>
            <w:r w:rsidR="002F325A">
              <w:rPr>
                <w:color w:val="auto"/>
                <w:szCs w:val="23"/>
              </w:rPr>
              <w:t>program</w:t>
            </w:r>
            <w:r>
              <w:rPr>
                <w:color w:val="auto"/>
                <w:szCs w:val="23"/>
              </w:rPr>
              <w:t xml:space="preserve">, including </w:t>
            </w:r>
            <w:r w:rsidR="006A131D">
              <w:rPr>
                <w:color w:val="auto"/>
                <w:szCs w:val="23"/>
              </w:rPr>
              <w:t>delivery of</w:t>
            </w:r>
            <w:r>
              <w:rPr>
                <w:color w:val="auto"/>
                <w:szCs w:val="23"/>
              </w:rPr>
              <w:t xml:space="preserve"> communications </w:t>
            </w:r>
            <w:r w:rsidR="006A131D">
              <w:rPr>
                <w:color w:val="auto"/>
                <w:szCs w:val="23"/>
              </w:rPr>
              <w:t xml:space="preserve">activities </w:t>
            </w:r>
            <w:r>
              <w:rPr>
                <w:color w:val="auto"/>
                <w:szCs w:val="23"/>
              </w:rPr>
              <w:t xml:space="preserve">to </w:t>
            </w:r>
            <w:r w:rsidR="006A131D">
              <w:rPr>
                <w:color w:val="auto"/>
                <w:szCs w:val="23"/>
              </w:rPr>
              <w:t>support the uptake of the 70,000 new traineeship opportunities</w:t>
            </w:r>
            <w:r w:rsidR="00A16BBE">
              <w:rPr>
                <w:color w:val="auto"/>
                <w:szCs w:val="23"/>
              </w:rPr>
              <w:t xml:space="preserve"> from 1 January 2020</w:t>
            </w:r>
            <w:r w:rsidR="006A131D">
              <w:rPr>
                <w:color w:val="auto"/>
                <w:szCs w:val="23"/>
              </w:rPr>
              <w:t>.</w:t>
            </w:r>
          </w:p>
          <w:p w14:paraId="6F60799A" w14:textId="77777777" w:rsidR="006A131D" w:rsidRDefault="006A131D" w:rsidP="00905AA2">
            <w:pPr>
              <w:spacing w:after="120" w:line="240" w:lineRule="auto"/>
              <w:jc w:val="left"/>
              <w:rPr>
                <w:color w:val="auto"/>
                <w:szCs w:val="23"/>
              </w:rPr>
            </w:pPr>
            <w:r>
              <w:rPr>
                <w:color w:val="auto"/>
                <w:szCs w:val="23"/>
              </w:rPr>
              <w:t xml:space="preserve">5.3 Assessment of </w:t>
            </w:r>
            <w:r w:rsidR="00B31BEF">
              <w:rPr>
                <w:color w:val="auto"/>
                <w:szCs w:val="23"/>
              </w:rPr>
              <w:t xml:space="preserve">the uptake of </w:t>
            </w:r>
            <w:r>
              <w:rPr>
                <w:color w:val="auto"/>
                <w:szCs w:val="23"/>
              </w:rPr>
              <w:t xml:space="preserve">the fee-free </w:t>
            </w:r>
            <w:r w:rsidR="00B31BEF">
              <w:rPr>
                <w:color w:val="auto"/>
                <w:szCs w:val="23"/>
              </w:rPr>
              <w:t>apprenticeship</w:t>
            </w:r>
            <w:r>
              <w:rPr>
                <w:color w:val="auto"/>
                <w:szCs w:val="23"/>
              </w:rPr>
              <w:t xml:space="preserve"> opportunities by qualification</w:t>
            </w:r>
            <w:r w:rsidR="008F7CFD">
              <w:rPr>
                <w:color w:val="auto"/>
                <w:szCs w:val="23"/>
              </w:rPr>
              <w:t>,</w:t>
            </w:r>
            <w:r>
              <w:rPr>
                <w:color w:val="auto"/>
                <w:szCs w:val="23"/>
              </w:rPr>
              <w:t xml:space="preserve"> region</w:t>
            </w:r>
            <w:r w:rsidR="008F7CFD">
              <w:rPr>
                <w:color w:val="auto"/>
                <w:szCs w:val="23"/>
              </w:rPr>
              <w:t xml:space="preserve"> and student characteristics</w:t>
            </w:r>
            <w:r w:rsidR="001A19B0">
              <w:rPr>
                <w:color w:val="auto"/>
                <w:szCs w:val="23"/>
              </w:rPr>
              <w:t xml:space="preserve"> comparing</w:t>
            </w:r>
            <w:r>
              <w:rPr>
                <w:color w:val="auto"/>
                <w:szCs w:val="23"/>
              </w:rPr>
              <w:t xml:space="preserve"> 2018-19 and 2019-20</w:t>
            </w:r>
            <w:r w:rsidR="006B0989">
              <w:rPr>
                <w:color w:val="auto"/>
                <w:szCs w:val="23"/>
              </w:rPr>
              <w:t xml:space="preserve"> (to 30 April 2020)</w:t>
            </w:r>
            <w:r>
              <w:rPr>
                <w:color w:val="auto"/>
                <w:szCs w:val="23"/>
              </w:rPr>
              <w:t xml:space="preserve">. </w:t>
            </w:r>
          </w:p>
          <w:p w14:paraId="63260CBE" w14:textId="77777777" w:rsidR="006A131D" w:rsidRDefault="006A131D" w:rsidP="00905AA2">
            <w:pPr>
              <w:spacing w:after="120" w:line="240" w:lineRule="auto"/>
              <w:jc w:val="left"/>
              <w:rPr>
                <w:color w:val="auto"/>
                <w:szCs w:val="23"/>
              </w:rPr>
            </w:pPr>
            <w:r>
              <w:rPr>
                <w:color w:val="auto"/>
                <w:szCs w:val="23"/>
              </w:rPr>
              <w:t>5.4 Assessment of the uptake of the traineeship opportunities</w:t>
            </w:r>
            <w:r w:rsidR="00610BF4">
              <w:rPr>
                <w:color w:val="auto"/>
                <w:szCs w:val="23"/>
              </w:rPr>
              <w:t>,</w:t>
            </w:r>
            <w:r>
              <w:rPr>
                <w:color w:val="auto"/>
                <w:szCs w:val="23"/>
              </w:rPr>
              <w:t xml:space="preserve"> </w:t>
            </w:r>
            <w:r w:rsidR="008F7CFD">
              <w:rPr>
                <w:color w:val="auto"/>
                <w:szCs w:val="23"/>
              </w:rPr>
              <w:t xml:space="preserve">including fee-free traineeships </w:t>
            </w:r>
            <w:r w:rsidR="00667AD7">
              <w:rPr>
                <w:color w:val="auto"/>
                <w:szCs w:val="23"/>
              </w:rPr>
              <w:t xml:space="preserve">by </w:t>
            </w:r>
            <w:r>
              <w:rPr>
                <w:color w:val="auto"/>
                <w:szCs w:val="23"/>
              </w:rPr>
              <w:t>qualification</w:t>
            </w:r>
            <w:r w:rsidR="00610BF4">
              <w:rPr>
                <w:color w:val="auto"/>
                <w:szCs w:val="23"/>
              </w:rPr>
              <w:t>,</w:t>
            </w:r>
            <w:r w:rsidR="003E031E">
              <w:rPr>
                <w:color w:val="auto"/>
                <w:szCs w:val="23"/>
              </w:rPr>
              <w:t xml:space="preserve"> </w:t>
            </w:r>
            <w:r>
              <w:rPr>
                <w:color w:val="auto"/>
                <w:szCs w:val="23"/>
              </w:rPr>
              <w:t>region</w:t>
            </w:r>
            <w:r w:rsidR="008F7CFD">
              <w:rPr>
                <w:color w:val="auto"/>
                <w:szCs w:val="23"/>
              </w:rPr>
              <w:t>, and student characteristics</w:t>
            </w:r>
            <w:r w:rsidR="00667AD7">
              <w:rPr>
                <w:color w:val="auto"/>
                <w:szCs w:val="23"/>
              </w:rPr>
              <w:t xml:space="preserve"> comparing 2018-19 and 2019-20 (to 30 April 2020).</w:t>
            </w:r>
          </w:p>
          <w:p w14:paraId="45C3C258" w14:textId="77777777" w:rsidR="00B31BEF" w:rsidRPr="00373759" w:rsidRDefault="006A131D" w:rsidP="00905AA2">
            <w:pPr>
              <w:spacing w:after="120" w:line="240" w:lineRule="auto"/>
              <w:jc w:val="left"/>
              <w:rPr>
                <w:color w:val="auto"/>
                <w:szCs w:val="23"/>
              </w:rPr>
            </w:pPr>
            <w:r w:rsidRPr="00FC3512">
              <w:rPr>
                <w:color w:val="auto"/>
                <w:szCs w:val="23"/>
              </w:rPr>
              <w:t xml:space="preserve">5.5 </w:t>
            </w:r>
            <w:r w:rsidR="00B31BEF" w:rsidRPr="00FC3512">
              <w:rPr>
                <w:color w:val="auto"/>
                <w:szCs w:val="23"/>
              </w:rPr>
              <w:t>Delivery</w:t>
            </w:r>
            <w:r w:rsidRPr="00FC3512">
              <w:rPr>
                <w:color w:val="auto"/>
                <w:szCs w:val="23"/>
              </w:rPr>
              <w:t xml:space="preserve"> of the </w:t>
            </w:r>
            <w:r w:rsidR="00C71020">
              <w:rPr>
                <w:color w:val="auto"/>
                <w:szCs w:val="23"/>
              </w:rPr>
              <w:t>New South Wales</w:t>
            </w:r>
            <w:r w:rsidRPr="00FC3512">
              <w:rPr>
                <w:color w:val="auto"/>
                <w:szCs w:val="23"/>
              </w:rPr>
              <w:t xml:space="preserve"> Smart and Skilled Targeted Priorities Pre-Vocational and Part Qualification </w:t>
            </w:r>
            <w:r w:rsidR="008F7CFD">
              <w:rPr>
                <w:color w:val="auto"/>
                <w:szCs w:val="23"/>
              </w:rPr>
              <w:t xml:space="preserve">(TPPPQ) </w:t>
            </w:r>
            <w:r w:rsidRPr="00FC3512">
              <w:rPr>
                <w:color w:val="auto"/>
                <w:szCs w:val="23"/>
              </w:rPr>
              <w:t>program</w:t>
            </w:r>
            <w:r w:rsidR="00B31BEF" w:rsidRPr="00FC3512">
              <w:rPr>
                <w:color w:val="auto"/>
                <w:szCs w:val="23"/>
              </w:rPr>
              <w:t xml:space="preserve"> to support opportunities for students to </w:t>
            </w:r>
            <w:r w:rsidR="00FC3512" w:rsidRPr="00FC3512">
              <w:rPr>
                <w:color w:val="auto"/>
                <w:szCs w:val="23"/>
              </w:rPr>
              <w:t>undertake pre-apprenticeships and pre-traineeships</w:t>
            </w:r>
            <w:r w:rsidR="00B31BEF" w:rsidRPr="00FC3512">
              <w:rPr>
                <w:color w:val="auto"/>
                <w:szCs w:val="23"/>
              </w:rPr>
              <w:t>.</w:t>
            </w:r>
            <w:r w:rsidR="008F7CFD">
              <w:rPr>
                <w:color w:val="auto"/>
                <w:szCs w:val="23"/>
              </w:rPr>
              <w:t xml:space="preserve"> </w:t>
            </w:r>
            <w:r w:rsidR="00FA6ADB" w:rsidRPr="00343869">
              <w:rPr>
                <w:color w:val="auto"/>
                <w:szCs w:val="23"/>
              </w:rPr>
              <w:t>The milestone report will</w:t>
            </w:r>
            <w:r w:rsidR="008F7CFD" w:rsidRPr="00343869">
              <w:rPr>
                <w:color w:val="auto"/>
                <w:szCs w:val="23"/>
              </w:rPr>
              <w:t xml:space="preserve"> include the role of the TPPPQ in addressing skills needs and supporting the </w:t>
            </w:r>
            <w:r w:rsidR="00082CB0" w:rsidRPr="00343869">
              <w:rPr>
                <w:color w:val="auto"/>
                <w:szCs w:val="23"/>
              </w:rPr>
              <w:t xml:space="preserve">apprenticeship and traineeship </w:t>
            </w:r>
            <w:r w:rsidR="008F7CFD" w:rsidRPr="00343869">
              <w:rPr>
                <w:color w:val="auto"/>
                <w:szCs w:val="23"/>
              </w:rPr>
              <w:t xml:space="preserve">system in </w:t>
            </w:r>
            <w:r w:rsidR="00C71020" w:rsidRPr="00343869">
              <w:rPr>
                <w:color w:val="auto"/>
                <w:szCs w:val="23"/>
              </w:rPr>
              <w:t>New South Wales</w:t>
            </w:r>
            <w:r w:rsidR="008F7CFD" w:rsidRPr="00343869">
              <w:rPr>
                <w:color w:val="auto"/>
                <w:szCs w:val="23"/>
              </w:rPr>
              <w:t>.</w:t>
            </w:r>
          </w:p>
          <w:p w14:paraId="02038456" w14:textId="77777777" w:rsidR="00667AD7" w:rsidRDefault="00667AD7" w:rsidP="00905AA2">
            <w:pPr>
              <w:spacing w:after="120" w:line="240" w:lineRule="auto"/>
              <w:jc w:val="left"/>
              <w:rPr>
                <w:color w:val="auto"/>
                <w:szCs w:val="23"/>
              </w:rPr>
            </w:pPr>
            <w:r w:rsidRPr="00373759">
              <w:rPr>
                <w:color w:val="auto"/>
                <w:szCs w:val="23"/>
              </w:rPr>
              <w:t xml:space="preserve">5.6 </w:t>
            </w:r>
            <w:r w:rsidR="00A113A4" w:rsidRPr="00373759">
              <w:rPr>
                <w:color w:val="auto"/>
                <w:szCs w:val="23"/>
              </w:rPr>
              <w:t>Design</w:t>
            </w:r>
            <w:r w:rsidRPr="00373759">
              <w:rPr>
                <w:color w:val="auto"/>
                <w:szCs w:val="23"/>
              </w:rPr>
              <w:t xml:space="preserve"> and implementation of the trainer/assessor </w:t>
            </w:r>
            <w:r w:rsidR="00A113A4" w:rsidRPr="00373759">
              <w:rPr>
                <w:color w:val="auto"/>
                <w:szCs w:val="23"/>
              </w:rPr>
              <w:t>capability</w:t>
            </w:r>
            <w:r w:rsidRPr="00373759">
              <w:rPr>
                <w:color w:val="auto"/>
                <w:szCs w:val="23"/>
              </w:rPr>
              <w:t xml:space="preserve"> project in </w:t>
            </w:r>
            <w:r w:rsidR="00A630F3">
              <w:rPr>
                <w:color w:val="auto"/>
                <w:szCs w:val="23"/>
              </w:rPr>
              <w:t>regional NSW</w:t>
            </w:r>
            <w:r w:rsidRPr="00373759">
              <w:rPr>
                <w:color w:val="auto"/>
                <w:szCs w:val="23"/>
              </w:rPr>
              <w:t xml:space="preserve"> which aims to train </w:t>
            </w:r>
            <w:r w:rsidR="00082CB0" w:rsidRPr="00373759">
              <w:rPr>
                <w:color w:val="auto"/>
                <w:szCs w:val="23"/>
              </w:rPr>
              <w:t>apprenticeship and traineeship</w:t>
            </w:r>
            <w:r w:rsidRPr="00373759">
              <w:rPr>
                <w:color w:val="auto"/>
                <w:szCs w:val="23"/>
              </w:rPr>
              <w:t xml:space="preserve"> instructors in priority areas to address a shortage of qualified trainers/assessors. T</w:t>
            </w:r>
            <w:r w:rsidR="00A113A4" w:rsidRPr="00373759">
              <w:rPr>
                <w:color w:val="auto"/>
                <w:szCs w:val="23"/>
              </w:rPr>
              <w:t>his includes research leading to identification of priority areas, partnerships with TAFE NSW and industry to implement the project and next steps.</w:t>
            </w:r>
          </w:p>
          <w:p w14:paraId="5BF88CF7" w14:textId="77777777" w:rsidR="004A3710" w:rsidRDefault="004A3710" w:rsidP="00905AA2">
            <w:pPr>
              <w:pStyle w:val="Heading1"/>
              <w:spacing w:before="0" w:after="120"/>
              <w:rPr>
                <w:rFonts w:ascii="Corbel" w:hAnsi="Corbel"/>
                <w:caps w:val="0"/>
                <w:color w:val="000000" w:themeColor="text1"/>
                <w:sz w:val="23"/>
                <w:szCs w:val="23"/>
              </w:rPr>
            </w:pPr>
            <w:r>
              <w:rPr>
                <w:rFonts w:ascii="Corbel" w:hAnsi="Corbel"/>
                <w:caps w:val="0"/>
                <w:color w:val="000000" w:themeColor="text1"/>
                <w:sz w:val="23"/>
                <w:szCs w:val="23"/>
              </w:rPr>
              <w:t>5.7 Delivery of the Infrastructure Skills Legacy program with</w:t>
            </w:r>
            <w:r w:rsidR="00375B20">
              <w:rPr>
                <w:rFonts w:ascii="Corbel" w:hAnsi="Corbel"/>
                <w:caps w:val="0"/>
                <w:color w:val="000000" w:themeColor="text1"/>
                <w:sz w:val="23"/>
                <w:szCs w:val="23"/>
              </w:rPr>
              <w:t xml:space="preserve"> 9 projects</w:t>
            </w:r>
            <w:r>
              <w:rPr>
                <w:rFonts w:ascii="Corbel" w:hAnsi="Corbel"/>
                <w:caps w:val="0"/>
                <w:color w:val="000000" w:themeColor="text1"/>
                <w:sz w:val="23"/>
                <w:szCs w:val="23"/>
              </w:rPr>
              <w:t xml:space="preserve"> </w:t>
            </w:r>
            <w:r w:rsidR="000554F2">
              <w:rPr>
                <w:rFonts w:ascii="Corbel" w:hAnsi="Corbel"/>
                <w:caps w:val="0"/>
                <w:color w:val="000000" w:themeColor="text1"/>
                <w:sz w:val="23"/>
                <w:szCs w:val="23"/>
              </w:rPr>
              <w:t xml:space="preserve">negotiated </w:t>
            </w:r>
            <w:r>
              <w:rPr>
                <w:rFonts w:ascii="Corbel" w:hAnsi="Corbel"/>
                <w:caps w:val="0"/>
                <w:color w:val="000000" w:themeColor="text1"/>
                <w:sz w:val="23"/>
                <w:szCs w:val="23"/>
              </w:rPr>
              <w:t xml:space="preserve">in 2018-19 and </w:t>
            </w:r>
            <w:r w:rsidR="00375B20">
              <w:rPr>
                <w:rFonts w:ascii="Corbel" w:hAnsi="Corbel"/>
                <w:caps w:val="0"/>
                <w:color w:val="000000" w:themeColor="text1"/>
                <w:sz w:val="23"/>
                <w:szCs w:val="23"/>
              </w:rPr>
              <w:t>5</w:t>
            </w:r>
            <w:r w:rsidR="006B0989">
              <w:rPr>
                <w:rFonts w:ascii="Corbel" w:hAnsi="Corbel"/>
                <w:caps w:val="0"/>
                <w:color w:val="000000" w:themeColor="text1"/>
                <w:sz w:val="23"/>
                <w:szCs w:val="23"/>
              </w:rPr>
              <w:t xml:space="preserve"> </w:t>
            </w:r>
            <w:r w:rsidR="006674CA">
              <w:rPr>
                <w:rFonts w:ascii="Corbel" w:hAnsi="Corbel"/>
                <w:caps w:val="0"/>
                <w:color w:val="000000" w:themeColor="text1"/>
                <w:sz w:val="23"/>
                <w:szCs w:val="23"/>
              </w:rPr>
              <w:t xml:space="preserve">newly negotiated </w:t>
            </w:r>
            <w:r>
              <w:rPr>
                <w:rFonts w:ascii="Corbel" w:hAnsi="Corbel"/>
                <w:caps w:val="0"/>
                <w:color w:val="000000" w:themeColor="text1"/>
                <w:sz w:val="23"/>
                <w:szCs w:val="23"/>
              </w:rPr>
              <w:t>in 2019-20</w:t>
            </w:r>
            <w:r w:rsidR="007C3B9B">
              <w:rPr>
                <w:rFonts w:ascii="Corbel" w:hAnsi="Corbel"/>
                <w:caps w:val="0"/>
                <w:color w:val="000000" w:themeColor="text1"/>
                <w:sz w:val="23"/>
                <w:szCs w:val="23"/>
              </w:rPr>
              <w:t xml:space="preserve"> for </w:t>
            </w:r>
            <w:r w:rsidR="00375B20">
              <w:rPr>
                <w:rFonts w:ascii="Corbel" w:hAnsi="Corbel"/>
                <w:caps w:val="0"/>
                <w:color w:val="000000" w:themeColor="text1"/>
                <w:sz w:val="23"/>
                <w:szCs w:val="23"/>
              </w:rPr>
              <w:t xml:space="preserve">government infrastructure </w:t>
            </w:r>
            <w:r w:rsidR="007C3B9B">
              <w:rPr>
                <w:rFonts w:ascii="Corbel" w:hAnsi="Corbel"/>
                <w:caps w:val="0"/>
                <w:color w:val="000000" w:themeColor="text1"/>
                <w:sz w:val="23"/>
                <w:szCs w:val="23"/>
              </w:rPr>
              <w:t>projects</w:t>
            </w:r>
            <w:r>
              <w:rPr>
                <w:rFonts w:ascii="Corbel" w:hAnsi="Corbel"/>
                <w:caps w:val="0"/>
                <w:color w:val="000000" w:themeColor="text1"/>
                <w:sz w:val="23"/>
                <w:szCs w:val="23"/>
              </w:rPr>
              <w:t xml:space="preserve">, including industry engagement to ensure </w:t>
            </w:r>
            <w:r w:rsidR="00A113A4">
              <w:rPr>
                <w:rFonts w:ascii="Corbel" w:hAnsi="Corbel"/>
                <w:caps w:val="0"/>
                <w:color w:val="000000" w:themeColor="text1"/>
                <w:sz w:val="23"/>
                <w:szCs w:val="23"/>
              </w:rPr>
              <w:t xml:space="preserve">the </w:t>
            </w:r>
            <w:r>
              <w:rPr>
                <w:rFonts w:ascii="Corbel" w:hAnsi="Corbel"/>
                <w:caps w:val="0"/>
                <w:color w:val="000000" w:themeColor="text1"/>
                <w:sz w:val="23"/>
                <w:szCs w:val="23"/>
              </w:rPr>
              <w:t xml:space="preserve">program continues to meet </w:t>
            </w:r>
            <w:r w:rsidR="00453534">
              <w:rPr>
                <w:rFonts w:ascii="Corbel" w:hAnsi="Corbel"/>
                <w:caps w:val="0"/>
                <w:color w:val="000000" w:themeColor="text1"/>
                <w:sz w:val="23"/>
                <w:szCs w:val="23"/>
              </w:rPr>
              <w:t>the needs of participants and employers</w:t>
            </w:r>
            <w:r>
              <w:rPr>
                <w:rFonts w:ascii="Corbel" w:hAnsi="Corbel"/>
                <w:caps w:val="0"/>
                <w:color w:val="000000" w:themeColor="text1"/>
                <w:sz w:val="23"/>
                <w:szCs w:val="23"/>
              </w:rPr>
              <w:t>.</w:t>
            </w:r>
          </w:p>
          <w:p w14:paraId="0DEBCF12" w14:textId="77777777" w:rsidR="004A3710" w:rsidRDefault="004A3710" w:rsidP="00905AA2">
            <w:pPr>
              <w:pStyle w:val="Heading1"/>
              <w:spacing w:before="0" w:after="120"/>
              <w:rPr>
                <w:rFonts w:ascii="Corbel" w:hAnsi="Corbel"/>
                <w:caps w:val="0"/>
                <w:color w:val="000000" w:themeColor="text1"/>
                <w:sz w:val="23"/>
                <w:szCs w:val="23"/>
              </w:rPr>
            </w:pPr>
            <w:r>
              <w:rPr>
                <w:rFonts w:ascii="Corbel" w:hAnsi="Corbel"/>
                <w:caps w:val="0"/>
                <w:color w:val="000000" w:themeColor="text1"/>
                <w:sz w:val="23"/>
                <w:szCs w:val="23"/>
              </w:rPr>
              <w:t xml:space="preserve">5.8 Assessment of the uptake in 2019-20 </w:t>
            </w:r>
            <w:r w:rsidR="006B0989">
              <w:rPr>
                <w:rFonts w:ascii="Corbel" w:hAnsi="Corbel"/>
                <w:caps w:val="0"/>
                <w:color w:val="000000" w:themeColor="text1"/>
                <w:sz w:val="23"/>
                <w:szCs w:val="23"/>
              </w:rPr>
              <w:t xml:space="preserve">(to 30 April 2020) </w:t>
            </w:r>
            <w:r>
              <w:rPr>
                <w:rFonts w:ascii="Corbel" w:hAnsi="Corbel"/>
                <w:caps w:val="0"/>
                <w:color w:val="000000" w:themeColor="text1"/>
                <w:sz w:val="23"/>
                <w:szCs w:val="23"/>
              </w:rPr>
              <w:t xml:space="preserve">of the Infrastructure Skills Legacy </w:t>
            </w:r>
            <w:r w:rsidR="00375B20">
              <w:rPr>
                <w:rFonts w:ascii="Corbel" w:hAnsi="Corbel"/>
                <w:caps w:val="0"/>
                <w:color w:val="000000" w:themeColor="text1"/>
                <w:sz w:val="23"/>
                <w:szCs w:val="23"/>
              </w:rPr>
              <w:t>P</w:t>
            </w:r>
            <w:r>
              <w:rPr>
                <w:rFonts w:ascii="Corbel" w:hAnsi="Corbel"/>
                <w:caps w:val="0"/>
                <w:color w:val="000000" w:themeColor="text1"/>
                <w:sz w:val="23"/>
                <w:szCs w:val="23"/>
              </w:rPr>
              <w:t>rogram</w:t>
            </w:r>
            <w:r w:rsidR="00343869">
              <w:rPr>
                <w:rFonts w:ascii="Corbel" w:hAnsi="Corbel"/>
                <w:caps w:val="0"/>
                <w:color w:val="000000" w:themeColor="text1"/>
                <w:sz w:val="23"/>
                <w:szCs w:val="23"/>
              </w:rPr>
              <w:t>,</w:t>
            </w:r>
            <w:r w:rsidR="00905AA2">
              <w:rPr>
                <w:rFonts w:ascii="Corbel" w:hAnsi="Corbel"/>
                <w:caps w:val="0"/>
                <w:color w:val="000000" w:themeColor="text1"/>
                <w:sz w:val="23"/>
                <w:szCs w:val="23"/>
              </w:rPr>
              <w:t xml:space="preserve"> </w:t>
            </w:r>
            <w:r w:rsidR="00A113A4">
              <w:rPr>
                <w:rFonts w:ascii="Corbel" w:hAnsi="Corbel"/>
                <w:caps w:val="0"/>
                <w:color w:val="000000" w:themeColor="text1"/>
                <w:sz w:val="23"/>
                <w:szCs w:val="23"/>
              </w:rPr>
              <w:t>including performance against diversity targets</w:t>
            </w:r>
            <w:r w:rsidR="003E031E">
              <w:rPr>
                <w:rFonts w:ascii="Corbel" w:hAnsi="Corbel"/>
                <w:caps w:val="0"/>
                <w:color w:val="000000" w:themeColor="text1"/>
                <w:sz w:val="23"/>
                <w:szCs w:val="23"/>
              </w:rPr>
              <w:t>.</w:t>
            </w:r>
          </w:p>
          <w:p w14:paraId="2A738F93" w14:textId="77777777" w:rsidR="006A131D" w:rsidRDefault="00AA74F0" w:rsidP="00905AA2">
            <w:pPr>
              <w:pStyle w:val="Heading1"/>
              <w:spacing w:before="0" w:after="120"/>
              <w:rPr>
                <w:rFonts w:ascii="Corbel" w:hAnsi="Corbel"/>
                <w:caps w:val="0"/>
                <w:color w:val="000000" w:themeColor="text1"/>
                <w:sz w:val="23"/>
                <w:szCs w:val="23"/>
              </w:rPr>
            </w:pPr>
            <w:r w:rsidRPr="007155A4">
              <w:rPr>
                <w:rFonts w:ascii="Corbel" w:hAnsi="Corbel"/>
                <w:caps w:val="0"/>
                <w:color w:val="000000" w:themeColor="text1"/>
                <w:sz w:val="23"/>
                <w:szCs w:val="23"/>
              </w:rPr>
              <w:t>5.9 Development and implement</w:t>
            </w:r>
            <w:r w:rsidR="00FC3512" w:rsidRPr="007155A4">
              <w:rPr>
                <w:rFonts w:ascii="Corbel" w:hAnsi="Corbel"/>
                <w:caps w:val="0"/>
                <w:color w:val="000000" w:themeColor="text1"/>
                <w:sz w:val="23"/>
                <w:szCs w:val="23"/>
              </w:rPr>
              <w:t>ation of</w:t>
            </w:r>
            <w:r w:rsidRPr="007155A4">
              <w:rPr>
                <w:rFonts w:ascii="Corbel" w:hAnsi="Corbel"/>
                <w:caps w:val="0"/>
                <w:color w:val="000000" w:themeColor="text1"/>
                <w:sz w:val="23"/>
                <w:szCs w:val="23"/>
              </w:rPr>
              <w:t xml:space="preserve"> </w:t>
            </w:r>
            <w:r w:rsidR="00920272" w:rsidRPr="007155A4">
              <w:rPr>
                <w:rFonts w:ascii="Corbel" w:hAnsi="Corbel"/>
                <w:caps w:val="0"/>
                <w:color w:val="000000" w:themeColor="text1"/>
                <w:sz w:val="23"/>
                <w:szCs w:val="23"/>
              </w:rPr>
              <w:t>initiatives on apprenticeship recruitment and completion incentives</w:t>
            </w:r>
            <w:r w:rsidRPr="007155A4">
              <w:rPr>
                <w:rFonts w:ascii="Corbel" w:hAnsi="Corbel"/>
                <w:caps w:val="0"/>
                <w:color w:val="000000" w:themeColor="text1"/>
                <w:sz w:val="23"/>
                <w:szCs w:val="23"/>
              </w:rPr>
              <w:t xml:space="preserve">, </w:t>
            </w:r>
            <w:r w:rsidR="00453534" w:rsidRPr="007155A4">
              <w:rPr>
                <w:rFonts w:ascii="Corbel" w:hAnsi="Corbel"/>
                <w:caps w:val="0"/>
                <w:color w:val="000000" w:themeColor="text1"/>
                <w:sz w:val="23"/>
                <w:szCs w:val="23"/>
              </w:rPr>
              <w:t xml:space="preserve">including </w:t>
            </w:r>
            <w:r w:rsidRPr="007155A4">
              <w:rPr>
                <w:rFonts w:ascii="Corbel" w:hAnsi="Corbel"/>
                <w:caps w:val="0"/>
                <w:color w:val="000000" w:themeColor="text1"/>
                <w:sz w:val="23"/>
                <w:szCs w:val="23"/>
              </w:rPr>
              <w:t xml:space="preserve">consultation with existing organisations and employers, </w:t>
            </w:r>
            <w:r w:rsidR="00453534" w:rsidRPr="007155A4">
              <w:rPr>
                <w:rFonts w:ascii="Corbel" w:hAnsi="Corbel"/>
                <w:caps w:val="0"/>
                <w:color w:val="000000" w:themeColor="text1"/>
                <w:sz w:val="23"/>
                <w:szCs w:val="23"/>
              </w:rPr>
              <w:t>with the aim of</w:t>
            </w:r>
            <w:r w:rsidRPr="007155A4">
              <w:rPr>
                <w:rFonts w:ascii="Corbel" w:hAnsi="Corbel"/>
                <w:caps w:val="0"/>
                <w:color w:val="000000" w:themeColor="text1"/>
                <w:sz w:val="23"/>
                <w:szCs w:val="23"/>
              </w:rPr>
              <w:t xml:space="preserve"> increas</w:t>
            </w:r>
            <w:r w:rsidR="00453534" w:rsidRPr="007155A4">
              <w:rPr>
                <w:rFonts w:ascii="Corbel" w:hAnsi="Corbel"/>
                <w:caps w:val="0"/>
                <w:color w:val="000000" w:themeColor="text1"/>
                <w:sz w:val="23"/>
                <w:szCs w:val="23"/>
              </w:rPr>
              <w:t>ing</w:t>
            </w:r>
            <w:r w:rsidRPr="007155A4">
              <w:rPr>
                <w:rFonts w:ascii="Corbel" w:hAnsi="Corbel"/>
                <w:caps w:val="0"/>
                <w:color w:val="000000" w:themeColor="text1"/>
                <w:sz w:val="23"/>
                <w:szCs w:val="23"/>
              </w:rPr>
              <w:t xml:space="preserve"> </w:t>
            </w:r>
            <w:r w:rsidR="00FC3512" w:rsidRPr="007155A4">
              <w:rPr>
                <w:rFonts w:ascii="Corbel" w:hAnsi="Corbel"/>
                <w:caps w:val="0"/>
                <w:color w:val="000000" w:themeColor="text1"/>
                <w:sz w:val="23"/>
                <w:szCs w:val="23"/>
              </w:rPr>
              <w:t>a</w:t>
            </w:r>
            <w:r w:rsidR="000A4C00" w:rsidRPr="007155A4">
              <w:rPr>
                <w:rFonts w:ascii="Corbel" w:hAnsi="Corbel"/>
                <w:caps w:val="0"/>
                <w:color w:val="000000" w:themeColor="text1"/>
                <w:sz w:val="23"/>
                <w:szCs w:val="23"/>
              </w:rPr>
              <w:t>pprenticeship</w:t>
            </w:r>
            <w:r w:rsidR="00FC3512" w:rsidRPr="007155A4">
              <w:rPr>
                <w:rFonts w:ascii="Corbel" w:hAnsi="Corbel"/>
                <w:caps w:val="0"/>
                <w:color w:val="000000" w:themeColor="text1"/>
                <w:sz w:val="23"/>
                <w:szCs w:val="23"/>
              </w:rPr>
              <w:t xml:space="preserve"> commencement and completion</w:t>
            </w:r>
            <w:r w:rsidR="00FA6ADB" w:rsidRPr="007155A4">
              <w:rPr>
                <w:rFonts w:ascii="Corbel" w:hAnsi="Corbel"/>
                <w:caps w:val="0"/>
                <w:color w:val="000000" w:themeColor="text1"/>
                <w:sz w:val="23"/>
                <w:szCs w:val="23"/>
              </w:rPr>
              <w:t>. The milestone report will</w:t>
            </w:r>
            <w:r w:rsidR="00A113A4" w:rsidRPr="007155A4">
              <w:rPr>
                <w:rFonts w:ascii="Corbel" w:hAnsi="Corbel"/>
                <w:caps w:val="0"/>
                <w:color w:val="000000" w:themeColor="text1"/>
                <w:sz w:val="23"/>
                <w:szCs w:val="23"/>
              </w:rPr>
              <w:t xml:space="preserve"> </w:t>
            </w:r>
            <w:r w:rsidR="00610BF4" w:rsidRPr="007155A4">
              <w:rPr>
                <w:rFonts w:ascii="Corbel" w:hAnsi="Corbel"/>
                <w:caps w:val="0"/>
                <w:color w:val="000000" w:themeColor="text1"/>
                <w:sz w:val="23"/>
                <w:szCs w:val="23"/>
              </w:rPr>
              <w:t xml:space="preserve">also </w:t>
            </w:r>
            <w:r w:rsidR="00A113A4" w:rsidRPr="007155A4">
              <w:rPr>
                <w:rFonts w:ascii="Corbel" w:hAnsi="Corbel"/>
                <w:caps w:val="0"/>
                <w:color w:val="000000" w:themeColor="text1"/>
                <w:sz w:val="23"/>
                <w:szCs w:val="23"/>
              </w:rPr>
              <w:t xml:space="preserve">include </w:t>
            </w:r>
            <w:r w:rsidR="00920272" w:rsidRPr="007155A4">
              <w:rPr>
                <w:rFonts w:ascii="Corbel" w:hAnsi="Corbel"/>
                <w:caps w:val="0"/>
                <w:color w:val="000000" w:themeColor="text1"/>
                <w:sz w:val="23"/>
                <w:szCs w:val="23"/>
              </w:rPr>
              <w:t>how students are supported</w:t>
            </w:r>
            <w:r w:rsidR="00A113A4" w:rsidRPr="007155A4">
              <w:rPr>
                <w:rFonts w:ascii="Corbel" w:hAnsi="Corbel"/>
                <w:caps w:val="0"/>
                <w:color w:val="000000" w:themeColor="text1"/>
                <w:sz w:val="23"/>
                <w:szCs w:val="23"/>
              </w:rPr>
              <w:t xml:space="preserve"> in the transition from pre-</w:t>
            </w:r>
            <w:r w:rsidR="00082CB0" w:rsidRPr="007155A4">
              <w:rPr>
                <w:rFonts w:ascii="Corbel" w:hAnsi="Corbel"/>
                <w:caps w:val="0"/>
                <w:color w:val="000000" w:themeColor="text1"/>
                <w:sz w:val="23"/>
                <w:szCs w:val="23"/>
              </w:rPr>
              <w:t xml:space="preserve">apprenticeships and traineeships </w:t>
            </w:r>
            <w:r w:rsidR="00A113A4" w:rsidRPr="007155A4">
              <w:rPr>
                <w:rFonts w:ascii="Corbel" w:hAnsi="Corbel"/>
                <w:caps w:val="0"/>
                <w:color w:val="000000" w:themeColor="text1"/>
                <w:sz w:val="23"/>
                <w:szCs w:val="23"/>
              </w:rPr>
              <w:t xml:space="preserve">to full </w:t>
            </w:r>
            <w:r w:rsidR="00082CB0" w:rsidRPr="007155A4">
              <w:rPr>
                <w:rFonts w:ascii="Corbel" w:hAnsi="Corbel"/>
                <w:caps w:val="0"/>
                <w:color w:val="000000" w:themeColor="text1"/>
                <w:sz w:val="23"/>
                <w:szCs w:val="23"/>
              </w:rPr>
              <w:t>apprenticeships and traineeships</w:t>
            </w:r>
            <w:r w:rsidR="00A113A4" w:rsidRPr="007155A4">
              <w:rPr>
                <w:rFonts w:ascii="Corbel" w:hAnsi="Corbel"/>
                <w:caps w:val="0"/>
                <w:color w:val="000000" w:themeColor="text1"/>
                <w:sz w:val="23"/>
                <w:szCs w:val="23"/>
              </w:rPr>
              <w:t>.</w:t>
            </w:r>
          </w:p>
          <w:p w14:paraId="2E57D06C" w14:textId="77777777" w:rsidR="00AA74F0" w:rsidRDefault="00AA74F0" w:rsidP="00013B31">
            <w:pPr>
              <w:spacing w:after="120" w:line="240" w:lineRule="auto"/>
              <w:jc w:val="left"/>
            </w:pPr>
            <w:r>
              <w:t>5.10 Pilot a series of projects to support the uptake and completion of apprenticeships</w:t>
            </w:r>
            <w:r w:rsidR="00373759">
              <w:t xml:space="preserve"> and traineeships</w:t>
            </w:r>
            <w:r>
              <w:t>, including school based apprentices</w:t>
            </w:r>
            <w:r w:rsidR="001770E3">
              <w:t>hips</w:t>
            </w:r>
            <w:r w:rsidR="00BE2C6C">
              <w:t xml:space="preserve"> and traineeships</w:t>
            </w:r>
            <w:r>
              <w:t>:</w:t>
            </w:r>
          </w:p>
          <w:p w14:paraId="79E386CA" w14:textId="77777777" w:rsidR="00AA74F0" w:rsidRDefault="00AA74F0" w:rsidP="00905AA2">
            <w:pPr>
              <w:pStyle w:val="ListParagraph"/>
              <w:numPr>
                <w:ilvl w:val="0"/>
                <w:numId w:val="12"/>
              </w:numPr>
              <w:spacing w:after="120" w:line="240" w:lineRule="auto"/>
              <w:jc w:val="left"/>
            </w:pPr>
            <w:r w:rsidRPr="008B10F0">
              <w:rPr>
                <w:color w:val="auto"/>
                <w:szCs w:val="23"/>
              </w:rPr>
              <w:t xml:space="preserve">a </w:t>
            </w:r>
            <w:r>
              <w:t>Behavioural</w:t>
            </w:r>
            <w:r w:rsidR="003F220B">
              <w:t xml:space="preserve"> </w:t>
            </w:r>
            <w:r>
              <w:t>trial, targeting first year apprentices</w:t>
            </w:r>
            <w:r w:rsidR="00452FF2">
              <w:t xml:space="preserve"> that involves </w:t>
            </w:r>
            <w:r w:rsidR="00120FEF">
              <w:t xml:space="preserve">targeted communication and engagement </w:t>
            </w:r>
            <w:r w:rsidR="00FD1FE7">
              <w:t xml:space="preserve">through text messages </w:t>
            </w:r>
            <w:r w:rsidR="00120FEF">
              <w:t>to support their retention and completion</w:t>
            </w:r>
            <w:r>
              <w:t xml:space="preserve"> </w:t>
            </w:r>
          </w:p>
          <w:p w14:paraId="28B6DF22" w14:textId="77777777" w:rsidR="006A131D" w:rsidRDefault="00AA74F0" w:rsidP="00905AA2">
            <w:pPr>
              <w:pStyle w:val="ListParagraph"/>
              <w:numPr>
                <w:ilvl w:val="0"/>
                <w:numId w:val="12"/>
              </w:numPr>
              <w:spacing w:after="120" w:line="240" w:lineRule="auto"/>
              <w:jc w:val="left"/>
            </w:pPr>
            <w:r>
              <w:t xml:space="preserve">projects in South West Sydney and North Coast </w:t>
            </w:r>
            <w:r w:rsidR="00C71020">
              <w:t>New South Wales</w:t>
            </w:r>
            <w:r>
              <w:t xml:space="preserve"> </w:t>
            </w:r>
            <w:r w:rsidR="00387357">
              <w:t xml:space="preserve">to increase </w:t>
            </w:r>
            <w:r>
              <w:t>apprenticeships and traineeships</w:t>
            </w:r>
            <w:r w:rsidR="001770E3">
              <w:t xml:space="preserve"> </w:t>
            </w:r>
            <w:r w:rsidR="009261FA">
              <w:t>commencements</w:t>
            </w:r>
            <w:r w:rsidR="0004561F">
              <w:t>, based on research to identify barriers to the take up of school based apprenticeships and traineeships</w:t>
            </w:r>
            <w:r w:rsidR="009261FA">
              <w:t xml:space="preserve"> </w:t>
            </w:r>
            <w:r w:rsidR="001770E3">
              <w:t xml:space="preserve">– this </w:t>
            </w:r>
            <w:r>
              <w:t>involve</w:t>
            </w:r>
            <w:r w:rsidR="00452FF2">
              <w:t>s</w:t>
            </w:r>
            <w:r>
              <w:t xml:space="preserve"> stakeholder consultation, </w:t>
            </w:r>
            <w:r w:rsidR="001770E3">
              <w:t>communication activities</w:t>
            </w:r>
            <w:r w:rsidR="00ED352D">
              <w:t>,</w:t>
            </w:r>
            <w:r w:rsidR="00A43F22">
              <w:t xml:space="preserve"> </w:t>
            </w:r>
            <w:r w:rsidR="001770E3">
              <w:t>design</w:t>
            </w:r>
            <w:r w:rsidR="00ED352D">
              <w:t>,</w:t>
            </w:r>
            <w:r w:rsidR="001770E3">
              <w:t xml:space="preserve"> implementation and next steps </w:t>
            </w:r>
            <w:r>
              <w:t>including scale up and/or continuation of the project into subsequent financial years.</w:t>
            </w:r>
          </w:p>
          <w:p w14:paraId="0A9AD6A0" w14:textId="77777777" w:rsidR="00452FF2" w:rsidRDefault="00452FF2" w:rsidP="00905AA2">
            <w:pPr>
              <w:spacing w:after="120" w:line="240" w:lineRule="auto"/>
              <w:jc w:val="left"/>
            </w:pPr>
            <w:r>
              <w:t xml:space="preserve">5.11 </w:t>
            </w:r>
            <w:r w:rsidR="006D3678">
              <w:t>Consult with</w:t>
            </w:r>
            <w:r>
              <w:t xml:space="preserve"> </w:t>
            </w:r>
            <w:r w:rsidR="006D3678">
              <w:t>P</w:t>
            </w:r>
            <w:r>
              <w:t xml:space="preserve">roductivity </w:t>
            </w:r>
            <w:r w:rsidR="006D3678">
              <w:t>B</w:t>
            </w:r>
            <w:r>
              <w:t>oot</w:t>
            </w:r>
            <w:r w:rsidR="00ED352D">
              <w:t>c</w:t>
            </w:r>
            <w:r>
              <w:t>amp</w:t>
            </w:r>
            <w:r w:rsidR="00ED352D">
              <w:t xml:space="preserve"> </w:t>
            </w:r>
            <w:r>
              <w:t xml:space="preserve">to </w:t>
            </w:r>
            <w:r w:rsidR="006D3678">
              <w:t>establish two new boot</w:t>
            </w:r>
            <w:r w:rsidR="00ED352D">
              <w:t xml:space="preserve"> </w:t>
            </w:r>
            <w:r w:rsidR="006D3678">
              <w:t xml:space="preserve">camps – one </w:t>
            </w:r>
            <w:r w:rsidR="006674CA">
              <w:t>in S</w:t>
            </w:r>
            <w:r w:rsidR="006D3678">
              <w:t>outh</w:t>
            </w:r>
            <w:r w:rsidR="00B37810">
              <w:t xml:space="preserve"> W</w:t>
            </w:r>
            <w:r w:rsidR="006D3678">
              <w:t xml:space="preserve">estern Sydney and one in the South Coast. This will </w:t>
            </w:r>
            <w:r>
              <w:t xml:space="preserve">help young people secure a career in the construction industry. </w:t>
            </w:r>
          </w:p>
          <w:p w14:paraId="71285F3C" w14:textId="77777777" w:rsidR="00EB0217" w:rsidRPr="00452FF2" w:rsidRDefault="00EB0217" w:rsidP="003F65F2">
            <w:pPr>
              <w:spacing w:after="120" w:line="240" w:lineRule="auto"/>
              <w:jc w:val="left"/>
            </w:pPr>
          </w:p>
        </w:tc>
        <w:tc>
          <w:tcPr>
            <w:tcW w:w="1559" w:type="dxa"/>
            <w:tcBorders>
              <w:top w:val="single" w:sz="8" w:space="0" w:color="4F81BD"/>
              <w:left w:val="single" w:sz="8" w:space="0" w:color="4F81BD"/>
              <w:bottom w:val="single" w:sz="4" w:space="0" w:color="4F81BD"/>
              <w:right w:val="single" w:sz="8" w:space="0" w:color="4F81BD"/>
            </w:tcBorders>
          </w:tcPr>
          <w:p w14:paraId="34DA79F5" w14:textId="77777777" w:rsidR="001E0D7D" w:rsidRDefault="002F2BEB" w:rsidP="001A19B0">
            <w:pPr>
              <w:spacing w:after="0" w:line="240" w:lineRule="auto"/>
              <w:jc w:val="right"/>
            </w:pPr>
            <w:r>
              <w:t xml:space="preserve">30 April 2020 </w:t>
            </w:r>
          </w:p>
          <w:p w14:paraId="3C857AE7" w14:textId="77777777" w:rsidR="00CF1F1C" w:rsidRDefault="00CF1F1C" w:rsidP="001A19B0">
            <w:pPr>
              <w:spacing w:after="0" w:line="240" w:lineRule="auto"/>
              <w:jc w:val="right"/>
            </w:pPr>
          </w:p>
        </w:tc>
        <w:tc>
          <w:tcPr>
            <w:tcW w:w="1535" w:type="dxa"/>
            <w:tcBorders>
              <w:top w:val="single" w:sz="8" w:space="0" w:color="4F81BD"/>
              <w:left w:val="single" w:sz="8" w:space="0" w:color="4F81BD"/>
              <w:bottom w:val="single" w:sz="4" w:space="0" w:color="4F81BD"/>
              <w:right w:val="single" w:sz="8" w:space="0" w:color="4F81BD"/>
            </w:tcBorders>
          </w:tcPr>
          <w:p w14:paraId="67C8D405" w14:textId="77777777" w:rsidR="00B41711" w:rsidRPr="00082CB0" w:rsidRDefault="00CF75BC" w:rsidP="001A19B0">
            <w:pPr>
              <w:spacing w:after="0" w:line="240" w:lineRule="auto"/>
              <w:jc w:val="right"/>
            </w:pPr>
            <w:r w:rsidRPr="00082CB0">
              <w:t>$</w:t>
            </w:r>
            <w:r w:rsidR="001D60A3">
              <w:t>2</w:t>
            </w:r>
            <w:r w:rsidR="00B206BE">
              <w:t>1</w:t>
            </w:r>
            <w:r w:rsidRPr="00082CB0">
              <w:t>,</w:t>
            </w:r>
            <w:r w:rsidR="001D60A3">
              <w:t>0</w:t>
            </w:r>
            <w:r w:rsidRPr="00082CB0">
              <w:t>00,000</w:t>
            </w:r>
          </w:p>
        </w:tc>
      </w:tr>
    </w:tbl>
    <w:p w14:paraId="64DBDB37" w14:textId="77777777" w:rsidR="001D60A3" w:rsidRDefault="001D60A3">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24"/>
        <w:gridCol w:w="5529"/>
        <w:gridCol w:w="1559"/>
        <w:gridCol w:w="1535"/>
      </w:tblGrid>
      <w:tr w:rsidR="001D60A3" w:rsidRPr="00C26C5B" w14:paraId="721202A7" w14:textId="77777777" w:rsidTr="00300384">
        <w:trPr>
          <w:tblHeader/>
        </w:trPr>
        <w:tc>
          <w:tcPr>
            <w:tcW w:w="1124" w:type="dxa"/>
            <w:tcBorders>
              <w:bottom w:val="single" w:sz="8" w:space="0" w:color="4F81BD"/>
            </w:tcBorders>
            <w:shd w:val="clear" w:color="auto" w:fill="DBE5F1" w:themeFill="accent1" w:themeFillTint="33"/>
          </w:tcPr>
          <w:p w14:paraId="6175A82B" w14:textId="77777777" w:rsidR="001D60A3" w:rsidRPr="00C26C5B" w:rsidRDefault="001D60A3" w:rsidP="00300384">
            <w:pPr>
              <w:pStyle w:val="Heading2"/>
              <w:spacing w:before="120"/>
              <w:rPr>
                <w:bCs w:val="0"/>
                <w:sz w:val="24"/>
                <w:szCs w:val="24"/>
              </w:rPr>
            </w:pPr>
            <w:r w:rsidRPr="00C26C5B">
              <w:rPr>
                <w:bCs w:val="0"/>
                <w:sz w:val="24"/>
                <w:szCs w:val="24"/>
              </w:rPr>
              <w:t>Output</w:t>
            </w:r>
          </w:p>
        </w:tc>
        <w:tc>
          <w:tcPr>
            <w:tcW w:w="5529" w:type="dxa"/>
            <w:tcBorders>
              <w:bottom w:val="single" w:sz="8" w:space="0" w:color="4F81BD"/>
            </w:tcBorders>
            <w:shd w:val="clear" w:color="auto" w:fill="DBE5F1" w:themeFill="accent1" w:themeFillTint="33"/>
          </w:tcPr>
          <w:p w14:paraId="79C155A1" w14:textId="77777777" w:rsidR="001D60A3" w:rsidRPr="00C26C5B" w:rsidRDefault="001D60A3" w:rsidP="00300384">
            <w:pPr>
              <w:pStyle w:val="Heading2"/>
              <w:spacing w:before="120"/>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bottom w:val="single" w:sz="8" w:space="0" w:color="4F81BD"/>
            </w:tcBorders>
            <w:shd w:val="clear" w:color="auto" w:fill="DBE5F1" w:themeFill="accent1" w:themeFillTint="33"/>
          </w:tcPr>
          <w:p w14:paraId="08FF03CB" w14:textId="77777777" w:rsidR="001D60A3" w:rsidRPr="00D0312C" w:rsidRDefault="001D60A3" w:rsidP="00300384">
            <w:pPr>
              <w:pStyle w:val="Heading2"/>
              <w:spacing w:before="120"/>
              <w:rPr>
                <w:sz w:val="18"/>
                <w:szCs w:val="18"/>
              </w:rPr>
            </w:pPr>
            <w:r w:rsidRPr="00DE36EB">
              <w:rPr>
                <w:bCs w:val="0"/>
                <w:sz w:val="24"/>
                <w:szCs w:val="24"/>
              </w:rPr>
              <w:t>Report due</w:t>
            </w:r>
          </w:p>
        </w:tc>
        <w:tc>
          <w:tcPr>
            <w:tcW w:w="1535" w:type="dxa"/>
            <w:tcBorders>
              <w:bottom w:val="single" w:sz="8" w:space="0" w:color="4F81BD"/>
            </w:tcBorders>
            <w:shd w:val="clear" w:color="auto" w:fill="DBE5F1" w:themeFill="accent1" w:themeFillTint="33"/>
          </w:tcPr>
          <w:p w14:paraId="3A41316D" w14:textId="77777777" w:rsidR="001D60A3" w:rsidRPr="00C26C5B" w:rsidRDefault="001D60A3" w:rsidP="00300384">
            <w:pPr>
              <w:pStyle w:val="Heading2"/>
              <w:spacing w:before="120"/>
              <w:rPr>
                <w:bCs w:val="0"/>
                <w:sz w:val="24"/>
                <w:szCs w:val="24"/>
              </w:rPr>
            </w:pPr>
            <w:r w:rsidRPr="00C26C5B">
              <w:rPr>
                <w:bCs w:val="0"/>
                <w:sz w:val="24"/>
                <w:szCs w:val="24"/>
              </w:rPr>
              <w:t>Payment</w:t>
            </w:r>
          </w:p>
        </w:tc>
      </w:tr>
      <w:tr w:rsidR="005C243F" w:rsidRPr="00C26C5B" w14:paraId="0FC89871" w14:textId="77777777" w:rsidTr="00167C75">
        <w:trPr>
          <w:trHeight w:val="770"/>
        </w:trPr>
        <w:tc>
          <w:tcPr>
            <w:tcW w:w="1124" w:type="dxa"/>
            <w:tcBorders>
              <w:top w:val="nil"/>
              <w:bottom w:val="nil"/>
            </w:tcBorders>
          </w:tcPr>
          <w:p w14:paraId="37FCBBA0" w14:textId="77777777" w:rsidR="005C243F" w:rsidRPr="003A5BC6" w:rsidRDefault="005C243F" w:rsidP="005C243F">
            <w:pPr>
              <w:jc w:val="left"/>
              <w:rPr>
                <w:b/>
              </w:rPr>
            </w:pPr>
          </w:p>
        </w:tc>
        <w:tc>
          <w:tcPr>
            <w:tcW w:w="5529" w:type="dxa"/>
            <w:tcBorders>
              <w:bottom w:val="nil"/>
            </w:tcBorders>
          </w:tcPr>
          <w:p w14:paraId="75B6C5CF" w14:textId="77777777" w:rsidR="002B0E1B" w:rsidRPr="002B0E1B" w:rsidRDefault="002B0E1B" w:rsidP="00602CE8">
            <w:pPr>
              <w:spacing w:after="120"/>
              <w:jc w:val="left"/>
              <w:rPr>
                <w:b/>
              </w:rPr>
            </w:pPr>
            <w:r w:rsidRPr="002B0E1B">
              <w:rPr>
                <w:b/>
              </w:rPr>
              <w:t>Milestone 6</w:t>
            </w:r>
          </w:p>
          <w:p w14:paraId="7FCF8A7C" w14:textId="77777777" w:rsidR="00B41711" w:rsidRPr="00930E4D" w:rsidRDefault="00C71020" w:rsidP="00825CE8">
            <w:pPr>
              <w:spacing w:after="120"/>
              <w:jc w:val="left"/>
              <w:rPr>
                <w:color w:val="auto"/>
                <w:szCs w:val="23"/>
              </w:rPr>
            </w:pPr>
            <w:r>
              <w:rPr>
                <w:color w:val="auto"/>
                <w:szCs w:val="23"/>
              </w:rPr>
              <w:t>New South Wales</w:t>
            </w:r>
            <w:r w:rsidR="00000388" w:rsidRPr="00000388">
              <w:rPr>
                <w:color w:val="auto"/>
                <w:szCs w:val="23"/>
              </w:rPr>
              <w:t xml:space="preserve"> will be eligible for the milestone payment</w:t>
            </w:r>
            <w:r w:rsidR="00000388">
              <w:rPr>
                <w:color w:val="auto"/>
                <w:szCs w:val="23"/>
              </w:rPr>
              <w:t>s</w:t>
            </w:r>
            <w:r w:rsidR="00000388" w:rsidRPr="00000388">
              <w:rPr>
                <w:color w:val="auto"/>
                <w:szCs w:val="23"/>
              </w:rPr>
              <w:t xml:space="preserve"> when the following deliverable</w:t>
            </w:r>
            <w:r w:rsidR="00DD0A6E">
              <w:rPr>
                <w:color w:val="auto"/>
                <w:szCs w:val="23"/>
              </w:rPr>
              <w:t>s are</w:t>
            </w:r>
            <w:r w:rsidR="00000388" w:rsidRPr="00000388">
              <w:rPr>
                <w:color w:val="auto"/>
                <w:szCs w:val="23"/>
              </w:rPr>
              <w:t xml:space="preserve"> met:</w:t>
            </w:r>
          </w:p>
        </w:tc>
        <w:tc>
          <w:tcPr>
            <w:tcW w:w="1559" w:type="dxa"/>
            <w:tcBorders>
              <w:bottom w:val="nil"/>
            </w:tcBorders>
          </w:tcPr>
          <w:p w14:paraId="5800B3A7" w14:textId="77777777" w:rsidR="00A17384" w:rsidRDefault="00A17384" w:rsidP="001A19B0">
            <w:pPr>
              <w:spacing w:after="0"/>
              <w:jc w:val="right"/>
            </w:pPr>
            <w:r>
              <w:t>30 April 2021</w:t>
            </w:r>
          </w:p>
          <w:p w14:paraId="2DF8EA35" w14:textId="77777777" w:rsidR="005D128A" w:rsidRDefault="005D128A" w:rsidP="001A19B0">
            <w:pPr>
              <w:spacing w:after="0"/>
              <w:jc w:val="right"/>
            </w:pPr>
          </w:p>
        </w:tc>
        <w:tc>
          <w:tcPr>
            <w:tcW w:w="1535" w:type="dxa"/>
            <w:tcBorders>
              <w:bottom w:val="nil"/>
            </w:tcBorders>
          </w:tcPr>
          <w:p w14:paraId="413DB33E" w14:textId="7727F895" w:rsidR="007038B9" w:rsidRPr="00281754" w:rsidRDefault="008423B8" w:rsidP="001A19B0">
            <w:pPr>
              <w:spacing w:after="0"/>
              <w:jc w:val="right"/>
            </w:pPr>
            <w:r>
              <w:t>$</w:t>
            </w:r>
            <w:bookmarkStart w:id="4" w:name="OLE_LINK1"/>
            <w:r>
              <w:t xml:space="preserve">39,687,200 </w:t>
            </w:r>
            <w:bookmarkEnd w:id="4"/>
          </w:p>
          <w:p w14:paraId="77123001" w14:textId="77777777" w:rsidR="00B41711" w:rsidRDefault="00B41711" w:rsidP="001A19B0">
            <w:pPr>
              <w:spacing w:after="0"/>
              <w:jc w:val="right"/>
            </w:pPr>
          </w:p>
        </w:tc>
      </w:tr>
      <w:tr w:rsidR="00930E4D" w:rsidRPr="00C26C5B" w14:paraId="53776AAE" w14:textId="77777777" w:rsidTr="00167C75">
        <w:trPr>
          <w:trHeight w:val="770"/>
        </w:trPr>
        <w:tc>
          <w:tcPr>
            <w:tcW w:w="1124" w:type="dxa"/>
            <w:tcBorders>
              <w:top w:val="nil"/>
              <w:bottom w:val="single" w:sz="4" w:space="0" w:color="4F81BD"/>
            </w:tcBorders>
          </w:tcPr>
          <w:p w14:paraId="1D8CE71E" w14:textId="77777777" w:rsidR="00930E4D" w:rsidRPr="003A5BC6" w:rsidRDefault="00930E4D" w:rsidP="005C243F">
            <w:pPr>
              <w:jc w:val="left"/>
              <w:rPr>
                <w:b/>
              </w:rPr>
            </w:pPr>
          </w:p>
        </w:tc>
        <w:tc>
          <w:tcPr>
            <w:tcW w:w="5529" w:type="dxa"/>
            <w:tcBorders>
              <w:top w:val="nil"/>
              <w:bottom w:val="single" w:sz="4" w:space="0" w:color="4F81BD"/>
            </w:tcBorders>
          </w:tcPr>
          <w:p w14:paraId="418B28FD" w14:textId="77777777" w:rsidR="00DD0A6E" w:rsidRPr="004C29B7" w:rsidRDefault="00167C75" w:rsidP="004C29B7">
            <w:r w:rsidRPr="00167C75">
              <w:t>6.1</w:t>
            </w:r>
            <w:r w:rsidR="00DD0A6E">
              <w:t xml:space="preserve"> Delivery</w:t>
            </w:r>
            <w:r w:rsidR="00DD0A6E" w:rsidRPr="004C29B7">
              <w:t xml:space="preserve"> of the </w:t>
            </w:r>
            <w:r w:rsidR="00C71020" w:rsidRPr="004C29B7">
              <w:t>New South Wales</w:t>
            </w:r>
            <w:r w:rsidR="00DD0A6E" w:rsidRPr="004C29B7">
              <w:t xml:space="preserve"> Smart and Skilled fee free apprenticeship and traineeship programs, including implementation of communications activities and industry engagement to ensure the target of 100,000 apprentices and 70,000 traineeships are supported and the program continues to meet industry needs.</w:t>
            </w:r>
          </w:p>
          <w:p w14:paraId="12B04981" w14:textId="77777777" w:rsidR="006B0989" w:rsidRPr="004C29B7" w:rsidRDefault="00DD0A6E" w:rsidP="004C29B7">
            <w:r w:rsidRPr="004C29B7">
              <w:t>6.2 Assessment of the uptake of the apprenticeship and traineeship opportunities by qualification</w:t>
            </w:r>
            <w:r w:rsidR="006B0989" w:rsidRPr="004C29B7">
              <w:t>,</w:t>
            </w:r>
            <w:r w:rsidRPr="004C29B7">
              <w:t xml:space="preserve"> region</w:t>
            </w:r>
            <w:r w:rsidR="00FA6ADB" w:rsidRPr="004C29B7">
              <w:t>, and student characteristics</w:t>
            </w:r>
            <w:r w:rsidRPr="004C29B7">
              <w:t xml:space="preserve"> </w:t>
            </w:r>
            <w:r w:rsidR="00610BF4" w:rsidRPr="004C29B7">
              <w:t>comparing</w:t>
            </w:r>
            <w:r w:rsidRPr="004C29B7">
              <w:t xml:space="preserve"> 2018-19, 2019-20 and 2020-21</w:t>
            </w:r>
            <w:r w:rsidR="006B0989" w:rsidRPr="004C29B7">
              <w:t xml:space="preserve"> (to 30 April 2021)</w:t>
            </w:r>
            <w:r w:rsidR="003E031E" w:rsidRPr="004C29B7">
              <w:t>.</w:t>
            </w:r>
          </w:p>
          <w:p w14:paraId="10009A4E" w14:textId="77777777" w:rsidR="00DD0A6E" w:rsidRPr="004C29B7" w:rsidRDefault="006B0989" w:rsidP="004C29B7">
            <w:r w:rsidRPr="004C29B7">
              <w:t>6</w:t>
            </w:r>
            <w:r w:rsidR="00DD0A6E" w:rsidRPr="004C29B7">
              <w:t>.</w:t>
            </w:r>
            <w:r w:rsidRPr="004C29B7">
              <w:t>3</w:t>
            </w:r>
            <w:r w:rsidR="00DD0A6E" w:rsidRPr="004C29B7">
              <w:t xml:space="preserve"> Delivery of the </w:t>
            </w:r>
            <w:r w:rsidR="00C71020" w:rsidRPr="004C29B7">
              <w:t>New South Wales</w:t>
            </w:r>
            <w:r w:rsidR="00DD0A6E" w:rsidRPr="004C29B7">
              <w:t xml:space="preserve"> Smart and Skilled Targeted Priorities Pre-Vocational and Part Qualification </w:t>
            </w:r>
            <w:r w:rsidR="00FA6ADB" w:rsidRPr="004C29B7">
              <w:t xml:space="preserve">(TPPPQ) </w:t>
            </w:r>
            <w:r w:rsidR="00DD0A6E" w:rsidRPr="004C29B7">
              <w:t>program to support opportunities for students to undertake pre-apprenticeships and pre-traineeships.</w:t>
            </w:r>
            <w:r w:rsidR="00FA6ADB" w:rsidRPr="004C29B7">
              <w:t xml:space="preserve"> The milestone report will include the role of the TPPPQ in addressing skills needs and supporting the </w:t>
            </w:r>
            <w:r w:rsidR="00082CB0" w:rsidRPr="004C29B7">
              <w:t xml:space="preserve">apprenticeship and traineeship </w:t>
            </w:r>
            <w:r w:rsidR="00FA6ADB" w:rsidRPr="004C29B7">
              <w:t xml:space="preserve">system in </w:t>
            </w:r>
            <w:r w:rsidR="00C71020" w:rsidRPr="004C29B7">
              <w:t>New South Wales</w:t>
            </w:r>
            <w:r w:rsidR="00FA6ADB" w:rsidRPr="004C29B7">
              <w:t>.</w:t>
            </w:r>
          </w:p>
          <w:p w14:paraId="022C5DE8" w14:textId="53786117" w:rsidR="00DD0A6E" w:rsidRPr="004C29B7" w:rsidRDefault="006B0989" w:rsidP="004C29B7">
            <w:pPr>
              <w:pStyle w:val="Heading1"/>
              <w:spacing w:before="0" w:after="240" w:line="260" w:lineRule="exact"/>
              <w:jc w:val="both"/>
              <w:rPr>
                <w:rFonts w:ascii="Corbel" w:hAnsi="Corbel" w:cs="Times New Roman"/>
                <w:bCs w:val="0"/>
                <w:caps w:val="0"/>
                <w:color w:val="000000"/>
                <w:kern w:val="0"/>
                <w:sz w:val="23"/>
                <w:szCs w:val="20"/>
              </w:rPr>
            </w:pPr>
            <w:r w:rsidRPr="004C29B7">
              <w:rPr>
                <w:rFonts w:ascii="Corbel" w:hAnsi="Corbel" w:cs="Times New Roman"/>
                <w:bCs w:val="0"/>
                <w:caps w:val="0"/>
                <w:color w:val="000000"/>
                <w:kern w:val="0"/>
                <w:sz w:val="23"/>
                <w:szCs w:val="20"/>
              </w:rPr>
              <w:t>6.</w:t>
            </w:r>
            <w:r w:rsidR="00AB3F18" w:rsidRPr="004C29B7">
              <w:rPr>
                <w:rFonts w:ascii="Corbel" w:hAnsi="Corbel" w:cs="Times New Roman"/>
                <w:bCs w:val="0"/>
                <w:caps w:val="0"/>
                <w:color w:val="000000"/>
                <w:kern w:val="0"/>
                <w:sz w:val="23"/>
                <w:szCs w:val="20"/>
              </w:rPr>
              <w:t>4</w:t>
            </w:r>
            <w:r w:rsidR="00DD0A6E" w:rsidRPr="004C29B7">
              <w:rPr>
                <w:rFonts w:ascii="Corbel" w:hAnsi="Corbel" w:cs="Times New Roman"/>
                <w:bCs w:val="0"/>
                <w:caps w:val="0"/>
                <w:color w:val="000000"/>
                <w:kern w:val="0"/>
                <w:sz w:val="23"/>
                <w:szCs w:val="20"/>
              </w:rPr>
              <w:t xml:space="preserve"> Delivery of </w:t>
            </w:r>
            <w:r w:rsidR="0004561F" w:rsidRPr="004C29B7">
              <w:rPr>
                <w:rFonts w:ascii="Corbel" w:hAnsi="Corbel" w:cs="Times New Roman"/>
                <w:bCs w:val="0"/>
                <w:caps w:val="0"/>
                <w:color w:val="000000"/>
                <w:kern w:val="0"/>
                <w:sz w:val="23"/>
                <w:szCs w:val="20"/>
              </w:rPr>
              <w:t>infrastructure skills initiatives</w:t>
            </w:r>
            <w:r w:rsidR="00DD0A6E" w:rsidRPr="004C29B7">
              <w:rPr>
                <w:rFonts w:ascii="Corbel" w:hAnsi="Corbel" w:cs="Times New Roman"/>
                <w:bCs w:val="0"/>
                <w:caps w:val="0"/>
                <w:color w:val="000000"/>
                <w:kern w:val="0"/>
                <w:sz w:val="23"/>
                <w:szCs w:val="20"/>
              </w:rPr>
              <w:t xml:space="preserve"> for government infrastructure projects, including industry engagement to ensure </w:t>
            </w:r>
            <w:r w:rsidR="00720325" w:rsidRPr="004C29B7">
              <w:rPr>
                <w:rFonts w:ascii="Corbel" w:hAnsi="Corbel" w:cs="Times New Roman"/>
                <w:bCs w:val="0"/>
                <w:caps w:val="0"/>
                <w:color w:val="000000"/>
                <w:kern w:val="0"/>
                <w:sz w:val="23"/>
                <w:szCs w:val="20"/>
              </w:rPr>
              <w:t xml:space="preserve">initiatives </w:t>
            </w:r>
            <w:r w:rsidR="00DD0A6E" w:rsidRPr="004C29B7">
              <w:rPr>
                <w:rFonts w:ascii="Corbel" w:hAnsi="Corbel" w:cs="Times New Roman"/>
                <w:bCs w:val="0"/>
                <w:caps w:val="0"/>
                <w:color w:val="000000"/>
                <w:kern w:val="0"/>
                <w:sz w:val="23"/>
                <w:szCs w:val="20"/>
              </w:rPr>
              <w:t xml:space="preserve">continue to meet </w:t>
            </w:r>
            <w:r w:rsidR="00233360" w:rsidRPr="004C29B7">
              <w:rPr>
                <w:rFonts w:ascii="Corbel" w:hAnsi="Corbel" w:cs="Times New Roman"/>
                <w:bCs w:val="0"/>
                <w:caps w:val="0"/>
                <w:color w:val="000000"/>
                <w:kern w:val="0"/>
                <w:sz w:val="23"/>
                <w:szCs w:val="20"/>
              </w:rPr>
              <w:t>the needs of participants</w:t>
            </w:r>
            <w:r w:rsidR="00DD0A6E" w:rsidRPr="004C29B7">
              <w:rPr>
                <w:rFonts w:ascii="Corbel" w:hAnsi="Corbel" w:cs="Times New Roman"/>
                <w:bCs w:val="0"/>
                <w:caps w:val="0"/>
                <w:color w:val="000000"/>
                <w:kern w:val="0"/>
                <w:sz w:val="23"/>
                <w:szCs w:val="20"/>
              </w:rPr>
              <w:t xml:space="preserve"> and employer</w:t>
            </w:r>
            <w:r w:rsidR="00233360" w:rsidRPr="004C29B7">
              <w:rPr>
                <w:rFonts w:ascii="Corbel" w:hAnsi="Corbel" w:cs="Times New Roman"/>
                <w:bCs w:val="0"/>
                <w:caps w:val="0"/>
                <w:color w:val="000000"/>
                <w:kern w:val="0"/>
                <w:sz w:val="23"/>
                <w:szCs w:val="20"/>
              </w:rPr>
              <w:t>s</w:t>
            </w:r>
            <w:r w:rsidR="00DD0A6E" w:rsidRPr="004C29B7">
              <w:rPr>
                <w:rFonts w:ascii="Corbel" w:hAnsi="Corbel" w:cs="Times New Roman"/>
                <w:bCs w:val="0"/>
                <w:caps w:val="0"/>
                <w:color w:val="000000"/>
                <w:kern w:val="0"/>
                <w:sz w:val="23"/>
                <w:szCs w:val="20"/>
              </w:rPr>
              <w:t>.</w:t>
            </w:r>
          </w:p>
          <w:p w14:paraId="0D9EAA1B" w14:textId="7114EFB4" w:rsidR="006A39F9" w:rsidRDefault="006A39F9">
            <w:r>
              <w:t xml:space="preserve">6.5 </w:t>
            </w:r>
            <w:r w:rsidR="002F05E4">
              <w:t>Establishment of a Trades Skills Pathways Centre and associated regulatory reforms to build</w:t>
            </w:r>
            <w:r>
              <w:t xml:space="preserve"> new training pathways into trades </w:t>
            </w:r>
            <w:r w:rsidR="008E4180">
              <w:t>to unlock the potential of experienced but unqualified trades workers, create new trades training pathways and</w:t>
            </w:r>
            <w:r w:rsidR="00251A86">
              <w:t xml:space="preserve"> address </w:t>
            </w:r>
            <w:r w:rsidR="008E4180">
              <w:t xml:space="preserve">areas of </w:t>
            </w:r>
            <w:r w:rsidR="00251A86">
              <w:t xml:space="preserve">skills shortage in the NSW economy. </w:t>
            </w:r>
          </w:p>
          <w:p w14:paraId="699AD580" w14:textId="23A4B912" w:rsidR="00251A86" w:rsidRPr="004C29B7" w:rsidRDefault="00251A86">
            <w:r>
              <w:t xml:space="preserve">6.6 </w:t>
            </w:r>
            <w:r w:rsidR="002F05E4">
              <w:t>Establishment</w:t>
            </w:r>
            <w:r>
              <w:t xml:space="preserve"> of a</w:t>
            </w:r>
            <w:r w:rsidR="006677EB">
              <w:t xml:space="preserve">n </w:t>
            </w:r>
            <w:r w:rsidR="00AC7445">
              <w:t>office-based</w:t>
            </w:r>
            <w:r w:rsidR="007378EF">
              <w:t xml:space="preserve"> </w:t>
            </w:r>
            <w:r w:rsidR="008E4180">
              <w:t>infrastructure traineeshi</w:t>
            </w:r>
            <w:r>
              <w:t>p</w:t>
            </w:r>
            <w:r w:rsidR="006677EB">
              <w:t xml:space="preserve"> program</w:t>
            </w:r>
            <w:r w:rsidR="002F05E4">
              <w:t xml:space="preserve"> for NSW school leavers</w:t>
            </w:r>
            <w:r w:rsidR="006677EB">
              <w:t xml:space="preserve">. </w:t>
            </w:r>
            <w:r w:rsidR="005707F4" w:rsidRPr="005707F4">
              <w:t>This includes extensive stakeholder engagement with industry and across government to design and implement the two-year program which will provide 2020 school leavers with immediate job opportunities in the infrastructure sector and build a diverse pipeline of talented young people into the industry.</w:t>
            </w:r>
          </w:p>
          <w:p w14:paraId="35B401D5" w14:textId="67A1B983" w:rsidR="0099580C" w:rsidRPr="004C29B7" w:rsidRDefault="00FB7054" w:rsidP="004C29B7">
            <w:pPr>
              <w:rPr>
                <w:caps/>
                <w:sz w:val="22"/>
                <w:szCs w:val="22"/>
              </w:rPr>
            </w:pPr>
            <w:r w:rsidRPr="004C29B7">
              <w:rPr>
                <w:caps/>
              </w:rPr>
              <w:t>6.</w:t>
            </w:r>
            <w:r w:rsidR="0002308B" w:rsidRPr="004C29B7">
              <w:rPr>
                <w:caps/>
              </w:rPr>
              <w:t>7</w:t>
            </w:r>
            <w:r w:rsidR="00DD0A6E" w:rsidRPr="004C29B7">
              <w:rPr>
                <w:caps/>
              </w:rPr>
              <w:t xml:space="preserve"> </w:t>
            </w:r>
            <w:r w:rsidR="0099580C" w:rsidRPr="004C29B7">
              <w:t xml:space="preserve">Assessment of the uptake in </w:t>
            </w:r>
            <w:r w:rsidRPr="004C29B7">
              <w:rPr>
                <w:caps/>
              </w:rPr>
              <w:t xml:space="preserve">2018-19, </w:t>
            </w:r>
            <w:r w:rsidR="00DD0A6E" w:rsidRPr="004C29B7">
              <w:rPr>
                <w:caps/>
              </w:rPr>
              <w:t xml:space="preserve">2019-20 </w:t>
            </w:r>
            <w:r w:rsidR="0099580C" w:rsidRPr="004C29B7">
              <w:t xml:space="preserve">and </w:t>
            </w:r>
            <w:r w:rsidRPr="004C29B7">
              <w:rPr>
                <w:caps/>
              </w:rPr>
              <w:t>2020-21 (</w:t>
            </w:r>
            <w:r w:rsidR="0099580C" w:rsidRPr="004C29B7">
              <w:t xml:space="preserve">up to 30 </w:t>
            </w:r>
            <w:r w:rsidR="005B3E79">
              <w:t>A</w:t>
            </w:r>
            <w:r w:rsidR="0099580C" w:rsidRPr="004C29B7">
              <w:t>pril 2021) of infrastructure skills initiatives, including performance against targets</w:t>
            </w:r>
            <w:r w:rsidR="003E031E" w:rsidRPr="004C29B7">
              <w:rPr>
                <w:caps/>
              </w:rPr>
              <w:t>.</w:t>
            </w:r>
          </w:p>
          <w:p w14:paraId="359F812E" w14:textId="04FCD1AC" w:rsidR="004C6291" w:rsidRPr="004C29B7" w:rsidRDefault="006677EB" w:rsidP="004C29B7">
            <w:r>
              <w:t>6</w:t>
            </w:r>
            <w:r w:rsidRPr="006677EB">
              <w:t>.</w:t>
            </w:r>
            <w:r w:rsidR="0002308B">
              <w:t>8</w:t>
            </w:r>
            <w:r>
              <w:t xml:space="preserve"> </w:t>
            </w:r>
            <w:r w:rsidR="002C7CC0" w:rsidRPr="002C7CC0">
              <w:t>Pilot a series of projects that aim to support the uptake and completion of school-based apprenticeships and traineeships (SBATs). Including: targeted support for disadvantaged students; mentoring for SBATs; and prevocational pathways.</w:t>
            </w:r>
          </w:p>
          <w:p w14:paraId="75A4F6DF" w14:textId="5A5D4914" w:rsidR="006677EB" w:rsidRDefault="00FB7054" w:rsidP="004C29B7">
            <w:r>
              <w:t>6.</w:t>
            </w:r>
            <w:r w:rsidR="0002308B">
              <w:t>9</w:t>
            </w:r>
            <w:r w:rsidR="00DD0A6E">
              <w:t xml:space="preserve"> </w:t>
            </w:r>
            <w:r>
              <w:t xml:space="preserve">Review the pilot </w:t>
            </w:r>
            <w:r w:rsidR="00DD0A6E">
              <w:t xml:space="preserve">projects </w:t>
            </w:r>
            <w:r>
              <w:t xml:space="preserve">run in 2019-20 </w:t>
            </w:r>
            <w:r w:rsidR="003F65F2">
              <w:t>(referenced in 5.10)</w:t>
            </w:r>
            <w:r w:rsidR="009D1B9B">
              <w:t xml:space="preserve"> </w:t>
            </w:r>
            <w:r>
              <w:t xml:space="preserve">that aimed at increasing uptake, retention and completion rates of </w:t>
            </w:r>
            <w:r w:rsidR="00DD0A6E">
              <w:t>apprenticeships</w:t>
            </w:r>
            <w:r w:rsidR="00373759">
              <w:t xml:space="preserve"> and traineeships</w:t>
            </w:r>
            <w:r w:rsidR="00DD0A6E">
              <w:t xml:space="preserve">, including </w:t>
            </w:r>
            <w:r w:rsidR="00332478">
              <w:t>school-</w:t>
            </w:r>
            <w:r w:rsidR="00DD0A6E">
              <w:t>based apprenticeships</w:t>
            </w:r>
            <w:r w:rsidR="00373759">
              <w:t xml:space="preserve"> and traineeships</w:t>
            </w:r>
            <w:r>
              <w:t>.</w:t>
            </w:r>
          </w:p>
          <w:p w14:paraId="6A32E7D5" w14:textId="6B94AAE1" w:rsidR="006677EB" w:rsidRDefault="006677EB" w:rsidP="004C29B7">
            <w:r>
              <w:t>6.</w:t>
            </w:r>
            <w:r w:rsidR="0002308B">
              <w:t>10</w:t>
            </w:r>
            <w:r>
              <w:t xml:space="preserve"> Implement activities to increase the uptake of higher apprenticeships and traineeships including the development of a new </w:t>
            </w:r>
            <w:r w:rsidR="001358C8">
              <w:t xml:space="preserve">pathway </w:t>
            </w:r>
            <w:r w:rsidR="00686C09">
              <w:t>model</w:t>
            </w:r>
            <w:r w:rsidR="001358C8">
              <w:t xml:space="preserve"> in Engineering and promotion of </w:t>
            </w:r>
            <w:r w:rsidR="00686C09">
              <w:t>existing models</w:t>
            </w:r>
            <w:r w:rsidR="001358C8">
              <w:t xml:space="preserve">. </w:t>
            </w:r>
          </w:p>
          <w:p w14:paraId="2E5A61A9" w14:textId="17B82F1B" w:rsidR="009261FA" w:rsidRPr="00167C75" w:rsidRDefault="00FB7054" w:rsidP="004C29B7">
            <w:r>
              <w:t>6.</w:t>
            </w:r>
            <w:r w:rsidR="0002308B">
              <w:t>11</w:t>
            </w:r>
            <w:r w:rsidR="00DD0A6E">
              <w:t xml:space="preserve"> </w:t>
            </w:r>
            <w:r w:rsidR="003F65F2">
              <w:t>Consult with Productivity Bootcamp to i</w:t>
            </w:r>
            <w:r>
              <w:t xml:space="preserve">mplement </w:t>
            </w:r>
            <w:r w:rsidR="00DD0A6E">
              <w:t xml:space="preserve">two </w:t>
            </w:r>
            <w:r w:rsidR="00D67357">
              <w:t>B</w:t>
            </w:r>
            <w:r w:rsidR="00ED352D">
              <w:t xml:space="preserve">ootcamps </w:t>
            </w:r>
            <w:r w:rsidR="003F65F2">
              <w:t>(referenced in 5.11)</w:t>
            </w:r>
            <w:r>
              <w:t xml:space="preserve"> </w:t>
            </w:r>
            <w:r w:rsidR="00DD0A6E">
              <w:t xml:space="preserve">to help young people secure a career in the construction industry. This will include </w:t>
            </w:r>
            <w:r w:rsidR="00515DEF">
              <w:t xml:space="preserve">outcomes as reported by Productivity Bootcamp </w:t>
            </w:r>
            <w:r w:rsidR="009261FA">
              <w:t>and a review of the uptake (to 30 April 2021)</w:t>
            </w:r>
            <w:r w:rsidR="00DD0A6E">
              <w:t>.</w:t>
            </w:r>
          </w:p>
        </w:tc>
        <w:tc>
          <w:tcPr>
            <w:tcW w:w="1559" w:type="dxa"/>
            <w:tcBorders>
              <w:top w:val="nil"/>
              <w:bottom w:val="single" w:sz="4" w:space="0" w:color="4F81BD"/>
            </w:tcBorders>
          </w:tcPr>
          <w:p w14:paraId="5C615CE5" w14:textId="77777777" w:rsidR="00930E4D" w:rsidRDefault="00930E4D" w:rsidP="002B0E1B">
            <w:pPr>
              <w:spacing w:after="0"/>
              <w:jc w:val="left"/>
            </w:pPr>
          </w:p>
        </w:tc>
        <w:tc>
          <w:tcPr>
            <w:tcW w:w="1535" w:type="dxa"/>
            <w:tcBorders>
              <w:top w:val="nil"/>
              <w:bottom w:val="single" w:sz="4" w:space="0" w:color="4F81BD"/>
            </w:tcBorders>
          </w:tcPr>
          <w:p w14:paraId="1E35A87E" w14:textId="77777777" w:rsidR="00F833E7" w:rsidRDefault="00F833E7" w:rsidP="00930E4D">
            <w:pPr>
              <w:spacing w:after="0"/>
              <w:jc w:val="right"/>
            </w:pPr>
          </w:p>
          <w:p w14:paraId="0B8DA173" w14:textId="77777777" w:rsidR="00930E4D" w:rsidRDefault="00930E4D" w:rsidP="00F833E7">
            <w:pPr>
              <w:spacing w:after="0"/>
              <w:jc w:val="right"/>
            </w:pPr>
          </w:p>
        </w:tc>
      </w:tr>
      <w:tr w:rsidR="002B0E1B" w:rsidRPr="00C26C5B" w14:paraId="43FECEBA" w14:textId="77777777" w:rsidTr="00167C75">
        <w:trPr>
          <w:trHeight w:val="628"/>
        </w:trPr>
        <w:tc>
          <w:tcPr>
            <w:tcW w:w="1124" w:type="dxa"/>
            <w:tcBorders>
              <w:top w:val="nil"/>
              <w:bottom w:val="single" w:sz="4" w:space="0" w:color="4F81BD"/>
            </w:tcBorders>
          </w:tcPr>
          <w:p w14:paraId="27446E01" w14:textId="77777777" w:rsidR="002B0E1B" w:rsidRPr="003A5BC6" w:rsidRDefault="002B0E1B" w:rsidP="002B0E1B">
            <w:pPr>
              <w:jc w:val="left"/>
              <w:rPr>
                <w:b/>
              </w:rPr>
            </w:pPr>
          </w:p>
        </w:tc>
        <w:tc>
          <w:tcPr>
            <w:tcW w:w="5529" w:type="dxa"/>
            <w:tcBorders>
              <w:bottom w:val="single" w:sz="4" w:space="0" w:color="4F81BD"/>
            </w:tcBorders>
          </w:tcPr>
          <w:p w14:paraId="073CD935" w14:textId="77777777" w:rsidR="002B0E1B" w:rsidRPr="0026694B" w:rsidRDefault="002B0E1B" w:rsidP="002B0E1B">
            <w:pPr>
              <w:rPr>
                <w:b/>
                <w:color w:val="auto"/>
                <w:szCs w:val="23"/>
              </w:rPr>
            </w:pPr>
            <w:r w:rsidRPr="0026694B">
              <w:rPr>
                <w:b/>
              </w:rPr>
              <w:t>Milestone 7</w:t>
            </w:r>
            <w:r w:rsidRPr="0026694B">
              <w:rPr>
                <w:b/>
                <w:color w:val="auto"/>
                <w:szCs w:val="23"/>
              </w:rPr>
              <w:t xml:space="preserve"> </w:t>
            </w:r>
          </w:p>
          <w:p w14:paraId="44658C9D" w14:textId="77777777" w:rsidR="002B0E1B" w:rsidRDefault="00C71020" w:rsidP="0026694B">
            <w:r>
              <w:rPr>
                <w:color w:val="auto"/>
                <w:szCs w:val="23"/>
              </w:rPr>
              <w:t>New South Wales</w:t>
            </w:r>
            <w:r w:rsidR="002B0E1B" w:rsidRPr="00B80DA4">
              <w:rPr>
                <w:color w:val="auto"/>
                <w:szCs w:val="23"/>
              </w:rPr>
              <w:t xml:space="preserve"> will be eligible for the milestone payment when the following deliverable</w:t>
            </w:r>
            <w:r w:rsidR="0026694B">
              <w:rPr>
                <w:color w:val="auto"/>
                <w:szCs w:val="23"/>
              </w:rPr>
              <w:t>s are</w:t>
            </w:r>
            <w:r w:rsidR="002B0E1B" w:rsidRPr="00B80DA4">
              <w:rPr>
                <w:color w:val="auto"/>
                <w:szCs w:val="23"/>
              </w:rPr>
              <w:t xml:space="preserve"> met:</w:t>
            </w:r>
            <w:r w:rsidR="002B0E1B" w:rsidRPr="00B80DA4" w:rsidDel="00A57976">
              <w:t xml:space="preserve"> </w:t>
            </w:r>
          </w:p>
          <w:p w14:paraId="06D02C05" w14:textId="77777777" w:rsidR="009261FA" w:rsidRDefault="00167C75" w:rsidP="00825CE8">
            <w:pPr>
              <w:spacing w:after="120" w:line="240" w:lineRule="auto"/>
              <w:jc w:val="left"/>
              <w:rPr>
                <w:color w:val="auto"/>
                <w:szCs w:val="23"/>
              </w:rPr>
            </w:pPr>
            <w:r>
              <w:t xml:space="preserve">7.1 </w:t>
            </w:r>
            <w:r w:rsidR="009261FA">
              <w:t>Delivery</w:t>
            </w:r>
            <w:r w:rsidR="009261FA" w:rsidRPr="00BF52D9">
              <w:rPr>
                <w:color w:val="auto"/>
                <w:szCs w:val="23"/>
              </w:rPr>
              <w:t xml:space="preserve"> </w:t>
            </w:r>
            <w:r w:rsidR="009261FA">
              <w:rPr>
                <w:color w:val="auto"/>
                <w:szCs w:val="23"/>
              </w:rPr>
              <w:t xml:space="preserve">of the </w:t>
            </w:r>
            <w:r w:rsidR="00C71020">
              <w:rPr>
                <w:color w:val="auto"/>
                <w:szCs w:val="23"/>
              </w:rPr>
              <w:t>New South Wales</w:t>
            </w:r>
            <w:r w:rsidR="009261FA" w:rsidRPr="00BF52D9">
              <w:rPr>
                <w:color w:val="auto"/>
                <w:szCs w:val="23"/>
              </w:rPr>
              <w:t xml:space="preserve"> Smart and Skilled </w:t>
            </w:r>
            <w:r w:rsidR="009261FA">
              <w:rPr>
                <w:color w:val="auto"/>
                <w:szCs w:val="23"/>
              </w:rPr>
              <w:t xml:space="preserve">fee free apprenticeship and traineeship programs, including implementation of communications activities and </w:t>
            </w:r>
            <w:r w:rsidR="009261FA" w:rsidRPr="00343869">
              <w:rPr>
                <w:color w:val="auto"/>
                <w:szCs w:val="23"/>
              </w:rPr>
              <w:t>industry engagement</w:t>
            </w:r>
            <w:r w:rsidR="009261FA">
              <w:rPr>
                <w:color w:val="auto"/>
                <w:szCs w:val="23"/>
              </w:rPr>
              <w:t xml:space="preserve"> to ensure the target of 100,000 apprentices and 70,000 traineeships are supported and the program continues to meet industry needs.</w:t>
            </w:r>
          </w:p>
          <w:p w14:paraId="7B356C24" w14:textId="77777777" w:rsidR="009261FA" w:rsidRDefault="00EC7ADC" w:rsidP="00825CE8">
            <w:pPr>
              <w:spacing w:after="120" w:line="240" w:lineRule="auto"/>
              <w:jc w:val="left"/>
              <w:rPr>
                <w:color w:val="auto"/>
                <w:szCs w:val="23"/>
              </w:rPr>
            </w:pPr>
            <w:r>
              <w:rPr>
                <w:color w:val="auto"/>
                <w:szCs w:val="23"/>
              </w:rPr>
              <w:t>7</w:t>
            </w:r>
            <w:r w:rsidR="009261FA">
              <w:rPr>
                <w:color w:val="auto"/>
                <w:szCs w:val="23"/>
              </w:rPr>
              <w:t xml:space="preserve">.2 Review the outputs and outcomes of the </w:t>
            </w:r>
            <w:r w:rsidR="00C71020">
              <w:rPr>
                <w:color w:val="auto"/>
                <w:szCs w:val="23"/>
              </w:rPr>
              <w:t>New South Wales</w:t>
            </w:r>
            <w:r w:rsidR="009261FA" w:rsidRPr="00BF52D9">
              <w:rPr>
                <w:color w:val="auto"/>
                <w:szCs w:val="23"/>
              </w:rPr>
              <w:t xml:space="preserve"> Smart and Skilled </w:t>
            </w:r>
            <w:r w:rsidR="009261FA">
              <w:rPr>
                <w:color w:val="auto"/>
                <w:szCs w:val="23"/>
              </w:rPr>
              <w:t xml:space="preserve">fee free apprenticeship and traineeship programs, including an assessment of the uptake of the fee-free apprenticeship and traineeship opportunities from commencement to 2021-22 </w:t>
            </w:r>
            <w:r w:rsidR="00040D24">
              <w:rPr>
                <w:color w:val="auto"/>
                <w:szCs w:val="23"/>
              </w:rPr>
              <w:br/>
            </w:r>
            <w:r w:rsidR="009261FA">
              <w:rPr>
                <w:color w:val="auto"/>
                <w:szCs w:val="23"/>
              </w:rPr>
              <w:t>(to 30 April 2022) taking into account a comparison to fee for service commencements.</w:t>
            </w:r>
          </w:p>
          <w:p w14:paraId="4B82A759" w14:textId="77777777" w:rsidR="009261FA" w:rsidRDefault="00EC7ADC" w:rsidP="00825CE8">
            <w:pPr>
              <w:spacing w:after="120" w:line="240" w:lineRule="auto"/>
              <w:jc w:val="left"/>
              <w:rPr>
                <w:color w:val="auto"/>
                <w:szCs w:val="23"/>
              </w:rPr>
            </w:pPr>
            <w:r>
              <w:rPr>
                <w:color w:val="auto"/>
                <w:szCs w:val="23"/>
              </w:rPr>
              <w:t>7</w:t>
            </w:r>
            <w:r w:rsidR="009261FA">
              <w:rPr>
                <w:color w:val="auto"/>
                <w:szCs w:val="23"/>
              </w:rPr>
              <w:t xml:space="preserve">.3 </w:t>
            </w:r>
            <w:r w:rsidR="009261FA" w:rsidRPr="00FC3512">
              <w:rPr>
                <w:color w:val="auto"/>
                <w:szCs w:val="23"/>
              </w:rPr>
              <w:t xml:space="preserve">Delivery of the </w:t>
            </w:r>
            <w:r w:rsidR="00C71020">
              <w:rPr>
                <w:color w:val="auto"/>
                <w:szCs w:val="23"/>
              </w:rPr>
              <w:t>New South Wales</w:t>
            </w:r>
            <w:r w:rsidR="009261FA" w:rsidRPr="00FC3512">
              <w:rPr>
                <w:color w:val="auto"/>
                <w:szCs w:val="23"/>
              </w:rPr>
              <w:t xml:space="preserve"> Smart and Skilled Targeted Priorities Pre-Vocational and Part Qualification program to support opportunities for students to undertake pre-apprenticeships and pre-traineeships.</w:t>
            </w:r>
            <w:r w:rsidR="001B337F">
              <w:rPr>
                <w:color w:val="auto"/>
                <w:szCs w:val="23"/>
              </w:rPr>
              <w:t xml:space="preserve"> </w:t>
            </w:r>
            <w:r w:rsidR="001B337F" w:rsidRPr="00343869">
              <w:rPr>
                <w:color w:val="auto"/>
                <w:szCs w:val="23"/>
              </w:rPr>
              <w:t xml:space="preserve">The milestone report will include the role of the TPPPQ in addressing skills needs and supporting the </w:t>
            </w:r>
            <w:r w:rsidR="00082CB0" w:rsidRPr="00343869">
              <w:rPr>
                <w:color w:val="auto"/>
                <w:szCs w:val="23"/>
              </w:rPr>
              <w:t xml:space="preserve">apprenticeship and traineeship </w:t>
            </w:r>
            <w:r w:rsidR="001B337F" w:rsidRPr="00343869">
              <w:rPr>
                <w:color w:val="auto"/>
                <w:szCs w:val="23"/>
              </w:rPr>
              <w:t xml:space="preserve">system in </w:t>
            </w:r>
            <w:r w:rsidR="00C71020" w:rsidRPr="00343869">
              <w:rPr>
                <w:color w:val="auto"/>
                <w:szCs w:val="23"/>
              </w:rPr>
              <w:t>New South Wales</w:t>
            </w:r>
            <w:r w:rsidR="001B337F" w:rsidRPr="00343869">
              <w:rPr>
                <w:color w:val="auto"/>
                <w:szCs w:val="23"/>
              </w:rPr>
              <w:t>.</w:t>
            </w:r>
          </w:p>
          <w:p w14:paraId="6E5AEE5A" w14:textId="0FF3E4CB" w:rsidR="009261FA" w:rsidRDefault="00EC7ADC">
            <w:pPr>
              <w:pStyle w:val="Heading1"/>
              <w:spacing w:before="0" w:after="120"/>
              <w:rPr>
                <w:rFonts w:ascii="Corbel" w:hAnsi="Corbel"/>
                <w:caps w:val="0"/>
                <w:color w:val="000000" w:themeColor="text1"/>
                <w:sz w:val="23"/>
                <w:szCs w:val="23"/>
              </w:rPr>
            </w:pPr>
            <w:r>
              <w:rPr>
                <w:rFonts w:ascii="Corbel" w:hAnsi="Corbel"/>
                <w:caps w:val="0"/>
                <w:color w:val="000000" w:themeColor="text1"/>
                <w:sz w:val="23"/>
                <w:szCs w:val="23"/>
              </w:rPr>
              <w:t>7</w:t>
            </w:r>
            <w:r w:rsidR="009261FA">
              <w:rPr>
                <w:rFonts w:ascii="Corbel" w:hAnsi="Corbel"/>
                <w:caps w:val="0"/>
                <w:color w:val="000000" w:themeColor="text1"/>
                <w:sz w:val="23"/>
                <w:szCs w:val="23"/>
              </w:rPr>
              <w:t>.</w:t>
            </w:r>
            <w:r w:rsidR="00AB3F18">
              <w:rPr>
                <w:rFonts w:ascii="Corbel" w:hAnsi="Corbel"/>
                <w:caps w:val="0"/>
                <w:color w:val="000000" w:themeColor="text1"/>
                <w:sz w:val="23"/>
                <w:szCs w:val="23"/>
              </w:rPr>
              <w:t>4</w:t>
            </w:r>
            <w:r w:rsidR="009261FA">
              <w:rPr>
                <w:rFonts w:ascii="Corbel" w:hAnsi="Corbel"/>
                <w:caps w:val="0"/>
                <w:color w:val="000000" w:themeColor="text1"/>
                <w:sz w:val="23"/>
                <w:szCs w:val="23"/>
              </w:rPr>
              <w:t xml:space="preserve"> Delivery of </w:t>
            </w:r>
            <w:r w:rsidR="0004561F">
              <w:rPr>
                <w:rFonts w:ascii="Corbel" w:hAnsi="Corbel"/>
                <w:caps w:val="0"/>
                <w:color w:val="000000" w:themeColor="text1"/>
                <w:sz w:val="23"/>
                <w:szCs w:val="23"/>
              </w:rPr>
              <w:t>infrastructure skills initiatives</w:t>
            </w:r>
            <w:r w:rsidR="009261FA">
              <w:rPr>
                <w:rFonts w:ascii="Corbel" w:hAnsi="Corbel"/>
                <w:caps w:val="0"/>
                <w:color w:val="000000" w:themeColor="text1"/>
                <w:sz w:val="23"/>
                <w:szCs w:val="23"/>
              </w:rPr>
              <w:t xml:space="preserve"> for government infrastructure projects, including industry engagement to ensure </w:t>
            </w:r>
            <w:r w:rsidR="0004561F">
              <w:rPr>
                <w:rFonts w:ascii="Corbel" w:hAnsi="Corbel"/>
                <w:caps w:val="0"/>
                <w:color w:val="000000" w:themeColor="text1"/>
                <w:sz w:val="23"/>
                <w:szCs w:val="23"/>
              </w:rPr>
              <w:t xml:space="preserve">initiatives </w:t>
            </w:r>
            <w:r w:rsidR="009261FA">
              <w:rPr>
                <w:rFonts w:ascii="Corbel" w:hAnsi="Corbel"/>
                <w:caps w:val="0"/>
                <w:color w:val="000000" w:themeColor="text1"/>
                <w:sz w:val="23"/>
                <w:szCs w:val="23"/>
              </w:rPr>
              <w:t xml:space="preserve">continue to meet </w:t>
            </w:r>
            <w:r w:rsidR="00525BF2">
              <w:rPr>
                <w:rFonts w:ascii="Corbel" w:hAnsi="Corbel"/>
                <w:caps w:val="0"/>
                <w:color w:val="000000" w:themeColor="text1"/>
                <w:sz w:val="23"/>
                <w:szCs w:val="23"/>
              </w:rPr>
              <w:t>the needs of participants and employers</w:t>
            </w:r>
            <w:r w:rsidR="009261FA">
              <w:rPr>
                <w:rFonts w:ascii="Corbel" w:hAnsi="Corbel"/>
                <w:caps w:val="0"/>
                <w:color w:val="000000" w:themeColor="text1"/>
                <w:sz w:val="23"/>
                <w:szCs w:val="23"/>
              </w:rPr>
              <w:t>.</w:t>
            </w:r>
          </w:p>
          <w:p w14:paraId="3176D78D" w14:textId="1A9D0C40" w:rsidR="009261FA" w:rsidRDefault="00EC7ADC">
            <w:pPr>
              <w:pStyle w:val="Heading1"/>
              <w:spacing w:before="0" w:after="120"/>
              <w:rPr>
                <w:rFonts w:ascii="Corbel" w:hAnsi="Corbel"/>
                <w:caps w:val="0"/>
                <w:color w:val="000000" w:themeColor="text1"/>
                <w:sz w:val="23"/>
                <w:szCs w:val="23"/>
              </w:rPr>
            </w:pPr>
            <w:r>
              <w:rPr>
                <w:rFonts w:ascii="Corbel" w:hAnsi="Corbel"/>
                <w:caps w:val="0"/>
                <w:color w:val="000000" w:themeColor="text1"/>
                <w:sz w:val="23"/>
                <w:szCs w:val="23"/>
              </w:rPr>
              <w:t>7</w:t>
            </w:r>
            <w:r w:rsidR="009261FA">
              <w:rPr>
                <w:rFonts w:ascii="Corbel" w:hAnsi="Corbel"/>
                <w:caps w:val="0"/>
                <w:color w:val="000000" w:themeColor="text1"/>
                <w:sz w:val="23"/>
                <w:szCs w:val="23"/>
              </w:rPr>
              <w:t>.</w:t>
            </w:r>
            <w:r w:rsidR="00AB3F18">
              <w:rPr>
                <w:rFonts w:ascii="Corbel" w:hAnsi="Corbel"/>
                <w:caps w:val="0"/>
                <w:color w:val="000000" w:themeColor="text1"/>
                <w:sz w:val="23"/>
                <w:szCs w:val="23"/>
              </w:rPr>
              <w:t>5</w:t>
            </w:r>
            <w:r w:rsidR="009261FA">
              <w:rPr>
                <w:rFonts w:ascii="Corbel" w:hAnsi="Corbel"/>
                <w:caps w:val="0"/>
                <w:color w:val="000000" w:themeColor="text1"/>
                <w:sz w:val="23"/>
                <w:szCs w:val="23"/>
              </w:rPr>
              <w:t xml:space="preserve"> Assessment of the uptake in 2018-19, 2019-20, 2020-21 and 2021-22 (up to 30 April 2022) of the </w:t>
            </w:r>
            <w:r w:rsidR="00720325">
              <w:rPr>
                <w:rFonts w:ascii="Corbel" w:hAnsi="Corbel"/>
                <w:caps w:val="0"/>
                <w:color w:val="000000" w:themeColor="text1"/>
                <w:sz w:val="23"/>
                <w:szCs w:val="23"/>
              </w:rPr>
              <w:t>infrastructure skills initiatives</w:t>
            </w:r>
            <w:r w:rsidR="001B337F">
              <w:rPr>
                <w:rFonts w:ascii="Corbel" w:hAnsi="Corbel"/>
                <w:caps w:val="0"/>
                <w:color w:val="000000" w:themeColor="text1"/>
                <w:sz w:val="23"/>
                <w:szCs w:val="23"/>
              </w:rPr>
              <w:t>, including performance against targets.</w:t>
            </w:r>
          </w:p>
          <w:p w14:paraId="37380295" w14:textId="15EBB830" w:rsidR="009261FA" w:rsidRDefault="00EC7ADC">
            <w:pPr>
              <w:pStyle w:val="Heading1"/>
              <w:spacing w:before="0" w:after="120"/>
              <w:rPr>
                <w:rFonts w:ascii="Corbel" w:hAnsi="Corbel"/>
                <w:caps w:val="0"/>
                <w:color w:val="000000" w:themeColor="text1"/>
                <w:sz w:val="23"/>
                <w:szCs w:val="23"/>
              </w:rPr>
            </w:pPr>
            <w:r w:rsidRPr="007155A4">
              <w:rPr>
                <w:rFonts w:ascii="Corbel" w:hAnsi="Corbel"/>
                <w:caps w:val="0"/>
                <w:color w:val="000000" w:themeColor="text1"/>
                <w:sz w:val="23"/>
                <w:szCs w:val="23"/>
              </w:rPr>
              <w:t>7</w:t>
            </w:r>
            <w:r w:rsidR="009261FA" w:rsidRPr="007155A4">
              <w:rPr>
                <w:rFonts w:ascii="Corbel" w:hAnsi="Corbel"/>
                <w:caps w:val="0"/>
                <w:color w:val="000000" w:themeColor="text1"/>
                <w:sz w:val="23"/>
                <w:szCs w:val="23"/>
              </w:rPr>
              <w:t>.</w:t>
            </w:r>
            <w:r w:rsidR="00AB3F18">
              <w:rPr>
                <w:rFonts w:ascii="Corbel" w:hAnsi="Corbel"/>
                <w:caps w:val="0"/>
                <w:color w:val="000000" w:themeColor="text1"/>
                <w:sz w:val="23"/>
                <w:szCs w:val="23"/>
              </w:rPr>
              <w:t>6</w:t>
            </w:r>
            <w:r w:rsidR="009261FA" w:rsidRPr="007155A4">
              <w:rPr>
                <w:rFonts w:ascii="Corbel" w:hAnsi="Corbel"/>
                <w:caps w:val="0"/>
                <w:color w:val="000000" w:themeColor="text1"/>
                <w:sz w:val="23"/>
                <w:szCs w:val="23"/>
              </w:rPr>
              <w:t xml:space="preserve"> Review of </w:t>
            </w:r>
            <w:r w:rsidR="00920272" w:rsidRPr="007155A4">
              <w:rPr>
                <w:rFonts w:ascii="Corbel" w:hAnsi="Corbel"/>
                <w:caps w:val="0"/>
                <w:color w:val="000000" w:themeColor="text1"/>
                <w:sz w:val="23"/>
                <w:szCs w:val="23"/>
              </w:rPr>
              <w:t>initiatives on apprenticeship recruitment and completion incentives</w:t>
            </w:r>
            <w:r w:rsidR="009261FA" w:rsidRPr="007155A4">
              <w:rPr>
                <w:rFonts w:ascii="Corbel" w:hAnsi="Corbel"/>
                <w:caps w:val="0"/>
                <w:color w:val="000000" w:themeColor="text1"/>
                <w:sz w:val="23"/>
                <w:szCs w:val="23"/>
              </w:rPr>
              <w:t xml:space="preserve"> </w:t>
            </w:r>
            <w:r w:rsidR="00525BF2" w:rsidRPr="007155A4">
              <w:rPr>
                <w:rFonts w:ascii="Corbel" w:hAnsi="Corbel"/>
                <w:caps w:val="0"/>
                <w:color w:val="000000" w:themeColor="text1"/>
                <w:sz w:val="23"/>
                <w:szCs w:val="23"/>
              </w:rPr>
              <w:t xml:space="preserve">including </w:t>
            </w:r>
            <w:r w:rsidR="009261FA" w:rsidRPr="007155A4">
              <w:rPr>
                <w:rFonts w:ascii="Corbel" w:hAnsi="Corbel"/>
                <w:caps w:val="0"/>
                <w:color w:val="000000" w:themeColor="text1"/>
                <w:sz w:val="23"/>
                <w:szCs w:val="23"/>
              </w:rPr>
              <w:t>consultation with existing organisations and employers, with a view to potential next steps.</w:t>
            </w:r>
          </w:p>
          <w:p w14:paraId="7AC7D71B" w14:textId="0F05C11D" w:rsidR="009261FA" w:rsidRDefault="00EC7ADC">
            <w:pPr>
              <w:spacing w:after="120" w:line="240" w:lineRule="auto"/>
              <w:jc w:val="left"/>
            </w:pPr>
            <w:r>
              <w:t>7.</w:t>
            </w:r>
            <w:r w:rsidR="00AB3F18">
              <w:t>7</w:t>
            </w:r>
            <w:r w:rsidR="009261FA">
              <w:t xml:space="preserve"> Review the </w:t>
            </w:r>
            <w:r>
              <w:t xml:space="preserve">outputs and outcomes of the </w:t>
            </w:r>
            <w:r w:rsidR="009261FA">
              <w:t xml:space="preserve">two </w:t>
            </w:r>
            <w:r w:rsidR="00905AA2">
              <w:t>B</w:t>
            </w:r>
            <w:r w:rsidR="009261FA">
              <w:t xml:space="preserve">ootcamps </w:t>
            </w:r>
            <w:r w:rsidR="003F65F2">
              <w:t xml:space="preserve">(referenced in 6.9) </w:t>
            </w:r>
            <w:r w:rsidR="009261FA">
              <w:t>to help young people secure a care</w:t>
            </w:r>
            <w:r>
              <w:t xml:space="preserve">er in the construction industry, with consideration of the </w:t>
            </w:r>
            <w:r w:rsidR="009261FA">
              <w:t>uptake (to 30 April 202</w:t>
            </w:r>
            <w:r>
              <w:t>2</w:t>
            </w:r>
            <w:r w:rsidR="009261FA">
              <w:t>).</w:t>
            </w:r>
          </w:p>
          <w:p w14:paraId="5F9423DD" w14:textId="6ACE276F" w:rsidR="00EC7ADC" w:rsidRDefault="00EC7ADC">
            <w:pPr>
              <w:spacing w:after="120" w:line="240" w:lineRule="auto"/>
              <w:jc w:val="left"/>
            </w:pPr>
            <w:r>
              <w:t>7</w:t>
            </w:r>
            <w:r w:rsidR="009261FA">
              <w:t>.</w:t>
            </w:r>
            <w:r w:rsidR="00AB3F18">
              <w:t>8</w:t>
            </w:r>
            <w:r w:rsidR="009261FA">
              <w:t xml:space="preserve"> </w:t>
            </w:r>
            <w:r>
              <w:t>Implement</w:t>
            </w:r>
            <w:r w:rsidR="009261FA">
              <w:t xml:space="preserve"> activities </w:t>
            </w:r>
            <w:r>
              <w:t>to:</w:t>
            </w:r>
          </w:p>
          <w:p w14:paraId="5130B544" w14:textId="77777777" w:rsidR="00EC7ADC" w:rsidRDefault="00EC7ADC" w:rsidP="001A7DDC">
            <w:pPr>
              <w:pStyle w:val="ListParagraph"/>
              <w:numPr>
                <w:ilvl w:val="0"/>
                <w:numId w:val="20"/>
              </w:numPr>
              <w:spacing w:after="120" w:line="240" w:lineRule="auto"/>
              <w:jc w:val="left"/>
            </w:pPr>
            <w:r>
              <w:t>increasing uptake, retention and completion rates of apprenticeships, including school based apprenticeships</w:t>
            </w:r>
            <w:r w:rsidR="00343869">
              <w:t xml:space="preserve"> and traineeships</w:t>
            </w:r>
          </w:p>
          <w:p w14:paraId="54A6E5B1" w14:textId="77777777" w:rsidR="009261FA" w:rsidRDefault="00EC7ADC" w:rsidP="001A7DDC">
            <w:pPr>
              <w:pStyle w:val="ListParagraph"/>
              <w:numPr>
                <w:ilvl w:val="0"/>
                <w:numId w:val="20"/>
              </w:numPr>
              <w:spacing w:after="120" w:line="240" w:lineRule="auto"/>
              <w:jc w:val="left"/>
            </w:pPr>
            <w:r>
              <w:t xml:space="preserve">increase take up of higher apprenticeships and higher traineeships and identify next steps.  </w:t>
            </w:r>
          </w:p>
          <w:p w14:paraId="21C69809" w14:textId="0270479B" w:rsidR="00EC7ADC" w:rsidRDefault="00EC7ADC" w:rsidP="0076089A">
            <w:pPr>
              <w:spacing w:after="120" w:line="240" w:lineRule="auto"/>
            </w:pPr>
            <w:r>
              <w:t>7.</w:t>
            </w:r>
            <w:r w:rsidR="00AB3F18">
              <w:t>9</w:t>
            </w:r>
            <w:r w:rsidR="009E2E34">
              <w:t xml:space="preserve"> </w:t>
            </w:r>
            <w:r>
              <w:t>Review, evaluate and make recommendations on the effectiveness of a series of programs to increasing the take up of apprenticeships and traineeships:</w:t>
            </w:r>
          </w:p>
          <w:p w14:paraId="5AC357DA" w14:textId="77777777" w:rsidR="00EC7ADC" w:rsidRDefault="00EC7ADC" w:rsidP="001A7DDC">
            <w:pPr>
              <w:pStyle w:val="ListParagraph"/>
              <w:numPr>
                <w:ilvl w:val="0"/>
                <w:numId w:val="20"/>
              </w:numPr>
              <w:spacing w:after="120" w:line="240" w:lineRule="auto"/>
              <w:jc w:val="left"/>
            </w:pPr>
            <w:r>
              <w:t>the Bert Evans Scholarship and recommendations for improvement to the program</w:t>
            </w:r>
          </w:p>
          <w:p w14:paraId="130E2415" w14:textId="77777777" w:rsidR="009261FA" w:rsidRPr="00B80DA4" w:rsidRDefault="00EC7ADC" w:rsidP="00013B31">
            <w:pPr>
              <w:pStyle w:val="ListParagraph"/>
              <w:numPr>
                <w:ilvl w:val="0"/>
                <w:numId w:val="20"/>
              </w:numPr>
              <w:spacing w:after="120" w:line="240" w:lineRule="auto"/>
              <w:jc w:val="left"/>
            </w:pPr>
            <w:r>
              <w:t xml:space="preserve">the </w:t>
            </w:r>
            <w:r w:rsidR="00013B31">
              <w:t>‘</w:t>
            </w:r>
            <w:r w:rsidR="00C71020">
              <w:t>New South Wales</w:t>
            </w:r>
            <w:r>
              <w:t xml:space="preserve"> Supervisors’ Workshop</w:t>
            </w:r>
            <w:r w:rsidR="00013B31">
              <w:t>’</w:t>
            </w:r>
            <w:r w:rsidR="00C03BEB">
              <w:t xml:space="preserve"> </w:t>
            </w:r>
            <w:r w:rsidR="00013B31">
              <w:t>(</w:t>
            </w:r>
            <w:r w:rsidR="00C03BEB">
              <w:t xml:space="preserve">for </w:t>
            </w:r>
            <w:r w:rsidR="00ED7D99">
              <w:t>employers who supervise apprentices and trainees</w:t>
            </w:r>
            <w:r w:rsidR="00013B31">
              <w:t xml:space="preserve"> in their workplaces)</w:t>
            </w:r>
            <w:r>
              <w:t>.</w:t>
            </w:r>
          </w:p>
        </w:tc>
        <w:tc>
          <w:tcPr>
            <w:tcW w:w="1559" w:type="dxa"/>
            <w:tcBorders>
              <w:bottom w:val="single" w:sz="4" w:space="0" w:color="4F81BD"/>
            </w:tcBorders>
          </w:tcPr>
          <w:p w14:paraId="208B03F6" w14:textId="77777777" w:rsidR="002B0E1B" w:rsidRPr="00B80DA4" w:rsidRDefault="002B0E1B" w:rsidP="001A19B0">
            <w:pPr>
              <w:spacing w:after="0"/>
              <w:jc w:val="right"/>
            </w:pPr>
            <w:r w:rsidRPr="00B80DA4">
              <w:t>30 April 2022</w:t>
            </w:r>
          </w:p>
        </w:tc>
        <w:tc>
          <w:tcPr>
            <w:tcW w:w="1535" w:type="dxa"/>
            <w:tcBorders>
              <w:bottom w:val="single" w:sz="4" w:space="0" w:color="4F81BD"/>
            </w:tcBorders>
          </w:tcPr>
          <w:p w14:paraId="1023AF0A" w14:textId="5DBB3E3D" w:rsidR="002B0E1B" w:rsidRPr="00281754" w:rsidRDefault="008423B8" w:rsidP="008423B8">
            <w:pPr>
              <w:spacing w:after="0"/>
              <w:jc w:val="right"/>
            </w:pPr>
            <w:r>
              <w:t>$16,084,</w:t>
            </w:r>
            <w:r w:rsidR="00ED0983">
              <w:t>4</w:t>
            </w:r>
            <w:r>
              <w:t xml:space="preserve">00 </w:t>
            </w:r>
          </w:p>
        </w:tc>
      </w:tr>
    </w:tbl>
    <w:p w14:paraId="35A65649" w14:textId="4344C1B5" w:rsidR="00621C31" w:rsidRPr="00255DB2" w:rsidRDefault="00F11D74" w:rsidP="0086642B">
      <w:pPr>
        <w:spacing w:after="200" w:line="276" w:lineRule="auto"/>
        <w:jc w:val="left"/>
      </w:pPr>
      <w:r>
        <w:rPr>
          <w:b/>
        </w:rPr>
        <w:br/>
      </w:r>
      <w:r w:rsidR="0086642B">
        <w:rPr>
          <w:b/>
        </w:rPr>
        <w:t>P</w:t>
      </w:r>
      <w:r w:rsidR="00621C31" w:rsidRPr="00255DB2">
        <w:rPr>
          <w:b/>
        </w:rPr>
        <w:t>erformance benchmark part-payments</w:t>
      </w:r>
    </w:p>
    <w:p w14:paraId="49490177" w14:textId="77777777" w:rsidR="00AB6A26" w:rsidRPr="00AB6A26" w:rsidRDefault="00621C31" w:rsidP="001A7DDC">
      <w:pPr>
        <w:pStyle w:val="ScheduleNumberedPara"/>
        <w:numPr>
          <w:ilvl w:val="0"/>
          <w:numId w:val="13"/>
        </w:numPr>
        <w:tabs>
          <w:tab w:val="left" w:pos="0"/>
        </w:tabs>
        <w:ind w:left="426" w:hanging="426"/>
      </w:pPr>
      <w:r w:rsidRPr="00AB6A26">
        <w:t>The calculation of pro rata performance payments will be on the following basis:</w:t>
      </w:r>
    </w:p>
    <w:p w14:paraId="10CA0EFF" w14:textId="77777777" w:rsidR="00621C31" w:rsidRDefault="00621C31" w:rsidP="00FD74E1">
      <w:pPr>
        <w:pStyle w:val="ScheduleNumberedPara"/>
        <w:numPr>
          <w:ilvl w:val="0"/>
          <w:numId w:val="17"/>
        </w:numPr>
        <w:spacing w:before="240"/>
        <w:ind w:left="1134" w:hanging="567"/>
        <w:jc w:val="left"/>
      </w:pPr>
      <w:r>
        <w:t>Pro rata payment = (1+ (</w:t>
      </w:r>
      <w:r w:rsidR="00D0110D">
        <w:t xml:space="preserve">A </w:t>
      </w:r>
      <w:r>
        <w:t xml:space="preserve">– </w:t>
      </w:r>
      <w:r w:rsidR="00D0110D">
        <w:t>B</w:t>
      </w:r>
      <w:r>
        <w:t>)/</w:t>
      </w:r>
      <w:r w:rsidR="00D0110D">
        <w:t>C</w:t>
      </w:r>
      <w:r>
        <w:t>)*</w:t>
      </w:r>
      <w:r w:rsidR="00D0110D">
        <w:t>D</w:t>
      </w:r>
    </w:p>
    <w:p w14:paraId="32ADFB2B" w14:textId="77777777" w:rsidR="00621C31" w:rsidRDefault="00621C31" w:rsidP="00FD74E1">
      <w:pPr>
        <w:pStyle w:val="ListParagraph"/>
        <w:spacing w:after="120"/>
        <w:ind w:left="1134"/>
        <w:contextualSpacing w:val="0"/>
        <w:jc w:val="left"/>
      </w:pPr>
      <w:r>
        <w:t>Where</w:t>
      </w:r>
    </w:p>
    <w:p w14:paraId="578972BE" w14:textId="5B18D962" w:rsidR="00D0110D" w:rsidRDefault="00621C31" w:rsidP="00144387">
      <w:pPr>
        <w:pStyle w:val="ListParagraph"/>
        <w:spacing w:after="120"/>
        <w:ind w:left="1418" w:hanging="284"/>
        <w:contextualSpacing w:val="0"/>
        <w:jc w:val="left"/>
      </w:pPr>
      <w:r>
        <w:t xml:space="preserve">A </w:t>
      </w:r>
      <w:r w:rsidR="00144387">
        <w:t xml:space="preserve"> </w:t>
      </w:r>
      <w:r w:rsidR="00D0110D">
        <w:t>is the number of co</w:t>
      </w:r>
      <w:r w:rsidR="001D60A3">
        <w:t>mmencements reported on 30 April</w:t>
      </w:r>
    </w:p>
    <w:p w14:paraId="4F03BFDC" w14:textId="58B29AA7" w:rsidR="00621C31" w:rsidRDefault="00D0110D" w:rsidP="00144387">
      <w:pPr>
        <w:pStyle w:val="ListParagraph"/>
        <w:spacing w:after="120"/>
        <w:ind w:left="1418" w:hanging="284"/>
        <w:contextualSpacing w:val="0"/>
        <w:jc w:val="left"/>
      </w:pPr>
      <w:r>
        <w:t xml:space="preserve">B </w:t>
      </w:r>
      <w:r w:rsidR="00144387">
        <w:t xml:space="preserve"> </w:t>
      </w:r>
      <w:r w:rsidR="00621C31">
        <w:t xml:space="preserve">is the </w:t>
      </w:r>
      <w:r>
        <w:t xml:space="preserve">number of </w:t>
      </w:r>
      <w:r w:rsidR="00621C31">
        <w:t xml:space="preserve">commencements required to </w:t>
      </w:r>
      <w:r>
        <w:t>receive the minimum performance</w:t>
      </w:r>
      <w:r w:rsidR="00621C31">
        <w:t xml:space="preserve"> payment </w:t>
      </w:r>
      <w:r w:rsidR="00C966DE">
        <w:t>as at 30 April</w:t>
      </w:r>
      <w:r w:rsidR="00BC3BCE">
        <w:t>.</w:t>
      </w:r>
    </w:p>
    <w:p w14:paraId="5DE436C8" w14:textId="0AAC3A1F" w:rsidR="00621C31" w:rsidRDefault="00854E43" w:rsidP="00144387">
      <w:pPr>
        <w:pStyle w:val="ListParagraph"/>
        <w:spacing w:after="120"/>
        <w:ind w:left="1418" w:hanging="284"/>
        <w:contextualSpacing w:val="0"/>
        <w:jc w:val="left"/>
      </w:pPr>
      <w:r>
        <w:t>C</w:t>
      </w:r>
      <w:r w:rsidR="00BC3BCE">
        <w:t xml:space="preserve"> </w:t>
      </w:r>
      <w:r w:rsidR="00144387">
        <w:t xml:space="preserve"> </w:t>
      </w:r>
      <w:r w:rsidR="003E031E" w:rsidRPr="00147F14">
        <w:rPr>
          <w:color w:val="auto"/>
        </w:rPr>
        <w:t xml:space="preserve">is the difference between the </w:t>
      </w:r>
      <w:r w:rsidR="003E031E">
        <w:rPr>
          <w:color w:val="auto"/>
        </w:rPr>
        <w:t>number of commencements required to receive the full performance payment</w:t>
      </w:r>
      <w:r w:rsidR="003E031E" w:rsidRPr="00147F14">
        <w:rPr>
          <w:color w:val="auto"/>
        </w:rPr>
        <w:t xml:space="preserve"> </w:t>
      </w:r>
      <w:r w:rsidR="003E031E">
        <w:rPr>
          <w:color w:val="auto"/>
        </w:rPr>
        <w:t xml:space="preserve">as at 30 April </w:t>
      </w:r>
      <w:r w:rsidR="003E031E" w:rsidRPr="00147F14">
        <w:rPr>
          <w:color w:val="auto"/>
        </w:rPr>
        <w:t>and the number of commencements required to receive the minimum performance payment</w:t>
      </w:r>
      <w:r w:rsidR="003E031E">
        <w:rPr>
          <w:color w:val="auto"/>
        </w:rPr>
        <w:t xml:space="preserve"> as at 30 April</w:t>
      </w:r>
      <w:r w:rsidR="00BC3BCE">
        <w:rPr>
          <w:color w:val="auto"/>
        </w:rPr>
        <w:t>.</w:t>
      </w:r>
    </w:p>
    <w:p w14:paraId="17168B06" w14:textId="2006BA15" w:rsidR="00621C31" w:rsidRPr="00FD74E1" w:rsidRDefault="00854E43" w:rsidP="00144387">
      <w:pPr>
        <w:ind w:left="1418" w:hanging="284"/>
        <w:jc w:val="left"/>
        <w:rPr>
          <w:color w:val="auto"/>
          <w:szCs w:val="23"/>
        </w:rPr>
      </w:pPr>
      <w:r w:rsidRPr="00FD74E1">
        <w:rPr>
          <w:color w:val="auto"/>
          <w:szCs w:val="23"/>
        </w:rPr>
        <w:t>D</w:t>
      </w:r>
      <w:r w:rsidR="00621C31" w:rsidRPr="00FD74E1">
        <w:rPr>
          <w:color w:val="auto"/>
          <w:szCs w:val="23"/>
        </w:rPr>
        <w:t xml:space="preserve"> </w:t>
      </w:r>
      <w:r w:rsidR="00144387">
        <w:rPr>
          <w:color w:val="auto"/>
          <w:szCs w:val="23"/>
        </w:rPr>
        <w:t xml:space="preserve"> </w:t>
      </w:r>
      <w:r w:rsidR="00621C31" w:rsidRPr="00FD74E1">
        <w:rPr>
          <w:color w:val="auto"/>
          <w:szCs w:val="23"/>
        </w:rPr>
        <w:t xml:space="preserve">is the </w:t>
      </w:r>
      <w:r w:rsidR="00D0110D" w:rsidRPr="00FD74E1">
        <w:rPr>
          <w:color w:val="auto"/>
          <w:szCs w:val="23"/>
        </w:rPr>
        <w:t xml:space="preserve">minimum performance </w:t>
      </w:r>
      <w:r w:rsidR="00621C31" w:rsidRPr="00FD74E1">
        <w:rPr>
          <w:color w:val="auto"/>
          <w:szCs w:val="23"/>
        </w:rPr>
        <w:t>pa</w:t>
      </w:r>
      <w:r w:rsidR="00BF3BAC" w:rsidRPr="00FD74E1">
        <w:rPr>
          <w:color w:val="auto"/>
          <w:szCs w:val="23"/>
        </w:rPr>
        <w:t>yment</w:t>
      </w:r>
      <w:r w:rsidR="00621C31" w:rsidRPr="00FD74E1">
        <w:rPr>
          <w:color w:val="auto"/>
          <w:szCs w:val="23"/>
        </w:rPr>
        <w:t xml:space="preserve">. </w:t>
      </w:r>
    </w:p>
    <w:p w14:paraId="17B8FCF6" w14:textId="77777777" w:rsidR="0099580C" w:rsidRDefault="0099580C">
      <w:pPr>
        <w:spacing w:after="200" w:line="276" w:lineRule="auto"/>
        <w:jc w:val="left"/>
        <w:rPr>
          <w:b/>
        </w:rPr>
      </w:pPr>
      <w:r>
        <w:rPr>
          <w:b/>
        </w:rPr>
        <w:br w:type="page"/>
      </w:r>
    </w:p>
    <w:p w14:paraId="56E01C07" w14:textId="18BFF8D0" w:rsidR="00723AA9" w:rsidRDefault="00621C31" w:rsidP="00FD74E1">
      <w:pPr>
        <w:pStyle w:val="ScheduleNumberedPara"/>
        <w:spacing w:before="120"/>
        <w:rPr>
          <w:b/>
        </w:rPr>
      </w:pPr>
      <w:r w:rsidRPr="00255DB2">
        <w:rPr>
          <w:b/>
        </w:rPr>
        <w:t>Carrying forward commencements</w:t>
      </w:r>
      <w:r w:rsidR="00497EFC">
        <w:rPr>
          <w:b/>
        </w:rPr>
        <w:t xml:space="preserve"> above the total performance benchmark</w:t>
      </w:r>
    </w:p>
    <w:p w14:paraId="6EA010E2" w14:textId="68DA7B5B" w:rsidR="00BF3BAC" w:rsidRPr="00AB6A26" w:rsidRDefault="004F5D53" w:rsidP="00FD74E1">
      <w:pPr>
        <w:pStyle w:val="ScheduleNumberedPara"/>
        <w:numPr>
          <w:ilvl w:val="0"/>
          <w:numId w:val="13"/>
        </w:numPr>
        <w:tabs>
          <w:tab w:val="left" w:pos="0"/>
        </w:tabs>
        <w:ind w:left="567" w:hanging="567"/>
        <w:jc w:val="left"/>
      </w:pPr>
      <w:r w:rsidRPr="0076089A">
        <w:rPr>
          <w:color w:val="auto"/>
          <w:szCs w:val="23"/>
        </w:rPr>
        <w:t>In accordance with clause 11 of the Agreement,</w:t>
      </w:r>
      <w:r w:rsidRPr="0076089A">
        <w:rPr>
          <w:color w:val="auto"/>
        </w:rPr>
        <w:t xml:space="preserve"> </w:t>
      </w:r>
      <w:r w:rsidR="00C71020">
        <w:rPr>
          <w:color w:val="auto"/>
        </w:rPr>
        <w:t>New South Wales</w:t>
      </w:r>
      <w:r w:rsidR="00621C31" w:rsidRPr="0076089A">
        <w:rPr>
          <w:color w:val="auto"/>
        </w:rPr>
        <w:t xml:space="preserve"> </w:t>
      </w:r>
      <w:r w:rsidR="00BF3BAC" w:rsidRPr="00AB6A26">
        <w:t xml:space="preserve">may carry forward </w:t>
      </w:r>
      <w:r w:rsidR="00F068C2">
        <w:t xml:space="preserve">any </w:t>
      </w:r>
      <w:r w:rsidR="00BF3BAC" w:rsidRPr="00AB6A26">
        <w:t xml:space="preserve">commencements </w:t>
      </w:r>
      <w:r w:rsidR="00F068C2">
        <w:t xml:space="preserve">achieved </w:t>
      </w:r>
      <w:r w:rsidR="00BF3BAC" w:rsidRPr="00AB6A26">
        <w:t xml:space="preserve">above the total performance benchmark in a  financial year to </w:t>
      </w:r>
      <w:r w:rsidR="00F068C2">
        <w:t xml:space="preserve">contribute to </w:t>
      </w:r>
      <w:r w:rsidR="00BF3BAC" w:rsidRPr="00AB6A26">
        <w:t xml:space="preserve"> performance benchmark</w:t>
      </w:r>
      <w:r w:rsidR="00F068C2">
        <w:t>/</w:t>
      </w:r>
      <w:r w:rsidR="00BF3BAC" w:rsidRPr="00AB6A26">
        <w:t xml:space="preserve">s in </w:t>
      </w:r>
      <w:r w:rsidR="00F068C2">
        <w:t>following</w:t>
      </w:r>
      <w:r w:rsidR="00BF3BAC" w:rsidRPr="00AB6A26">
        <w:t xml:space="preserve"> financial year</w:t>
      </w:r>
      <w:r w:rsidR="00F068C2">
        <w:t>s for the duration of the National Partnership</w:t>
      </w:r>
      <w:r w:rsidR="00BF3BAC" w:rsidRPr="00AB6A26">
        <w:t xml:space="preserve">.  </w:t>
      </w:r>
    </w:p>
    <w:p w14:paraId="0DB48DDD" w14:textId="20BB2FF2" w:rsidR="00BF3BAC" w:rsidRPr="00AB6A26" w:rsidRDefault="00BF3BAC" w:rsidP="00FD74E1">
      <w:pPr>
        <w:pStyle w:val="ScheduleNumberedPara"/>
        <w:numPr>
          <w:ilvl w:val="0"/>
          <w:numId w:val="18"/>
        </w:numPr>
        <w:tabs>
          <w:tab w:val="left" w:pos="1134"/>
        </w:tabs>
        <w:spacing w:after="120"/>
        <w:ind w:left="1134" w:hanging="567"/>
        <w:jc w:val="left"/>
      </w:pPr>
      <w:r w:rsidRPr="00AB6A26">
        <w:t>The number of commencements are to be confirmed through final, validated data for the period 1 July to 30 June</w:t>
      </w:r>
      <w:r w:rsidR="00F068C2">
        <w:t>.</w:t>
      </w:r>
    </w:p>
    <w:p w14:paraId="62B31027" w14:textId="39A7288E" w:rsidR="00BF3BAC" w:rsidRPr="00AB6A26" w:rsidRDefault="00BF3BAC" w:rsidP="00FD74E1">
      <w:pPr>
        <w:pStyle w:val="ScheduleNumberedPara"/>
        <w:numPr>
          <w:ilvl w:val="0"/>
          <w:numId w:val="18"/>
        </w:numPr>
        <w:spacing w:after="120"/>
        <w:ind w:left="1134" w:hanging="567"/>
        <w:jc w:val="left"/>
      </w:pPr>
      <w:r w:rsidRPr="00AB6A26">
        <w:t>The confirmed number of commencements are to be reported in the 30 April annual report in the financial year in which the commencements are to count towards any identified performance benchmark</w:t>
      </w:r>
      <w:r w:rsidR="00F068C2">
        <w:t>/</w:t>
      </w:r>
      <w:r w:rsidRPr="00AB6A26">
        <w:t xml:space="preserve">s.  </w:t>
      </w:r>
    </w:p>
    <w:p w14:paraId="0A7FA334" w14:textId="1F87BE4F" w:rsidR="00BF3BAC" w:rsidRPr="00AB6A26" w:rsidRDefault="00BF3BAC" w:rsidP="00FD74E1">
      <w:pPr>
        <w:pStyle w:val="ScheduleNumberedPara"/>
        <w:numPr>
          <w:ilvl w:val="0"/>
          <w:numId w:val="18"/>
        </w:numPr>
        <w:spacing w:after="120"/>
        <w:ind w:left="1134" w:hanging="567"/>
        <w:jc w:val="left"/>
      </w:pPr>
      <w:r w:rsidRPr="00AB6A26">
        <w:t>The confirmed commencements can only be counted towards the same training activity, or an alternative training activity as determined in Attachment A</w:t>
      </w:r>
      <w:r w:rsidR="00F068C2">
        <w:t xml:space="preserve"> of this schedule</w:t>
      </w:r>
      <w:r w:rsidRPr="00AB6A26">
        <w:t>.</w:t>
      </w:r>
    </w:p>
    <w:p w14:paraId="5DA4BF1B" w14:textId="77777777" w:rsidR="00BF3BAC" w:rsidRPr="00AB6A26" w:rsidRDefault="00BF3BAC" w:rsidP="00FD74E1">
      <w:pPr>
        <w:pStyle w:val="ScheduleNumberedPara"/>
        <w:numPr>
          <w:ilvl w:val="0"/>
          <w:numId w:val="18"/>
        </w:numPr>
        <w:spacing w:after="120"/>
        <w:ind w:left="1134" w:hanging="567"/>
        <w:jc w:val="left"/>
      </w:pPr>
      <w:r w:rsidRPr="00AB6A26">
        <w:t xml:space="preserve">Any confirmed commencements can only be used once. </w:t>
      </w:r>
    </w:p>
    <w:p w14:paraId="06590BCF" w14:textId="5657EDF1" w:rsidR="00F068C2" w:rsidRDefault="00F068C2" w:rsidP="00FD74E1">
      <w:pPr>
        <w:pStyle w:val="ScheduleNumberedPara"/>
        <w:numPr>
          <w:ilvl w:val="0"/>
          <w:numId w:val="18"/>
        </w:numPr>
        <w:spacing w:after="120"/>
        <w:ind w:left="1134" w:hanging="567"/>
        <w:jc w:val="left"/>
      </w:pPr>
      <w:r>
        <w:t>Any confirmed commencements in a given year that are not used, may be retained for future years of the National Partnership.</w:t>
      </w:r>
    </w:p>
    <w:p w14:paraId="06501B1C" w14:textId="4DCF8049" w:rsidR="00F068C2" w:rsidRDefault="00F068C2" w:rsidP="00FD74E1">
      <w:pPr>
        <w:pStyle w:val="ScheduleNumberedPara"/>
        <w:numPr>
          <w:ilvl w:val="0"/>
          <w:numId w:val="18"/>
        </w:numPr>
        <w:spacing w:after="120"/>
        <w:ind w:left="1134" w:hanging="567"/>
        <w:jc w:val="left"/>
      </w:pPr>
      <w:r>
        <w:t xml:space="preserve">Any ‘like activity’ commencements are treated as for other commencements, with the exception that: </w:t>
      </w:r>
    </w:p>
    <w:p w14:paraId="134A21B8" w14:textId="77777777" w:rsidR="00F068C2" w:rsidRDefault="00F068C2" w:rsidP="00F068C2">
      <w:pPr>
        <w:pStyle w:val="ScheduleNumberedPara"/>
        <w:numPr>
          <w:ilvl w:val="2"/>
          <w:numId w:val="28"/>
        </w:numPr>
        <w:spacing w:after="120"/>
        <w:jc w:val="left"/>
      </w:pPr>
      <w:r>
        <w:t>Any annual caps, identified in Attachment A of this schedule, applies</w:t>
      </w:r>
    </w:p>
    <w:p w14:paraId="6B80EF7A" w14:textId="6B897493" w:rsidR="00F068C2" w:rsidRDefault="00F068C2" w:rsidP="00F068C2">
      <w:pPr>
        <w:pStyle w:val="ScheduleNumberedPara"/>
        <w:numPr>
          <w:ilvl w:val="2"/>
          <w:numId w:val="28"/>
        </w:numPr>
        <w:spacing w:after="120"/>
        <w:jc w:val="left"/>
      </w:pPr>
      <w:r>
        <w:t xml:space="preserve">Any commencements achieved beyond the cap cannot be retained for future years. </w:t>
      </w:r>
    </w:p>
    <w:p w14:paraId="6950F0CB" w14:textId="77777777" w:rsidR="00621C31" w:rsidRPr="009E2FDF" w:rsidRDefault="00621C31" w:rsidP="00FD74E1">
      <w:pPr>
        <w:pStyle w:val="ScheduleNumberedPara"/>
        <w:jc w:val="left"/>
        <w:rPr>
          <w:b/>
        </w:rPr>
      </w:pPr>
      <w:r w:rsidRPr="009E2FDF">
        <w:rPr>
          <w:b/>
        </w:rPr>
        <w:t>Reporting</w:t>
      </w:r>
    </w:p>
    <w:p w14:paraId="61329068" w14:textId="77777777" w:rsidR="00621C31" w:rsidRPr="009E2FDF" w:rsidRDefault="00621C31" w:rsidP="00FD74E1">
      <w:pPr>
        <w:pStyle w:val="ScheduleNumberedPara"/>
        <w:numPr>
          <w:ilvl w:val="0"/>
          <w:numId w:val="13"/>
        </w:numPr>
        <w:tabs>
          <w:tab w:val="num" w:pos="567"/>
        </w:tabs>
        <w:spacing w:before="120" w:after="120"/>
        <w:ind w:left="567" w:hanging="567"/>
        <w:jc w:val="left"/>
      </w:pPr>
      <w:r w:rsidRPr="009E2FDF">
        <w:t xml:space="preserve">The Commonwealth will accept a final report with draft data up to 30 April of the reporting year. </w:t>
      </w:r>
    </w:p>
    <w:p w14:paraId="6BDADEDD" w14:textId="77777777" w:rsidR="00AB6A26" w:rsidRDefault="00621C31" w:rsidP="00FD74E1">
      <w:pPr>
        <w:pStyle w:val="ScheduleNumberedPara"/>
        <w:numPr>
          <w:ilvl w:val="0"/>
          <w:numId w:val="19"/>
        </w:numPr>
        <w:tabs>
          <w:tab w:val="left" w:pos="1134"/>
        </w:tabs>
        <w:spacing w:after="120"/>
        <w:ind w:left="1134" w:hanging="567"/>
        <w:jc w:val="left"/>
      </w:pPr>
      <w:r w:rsidRPr="009E2FDF">
        <w:t xml:space="preserve">Validated data must be received by the Commonwealth within two weeks following this date. </w:t>
      </w:r>
    </w:p>
    <w:p w14:paraId="46A4B281" w14:textId="77777777" w:rsidR="00621C31" w:rsidRDefault="00621C31" w:rsidP="00FD74E1">
      <w:pPr>
        <w:pStyle w:val="ScheduleNumberedPara"/>
        <w:numPr>
          <w:ilvl w:val="0"/>
          <w:numId w:val="19"/>
        </w:numPr>
        <w:tabs>
          <w:tab w:val="left" w:pos="1134"/>
        </w:tabs>
        <w:spacing w:after="120"/>
        <w:ind w:left="1134" w:hanging="567"/>
        <w:jc w:val="left"/>
      </w:pPr>
      <w:r w:rsidRPr="009E2FDF">
        <w:t xml:space="preserve">Where </w:t>
      </w:r>
      <w:r w:rsidR="00C71020">
        <w:t>New South Wales</w:t>
      </w:r>
      <w:r>
        <w:t xml:space="preserve"> </w:t>
      </w:r>
      <w:r w:rsidRPr="009E2FDF">
        <w:t>is seeking to count any commencements from a previous financial year, those commencements are to be included in the 30 April report.</w:t>
      </w:r>
    </w:p>
    <w:p w14:paraId="3760E032" w14:textId="07FDA1B6" w:rsidR="00497EFC" w:rsidRDefault="00680627" w:rsidP="00680627">
      <w:pPr>
        <w:pStyle w:val="ListParagraph"/>
        <w:numPr>
          <w:ilvl w:val="0"/>
          <w:numId w:val="13"/>
        </w:numPr>
        <w:jc w:val="left"/>
      </w:pPr>
      <w:r>
        <w:t xml:space="preserve">Full financial year data for each training category is to be provided to the Commonwealth by the end of September, to assist in reporting national performance. </w:t>
      </w:r>
    </w:p>
    <w:p w14:paraId="1A85B622" w14:textId="77777777" w:rsidR="00577605" w:rsidRDefault="00BF3BAC" w:rsidP="00281754">
      <w:pPr>
        <w:pStyle w:val="Heading1"/>
      </w:pPr>
      <w:r>
        <w:br w:type="page"/>
      </w:r>
      <w:r w:rsidR="00EF15BB">
        <w:t>Part 5</w:t>
      </w:r>
      <w:r w:rsidR="00577605">
        <w:t>: Sign Off</w:t>
      </w:r>
    </w:p>
    <w:p w14:paraId="16A8F345" w14:textId="77777777" w:rsidR="00577605" w:rsidRDefault="00577605" w:rsidP="001A7DDC">
      <w:pPr>
        <w:pStyle w:val="ScheduleNumberedPara"/>
        <w:numPr>
          <w:ilvl w:val="0"/>
          <w:numId w:val="13"/>
        </w:numPr>
        <w:tabs>
          <w:tab w:val="left" w:pos="0"/>
        </w:tabs>
        <w:ind w:left="567" w:hanging="567"/>
        <w:rPr>
          <w:color w:val="auto"/>
        </w:rPr>
      </w:pPr>
      <w:r>
        <w:rPr>
          <w:color w:val="auto"/>
        </w:rPr>
        <w:t>The Parties have confirmed their commitment to this agreement as follows:</w:t>
      </w:r>
    </w:p>
    <w:p w14:paraId="6A896B64" w14:textId="77777777" w:rsidR="00577605" w:rsidRPr="00082CB0" w:rsidRDefault="00577605" w:rsidP="00577605">
      <w:pPr>
        <w:pStyle w:val="ScheduleNumberedPara"/>
        <w:rPr>
          <w:color w:val="auto"/>
          <w:sz w:val="24"/>
          <w:szCs w:val="24"/>
        </w:rPr>
      </w:pPr>
      <w:r w:rsidRPr="00082CB0">
        <w:rPr>
          <w:b/>
          <w:color w:val="auto"/>
          <w:sz w:val="24"/>
          <w:szCs w:val="24"/>
        </w:rPr>
        <w:t>Signed</w:t>
      </w:r>
      <w:r w:rsidRPr="00082CB0">
        <w:rPr>
          <w:color w:val="auto"/>
          <w:sz w:val="24"/>
          <w:szCs w:val="24"/>
        </w:rPr>
        <w:t xml:space="preserve"> </w:t>
      </w:r>
      <w:r w:rsidRPr="00082CB0">
        <w:rPr>
          <w:i/>
          <w:color w:val="auto"/>
          <w:sz w:val="24"/>
          <w:szCs w:val="24"/>
        </w:rPr>
        <w:t>for and on behalf of the Commonwealth of Australia by</w:t>
      </w:r>
    </w:p>
    <w:p w14:paraId="34E9C68D" w14:textId="77777777" w:rsidR="00577605" w:rsidRDefault="00577605" w:rsidP="00577605">
      <w:pPr>
        <w:pStyle w:val="ScheduleNumberedPara"/>
        <w:rPr>
          <w:color w:val="auto"/>
        </w:rPr>
      </w:pPr>
    </w:p>
    <w:p w14:paraId="0772E64B" w14:textId="77777777" w:rsidR="00577605" w:rsidRDefault="00577605" w:rsidP="00577605">
      <w:pPr>
        <w:pStyle w:val="ScheduleNumberedPara"/>
        <w:rPr>
          <w:color w:val="auto"/>
        </w:rPr>
      </w:pPr>
    </w:p>
    <w:p w14:paraId="5DF98145" w14:textId="77777777" w:rsidR="00577605" w:rsidRDefault="00577605" w:rsidP="00577605">
      <w:pPr>
        <w:pStyle w:val="ScheduleNumberedPara"/>
        <w:rPr>
          <w:color w:val="auto"/>
        </w:rPr>
      </w:pPr>
    </w:p>
    <w:p w14:paraId="47E10C7B" w14:textId="7C26FE34" w:rsidR="00577605" w:rsidRDefault="00577605" w:rsidP="00577605">
      <w:pPr>
        <w:pStyle w:val="ScheduleNumberedPara"/>
        <w:tabs>
          <w:tab w:val="num" w:pos="2268"/>
        </w:tabs>
        <w:rPr>
          <w:color w:val="auto"/>
        </w:rPr>
      </w:pPr>
      <w:r>
        <w:rPr>
          <w:color w:val="auto"/>
        </w:rPr>
        <w:t>-----------------------------------------------------</w:t>
      </w:r>
      <w:r w:rsidR="00680627">
        <w:rPr>
          <w:color w:val="auto"/>
        </w:rPr>
        <w:tab/>
      </w:r>
      <w:r w:rsidR="00680627">
        <w:rPr>
          <w:color w:val="auto"/>
        </w:rPr>
        <w:tab/>
      </w:r>
      <w:r w:rsidR="00680627">
        <w:rPr>
          <w:color w:val="auto"/>
        </w:rPr>
        <w:tab/>
      </w:r>
      <w:r w:rsidR="00680627">
        <w:rPr>
          <w:color w:val="auto"/>
        </w:rPr>
        <w:tab/>
        <w:t>-------------------------------------------</w:t>
      </w:r>
    </w:p>
    <w:p w14:paraId="1FA8B16A" w14:textId="196566DB" w:rsidR="00C81326" w:rsidRPr="00C81326" w:rsidRDefault="00C81326" w:rsidP="00C81326">
      <w:pPr>
        <w:pStyle w:val="Lettertext"/>
        <w:rPr>
          <w:rStyle w:val="Bold"/>
          <w:rFonts w:ascii="Corbel" w:eastAsia="Times New Roman" w:hAnsi="Corbel" w:cs="Times New Roman"/>
          <w:color w:val="000000"/>
          <w:sz w:val="23"/>
          <w:szCs w:val="20"/>
          <w:lang w:eastAsia="en-AU"/>
        </w:rPr>
      </w:pPr>
      <w:r w:rsidRPr="00C81326">
        <w:rPr>
          <w:rStyle w:val="Bold"/>
          <w:rFonts w:ascii="Corbel" w:eastAsia="Times New Roman" w:hAnsi="Corbel" w:cs="Times New Roman"/>
          <w:color w:val="000000"/>
          <w:sz w:val="23"/>
          <w:szCs w:val="20"/>
          <w:lang w:eastAsia="en-AU"/>
        </w:rPr>
        <w:t>Senator the Hon</w:t>
      </w:r>
      <w:r w:rsidR="005C4F6C">
        <w:rPr>
          <w:rStyle w:val="Bold"/>
          <w:rFonts w:ascii="Corbel" w:eastAsia="Times New Roman" w:hAnsi="Corbel" w:cs="Times New Roman"/>
          <w:color w:val="000000"/>
          <w:sz w:val="23"/>
          <w:szCs w:val="20"/>
          <w:lang w:eastAsia="en-AU"/>
        </w:rPr>
        <w:t>ourable</w:t>
      </w:r>
      <w:r w:rsidRPr="00C81326">
        <w:rPr>
          <w:rStyle w:val="Bold"/>
          <w:rFonts w:ascii="Corbel" w:eastAsia="Times New Roman" w:hAnsi="Corbel" w:cs="Times New Roman"/>
          <w:color w:val="000000"/>
          <w:sz w:val="23"/>
          <w:szCs w:val="20"/>
          <w:lang w:eastAsia="en-AU"/>
        </w:rPr>
        <w:t xml:space="preserve"> Michaelia Cash</w:t>
      </w:r>
      <w:r w:rsidR="00680627">
        <w:rPr>
          <w:rStyle w:val="Bold"/>
          <w:rFonts w:ascii="Corbel" w:eastAsia="Times New Roman" w:hAnsi="Corbel" w:cs="Times New Roman"/>
          <w:color w:val="000000"/>
          <w:sz w:val="23"/>
          <w:szCs w:val="20"/>
          <w:lang w:eastAsia="en-AU"/>
        </w:rPr>
        <w:tab/>
      </w:r>
      <w:r w:rsidR="00680627">
        <w:rPr>
          <w:rStyle w:val="Bold"/>
          <w:rFonts w:ascii="Corbel" w:eastAsia="Times New Roman" w:hAnsi="Corbel" w:cs="Times New Roman"/>
          <w:color w:val="000000"/>
          <w:sz w:val="23"/>
          <w:szCs w:val="20"/>
          <w:lang w:eastAsia="en-AU"/>
        </w:rPr>
        <w:tab/>
      </w:r>
      <w:r w:rsidR="00680627">
        <w:rPr>
          <w:rStyle w:val="Bold"/>
          <w:rFonts w:ascii="Corbel" w:eastAsia="Times New Roman" w:hAnsi="Corbel" w:cs="Times New Roman"/>
          <w:color w:val="000000"/>
          <w:sz w:val="23"/>
          <w:szCs w:val="20"/>
          <w:lang w:eastAsia="en-AU"/>
        </w:rPr>
        <w:tab/>
      </w:r>
      <w:r w:rsidR="00680627">
        <w:rPr>
          <w:rStyle w:val="Bold"/>
          <w:rFonts w:ascii="Corbel" w:eastAsia="Times New Roman" w:hAnsi="Corbel" w:cs="Times New Roman"/>
          <w:color w:val="000000"/>
          <w:sz w:val="23"/>
          <w:szCs w:val="20"/>
          <w:lang w:eastAsia="en-AU"/>
        </w:rPr>
        <w:tab/>
        <w:t>Dated</w:t>
      </w:r>
    </w:p>
    <w:p w14:paraId="25AAE41C" w14:textId="77777777" w:rsidR="00577605" w:rsidRPr="00281754" w:rsidRDefault="00C81326" w:rsidP="00C81326">
      <w:pPr>
        <w:pStyle w:val="Position"/>
        <w:rPr>
          <w:rStyle w:val="Bold"/>
          <w:b w:val="0"/>
          <w:bCs w:val="0"/>
        </w:rPr>
      </w:pPr>
      <w:r w:rsidRPr="00281754">
        <w:rPr>
          <w:rStyle w:val="Bold"/>
          <w:b w:val="0"/>
          <w:bCs w:val="0"/>
        </w:rPr>
        <w:t xml:space="preserve">Minister for </w:t>
      </w:r>
      <w:r w:rsidR="00EA464C" w:rsidRPr="00281754">
        <w:rPr>
          <w:rStyle w:val="Bold"/>
          <w:b w:val="0"/>
          <w:bCs w:val="0"/>
        </w:rPr>
        <w:t xml:space="preserve">Employment, Skills, </w:t>
      </w:r>
      <w:r w:rsidRPr="00281754">
        <w:rPr>
          <w:rStyle w:val="Bold"/>
          <w:b w:val="0"/>
          <w:bCs w:val="0"/>
        </w:rPr>
        <w:t>Small and Family Business</w:t>
      </w:r>
      <w:r w:rsidR="00577605" w:rsidRPr="00281754">
        <w:rPr>
          <w:rStyle w:val="Bold"/>
          <w:b w:val="0"/>
          <w:bCs w:val="0"/>
        </w:rPr>
        <w:t xml:space="preserve"> </w:t>
      </w:r>
    </w:p>
    <w:p w14:paraId="27FDCD48" w14:textId="77777777" w:rsidR="00577605" w:rsidRDefault="00577605" w:rsidP="00577605">
      <w:pPr>
        <w:pStyle w:val="ScheduleNumberedPara"/>
        <w:rPr>
          <w:lang w:val="en-GB"/>
        </w:rPr>
      </w:pPr>
    </w:p>
    <w:p w14:paraId="4EB90518" w14:textId="77777777" w:rsidR="00577605" w:rsidRPr="00082CB0" w:rsidRDefault="00577605" w:rsidP="00577605">
      <w:pPr>
        <w:pStyle w:val="ScheduleNumberedPara"/>
        <w:rPr>
          <w:color w:val="auto"/>
          <w:sz w:val="24"/>
          <w:szCs w:val="24"/>
        </w:rPr>
      </w:pPr>
      <w:r w:rsidRPr="00082CB0">
        <w:rPr>
          <w:b/>
          <w:color w:val="auto"/>
          <w:sz w:val="24"/>
          <w:szCs w:val="24"/>
        </w:rPr>
        <w:t>Signed</w:t>
      </w:r>
      <w:r w:rsidRPr="00082CB0">
        <w:rPr>
          <w:color w:val="auto"/>
          <w:sz w:val="24"/>
          <w:szCs w:val="24"/>
        </w:rPr>
        <w:t xml:space="preserve"> </w:t>
      </w:r>
      <w:r w:rsidRPr="00082CB0">
        <w:rPr>
          <w:i/>
          <w:color w:val="auto"/>
          <w:sz w:val="24"/>
          <w:szCs w:val="24"/>
        </w:rPr>
        <w:t xml:space="preserve">for and on behalf of </w:t>
      </w:r>
      <w:r w:rsidR="00C71020" w:rsidRPr="00082CB0">
        <w:rPr>
          <w:i/>
          <w:color w:val="auto"/>
          <w:sz w:val="24"/>
          <w:szCs w:val="24"/>
        </w:rPr>
        <w:t>New South Wales</w:t>
      </w:r>
      <w:r w:rsidRPr="00082CB0">
        <w:rPr>
          <w:i/>
          <w:color w:val="auto"/>
          <w:sz w:val="24"/>
          <w:szCs w:val="24"/>
        </w:rPr>
        <w:t xml:space="preserve"> by</w:t>
      </w:r>
    </w:p>
    <w:p w14:paraId="2B053D91" w14:textId="77777777" w:rsidR="00577605" w:rsidRDefault="00577605" w:rsidP="00577605">
      <w:pPr>
        <w:pStyle w:val="ScheduleNumberedPara"/>
        <w:rPr>
          <w:color w:val="auto"/>
        </w:rPr>
      </w:pPr>
    </w:p>
    <w:p w14:paraId="0317A0F9" w14:textId="77777777" w:rsidR="00577605" w:rsidRDefault="00577605" w:rsidP="00577605">
      <w:pPr>
        <w:pStyle w:val="ScheduleNumberedPara"/>
        <w:rPr>
          <w:color w:val="auto"/>
        </w:rPr>
      </w:pPr>
    </w:p>
    <w:p w14:paraId="3C8713E6" w14:textId="77777777" w:rsidR="00577605" w:rsidRDefault="00577605" w:rsidP="00577605">
      <w:pPr>
        <w:pStyle w:val="ScheduleNumberedPara"/>
        <w:rPr>
          <w:color w:val="auto"/>
        </w:rPr>
      </w:pPr>
    </w:p>
    <w:p w14:paraId="2513352D" w14:textId="516DD82B" w:rsidR="00577605" w:rsidRDefault="00577605" w:rsidP="00577605">
      <w:pPr>
        <w:pStyle w:val="ScheduleNumberedPara"/>
        <w:tabs>
          <w:tab w:val="num" w:pos="2268"/>
        </w:tabs>
        <w:rPr>
          <w:color w:val="auto"/>
        </w:rPr>
      </w:pPr>
      <w:r>
        <w:rPr>
          <w:color w:val="auto"/>
        </w:rPr>
        <w:t>-----------------------------------------------------</w:t>
      </w:r>
      <w:r w:rsidR="00680627">
        <w:rPr>
          <w:color w:val="auto"/>
        </w:rPr>
        <w:tab/>
      </w:r>
      <w:r w:rsidR="00680627">
        <w:rPr>
          <w:color w:val="auto"/>
        </w:rPr>
        <w:tab/>
      </w:r>
      <w:r w:rsidR="00680627">
        <w:rPr>
          <w:color w:val="auto"/>
        </w:rPr>
        <w:tab/>
      </w:r>
      <w:r w:rsidR="00680627">
        <w:rPr>
          <w:color w:val="auto"/>
        </w:rPr>
        <w:tab/>
        <w:t>------------------------------------------</w:t>
      </w:r>
    </w:p>
    <w:p w14:paraId="6CEBC8ED" w14:textId="368533E8" w:rsidR="00577605" w:rsidRDefault="00577605" w:rsidP="00577605">
      <w:pPr>
        <w:pStyle w:val="SingleParagraph"/>
        <w:rPr>
          <w:rStyle w:val="Bold"/>
        </w:rPr>
      </w:pPr>
      <w:r>
        <w:rPr>
          <w:rStyle w:val="Bold"/>
        </w:rPr>
        <w:t xml:space="preserve">The Honourable </w:t>
      </w:r>
      <w:r w:rsidR="00CD0DB0">
        <w:rPr>
          <w:rStyle w:val="Bold"/>
        </w:rPr>
        <w:t>Dr Geoff Lee</w:t>
      </w:r>
      <w:r>
        <w:rPr>
          <w:rStyle w:val="Bold"/>
        </w:rPr>
        <w:t xml:space="preserve"> MP</w:t>
      </w:r>
      <w:r w:rsidR="00680627">
        <w:rPr>
          <w:rStyle w:val="Bold"/>
        </w:rPr>
        <w:tab/>
      </w:r>
      <w:r w:rsidR="00680627">
        <w:rPr>
          <w:rStyle w:val="Bold"/>
        </w:rPr>
        <w:tab/>
      </w:r>
      <w:r w:rsidR="00680627">
        <w:rPr>
          <w:rStyle w:val="Bold"/>
        </w:rPr>
        <w:tab/>
      </w:r>
      <w:r w:rsidR="00680627">
        <w:rPr>
          <w:rStyle w:val="Bold"/>
        </w:rPr>
        <w:tab/>
      </w:r>
      <w:r w:rsidR="00680627">
        <w:rPr>
          <w:rStyle w:val="Bold"/>
        </w:rPr>
        <w:tab/>
        <w:t>Dated</w:t>
      </w:r>
    </w:p>
    <w:p w14:paraId="2C88142D" w14:textId="713CECDA" w:rsidR="00C81326" w:rsidRDefault="00C81326" w:rsidP="000759B9">
      <w:pPr>
        <w:pStyle w:val="Position"/>
        <w:rPr>
          <w:rStyle w:val="Bold"/>
          <w:b w:val="0"/>
          <w:bCs w:val="0"/>
        </w:rPr>
      </w:pPr>
      <w:r w:rsidRPr="00281754">
        <w:rPr>
          <w:rStyle w:val="Bold"/>
          <w:b w:val="0"/>
          <w:bCs w:val="0"/>
        </w:rPr>
        <w:t>Minister for Skills and</w:t>
      </w:r>
      <w:r w:rsidR="00CD0DB0" w:rsidRPr="00281754">
        <w:rPr>
          <w:rStyle w:val="Bold"/>
          <w:b w:val="0"/>
          <w:bCs w:val="0"/>
        </w:rPr>
        <w:t xml:space="preserve"> Tertiary Education</w:t>
      </w:r>
    </w:p>
    <w:p w14:paraId="4957538B" w14:textId="5D4F711C" w:rsidR="008458B2" w:rsidRPr="00281754" w:rsidRDefault="008458B2" w:rsidP="000759B9">
      <w:pPr>
        <w:pStyle w:val="Position"/>
        <w:rPr>
          <w:rStyle w:val="Bold"/>
          <w:b w:val="0"/>
          <w:bCs w:val="0"/>
        </w:rPr>
      </w:pPr>
      <w:r>
        <w:rPr>
          <w:rStyle w:val="Bold"/>
          <w:b w:val="0"/>
          <w:bCs w:val="0"/>
        </w:rPr>
        <w:t>Acting Minister for Sport, Multiculturalism, Seniors and Veterans Affairs</w:t>
      </w:r>
    </w:p>
    <w:p w14:paraId="7B7AC15C" w14:textId="77777777" w:rsidR="000759B9" w:rsidRPr="00D836C6" w:rsidRDefault="000759B9" w:rsidP="000759B9">
      <w:pPr>
        <w:pStyle w:val="ScheduleNumberedPara"/>
        <w:rPr>
          <w:lang w:val="en-GB"/>
        </w:rPr>
      </w:pPr>
    </w:p>
    <w:p w14:paraId="2F58DD69" w14:textId="77777777" w:rsidR="007121F2" w:rsidRDefault="007121F2" w:rsidP="00C81326">
      <w:pPr>
        <w:pStyle w:val="ScheduleNumberedPara"/>
        <w:rPr>
          <w:color w:val="auto"/>
          <w:lang w:val="en-GB"/>
        </w:rPr>
      </w:pPr>
    </w:p>
    <w:p w14:paraId="7F32C9B3" w14:textId="77777777" w:rsidR="007121F2" w:rsidRDefault="007121F2" w:rsidP="00C81326">
      <w:pPr>
        <w:pStyle w:val="ScheduleNumberedPara"/>
        <w:rPr>
          <w:color w:val="auto"/>
          <w:lang w:val="en-GB"/>
        </w:rPr>
      </w:pPr>
    </w:p>
    <w:p w14:paraId="5A70DFF2" w14:textId="77777777" w:rsidR="007121F2" w:rsidRDefault="007121F2" w:rsidP="00C81326">
      <w:pPr>
        <w:pStyle w:val="ScheduleNumberedPara"/>
        <w:rPr>
          <w:color w:val="auto"/>
          <w:lang w:val="en-GB"/>
        </w:rPr>
      </w:pPr>
    </w:p>
    <w:p w14:paraId="374C33F0" w14:textId="77777777" w:rsidR="007121F2" w:rsidRDefault="007121F2" w:rsidP="00C81326">
      <w:pPr>
        <w:pStyle w:val="ScheduleNumberedPara"/>
        <w:rPr>
          <w:color w:val="auto"/>
          <w:lang w:val="en-GB"/>
        </w:rPr>
      </w:pPr>
    </w:p>
    <w:p w14:paraId="01713CAF" w14:textId="77777777" w:rsidR="007121F2" w:rsidRDefault="007121F2" w:rsidP="00C81326">
      <w:pPr>
        <w:pStyle w:val="ScheduleNumberedPara"/>
        <w:rPr>
          <w:color w:val="auto"/>
          <w:lang w:val="en-GB"/>
        </w:rPr>
      </w:pPr>
    </w:p>
    <w:p w14:paraId="7031A56B" w14:textId="77777777" w:rsidR="007121F2" w:rsidRDefault="007121F2" w:rsidP="00C81326">
      <w:pPr>
        <w:pStyle w:val="ScheduleNumberedPara"/>
        <w:rPr>
          <w:color w:val="auto"/>
          <w:lang w:val="en-GB"/>
        </w:rPr>
      </w:pPr>
    </w:p>
    <w:p w14:paraId="3BA3DB48" w14:textId="77777777" w:rsidR="007121F2" w:rsidRDefault="007121F2" w:rsidP="00C81326">
      <w:pPr>
        <w:pStyle w:val="ScheduleNumberedPara"/>
        <w:rPr>
          <w:color w:val="auto"/>
          <w:lang w:val="en-GB"/>
        </w:rPr>
      </w:pPr>
    </w:p>
    <w:p w14:paraId="18201D45" w14:textId="77777777" w:rsidR="007121F2" w:rsidRDefault="007121F2" w:rsidP="00C81326">
      <w:pPr>
        <w:pStyle w:val="ScheduleNumberedPara"/>
        <w:rPr>
          <w:color w:val="auto"/>
          <w:lang w:val="en-GB"/>
        </w:rPr>
      </w:pPr>
    </w:p>
    <w:p w14:paraId="230F97D1" w14:textId="77777777" w:rsidR="007121F2" w:rsidRDefault="007121F2" w:rsidP="00C81326">
      <w:pPr>
        <w:pStyle w:val="ScheduleNumberedPara"/>
        <w:rPr>
          <w:color w:val="auto"/>
          <w:lang w:val="en-GB"/>
        </w:rPr>
      </w:pPr>
    </w:p>
    <w:p w14:paraId="283FE5CC" w14:textId="77777777" w:rsidR="007121F2" w:rsidRDefault="007121F2" w:rsidP="00C81326">
      <w:pPr>
        <w:pStyle w:val="ScheduleNumberedPara"/>
        <w:rPr>
          <w:color w:val="auto"/>
          <w:lang w:val="en-GB"/>
        </w:rPr>
      </w:pPr>
    </w:p>
    <w:p w14:paraId="365F97C7" w14:textId="77777777" w:rsidR="007121F2" w:rsidRDefault="007121F2" w:rsidP="00C81326">
      <w:pPr>
        <w:pStyle w:val="ScheduleNumberedPara"/>
        <w:rPr>
          <w:color w:val="auto"/>
          <w:lang w:val="en-GB"/>
        </w:rPr>
      </w:pPr>
    </w:p>
    <w:p w14:paraId="0C4E90E0" w14:textId="77777777" w:rsidR="007121F2" w:rsidRDefault="007121F2" w:rsidP="00C81326">
      <w:pPr>
        <w:pStyle w:val="ScheduleNumberedPara"/>
        <w:rPr>
          <w:color w:val="auto"/>
          <w:lang w:val="en-GB"/>
        </w:rPr>
      </w:pPr>
    </w:p>
    <w:p w14:paraId="3D18A436" w14:textId="77777777" w:rsidR="007121F2" w:rsidRPr="0026548E" w:rsidRDefault="007121F2" w:rsidP="0026548E">
      <w:pPr>
        <w:pStyle w:val="Heading1"/>
      </w:pPr>
      <w:r w:rsidRPr="0026548E">
        <w:t>ATTACHMENT A − SCOPE OF AGREED BASELINE AND TARGETS</w:t>
      </w:r>
    </w:p>
    <w:p w14:paraId="7560865A" w14:textId="77777777" w:rsidR="007121F2" w:rsidRPr="0026548E" w:rsidRDefault="007121F2" w:rsidP="008D1B80">
      <w:pPr>
        <w:autoSpaceDE w:val="0"/>
        <w:autoSpaceDN w:val="0"/>
        <w:adjustRightInd w:val="0"/>
        <w:spacing w:after="0" w:line="240" w:lineRule="auto"/>
        <w:jc w:val="left"/>
      </w:pPr>
      <w:r w:rsidRPr="0026548E">
        <w:t>This attachment to the Schedule defines the scope of activity agreed between the Commonwealth and</w:t>
      </w:r>
    </w:p>
    <w:p w14:paraId="130F29A0" w14:textId="77777777" w:rsidR="00066A8F" w:rsidRDefault="00C71020" w:rsidP="007121F2">
      <w:pPr>
        <w:autoSpaceDE w:val="0"/>
        <w:autoSpaceDN w:val="0"/>
        <w:adjustRightInd w:val="0"/>
        <w:spacing w:after="0" w:line="240" w:lineRule="auto"/>
        <w:jc w:val="left"/>
      </w:pPr>
      <w:r>
        <w:t>New South Wales</w:t>
      </w:r>
      <w:r w:rsidR="007121F2" w:rsidRPr="0026548E">
        <w:t xml:space="preserve"> that contributes towards the agreed baseline of existing training activity and targets for additional</w:t>
      </w:r>
      <w:r w:rsidR="004F5D53">
        <w:t xml:space="preserve"> </w:t>
      </w:r>
      <w:r w:rsidR="00EB7BAE">
        <w:t xml:space="preserve">training activity </w:t>
      </w:r>
      <w:r w:rsidR="004F5D53">
        <w:t>types</w:t>
      </w:r>
      <w:r w:rsidR="007121F2" w:rsidRPr="0026548E">
        <w:t>.</w:t>
      </w:r>
    </w:p>
    <w:p w14:paraId="47BCAD93" w14:textId="77777777" w:rsidR="007121F2" w:rsidRPr="0026548E" w:rsidRDefault="007121F2" w:rsidP="0026548E">
      <w:pPr>
        <w:pStyle w:val="Heading1"/>
      </w:pPr>
      <w:r w:rsidRPr="0026548E">
        <w:t>PART 1 − APPRENTICESHIPS AND TRAINEESHIPS</w:t>
      </w:r>
    </w:p>
    <w:p w14:paraId="2C5BC110" w14:textId="77777777" w:rsidR="007121F2" w:rsidRPr="00505841" w:rsidRDefault="007121F2" w:rsidP="0026548E">
      <w:pPr>
        <w:spacing w:after="120" w:line="276" w:lineRule="auto"/>
        <w:jc w:val="left"/>
        <w:rPr>
          <w:b/>
          <w:sz w:val="24"/>
        </w:rPr>
      </w:pPr>
      <w:r w:rsidRPr="00505841">
        <w:rPr>
          <w:b/>
          <w:sz w:val="24"/>
        </w:rPr>
        <w:t>Contracts of training</w:t>
      </w:r>
    </w:p>
    <w:p w14:paraId="570A426D" w14:textId="77777777" w:rsidR="007121F2" w:rsidRDefault="007121F2" w:rsidP="007121F2">
      <w:pPr>
        <w:autoSpaceDE w:val="0"/>
        <w:autoSpaceDN w:val="0"/>
        <w:adjustRightInd w:val="0"/>
        <w:spacing w:after="0" w:line="240" w:lineRule="auto"/>
        <w:jc w:val="left"/>
      </w:pPr>
      <w:r w:rsidRPr="0026548E">
        <w:t>A commencement contributes to this component of the</w:t>
      </w:r>
      <w:r w:rsidR="00F752F5">
        <w:t xml:space="preserve"> activity</w:t>
      </w:r>
      <w:r w:rsidRPr="0026548E">
        <w:t xml:space="preserve"> baseline and </w:t>
      </w:r>
      <w:r w:rsidR="00683B97">
        <w:t xml:space="preserve">additional </w:t>
      </w:r>
      <w:r w:rsidR="00F752F5">
        <w:t>activity target</w:t>
      </w:r>
      <w:r w:rsidRPr="0026548E">
        <w:t xml:space="preserve"> if:</w:t>
      </w:r>
    </w:p>
    <w:p w14:paraId="3FA3319B" w14:textId="77777777" w:rsidR="007121F2" w:rsidRPr="0026548E" w:rsidRDefault="007121F2" w:rsidP="007121F2">
      <w:pPr>
        <w:autoSpaceDE w:val="0"/>
        <w:autoSpaceDN w:val="0"/>
        <w:adjustRightInd w:val="0"/>
        <w:spacing w:after="0" w:line="240" w:lineRule="auto"/>
        <w:jc w:val="left"/>
      </w:pPr>
    </w:p>
    <w:p w14:paraId="72B2D143" w14:textId="77777777" w:rsidR="007121F2" w:rsidRPr="0026548E" w:rsidRDefault="00B94E74" w:rsidP="001A7DDC">
      <w:pPr>
        <w:pStyle w:val="ListParagraph"/>
        <w:numPr>
          <w:ilvl w:val="0"/>
          <w:numId w:val="4"/>
        </w:numPr>
        <w:autoSpaceDE w:val="0"/>
        <w:autoSpaceDN w:val="0"/>
        <w:adjustRightInd w:val="0"/>
        <w:spacing w:after="120" w:line="240" w:lineRule="auto"/>
        <w:contextualSpacing w:val="0"/>
        <w:jc w:val="left"/>
      </w:pPr>
      <w:r>
        <w:t>i</w:t>
      </w:r>
      <w:r w:rsidR="007121F2" w:rsidRPr="0026548E">
        <w:t>t was for a nationally recognised qualification or accredited course at one of the Australian</w:t>
      </w:r>
    </w:p>
    <w:p w14:paraId="5112DBE5" w14:textId="77777777" w:rsidR="00066A8F" w:rsidRDefault="007121F2" w:rsidP="00082CB0">
      <w:pPr>
        <w:autoSpaceDE w:val="0"/>
        <w:autoSpaceDN w:val="0"/>
        <w:adjustRightInd w:val="0"/>
        <w:spacing w:after="120" w:line="240" w:lineRule="auto"/>
        <w:ind w:firstLine="720"/>
        <w:jc w:val="left"/>
      </w:pPr>
      <w:r w:rsidRPr="0026548E">
        <w:t>Qualifications Framework (AQF) levels 1−4</w:t>
      </w:r>
    </w:p>
    <w:p w14:paraId="5B8AB10A" w14:textId="77777777" w:rsidR="007121F2" w:rsidRPr="0026548E" w:rsidRDefault="00066A8F" w:rsidP="001A7DDC">
      <w:pPr>
        <w:pStyle w:val="ListParagraph"/>
        <w:numPr>
          <w:ilvl w:val="0"/>
          <w:numId w:val="4"/>
        </w:numPr>
        <w:autoSpaceDE w:val="0"/>
        <w:autoSpaceDN w:val="0"/>
        <w:adjustRightInd w:val="0"/>
        <w:spacing w:after="120" w:line="240" w:lineRule="auto"/>
        <w:contextualSpacing w:val="0"/>
        <w:jc w:val="left"/>
      </w:pPr>
      <w:r w:rsidRPr="0026548E">
        <w:t xml:space="preserve">it was subsidised by </w:t>
      </w:r>
      <w:r w:rsidR="00C71020">
        <w:t>New South Wales</w:t>
      </w:r>
      <w:r w:rsidR="00F752F5">
        <w:t>,</w:t>
      </w:r>
      <w:r>
        <w:t xml:space="preserve"> and</w:t>
      </w:r>
      <w:r w:rsidRPr="0026548E">
        <w:t xml:space="preserve"> </w:t>
      </w:r>
    </w:p>
    <w:p w14:paraId="72B6A618" w14:textId="77777777" w:rsidR="007121F2" w:rsidRPr="0026548E" w:rsidRDefault="007121F2" w:rsidP="001A7DDC">
      <w:pPr>
        <w:pStyle w:val="ListParagraph"/>
        <w:numPr>
          <w:ilvl w:val="0"/>
          <w:numId w:val="4"/>
        </w:numPr>
        <w:autoSpaceDE w:val="0"/>
        <w:autoSpaceDN w:val="0"/>
        <w:adjustRightInd w:val="0"/>
        <w:spacing w:after="120" w:line="240" w:lineRule="auto"/>
        <w:contextualSpacing w:val="0"/>
        <w:jc w:val="left"/>
      </w:pPr>
      <w:r>
        <w:rPr>
          <w:rFonts w:ascii="Arial" w:eastAsiaTheme="minorHAnsi" w:hAnsi="Arial" w:cs="Arial"/>
          <w:color w:val="auto"/>
          <w:sz w:val="16"/>
          <w:szCs w:val="16"/>
          <w:lang w:eastAsia="en-US"/>
        </w:rPr>
        <w:t xml:space="preserve"> </w:t>
      </w:r>
      <w:r w:rsidRPr="0026548E">
        <w:t xml:space="preserve">it was delivered through a training contract as defined under section 12 of the </w:t>
      </w:r>
      <w:r w:rsidRPr="0026548E">
        <w:rPr>
          <w:i/>
        </w:rPr>
        <w:t xml:space="preserve">Apprenticeship and Traineeship Act, 2001 </w:t>
      </w:r>
      <w:r>
        <w:t>(NSW).</w:t>
      </w:r>
    </w:p>
    <w:p w14:paraId="640EE246" w14:textId="77777777" w:rsidR="007121F2" w:rsidRDefault="007121F2" w:rsidP="007121F2">
      <w:pPr>
        <w:autoSpaceDE w:val="0"/>
        <w:autoSpaceDN w:val="0"/>
        <w:adjustRightInd w:val="0"/>
        <w:spacing w:after="0" w:line="240" w:lineRule="auto"/>
        <w:jc w:val="left"/>
        <w:rPr>
          <w:rFonts w:ascii="Arial" w:eastAsiaTheme="minorHAnsi" w:hAnsi="Arial" w:cs="Arial"/>
          <w:i/>
          <w:iCs/>
          <w:color w:val="auto"/>
          <w:sz w:val="20"/>
          <w:lang w:eastAsia="en-US"/>
        </w:rPr>
      </w:pPr>
    </w:p>
    <w:p w14:paraId="2A0B8580" w14:textId="77777777" w:rsidR="00621C31" w:rsidRPr="005B0561" w:rsidRDefault="00621C31" w:rsidP="005B0561">
      <w:pPr>
        <w:pStyle w:val="ListParagraph"/>
        <w:spacing w:before="100" w:after="120" w:line="288" w:lineRule="auto"/>
        <w:ind w:left="0"/>
        <w:contextualSpacing w:val="0"/>
        <w:rPr>
          <w:b/>
          <w:bCs/>
        </w:rPr>
      </w:pPr>
      <w:r w:rsidRPr="005B0561">
        <w:rPr>
          <w:b/>
          <w:bCs/>
        </w:rPr>
        <w:t>Commencements above the performance benchmark</w:t>
      </w:r>
    </w:p>
    <w:p w14:paraId="170D52D3" w14:textId="03CE1535" w:rsidR="00621C31" w:rsidRPr="00FD74E1" w:rsidRDefault="00621C31" w:rsidP="00FD74E1">
      <w:pPr>
        <w:spacing w:line="288" w:lineRule="auto"/>
        <w:jc w:val="left"/>
        <w:rPr>
          <w:lang w:val="en-GB"/>
        </w:rPr>
      </w:pPr>
      <w:r w:rsidRPr="00FD74E1">
        <w:rPr>
          <w:lang w:val="en-GB"/>
        </w:rPr>
        <w:t xml:space="preserve">Where </w:t>
      </w:r>
      <w:r w:rsidR="00C71020" w:rsidRPr="00FD74E1">
        <w:rPr>
          <w:lang w:val="en-GB"/>
        </w:rPr>
        <w:t>New South Wales</w:t>
      </w:r>
      <w:r w:rsidRPr="00FD74E1">
        <w:rPr>
          <w:lang w:val="en-GB"/>
        </w:rPr>
        <w:t xml:space="preserve">’ apprenticeship and traineeship commencements for a given financial year are above the performance benchmark </w:t>
      </w:r>
      <w:r w:rsidR="00151725" w:rsidRPr="00FD74E1">
        <w:rPr>
          <w:lang w:val="en-GB"/>
        </w:rPr>
        <w:t>at 30 April</w:t>
      </w:r>
      <w:r w:rsidRPr="00FD74E1">
        <w:rPr>
          <w:lang w:val="en-GB"/>
        </w:rPr>
        <w:t xml:space="preserve">, </w:t>
      </w:r>
      <w:r w:rsidR="00C71020" w:rsidRPr="00FD74E1">
        <w:rPr>
          <w:lang w:val="en-GB"/>
        </w:rPr>
        <w:t>New South Wales</w:t>
      </w:r>
      <w:r w:rsidRPr="00FD74E1">
        <w:rPr>
          <w:lang w:val="en-GB"/>
        </w:rPr>
        <w:t xml:space="preserve"> may elect for those commencements to be counted towards the</w:t>
      </w:r>
      <w:r w:rsidR="00066A8F" w:rsidRPr="00FD74E1">
        <w:rPr>
          <w:lang w:val="en-GB"/>
        </w:rPr>
        <w:t xml:space="preserve"> performance benchmark for</w:t>
      </w:r>
      <w:r w:rsidRPr="00FD74E1">
        <w:rPr>
          <w:lang w:val="en-GB"/>
        </w:rPr>
        <w:t xml:space="preserve"> higher apprenticeship </w:t>
      </w:r>
      <w:r w:rsidR="00F752F5" w:rsidRPr="00FD74E1">
        <w:rPr>
          <w:lang w:val="en-GB"/>
        </w:rPr>
        <w:t>and/</w:t>
      </w:r>
      <w:r w:rsidRPr="00FD74E1">
        <w:rPr>
          <w:lang w:val="en-GB"/>
        </w:rPr>
        <w:t xml:space="preserve">or pre-apprenticeship </w:t>
      </w:r>
      <w:r w:rsidR="00066A8F" w:rsidRPr="00FD74E1">
        <w:rPr>
          <w:lang w:val="en-GB"/>
        </w:rPr>
        <w:t>commencements in the</w:t>
      </w:r>
      <w:r w:rsidRPr="00FD74E1">
        <w:rPr>
          <w:lang w:val="en-GB"/>
        </w:rPr>
        <w:t xml:space="preserve"> same financial year. </w:t>
      </w:r>
    </w:p>
    <w:p w14:paraId="752F1B87" w14:textId="77777777" w:rsidR="007121F2" w:rsidRPr="0026548E" w:rsidRDefault="007121F2" w:rsidP="0026548E">
      <w:pPr>
        <w:spacing w:after="120" w:line="276" w:lineRule="auto"/>
        <w:jc w:val="left"/>
        <w:rPr>
          <w:b/>
        </w:rPr>
      </w:pPr>
      <w:r w:rsidRPr="0026548E">
        <w:rPr>
          <w:b/>
        </w:rPr>
        <w:t xml:space="preserve">Training with similar characteristics </w:t>
      </w:r>
      <w:r w:rsidR="00683B97">
        <w:rPr>
          <w:b/>
        </w:rPr>
        <w:t xml:space="preserve">to an apprenticeship </w:t>
      </w:r>
      <w:r w:rsidRPr="0026548E">
        <w:rPr>
          <w:b/>
        </w:rPr>
        <w:t>(like activity)</w:t>
      </w:r>
    </w:p>
    <w:p w14:paraId="2B3FF0B2"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baseline and </w:t>
      </w:r>
      <w:r w:rsidR="00683B97">
        <w:t xml:space="preserve">additional commencements </w:t>
      </w:r>
      <w:r w:rsidRPr="0026548E">
        <w:t>target if:</w:t>
      </w:r>
    </w:p>
    <w:p w14:paraId="4F01B0CF" w14:textId="77777777" w:rsidR="007121F2" w:rsidRPr="0026548E" w:rsidRDefault="007121F2" w:rsidP="007121F2">
      <w:pPr>
        <w:autoSpaceDE w:val="0"/>
        <w:autoSpaceDN w:val="0"/>
        <w:adjustRightInd w:val="0"/>
        <w:spacing w:after="0" w:line="240" w:lineRule="auto"/>
        <w:jc w:val="left"/>
      </w:pPr>
    </w:p>
    <w:p w14:paraId="0EE8CE5E" w14:textId="77777777" w:rsidR="007121F2" w:rsidRDefault="005D166B" w:rsidP="001A7DDC">
      <w:pPr>
        <w:pStyle w:val="ListParagraph"/>
        <w:numPr>
          <w:ilvl w:val="0"/>
          <w:numId w:val="5"/>
        </w:numPr>
        <w:autoSpaceDE w:val="0"/>
        <w:autoSpaceDN w:val="0"/>
        <w:adjustRightInd w:val="0"/>
        <w:spacing w:after="120" w:line="240" w:lineRule="auto"/>
        <w:ind w:left="714" w:hanging="357"/>
        <w:contextualSpacing w:val="0"/>
        <w:jc w:val="left"/>
      </w:pPr>
      <w:r>
        <w:t>i</w:t>
      </w:r>
      <w:r w:rsidR="007121F2" w:rsidRPr="0026548E">
        <w:t>t was for a nationally recognised qualification or accredited course at AQF levels 3 or 4 specified by</w:t>
      </w:r>
      <w:r w:rsidR="007121F2">
        <w:t xml:space="preserve"> </w:t>
      </w:r>
      <w:r w:rsidR="00C71020">
        <w:t>New South Wales</w:t>
      </w:r>
      <w:r w:rsidR="007121F2" w:rsidRPr="0026548E">
        <w:t xml:space="preserve"> that include</w:t>
      </w:r>
      <w:r w:rsidR="00683B97">
        <w:t>s</w:t>
      </w:r>
      <w:r w:rsidR="007121F2" w:rsidRPr="0026548E">
        <w:t xml:space="preserve"> a requirement for work experience, work placement or</w:t>
      </w:r>
      <w:r w:rsidR="007121F2">
        <w:t xml:space="preserve"> </w:t>
      </w:r>
      <w:r w:rsidR="007121F2" w:rsidRPr="0026548E">
        <w:t>previous experience</w:t>
      </w:r>
    </w:p>
    <w:p w14:paraId="1441A579" w14:textId="77777777" w:rsidR="00066A8F" w:rsidRPr="0026548E" w:rsidRDefault="005D166B" w:rsidP="001A7DDC">
      <w:pPr>
        <w:pStyle w:val="ListParagraph"/>
        <w:numPr>
          <w:ilvl w:val="0"/>
          <w:numId w:val="5"/>
        </w:numPr>
        <w:autoSpaceDE w:val="0"/>
        <w:autoSpaceDN w:val="0"/>
        <w:adjustRightInd w:val="0"/>
        <w:spacing w:after="120" w:line="240" w:lineRule="auto"/>
        <w:ind w:left="714" w:hanging="357"/>
        <w:contextualSpacing w:val="0"/>
        <w:jc w:val="left"/>
      </w:pPr>
      <w:r>
        <w:t>i</w:t>
      </w:r>
      <w:r w:rsidR="00066A8F">
        <w:t xml:space="preserve">t was subsidised by </w:t>
      </w:r>
      <w:r w:rsidR="00C71020">
        <w:t>New South Wales</w:t>
      </w:r>
      <w:r w:rsidR="00F752F5">
        <w:t>,</w:t>
      </w:r>
      <w:r w:rsidR="00066A8F">
        <w:t xml:space="preserve"> and </w:t>
      </w:r>
    </w:p>
    <w:p w14:paraId="3575C4B6" w14:textId="77777777" w:rsidR="007121F2" w:rsidRPr="00C84172" w:rsidRDefault="005D166B" w:rsidP="001A7DDC">
      <w:pPr>
        <w:pStyle w:val="ListParagraph"/>
        <w:numPr>
          <w:ilvl w:val="0"/>
          <w:numId w:val="5"/>
        </w:numPr>
        <w:autoSpaceDE w:val="0"/>
        <w:autoSpaceDN w:val="0"/>
        <w:adjustRightInd w:val="0"/>
        <w:spacing w:after="120" w:line="240" w:lineRule="auto"/>
        <w:ind w:left="714" w:hanging="357"/>
        <w:contextualSpacing w:val="0"/>
        <w:jc w:val="left"/>
        <w:rPr>
          <w:i/>
        </w:rPr>
      </w:pPr>
      <w:r>
        <w:t>i</w:t>
      </w:r>
      <w:r w:rsidR="007121F2" w:rsidRPr="0026548E">
        <w:t xml:space="preserve">t was not delivered through a training contract as defined under section 12 of the </w:t>
      </w:r>
      <w:r w:rsidR="007121F2" w:rsidRPr="0026548E">
        <w:rPr>
          <w:i/>
        </w:rPr>
        <w:t>Apprenticeship and Act, 2001</w:t>
      </w:r>
      <w:r w:rsidR="007121F2">
        <w:rPr>
          <w:i/>
        </w:rPr>
        <w:t xml:space="preserve"> </w:t>
      </w:r>
      <w:r w:rsidR="007121F2">
        <w:t>(NSW)</w:t>
      </w:r>
      <w:r w:rsidR="00F752F5">
        <w:t>.</w:t>
      </w:r>
    </w:p>
    <w:p w14:paraId="020844FA" w14:textId="77777777" w:rsidR="007121F2" w:rsidRPr="0026548E" w:rsidRDefault="007121F2" w:rsidP="0026548E">
      <w:pPr>
        <w:pStyle w:val="Heading1"/>
      </w:pPr>
      <w:r w:rsidRPr="0026548E">
        <w:t>PART 2</w:t>
      </w:r>
      <w:r>
        <w:t xml:space="preserve"> – Pre-apprenticeships</w:t>
      </w:r>
      <w:r w:rsidRPr="0026548E">
        <w:t xml:space="preserve"> AND</w:t>
      </w:r>
      <w:r>
        <w:t xml:space="preserve"> pre-traineeships</w:t>
      </w:r>
    </w:p>
    <w:p w14:paraId="124AC98B" w14:textId="77777777" w:rsidR="007121F2" w:rsidRPr="00505841" w:rsidRDefault="007121F2" w:rsidP="0026548E">
      <w:pPr>
        <w:spacing w:after="120" w:line="276" w:lineRule="auto"/>
        <w:jc w:val="left"/>
        <w:rPr>
          <w:b/>
          <w:sz w:val="24"/>
        </w:rPr>
      </w:pPr>
      <w:r w:rsidRPr="00505841">
        <w:rPr>
          <w:b/>
          <w:sz w:val="24"/>
        </w:rPr>
        <w:t>Full qualifications</w:t>
      </w:r>
    </w:p>
    <w:p w14:paraId="5A229F1B"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w:t>
      </w:r>
      <w:r w:rsidR="00252C3D">
        <w:t xml:space="preserve">activity </w:t>
      </w:r>
      <w:r w:rsidRPr="0026548E">
        <w:t xml:space="preserve">baseline and </w:t>
      </w:r>
      <w:r w:rsidR="00683B97">
        <w:t xml:space="preserve">additional </w:t>
      </w:r>
      <w:r w:rsidR="00252C3D">
        <w:t>activity</w:t>
      </w:r>
      <w:r w:rsidR="00683B97">
        <w:t xml:space="preserve"> </w:t>
      </w:r>
      <w:r w:rsidRPr="0026548E">
        <w:t>target if:</w:t>
      </w:r>
    </w:p>
    <w:p w14:paraId="7D3EB5D5" w14:textId="77777777" w:rsidR="007121F2" w:rsidRPr="0026548E" w:rsidRDefault="007121F2" w:rsidP="007121F2">
      <w:pPr>
        <w:autoSpaceDE w:val="0"/>
        <w:autoSpaceDN w:val="0"/>
        <w:adjustRightInd w:val="0"/>
        <w:spacing w:after="0" w:line="240" w:lineRule="auto"/>
        <w:jc w:val="left"/>
      </w:pPr>
    </w:p>
    <w:p w14:paraId="69D2A337" w14:textId="77777777" w:rsidR="007121F2" w:rsidRPr="0026548E" w:rsidRDefault="005D166B" w:rsidP="001A7DDC">
      <w:pPr>
        <w:pStyle w:val="ListParagraph"/>
        <w:numPr>
          <w:ilvl w:val="0"/>
          <w:numId w:val="6"/>
        </w:numPr>
        <w:autoSpaceDE w:val="0"/>
        <w:autoSpaceDN w:val="0"/>
        <w:adjustRightInd w:val="0"/>
        <w:spacing w:after="120" w:line="240" w:lineRule="auto"/>
        <w:ind w:hanging="357"/>
        <w:contextualSpacing w:val="0"/>
        <w:jc w:val="left"/>
      </w:pPr>
      <w:r>
        <w:t>i</w:t>
      </w:r>
      <w:r w:rsidR="007121F2" w:rsidRPr="0026548E">
        <w:t>t was for a nationally recognised qualification, and</w:t>
      </w:r>
    </w:p>
    <w:p w14:paraId="50CC521E" w14:textId="77777777" w:rsidR="007121F2" w:rsidRDefault="005D166B" w:rsidP="001A7DDC">
      <w:pPr>
        <w:pStyle w:val="ListParagraph"/>
        <w:numPr>
          <w:ilvl w:val="0"/>
          <w:numId w:val="6"/>
        </w:numPr>
        <w:autoSpaceDE w:val="0"/>
        <w:autoSpaceDN w:val="0"/>
        <w:adjustRightInd w:val="0"/>
        <w:spacing w:after="120" w:line="240" w:lineRule="auto"/>
        <w:ind w:hanging="357"/>
        <w:contextualSpacing w:val="0"/>
        <w:jc w:val="left"/>
      </w:pPr>
      <w:r>
        <w:t>i</w:t>
      </w:r>
      <w:r w:rsidR="00683B97" w:rsidRPr="0026548E">
        <w:t xml:space="preserve">t </w:t>
      </w:r>
      <w:r w:rsidR="007121F2" w:rsidRPr="0026548E">
        <w:t xml:space="preserve">was subsidised by </w:t>
      </w:r>
      <w:r w:rsidR="00C71020">
        <w:t>New South Wales</w:t>
      </w:r>
      <w:r w:rsidR="007121F2" w:rsidRPr="0026548E">
        <w:t xml:space="preserve"> for the specific purpose of leading into:</w:t>
      </w:r>
    </w:p>
    <w:p w14:paraId="49771A45" w14:textId="77777777" w:rsidR="007121F2" w:rsidRPr="0026548E" w:rsidRDefault="007121F2" w:rsidP="001A7DDC">
      <w:pPr>
        <w:pStyle w:val="ListParagraph"/>
        <w:numPr>
          <w:ilvl w:val="1"/>
          <w:numId w:val="6"/>
        </w:numPr>
        <w:autoSpaceDE w:val="0"/>
        <w:autoSpaceDN w:val="0"/>
        <w:adjustRightInd w:val="0"/>
        <w:spacing w:after="120" w:line="240" w:lineRule="auto"/>
        <w:ind w:left="1701" w:hanging="618"/>
        <w:contextualSpacing w:val="0"/>
        <w:jc w:val="left"/>
      </w:pPr>
      <w:r w:rsidRPr="0026548E">
        <w:t>further study, or</w:t>
      </w:r>
    </w:p>
    <w:p w14:paraId="7937ACF1" w14:textId="77777777" w:rsidR="007121F2" w:rsidRPr="0026548E" w:rsidRDefault="007121F2" w:rsidP="001A7DDC">
      <w:pPr>
        <w:pStyle w:val="ListParagraph"/>
        <w:numPr>
          <w:ilvl w:val="1"/>
          <w:numId w:val="6"/>
        </w:numPr>
        <w:autoSpaceDE w:val="0"/>
        <w:autoSpaceDN w:val="0"/>
        <w:adjustRightInd w:val="0"/>
        <w:spacing w:after="120" w:line="240" w:lineRule="auto"/>
        <w:ind w:left="1701" w:hanging="618"/>
        <w:contextualSpacing w:val="0"/>
        <w:jc w:val="left"/>
      </w:pPr>
      <w:r w:rsidRPr="0026548E">
        <w:t>a training contract as defined under section 12 of the</w:t>
      </w:r>
      <w:r w:rsidRPr="000306B2">
        <w:rPr>
          <w:i/>
        </w:rPr>
        <w:t xml:space="preserve"> Apprenticeship and Traineeship Act, 2001</w:t>
      </w:r>
      <w:r w:rsidR="000306B2">
        <w:rPr>
          <w:i/>
        </w:rPr>
        <w:t xml:space="preserve"> </w:t>
      </w:r>
      <w:r w:rsidR="000306B2">
        <w:t>(NSW)</w:t>
      </w:r>
      <w:r w:rsidR="00252C3D">
        <w:t>,</w:t>
      </w:r>
      <w:r w:rsidR="00683B97">
        <w:t xml:space="preserve"> and</w:t>
      </w:r>
    </w:p>
    <w:p w14:paraId="67F29E9F" w14:textId="77777777" w:rsidR="007121F2" w:rsidRPr="0026548E" w:rsidRDefault="005D166B" w:rsidP="001A7DDC">
      <w:pPr>
        <w:pStyle w:val="ListParagraph"/>
        <w:numPr>
          <w:ilvl w:val="0"/>
          <w:numId w:val="6"/>
        </w:numPr>
        <w:autoSpaceDE w:val="0"/>
        <w:autoSpaceDN w:val="0"/>
        <w:adjustRightInd w:val="0"/>
        <w:spacing w:after="120" w:line="240" w:lineRule="auto"/>
        <w:ind w:hanging="357"/>
        <w:contextualSpacing w:val="0"/>
        <w:jc w:val="left"/>
      </w:pPr>
      <w:r>
        <w:t>i</w:t>
      </w:r>
      <w:r w:rsidR="007121F2" w:rsidRPr="0026548E">
        <w:t xml:space="preserve">t was not delivered through a training contract as defined under section 12 of the </w:t>
      </w:r>
      <w:r w:rsidR="007121F2" w:rsidRPr="0026548E">
        <w:rPr>
          <w:i/>
        </w:rPr>
        <w:t>Apprenticeship and</w:t>
      </w:r>
      <w:r w:rsidR="000759B9">
        <w:rPr>
          <w:i/>
        </w:rPr>
        <w:t xml:space="preserve"> </w:t>
      </w:r>
      <w:r w:rsidR="007121F2" w:rsidRPr="0026548E">
        <w:rPr>
          <w:i/>
        </w:rPr>
        <w:t>Traineeship Act, 2001</w:t>
      </w:r>
      <w:r w:rsidR="007121F2" w:rsidRPr="0026548E">
        <w:t xml:space="preserve"> (NSW)</w:t>
      </w:r>
      <w:r w:rsidR="00252C3D">
        <w:t>.</w:t>
      </w:r>
    </w:p>
    <w:p w14:paraId="61BC2A61" w14:textId="77777777" w:rsidR="0026548E" w:rsidRDefault="0026548E" w:rsidP="0026548E">
      <w:pPr>
        <w:spacing w:after="120" w:line="276" w:lineRule="auto"/>
        <w:jc w:val="left"/>
        <w:rPr>
          <w:b/>
        </w:rPr>
      </w:pPr>
    </w:p>
    <w:p w14:paraId="0AB2A54E" w14:textId="77777777" w:rsidR="007121F2" w:rsidRPr="00505841" w:rsidRDefault="007121F2" w:rsidP="00B94E74">
      <w:pPr>
        <w:spacing w:after="200" w:line="276" w:lineRule="auto"/>
        <w:jc w:val="left"/>
        <w:rPr>
          <w:b/>
          <w:sz w:val="24"/>
        </w:rPr>
      </w:pPr>
      <w:r w:rsidRPr="00505841">
        <w:rPr>
          <w:b/>
          <w:sz w:val="24"/>
        </w:rPr>
        <w:t>Part qualifications</w:t>
      </w:r>
    </w:p>
    <w:p w14:paraId="027C618E"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baseline and </w:t>
      </w:r>
      <w:r w:rsidR="00683B97">
        <w:t xml:space="preserve">additional </w:t>
      </w:r>
      <w:r w:rsidR="00252C3D">
        <w:t>activity</w:t>
      </w:r>
      <w:r w:rsidR="00683B97">
        <w:t xml:space="preserve"> </w:t>
      </w:r>
      <w:r w:rsidRPr="0026548E">
        <w:t>target if:</w:t>
      </w:r>
    </w:p>
    <w:p w14:paraId="78B72B3F" w14:textId="77777777" w:rsidR="0026548E" w:rsidRPr="0026548E" w:rsidRDefault="0026548E" w:rsidP="007121F2">
      <w:pPr>
        <w:autoSpaceDE w:val="0"/>
        <w:autoSpaceDN w:val="0"/>
        <w:adjustRightInd w:val="0"/>
        <w:spacing w:after="0" w:line="240" w:lineRule="auto"/>
        <w:jc w:val="left"/>
      </w:pPr>
    </w:p>
    <w:p w14:paraId="2603059A"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pPr>
      <w:r>
        <w:t>i</w:t>
      </w:r>
      <w:r w:rsidR="007121F2" w:rsidRPr="0026548E">
        <w:t>t included nationally accredited training</w:t>
      </w:r>
      <w:r w:rsidR="00252C3D">
        <w:t>,</w:t>
      </w:r>
      <w:r w:rsidR="007121F2" w:rsidRPr="0026548E">
        <w:t xml:space="preserve"> and</w:t>
      </w:r>
    </w:p>
    <w:p w14:paraId="5CFABD22"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pPr>
      <w:r>
        <w:t>i</w:t>
      </w:r>
      <w:r w:rsidR="007121F2" w:rsidRPr="0026548E">
        <w:t xml:space="preserve">t was subsidised by </w:t>
      </w:r>
      <w:r w:rsidR="00C71020">
        <w:t>New South Wales</w:t>
      </w:r>
      <w:r w:rsidR="007121F2" w:rsidRPr="0026548E">
        <w:t xml:space="preserve"> for the specific purpose of leading into:</w:t>
      </w:r>
    </w:p>
    <w:p w14:paraId="1A36B98A" w14:textId="77777777" w:rsidR="007121F2" w:rsidRPr="0026548E" w:rsidRDefault="007121F2" w:rsidP="001A7DDC">
      <w:pPr>
        <w:pStyle w:val="ListParagraph"/>
        <w:numPr>
          <w:ilvl w:val="1"/>
          <w:numId w:val="7"/>
        </w:numPr>
        <w:autoSpaceDE w:val="0"/>
        <w:autoSpaceDN w:val="0"/>
        <w:adjustRightInd w:val="0"/>
        <w:spacing w:after="120" w:line="240" w:lineRule="auto"/>
        <w:ind w:left="1701" w:hanging="618"/>
        <w:contextualSpacing w:val="0"/>
        <w:jc w:val="left"/>
      </w:pPr>
      <w:r w:rsidRPr="0026548E">
        <w:t>study</w:t>
      </w:r>
      <w:r w:rsidR="00A43F22">
        <w:t>,</w:t>
      </w:r>
      <w:r w:rsidRPr="0026548E">
        <w:t xml:space="preserve"> or</w:t>
      </w:r>
    </w:p>
    <w:p w14:paraId="4078A419" w14:textId="77777777" w:rsidR="007121F2" w:rsidRDefault="007121F2" w:rsidP="001A7DDC">
      <w:pPr>
        <w:pStyle w:val="ListParagraph"/>
        <w:numPr>
          <w:ilvl w:val="1"/>
          <w:numId w:val="7"/>
        </w:numPr>
        <w:autoSpaceDE w:val="0"/>
        <w:autoSpaceDN w:val="0"/>
        <w:adjustRightInd w:val="0"/>
        <w:spacing w:after="120" w:line="240" w:lineRule="auto"/>
        <w:ind w:left="1701" w:hanging="618"/>
        <w:contextualSpacing w:val="0"/>
        <w:jc w:val="left"/>
        <w:rPr>
          <w:rFonts w:ascii="Arial" w:eastAsiaTheme="minorHAnsi" w:hAnsi="Arial" w:cs="Arial"/>
          <w:color w:val="auto"/>
          <w:sz w:val="20"/>
          <w:lang w:eastAsia="en-US"/>
        </w:rPr>
      </w:pPr>
      <w:r w:rsidRPr="0026548E">
        <w:t xml:space="preserve">a training contract as defined under section 12 of the </w:t>
      </w:r>
      <w:r w:rsidRPr="0026548E">
        <w:rPr>
          <w:i/>
        </w:rPr>
        <w:t>Apprenticeship and Traineeship Act, 2001</w:t>
      </w:r>
      <w:r w:rsidR="0026548E" w:rsidRPr="0026548E">
        <w:rPr>
          <w:i/>
        </w:rPr>
        <w:t xml:space="preserve"> </w:t>
      </w:r>
      <w:r w:rsidRPr="0026548E">
        <w:t>(NSW)</w:t>
      </w:r>
      <w:r w:rsidR="00252C3D">
        <w:t>,</w:t>
      </w:r>
      <w:r w:rsidRPr="0026548E">
        <w:t xml:space="preserve"> and</w:t>
      </w:r>
    </w:p>
    <w:p w14:paraId="6F3C1910"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pPr>
      <w:r>
        <w:t>i</w:t>
      </w:r>
      <w:r w:rsidR="007121F2" w:rsidRPr="0026548E">
        <w:t>t was not a commencement for a nationally recognised qualification</w:t>
      </w:r>
      <w:r w:rsidR="00252C3D">
        <w:t>,</w:t>
      </w:r>
      <w:r w:rsidR="007121F2" w:rsidRPr="0026548E">
        <w:t xml:space="preserve"> and</w:t>
      </w:r>
    </w:p>
    <w:p w14:paraId="6F9A6DAD"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rPr>
          <w:i/>
        </w:rPr>
      </w:pPr>
      <w:r>
        <w:t>i</w:t>
      </w:r>
      <w:r w:rsidR="007121F2" w:rsidRPr="0026548E">
        <w:t xml:space="preserve">t was not delivered through a training contract as defined under section 12 of the </w:t>
      </w:r>
      <w:r w:rsidR="007121F2" w:rsidRPr="0026548E">
        <w:rPr>
          <w:i/>
        </w:rPr>
        <w:t>Apprenticeship and</w:t>
      </w:r>
      <w:r w:rsidR="0026548E">
        <w:rPr>
          <w:i/>
        </w:rPr>
        <w:t xml:space="preserve"> </w:t>
      </w:r>
      <w:r w:rsidR="007121F2" w:rsidRPr="0026548E">
        <w:rPr>
          <w:i/>
        </w:rPr>
        <w:t>Traineeship Act, 2001</w:t>
      </w:r>
      <w:r w:rsidR="0026548E">
        <w:rPr>
          <w:i/>
        </w:rPr>
        <w:t xml:space="preserve"> </w:t>
      </w:r>
      <w:r w:rsidR="0026548E" w:rsidRPr="0026548E">
        <w:t>(NSW)</w:t>
      </w:r>
      <w:r w:rsidR="000306B2">
        <w:t>.</w:t>
      </w:r>
    </w:p>
    <w:p w14:paraId="126E7139" w14:textId="77777777" w:rsidR="007121F2" w:rsidRPr="0026548E" w:rsidRDefault="007121F2" w:rsidP="0026548E">
      <w:pPr>
        <w:pStyle w:val="Heading1"/>
      </w:pPr>
      <w:r w:rsidRPr="0026548E">
        <w:t>PART 3 − HIGHER APPRENTICESHIPS</w:t>
      </w:r>
      <w:r w:rsidR="00A35051">
        <w:t xml:space="preserve"> AND HIGHER TRAINEESHIPS</w:t>
      </w:r>
    </w:p>
    <w:p w14:paraId="31FA566C" w14:textId="77777777" w:rsidR="007121F2" w:rsidRPr="00505841" w:rsidRDefault="007121F2" w:rsidP="0026548E">
      <w:pPr>
        <w:spacing w:after="120" w:line="276" w:lineRule="auto"/>
        <w:jc w:val="left"/>
        <w:rPr>
          <w:b/>
          <w:sz w:val="24"/>
        </w:rPr>
      </w:pPr>
      <w:r w:rsidRPr="00505841">
        <w:rPr>
          <w:b/>
          <w:sz w:val="24"/>
        </w:rPr>
        <w:t>Contracts of training</w:t>
      </w:r>
    </w:p>
    <w:p w14:paraId="6BD24858"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baseline and </w:t>
      </w:r>
      <w:r w:rsidR="00683B97">
        <w:t xml:space="preserve">additional </w:t>
      </w:r>
      <w:r w:rsidR="00252C3D">
        <w:t xml:space="preserve">activity </w:t>
      </w:r>
      <w:r w:rsidRPr="0026548E">
        <w:t>target if:</w:t>
      </w:r>
    </w:p>
    <w:p w14:paraId="7D2E535F" w14:textId="77777777" w:rsidR="0026548E" w:rsidRPr="0026548E" w:rsidRDefault="0026548E" w:rsidP="007121F2">
      <w:pPr>
        <w:autoSpaceDE w:val="0"/>
        <w:autoSpaceDN w:val="0"/>
        <w:adjustRightInd w:val="0"/>
        <w:spacing w:after="0" w:line="240" w:lineRule="auto"/>
        <w:jc w:val="left"/>
      </w:pPr>
    </w:p>
    <w:p w14:paraId="75416A01" w14:textId="77777777" w:rsidR="00066A8F" w:rsidRDefault="005D166B" w:rsidP="001A7DDC">
      <w:pPr>
        <w:pStyle w:val="ListParagraph"/>
        <w:numPr>
          <w:ilvl w:val="0"/>
          <w:numId w:val="8"/>
        </w:numPr>
        <w:autoSpaceDE w:val="0"/>
        <w:autoSpaceDN w:val="0"/>
        <w:adjustRightInd w:val="0"/>
        <w:spacing w:after="120" w:line="240" w:lineRule="auto"/>
        <w:contextualSpacing w:val="0"/>
        <w:jc w:val="left"/>
      </w:pPr>
      <w:r>
        <w:t>i</w:t>
      </w:r>
      <w:r w:rsidR="00252C3D">
        <w:t>t i</w:t>
      </w:r>
      <w:r w:rsidR="007121F2" w:rsidRPr="0026548E">
        <w:t xml:space="preserve">s for a nationally recognised qualification or accredited course at AQF level 5 or 6 </w:t>
      </w:r>
    </w:p>
    <w:p w14:paraId="698CAA5D" w14:textId="77777777" w:rsidR="007121F2" w:rsidRPr="0026548E" w:rsidRDefault="005D166B" w:rsidP="001A7DDC">
      <w:pPr>
        <w:pStyle w:val="ListParagraph"/>
        <w:numPr>
          <w:ilvl w:val="0"/>
          <w:numId w:val="8"/>
        </w:numPr>
        <w:autoSpaceDE w:val="0"/>
        <w:autoSpaceDN w:val="0"/>
        <w:adjustRightInd w:val="0"/>
        <w:spacing w:after="120" w:line="240" w:lineRule="auto"/>
        <w:contextualSpacing w:val="0"/>
        <w:jc w:val="left"/>
      </w:pPr>
      <w:r>
        <w:t>i</w:t>
      </w:r>
      <w:r w:rsidR="00066A8F">
        <w:t>t was subsid</w:t>
      </w:r>
      <w:r w:rsidR="00545903">
        <w:t xml:space="preserve">ised by the Government of </w:t>
      </w:r>
      <w:r w:rsidR="00C71020">
        <w:t>New South Wales</w:t>
      </w:r>
      <w:r w:rsidR="00252C3D">
        <w:t>,</w:t>
      </w:r>
      <w:r w:rsidR="00545903">
        <w:t xml:space="preserve"> </w:t>
      </w:r>
      <w:r w:rsidR="007121F2" w:rsidRPr="0026548E">
        <w:t>and</w:t>
      </w:r>
    </w:p>
    <w:p w14:paraId="54709151" w14:textId="77777777" w:rsidR="007121F2" w:rsidRPr="0026548E" w:rsidRDefault="005D166B" w:rsidP="001A7DDC">
      <w:pPr>
        <w:pStyle w:val="ListParagraph"/>
        <w:numPr>
          <w:ilvl w:val="0"/>
          <w:numId w:val="8"/>
        </w:numPr>
        <w:autoSpaceDE w:val="0"/>
        <w:autoSpaceDN w:val="0"/>
        <w:adjustRightInd w:val="0"/>
        <w:spacing w:after="120" w:line="240" w:lineRule="auto"/>
        <w:contextualSpacing w:val="0"/>
        <w:jc w:val="left"/>
        <w:rPr>
          <w:i/>
        </w:rPr>
      </w:pPr>
      <w:r>
        <w:t>i</w:t>
      </w:r>
      <w:r w:rsidR="007121F2" w:rsidRPr="0026548E">
        <w:t xml:space="preserve">t was delivered through a training contract as defined under section 12 of the </w:t>
      </w:r>
      <w:r w:rsidR="007121F2" w:rsidRPr="0026548E">
        <w:rPr>
          <w:i/>
        </w:rPr>
        <w:t>Apprenticeship and</w:t>
      </w:r>
    </w:p>
    <w:p w14:paraId="7D83C0F7" w14:textId="77519AED" w:rsidR="007121F2" w:rsidRPr="0026548E" w:rsidRDefault="007121F2" w:rsidP="00082CB0">
      <w:pPr>
        <w:autoSpaceDE w:val="0"/>
        <w:autoSpaceDN w:val="0"/>
        <w:adjustRightInd w:val="0"/>
        <w:spacing w:after="120" w:line="240" w:lineRule="auto"/>
        <w:ind w:firstLine="720"/>
        <w:jc w:val="left"/>
      </w:pPr>
      <w:r w:rsidRPr="0026548E">
        <w:rPr>
          <w:i/>
        </w:rPr>
        <w:t>Traineeship Act,</w:t>
      </w:r>
      <w:r w:rsidR="0026548E" w:rsidRPr="0026548E">
        <w:rPr>
          <w:i/>
        </w:rPr>
        <w:t xml:space="preserve"> 2001</w:t>
      </w:r>
      <w:r w:rsidRPr="0026548E">
        <w:t xml:space="preserve"> (NSW).</w:t>
      </w:r>
      <w:r w:rsidR="005B0561">
        <w:br/>
      </w:r>
    </w:p>
    <w:p w14:paraId="428EBD30" w14:textId="77777777" w:rsidR="00621C31" w:rsidRPr="005B0561" w:rsidRDefault="00621C31" w:rsidP="005B0561">
      <w:pPr>
        <w:pStyle w:val="ListParagraph"/>
        <w:spacing w:before="120" w:after="120" w:line="288" w:lineRule="auto"/>
        <w:ind w:left="0"/>
        <w:contextualSpacing w:val="0"/>
        <w:rPr>
          <w:b/>
          <w:bCs/>
        </w:rPr>
      </w:pPr>
      <w:r w:rsidRPr="005B0561">
        <w:rPr>
          <w:b/>
          <w:bCs/>
        </w:rPr>
        <w:t>Commencements above the performance benchmark</w:t>
      </w:r>
    </w:p>
    <w:p w14:paraId="78FCC535" w14:textId="3EA50A0F" w:rsidR="00621C31" w:rsidRPr="00FD74E1" w:rsidRDefault="00621C31" w:rsidP="00FD74E1">
      <w:pPr>
        <w:spacing w:before="100" w:after="0" w:line="288" w:lineRule="auto"/>
        <w:jc w:val="left"/>
      </w:pPr>
      <w:r w:rsidRPr="00FD74E1">
        <w:t xml:space="preserve">Where </w:t>
      </w:r>
      <w:r w:rsidR="00C71020" w:rsidRPr="00FD74E1">
        <w:t>New South Wales</w:t>
      </w:r>
      <w:r w:rsidRPr="00FD74E1">
        <w:t>’ higher apprenticeship and higher traineeship commencements for a given financial year are above the performance benchmark</w:t>
      </w:r>
      <w:r w:rsidR="00066A8F" w:rsidRPr="00FD74E1">
        <w:t xml:space="preserve"> at 30 April</w:t>
      </w:r>
      <w:r w:rsidRPr="00FD74E1">
        <w:t xml:space="preserve">, </w:t>
      </w:r>
      <w:r w:rsidR="00C71020" w:rsidRPr="00FD74E1">
        <w:t>New South Wales</w:t>
      </w:r>
      <w:r w:rsidRPr="00FD74E1">
        <w:t xml:space="preserve"> may elect for those commencements to be counted towards </w:t>
      </w:r>
      <w:r w:rsidR="00683B97" w:rsidRPr="00FD74E1">
        <w:t xml:space="preserve">the apprenticeship and traineeship </w:t>
      </w:r>
      <w:r w:rsidR="00066A8F" w:rsidRPr="00FD74E1">
        <w:t xml:space="preserve">performance benchmark </w:t>
      </w:r>
      <w:r w:rsidRPr="00FD74E1">
        <w:t xml:space="preserve">or </w:t>
      </w:r>
      <w:r w:rsidR="00683B97" w:rsidRPr="00FD74E1">
        <w:t xml:space="preserve">the </w:t>
      </w:r>
      <w:r w:rsidRPr="00FD74E1">
        <w:t>pre-apprenticeship</w:t>
      </w:r>
      <w:r w:rsidR="00683B97" w:rsidRPr="00FD74E1">
        <w:t xml:space="preserve"> and pre-traineeship performance benchmark</w:t>
      </w:r>
      <w:r w:rsidRPr="00FD74E1">
        <w:t xml:space="preserve"> in the same financial year.  </w:t>
      </w:r>
    </w:p>
    <w:p w14:paraId="14267C3D" w14:textId="77777777" w:rsidR="00C90FF3" w:rsidRPr="0077478E" w:rsidRDefault="00C90FF3" w:rsidP="00B94E74">
      <w:pPr>
        <w:spacing w:before="100" w:line="288" w:lineRule="auto"/>
        <w:jc w:val="left"/>
        <w:rPr>
          <w:b/>
          <w:color w:val="auto"/>
        </w:rPr>
      </w:pPr>
    </w:p>
    <w:sectPr w:rsidR="00C90FF3" w:rsidRPr="0077478E" w:rsidSect="002C58C4">
      <w:headerReference w:type="default" r:id="rId7"/>
      <w:footerReference w:type="default" r:id="rId8"/>
      <w:headerReference w:type="first" r:id="rId9"/>
      <w:footerReference w:type="first" r:id="rId10"/>
      <w:pgSz w:w="11906" w:h="16838" w:code="9"/>
      <w:pgMar w:top="1134" w:right="849" w:bottom="851" w:left="1134" w:header="709" w:footer="486"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D83F" w14:textId="77777777" w:rsidR="004619D3" w:rsidRDefault="004619D3">
      <w:pPr>
        <w:spacing w:after="0" w:line="240" w:lineRule="auto"/>
      </w:pPr>
      <w:r>
        <w:separator/>
      </w:r>
    </w:p>
  </w:endnote>
  <w:endnote w:type="continuationSeparator" w:id="0">
    <w:p w14:paraId="53B5E6CA" w14:textId="77777777" w:rsidR="004619D3" w:rsidRDefault="004619D3">
      <w:pPr>
        <w:spacing w:after="0" w:line="240" w:lineRule="auto"/>
      </w:pPr>
      <w:r>
        <w:continuationSeparator/>
      </w:r>
    </w:p>
  </w:endnote>
  <w:endnote w:type="continuationNotice" w:id="1">
    <w:p w14:paraId="7E389E0A" w14:textId="77777777" w:rsidR="004619D3" w:rsidRDefault="00461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sz w:val="23"/>
      </w:rPr>
      <w:id w:val="-810176138"/>
      <w:docPartObj>
        <w:docPartGallery w:val="Page Numbers (Bottom of Page)"/>
        <w:docPartUnique/>
      </w:docPartObj>
    </w:sdtPr>
    <w:sdtEndPr>
      <w:rPr>
        <w:noProof/>
        <w:color w:val="3D4B67"/>
        <w:sz w:val="18"/>
      </w:rPr>
    </w:sdtEndPr>
    <w:sdtContent>
      <w:p w14:paraId="5BF4A7FC" w14:textId="629C0E1B" w:rsidR="004619D3" w:rsidRPr="002C58C4" w:rsidRDefault="004619D3" w:rsidP="002C58C4">
        <w:pPr>
          <w:pStyle w:val="FooterEven"/>
          <w:jc w:val="right"/>
          <w:rPr>
            <w:sz w:val="16"/>
            <w:szCs w:val="16"/>
          </w:rPr>
        </w:pPr>
        <w:r w:rsidRPr="00EE39B9">
          <w:rPr>
            <w:sz w:val="16"/>
            <w:szCs w:val="16"/>
          </w:rPr>
          <w:t xml:space="preserve">Page </w:t>
        </w:r>
        <w:r w:rsidRPr="00EE39B9">
          <w:rPr>
            <w:rStyle w:val="PageNumber"/>
            <w:sz w:val="16"/>
            <w:szCs w:val="16"/>
          </w:rPr>
          <w:fldChar w:fldCharType="begin"/>
        </w:r>
        <w:r w:rsidRPr="00EE39B9">
          <w:rPr>
            <w:rStyle w:val="PageNumber"/>
            <w:sz w:val="16"/>
            <w:szCs w:val="16"/>
          </w:rPr>
          <w:instrText xml:space="preserve"> PAGE </w:instrText>
        </w:r>
        <w:r w:rsidRPr="00EE39B9">
          <w:rPr>
            <w:rStyle w:val="PageNumber"/>
            <w:sz w:val="16"/>
            <w:szCs w:val="16"/>
          </w:rPr>
          <w:fldChar w:fldCharType="separate"/>
        </w:r>
        <w:r w:rsidR="008A7E09">
          <w:rPr>
            <w:rStyle w:val="PageNumber"/>
            <w:noProof/>
            <w:sz w:val="16"/>
            <w:szCs w:val="16"/>
          </w:rPr>
          <w:t>22</w:t>
        </w:r>
        <w:r w:rsidRPr="00EE39B9">
          <w:rPr>
            <w:rStyle w:val="PageNumbe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498A" w14:textId="36F58050" w:rsidR="004619D3" w:rsidRPr="008F3194" w:rsidRDefault="004619D3" w:rsidP="006C2519">
    <w:pPr>
      <w:pStyle w:val="FooterEven"/>
      <w:jc w:val="right"/>
      <w:rPr>
        <w:sz w:val="16"/>
        <w:szCs w:val="16"/>
      </w:rPr>
    </w:pPr>
    <w:r w:rsidRPr="008F3194">
      <w:rPr>
        <w:sz w:val="16"/>
        <w:szCs w:val="16"/>
      </w:rPr>
      <w:t xml:space="preserve">Page </w:t>
    </w:r>
    <w:r w:rsidRPr="008F3194">
      <w:rPr>
        <w:rStyle w:val="PageNumber"/>
        <w:sz w:val="16"/>
        <w:szCs w:val="16"/>
      </w:rPr>
      <w:fldChar w:fldCharType="begin"/>
    </w:r>
    <w:r w:rsidRPr="008F3194">
      <w:rPr>
        <w:rStyle w:val="PageNumber"/>
        <w:sz w:val="16"/>
        <w:szCs w:val="16"/>
      </w:rPr>
      <w:instrText xml:space="preserve"> PAGE </w:instrText>
    </w:r>
    <w:r w:rsidRPr="008F3194">
      <w:rPr>
        <w:rStyle w:val="PageNumber"/>
        <w:sz w:val="16"/>
        <w:szCs w:val="16"/>
      </w:rPr>
      <w:fldChar w:fldCharType="separate"/>
    </w:r>
    <w:r w:rsidR="008A7E09">
      <w:rPr>
        <w:rStyle w:val="PageNumber"/>
        <w:noProof/>
        <w:sz w:val="16"/>
        <w:szCs w:val="16"/>
      </w:rPr>
      <w:t>1</w:t>
    </w:r>
    <w:r w:rsidRPr="008F3194">
      <w:rPr>
        <w:rStyle w:val="PageNumber"/>
        <w:sz w:val="16"/>
        <w:szCs w:val="16"/>
      </w:rPr>
      <w:fldChar w:fldCharType="end"/>
    </w:r>
  </w:p>
  <w:p w14:paraId="0401F1DA" w14:textId="77777777" w:rsidR="004619D3" w:rsidRDefault="004619D3" w:rsidP="006C25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B52A" w14:textId="77777777" w:rsidR="004619D3" w:rsidRDefault="004619D3">
      <w:pPr>
        <w:spacing w:after="0" w:line="240" w:lineRule="auto"/>
      </w:pPr>
      <w:r>
        <w:separator/>
      </w:r>
    </w:p>
  </w:footnote>
  <w:footnote w:type="continuationSeparator" w:id="0">
    <w:p w14:paraId="42265079" w14:textId="77777777" w:rsidR="004619D3" w:rsidRDefault="004619D3">
      <w:pPr>
        <w:spacing w:after="0" w:line="240" w:lineRule="auto"/>
      </w:pPr>
      <w:r>
        <w:continuationSeparator/>
      </w:r>
    </w:p>
  </w:footnote>
  <w:footnote w:type="continuationNotice" w:id="1">
    <w:p w14:paraId="7624362D" w14:textId="77777777" w:rsidR="004619D3" w:rsidRDefault="00461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27C5" w14:textId="1B2ACACA" w:rsidR="004619D3" w:rsidRPr="00814590" w:rsidRDefault="004619D3" w:rsidP="006C50E2">
    <w:pPr>
      <w:pStyle w:val="HeaderOdd"/>
      <w:tabs>
        <w:tab w:val="num" w:pos="1134"/>
      </w:tabs>
      <w:rPr>
        <w:color w:val="800000"/>
      </w:rPr>
    </w:pPr>
    <w:r>
      <w:rPr>
        <w:color w:val="800000"/>
      </w:rPr>
      <w:t>National Partnership on the Skilling Australians Fund – Schedule C – NSW</w:t>
    </w:r>
  </w:p>
  <w:p w14:paraId="65E5ABAC" w14:textId="77777777" w:rsidR="004619D3" w:rsidRDefault="00461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AD70" w14:textId="5E6208D6" w:rsidR="004619D3" w:rsidRDefault="004619D3" w:rsidP="00FB5887">
    <w:pPr>
      <w:pStyle w:val="HeaderOdd"/>
      <w:tabs>
        <w:tab w:val="num" w:pos="1134"/>
      </w:tabs>
      <w:rPr>
        <w:color w:val="800000"/>
      </w:rPr>
    </w:pPr>
    <w:r>
      <w:rPr>
        <w:color w:val="800000"/>
      </w:rPr>
      <w:t>National Partnership on the Skilling Australians Fund – Schedule C – NSW</w:t>
    </w:r>
  </w:p>
  <w:p w14:paraId="508D81BF" w14:textId="77777777" w:rsidR="004619D3" w:rsidRPr="00751725" w:rsidRDefault="004619D3" w:rsidP="00FB5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36"/>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F987A08"/>
    <w:multiLevelType w:val="multilevel"/>
    <w:tmpl w:val="9798372A"/>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 w15:restartNumberingAfterBreak="0">
    <w:nsid w:val="11D07BDE"/>
    <w:multiLevelType w:val="multilevel"/>
    <w:tmpl w:val="76E24E02"/>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15:restartNumberingAfterBreak="0">
    <w:nsid w:val="121C71E0"/>
    <w:multiLevelType w:val="hybridMultilevel"/>
    <w:tmpl w:val="5EEE2A58"/>
    <w:lvl w:ilvl="0" w:tplc="E7741358">
      <w:start w:val="1"/>
      <w:numFmt w:val="decimal"/>
      <w:lvlText w:val="%1."/>
      <w:lvlJc w:val="left"/>
      <w:pPr>
        <w:ind w:left="720" w:hanging="360"/>
      </w:pPr>
      <w:rPr>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14757"/>
    <w:multiLevelType w:val="multilevel"/>
    <w:tmpl w:val="4680F0E2"/>
    <w:lvl w:ilvl="0">
      <w:start w:val="1"/>
      <w:numFmt w:val="lowerLetter"/>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cs="Times New Roman" w:hint="default"/>
      </w:rPr>
    </w:lvl>
    <w:lvl w:ilvl="2">
      <w:start w:val="4"/>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ascii="Corbel" w:hAnsi="Corbel" w:cs="Times New Roman" w:hint="default"/>
        <w:caps w:val="0"/>
        <w:sz w:val="23"/>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 w15:restartNumberingAfterBreak="0">
    <w:nsid w:val="1B844441"/>
    <w:multiLevelType w:val="hybridMultilevel"/>
    <w:tmpl w:val="63AC3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47E3D"/>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51F5326"/>
    <w:multiLevelType w:val="multilevel"/>
    <w:tmpl w:val="BDCCCFCE"/>
    <w:lvl w:ilvl="0">
      <w:start w:val="1"/>
      <w:numFmt w:val="lowerLetter"/>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cs="Times New Roman" w:hint="default"/>
      </w:rPr>
    </w:lvl>
    <w:lvl w:ilvl="2">
      <w:start w:val="4"/>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 w15:restartNumberingAfterBreak="0">
    <w:nsid w:val="26A42E2D"/>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D9322A1"/>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2F300D23"/>
    <w:multiLevelType w:val="hybridMultilevel"/>
    <w:tmpl w:val="A8AE99EA"/>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8A5C10"/>
    <w:multiLevelType w:val="hybridMultilevel"/>
    <w:tmpl w:val="361C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E6C69"/>
    <w:multiLevelType w:val="hybridMultilevel"/>
    <w:tmpl w:val="F710C6F4"/>
    <w:lvl w:ilvl="0" w:tplc="E7741358">
      <w:start w:val="1"/>
      <w:numFmt w:val="decimal"/>
      <w:lvlText w:val="%1."/>
      <w:lvlJc w:val="left"/>
      <w:pPr>
        <w:ind w:left="720" w:hanging="360"/>
      </w:pPr>
      <w:rPr>
        <w:i w:val="0"/>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696742"/>
    <w:multiLevelType w:val="hybridMultilevel"/>
    <w:tmpl w:val="5EEE2A58"/>
    <w:lvl w:ilvl="0" w:tplc="E7741358">
      <w:start w:val="1"/>
      <w:numFmt w:val="decimal"/>
      <w:lvlText w:val="%1."/>
      <w:lvlJc w:val="left"/>
      <w:pPr>
        <w:ind w:left="720" w:hanging="360"/>
      </w:pPr>
      <w:rPr>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5F4815"/>
    <w:multiLevelType w:val="hybridMultilevel"/>
    <w:tmpl w:val="31C4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F92746"/>
    <w:multiLevelType w:val="hybridMultilevel"/>
    <w:tmpl w:val="5EEE2A58"/>
    <w:lvl w:ilvl="0" w:tplc="E7741358">
      <w:start w:val="1"/>
      <w:numFmt w:val="decimal"/>
      <w:lvlText w:val="%1."/>
      <w:lvlJc w:val="left"/>
      <w:pPr>
        <w:ind w:left="720" w:hanging="360"/>
      </w:pPr>
      <w:rPr>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225CBB"/>
    <w:multiLevelType w:val="multilevel"/>
    <w:tmpl w:val="9798372A"/>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467958A1"/>
    <w:multiLevelType w:val="multilevel"/>
    <w:tmpl w:val="633211EC"/>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ascii="Corbel" w:hAnsi="Corbel" w:cs="Times New Roman" w:hint="default"/>
        <w:caps w:val="0"/>
        <w:sz w:val="23"/>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495B65E2"/>
    <w:multiLevelType w:val="multilevel"/>
    <w:tmpl w:val="A5764744"/>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15:restartNumberingAfterBreak="0">
    <w:nsid w:val="4AD057DB"/>
    <w:multiLevelType w:val="hybridMultilevel"/>
    <w:tmpl w:val="98F80BAC"/>
    <w:lvl w:ilvl="0" w:tplc="55120FD4">
      <w:start w:val="1"/>
      <w:numFmt w:val="bullet"/>
      <w:pStyle w:val="TalkingPoints"/>
      <w:lvlText w:val=""/>
      <w:lvlJc w:val="left"/>
      <w:pPr>
        <w:ind w:left="360" w:hanging="360"/>
      </w:pPr>
      <w:rPr>
        <w:rFonts w:ascii="Symbol" w:hAnsi="Symbol" w:hint="default"/>
      </w:rPr>
    </w:lvl>
    <w:lvl w:ilvl="1" w:tplc="AFD29AFA">
      <w:start w:val="1"/>
      <w:numFmt w:val="bullet"/>
      <w:lvlText w:val="o"/>
      <w:lvlJc w:val="left"/>
      <w:pPr>
        <w:ind w:left="1080" w:hanging="360"/>
      </w:pPr>
      <w:rPr>
        <w:rFonts w:ascii="Courier New" w:hAnsi="Courier New" w:cs="Courier New" w:hint="default"/>
      </w:rPr>
    </w:lvl>
    <w:lvl w:ilvl="2" w:tplc="103AC690" w:tentative="1">
      <w:start w:val="1"/>
      <w:numFmt w:val="bullet"/>
      <w:lvlText w:val=""/>
      <w:lvlJc w:val="left"/>
      <w:pPr>
        <w:ind w:left="1800" w:hanging="360"/>
      </w:pPr>
      <w:rPr>
        <w:rFonts w:ascii="Wingdings" w:hAnsi="Wingdings" w:hint="default"/>
      </w:rPr>
    </w:lvl>
    <w:lvl w:ilvl="3" w:tplc="2450885A" w:tentative="1">
      <w:start w:val="1"/>
      <w:numFmt w:val="bullet"/>
      <w:lvlText w:val=""/>
      <w:lvlJc w:val="left"/>
      <w:pPr>
        <w:ind w:left="2520" w:hanging="360"/>
      </w:pPr>
      <w:rPr>
        <w:rFonts w:ascii="Symbol" w:hAnsi="Symbol" w:hint="default"/>
      </w:rPr>
    </w:lvl>
    <w:lvl w:ilvl="4" w:tplc="881E6F5E" w:tentative="1">
      <w:start w:val="1"/>
      <w:numFmt w:val="bullet"/>
      <w:lvlText w:val="o"/>
      <w:lvlJc w:val="left"/>
      <w:pPr>
        <w:ind w:left="3240" w:hanging="360"/>
      </w:pPr>
      <w:rPr>
        <w:rFonts w:ascii="Courier New" w:hAnsi="Courier New" w:cs="Courier New" w:hint="default"/>
      </w:rPr>
    </w:lvl>
    <w:lvl w:ilvl="5" w:tplc="D1AEB78E" w:tentative="1">
      <w:start w:val="1"/>
      <w:numFmt w:val="bullet"/>
      <w:lvlText w:val=""/>
      <w:lvlJc w:val="left"/>
      <w:pPr>
        <w:ind w:left="3960" w:hanging="360"/>
      </w:pPr>
      <w:rPr>
        <w:rFonts w:ascii="Wingdings" w:hAnsi="Wingdings" w:hint="default"/>
      </w:rPr>
    </w:lvl>
    <w:lvl w:ilvl="6" w:tplc="3E2A56B6" w:tentative="1">
      <w:start w:val="1"/>
      <w:numFmt w:val="bullet"/>
      <w:lvlText w:val=""/>
      <w:lvlJc w:val="left"/>
      <w:pPr>
        <w:ind w:left="4680" w:hanging="360"/>
      </w:pPr>
      <w:rPr>
        <w:rFonts w:ascii="Symbol" w:hAnsi="Symbol" w:hint="default"/>
      </w:rPr>
    </w:lvl>
    <w:lvl w:ilvl="7" w:tplc="F7B2F78C" w:tentative="1">
      <w:start w:val="1"/>
      <w:numFmt w:val="bullet"/>
      <w:lvlText w:val="o"/>
      <w:lvlJc w:val="left"/>
      <w:pPr>
        <w:ind w:left="5400" w:hanging="360"/>
      </w:pPr>
      <w:rPr>
        <w:rFonts w:ascii="Courier New" w:hAnsi="Courier New" w:cs="Courier New" w:hint="default"/>
      </w:rPr>
    </w:lvl>
    <w:lvl w:ilvl="8" w:tplc="7122B02E" w:tentative="1">
      <w:start w:val="1"/>
      <w:numFmt w:val="bullet"/>
      <w:lvlText w:val=""/>
      <w:lvlJc w:val="left"/>
      <w:pPr>
        <w:ind w:left="6120" w:hanging="360"/>
      </w:pPr>
      <w:rPr>
        <w:rFonts w:ascii="Wingdings" w:hAnsi="Wingdings" w:hint="default"/>
      </w:rPr>
    </w:lvl>
  </w:abstractNum>
  <w:abstractNum w:abstractNumId="20" w15:restartNumberingAfterBreak="0">
    <w:nsid w:val="5162549A"/>
    <w:multiLevelType w:val="hybridMultilevel"/>
    <w:tmpl w:val="C586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761A4"/>
    <w:multiLevelType w:val="hybridMultilevel"/>
    <w:tmpl w:val="5B1CC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D11475"/>
    <w:multiLevelType w:val="multilevel"/>
    <w:tmpl w:val="BDCCCFCE"/>
    <w:lvl w:ilvl="0">
      <w:start w:val="1"/>
      <w:numFmt w:val="lowerLetter"/>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cs="Times New Roman" w:hint="default"/>
      </w:rPr>
    </w:lvl>
    <w:lvl w:ilvl="2">
      <w:start w:val="4"/>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3" w15:restartNumberingAfterBreak="0">
    <w:nsid w:val="63FD2ED3"/>
    <w:multiLevelType w:val="hybridMultilevel"/>
    <w:tmpl w:val="12C09670"/>
    <w:lvl w:ilvl="0" w:tplc="9072C862">
      <w:start w:val="1"/>
      <w:numFmt w:val="bullet"/>
      <w:pStyle w:val="Sign-off"/>
      <w:lvlText w:val=""/>
      <w:lvlJc w:val="left"/>
      <w:pPr>
        <w:tabs>
          <w:tab w:val="num" w:pos="369"/>
        </w:tabs>
        <w:ind w:left="369" w:hanging="369"/>
      </w:pPr>
      <w:rPr>
        <w:rFonts w:ascii="Wingdings 3" w:hAnsi="Wingdings 3"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20B7B"/>
    <w:multiLevelType w:val="multilevel"/>
    <w:tmpl w:val="9798372A"/>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5" w15:restartNumberingAfterBreak="0">
    <w:nsid w:val="6F2F3B06"/>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2D17B05"/>
    <w:multiLevelType w:val="hybridMultilevel"/>
    <w:tmpl w:val="5EE4B488"/>
    <w:lvl w:ilvl="0" w:tplc="E7741358">
      <w:start w:val="1"/>
      <w:numFmt w:val="decimal"/>
      <w:lvlText w:val="%1."/>
      <w:lvlJc w:val="left"/>
      <w:pPr>
        <w:ind w:left="720" w:hanging="360"/>
      </w:pPr>
      <w:rPr>
        <w:i w:val="0"/>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7"/>
  </w:num>
  <w:num w:numId="2">
    <w:abstractNumId w:val="27"/>
  </w:num>
  <w:num w:numId="3">
    <w:abstractNumId w:val="23"/>
  </w:num>
  <w:num w:numId="4">
    <w:abstractNumId w:val="15"/>
  </w:num>
  <w:num w:numId="5">
    <w:abstractNumId w:val="3"/>
  </w:num>
  <w:num w:numId="6">
    <w:abstractNumId w:val="26"/>
  </w:num>
  <w:num w:numId="7">
    <w:abstractNumId w:val="12"/>
  </w:num>
  <w:num w:numId="8">
    <w:abstractNumId w:val="13"/>
  </w:num>
  <w:num w:numId="9">
    <w:abstractNumId w:val="20"/>
  </w:num>
  <w:num w:numId="10">
    <w:abstractNumId w:val="19"/>
  </w:num>
  <w:num w:numId="11">
    <w:abstractNumId w:val="5"/>
  </w:num>
  <w:num w:numId="12">
    <w:abstractNumId w:val="14"/>
  </w:num>
  <w:num w:numId="13">
    <w:abstractNumId w:val="10"/>
  </w:num>
  <w:num w:numId="14">
    <w:abstractNumId w:val="25"/>
  </w:num>
  <w:num w:numId="15">
    <w:abstractNumId w:val="6"/>
  </w:num>
  <w:num w:numId="16">
    <w:abstractNumId w:val="9"/>
  </w:num>
  <w:num w:numId="17">
    <w:abstractNumId w:val="1"/>
  </w:num>
  <w:num w:numId="18">
    <w:abstractNumId w:val="24"/>
  </w:num>
  <w:num w:numId="19">
    <w:abstractNumId w:val="16"/>
  </w:num>
  <w:num w:numId="20">
    <w:abstractNumId w:val="21"/>
  </w:num>
  <w:num w:numId="21">
    <w:abstractNumId w:val="22"/>
  </w:num>
  <w:num w:numId="22">
    <w:abstractNumId w:val="11"/>
  </w:num>
  <w:num w:numId="23">
    <w:abstractNumId w:val="0"/>
  </w:num>
  <w:num w:numId="24">
    <w:abstractNumId w:val="7"/>
  </w:num>
  <w:num w:numId="25">
    <w:abstractNumId w:val="8"/>
  </w:num>
  <w:num w:numId="26">
    <w:abstractNumId w:val="4"/>
  </w:num>
  <w:num w:numId="27">
    <w:abstractNumId w:val="2"/>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05"/>
    <w:rsid w:val="00000388"/>
    <w:rsid w:val="00001D7F"/>
    <w:rsid w:val="000023E3"/>
    <w:rsid w:val="000028AB"/>
    <w:rsid w:val="00003EA1"/>
    <w:rsid w:val="00004C20"/>
    <w:rsid w:val="00005243"/>
    <w:rsid w:val="00006CF7"/>
    <w:rsid w:val="0001203D"/>
    <w:rsid w:val="00012DA2"/>
    <w:rsid w:val="00013B31"/>
    <w:rsid w:val="000142B1"/>
    <w:rsid w:val="000172A2"/>
    <w:rsid w:val="0001791C"/>
    <w:rsid w:val="00021172"/>
    <w:rsid w:val="00021D23"/>
    <w:rsid w:val="00022D20"/>
    <w:rsid w:val="0002308B"/>
    <w:rsid w:val="00027F25"/>
    <w:rsid w:val="000304E5"/>
    <w:rsid w:val="000306B2"/>
    <w:rsid w:val="000323C2"/>
    <w:rsid w:val="00040D24"/>
    <w:rsid w:val="0004116A"/>
    <w:rsid w:val="0004184A"/>
    <w:rsid w:val="00042B78"/>
    <w:rsid w:val="000445EA"/>
    <w:rsid w:val="0004561F"/>
    <w:rsid w:val="00047D3B"/>
    <w:rsid w:val="000539FC"/>
    <w:rsid w:val="000554E8"/>
    <w:rsid w:val="000554F2"/>
    <w:rsid w:val="00062FB1"/>
    <w:rsid w:val="000645CD"/>
    <w:rsid w:val="0006639A"/>
    <w:rsid w:val="000669C0"/>
    <w:rsid w:val="00066A8F"/>
    <w:rsid w:val="00067961"/>
    <w:rsid w:val="000703FF"/>
    <w:rsid w:val="00070B0C"/>
    <w:rsid w:val="00074A9F"/>
    <w:rsid w:val="00075915"/>
    <w:rsid w:val="000759B9"/>
    <w:rsid w:val="00075DCB"/>
    <w:rsid w:val="00076417"/>
    <w:rsid w:val="00077E29"/>
    <w:rsid w:val="00082CB0"/>
    <w:rsid w:val="00084D8C"/>
    <w:rsid w:val="000913E4"/>
    <w:rsid w:val="0009201A"/>
    <w:rsid w:val="00093782"/>
    <w:rsid w:val="000979E5"/>
    <w:rsid w:val="000A13BB"/>
    <w:rsid w:val="000A3352"/>
    <w:rsid w:val="000A4C00"/>
    <w:rsid w:val="000A5C70"/>
    <w:rsid w:val="000B2581"/>
    <w:rsid w:val="000B53B1"/>
    <w:rsid w:val="000B6A36"/>
    <w:rsid w:val="000B75B9"/>
    <w:rsid w:val="000B7D7A"/>
    <w:rsid w:val="000C0058"/>
    <w:rsid w:val="000C0FAB"/>
    <w:rsid w:val="000C25E0"/>
    <w:rsid w:val="000C4911"/>
    <w:rsid w:val="000D0317"/>
    <w:rsid w:val="000D0A31"/>
    <w:rsid w:val="000D0B7A"/>
    <w:rsid w:val="000D0D0F"/>
    <w:rsid w:val="000D2EC6"/>
    <w:rsid w:val="000D52F3"/>
    <w:rsid w:val="000D5FC9"/>
    <w:rsid w:val="000D7677"/>
    <w:rsid w:val="000D774C"/>
    <w:rsid w:val="000E292E"/>
    <w:rsid w:val="000E29E6"/>
    <w:rsid w:val="000E4EA4"/>
    <w:rsid w:val="000F02E7"/>
    <w:rsid w:val="000F122E"/>
    <w:rsid w:val="000F57AA"/>
    <w:rsid w:val="000F5CAA"/>
    <w:rsid w:val="001001B4"/>
    <w:rsid w:val="001014F6"/>
    <w:rsid w:val="001074D3"/>
    <w:rsid w:val="0011190C"/>
    <w:rsid w:val="0011468A"/>
    <w:rsid w:val="00120FEF"/>
    <w:rsid w:val="00124CAD"/>
    <w:rsid w:val="00126152"/>
    <w:rsid w:val="001268A2"/>
    <w:rsid w:val="001358C8"/>
    <w:rsid w:val="00136BF2"/>
    <w:rsid w:val="0014127E"/>
    <w:rsid w:val="001431EB"/>
    <w:rsid w:val="00144387"/>
    <w:rsid w:val="001455AD"/>
    <w:rsid w:val="0014576B"/>
    <w:rsid w:val="001461D0"/>
    <w:rsid w:val="00147113"/>
    <w:rsid w:val="001507A6"/>
    <w:rsid w:val="00150C9F"/>
    <w:rsid w:val="00151725"/>
    <w:rsid w:val="001532F3"/>
    <w:rsid w:val="0015439B"/>
    <w:rsid w:val="0015710B"/>
    <w:rsid w:val="00157E63"/>
    <w:rsid w:val="00162A85"/>
    <w:rsid w:val="00163DBE"/>
    <w:rsid w:val="00167C75"/>
    <w:rsid w:val="0017114E"/>
    <w:rsid w:val="001733AC"/>
    <w:rsid w:val="00173796"/>
    <w:rsid w:val="001755C3"/>
    <w:rsid w:val="001770E3"/>
    <w:rsid w:val="00177B48"/>
    <w:rsid w:val="0018028D"/>
    <w:rsid w:val="00184C7B"/>
    <w:rsid w:val="00184F1A"/>
    <w:rsid w:val="0018637E"/>
    <w:rsid w:val="00190C76"/>
    <w:rsid w:val="00190E5B"/>
    <w:rsid w:val="001924C4"/>
    <w:rsid w:val="00193718"/>
    <w:rsid w:val="001A19B0"/>
    <w:rsid w:val="001A2224"/>
    <w:rsid w:val="001A5ED0"/>
    <w:rsid w:val="001A7416"/>
    <w:rsid w:val="001A7DDC"/>
    <w:rsid w:val="001A7F16"/>
    <w:rsid w:val="001B337F"/>
    <w:rsid w:val="001B5AF7"/>
    <w:rsid w:val="001B5D57"/>
    <w:rsid w:val="001B7603"/>
    <w:rsid w:val="001B7900"/>
    <w:rsid w:val="001D074E"/>
    <w:rsid w:val="001D60A3"/>
    <w:rsid w:val="001E0262"/>
    <w:rsid w:val="001E0D7D"/>
    <w:rsid w:val="001E3E54"/>
    <w:rsid w:val="001E456A"/>
    <w:rsid w:val="001E5FC1"/>
    <w:rsid w:val="001F5767"/>
    <w:rsid w:val="001F5A21"/>
    <w:rsid w:val="001F69AB"/>
    <w:rsid w:val="002006F8"/>
    <w:rsid w:val="0020288B"/>
    <w:rsid w:val="0020611B"/>
    <w:rsid w:val="00206135"/>
    <w:rsid w:val="00206C71"/>
    <w:rsid w:val="00212FA7"/>
    <w:rsid w:val="002170CA"/>
    <w:rsid w:val="002214A5"/>
    <w:rsid w:val="00224225"/>
    <w:rsid w:val="00224356"/>
    <w:rsid w:val="00224CE7"/>
    <w:rsid w:val="00226DF7"/>
    <w:rsid w:val="00227B28"/>
    <w:rsid w:val="00227C94"/>
    <w:rsid w:val="00231153"/>
    <w:rsid w:val="00233360"/>
    <w:rsid w:val="00233728"/>
    <w:rsid w:val="0023418F"/>
    <w:rsid w:val="00240736"/>
    <w:rsid w:val="00240B4A"/>
    <w:rsid w:val="0024367D"/>
    <w:rsid w:val="002465AC"/>
    <w:rsid w:val="00247520"/>
    <w:rsid w:val="002506D8"/>
    <w:rsid w:val="00251373"/>
    <w:rsid w:val="00251A86"/>
    <w:rsid w:val="00252C3D"/>
    <w:rsid w:val="00253D51"/>
    <w:rsid w:val="00254204"/>
    <w:rsid w:val="00255DB2"/>
    <w:rsid w:val="002609FC"/>
    <w:rsid w:val="00260E07"/>
    <w:rsid w:val="00264338"/>
    <w:rsid w:val="0026548E"/>
    <w:rsid w:val="00265534"/>
    <w:rsid w:val="00265853"/>
    <w:rsid w:val="0026694B"/>
    <w:rsid w:val="00267A6F"/>
    <w:rsid w:val="00270948"/>
    <w:rsid w:val="0027342B"/>
    <w:rsid w:val="00273847"/>
    <w:rsid w:val="00277D3E"/>
    <w:rsid w:val="00280C18"/>
    <w:rsid w:val="00281754"/>
    <w:rsid w:val="002902AB"/>
    <w:rsid w:val="002924D0"/>
    <w:rsid w:val="00292970"/>
    <w:rsid w:val="00293F2C"/>
    <w:rsid w:val="002942E7"/>
    <w:rsid w:val="00295401"/>
    <w:rsid w:val="0029726E"/>
    <w:rsid w:val="00297DEF"/>
    <w:rsid w:val="002A0949"/>
    <w:rsid w:val="002A58C1"/>
    <w:rsid w:val="002B0A8C"/>
    <w:rsid w:val="002B0E1B"/>
    <w:rsid w:val="002B0FF1"/>
    <w:rsid w:val="002B288D"/>
    <w:rsid w:val="002B34BE"/>
    <w:rsid w:val="002B6437"/>
    <w:rsid w:val="002B6C97"/>
    <w:rsid w:val="002B7963"/>
    <w:rsid w:val="002B7A13"/>
    <w:rsid w:val="002C41BF"/>
    <w:rsid w:val="002C58C4"/>
    <w:rsid w:val="002C7CC0"/>
    <w:rsid w:val="002D1205"/>
    <w:rsid w:val="002D1F45"/>
    <w:rsid w:val="002D583C"/>
    <w:rsid w:val="002E4B80"/>
    <w:rsid w:val="002E4C18"/>
    <w:rsid w:val="002F05E4"/>
    <w:rsid w:val="002F1C83"/>
    <w:rsid w:val="002F2BEB"/>
    <w:rsid w:val="002F325A"/>
    <w:rsid w:val="002F7F8E"/>
    <w:rsid w:val="00300384"/>
    <w:rsid w:val="00304306"/>
    <w:rsid w:val="003058DF"/>
    <w:rsid w:val="00307B4E"/>
    <w:rsid w:val="00310CDC"/>
    <w:rsid w:val="0031311A"/>
    <w:rsid w:val="00314560"/>
    <w:rsid w:val="00314742"/>
    <w:rsid w:val="00314AFD"/>
    <w:rsid w:val="00316C37"/>
    <w:rsid w:val="00317408"/>
    <w:rsid w:val="00317AF3"/>
    <w:rsid w:val="0032150F"/>
    <w:rsid w:val="003220F1"/>
    <w:rsid w:val="003239F7"/>
    <w:rsid w:val="00323CE8"/>
    <w:rsid w:val="003250A2"/>
    <w:rsid w:val="00325718"/>
    <w:rsid w:val="0033201E"/>
    <w:rsid w:val="00332478"/>
    <w:rsid w:val="00335115"/>
    <w:rsid w:val="003355E1"/>
    <w:rsid w:val="00343869"/>
    <w:rsid w:val="00345270"/>
    <w:rsid w:val="00347D0E"/>
    <w:rsid w:val="003522D6"/>
    <w:rsid w:val="00353FA0"/>
    <w:rsid w:val="003545D2"/>
    <w:rsid w:val="00357E6B"/>
    <w:rsid w:val="00360793"/>
    <w:rsid w:val="00360D2C"/>
    <w:rsid w:val="003613F2"/>
    <w:rsid w:val="0037268F"/>
    <w:rsid w:val="00372C42"/>
    <w:rsid w:val="00373759"/>
    <w:rsid w:val="00373B6B"/>
    <w:rsid w:val="00375B20"/>
    <w:rsid w:val="00377EE1"/>
    <w:rsid w:val="003808A0"/>
    <w:rsid w:val="00382B9E"/>
    <w:rsid w:val="00385B09"/>
    <w:rsid w:val="00387357"/>
    <w:rsid w:val="00387798"/>
    <w:rsid w:val="003926C2"/>
    <w:rsid w:val="00392A50"/>
    <w:rsid w:val="00392B7C"/>
    <w:rsid w:val="00395499"/>
    <w:rsid w:val="00395B93"/>
    <w:rsid w:val="003A5BC6"/>
    <w:rsid w:val="003C2B1C"/>
    <w:rsid w:val="003C5297"/>
    <w:rsid w:val="003C5435"/>
    <w:rsid w:val="003C5E0F"/>
    <w:rsid w:val="003C73FB"/>
    <w:rsid w:val="003D4FE3"/>
    <w:rsid w:val="003D5D80"/>
    <w:rsid w:val="003E031E"/>
    <w:rsid w:val="003E0D7C"/>
    <w:rsid w:val="003E11DE"/>
    <w:rsid w:val="003E2BCF"/>
    <w:rsid w:val="003E2E3B"/>
    <w:rsid w:val="003E6779"/>
    <w:rsid w:val="003E6B1A"/>
    <w:rsid w:val="003E7391"/>
    <w:rsid w:val="003F17D5"/>
    <w:rsid w:val="003F220B"/>
    <w:rsid w:val="003F65F2"/>
    <w:rsid w:val="003F782C"/>
    <w:rsid w:val="0040484F"/>
    <w:rsid w:val="004112E2"/>
    <w:rsid w:val="00411A4F"/>
    <w:rsid w:val="00412696"/>
    <w:rsid w:val="00413D88"/>
    <w:rsid w:val="00414F2F"/>
    <w:rsid w:val="00415CAC"/>
    <w:rsid w:val="00416F2E"/>
    <w:rsid w:val="00421032"/>
    <w:rsid w:val="00426CC9"/>
    <w:rsid w:val="00427B8B"/>
    <w:rsid w:val="00427F6B"/>
    <w:rsid w:val="004306B4"/>
    <w:rsid w:val="00434EA5"/>
    <w:rsid w:val="00435312"/>
    <w:rsid w:val="0043592D"/>
    <w:rsid w:val="00442BA1"/>
    <w:rsid w:val="00446091"/>
    <w:rsid w:val="00451C88"/>
    <w:rsid w:val="00451CC2"/>
    <w:rsid w:val="00452E03"/>
    <w:rsid w:val="00452FF2"/>
    <w:rsid w:val="00453534"/>
    <w:rsid w:val="00455DB3"/>
    <w:rsid w:val="00456179"/>
    <w:rsid w:val="00456B8B"/>
    <w:rsid w:val="004619D3"/>
    <w:rsid w:val="00467A34"/>
    <w:rsid w:val="00470EA5"/>
    <w:rsid w:val="00471549"/>
    <w:rsid w:val="0047639F"/>
    <w:rsid w:val="004766DF"/>
    <w:rsid w:val="00477EEA"/>
    <w:rsid w:val="00480586"/>
    <w:rsid w:val="00482E4F"/>
    <w:rsid w:val="00484F37"/>
    <w:rsid w:val="004851BB"/>
    <w:rsid w:val="004920AE"/>
    <w:rsid w:val="0049404F"/>
    <w:rsid w:val="004943CF"/>
    <w:rsid w:val="00494F7B"/>
    <w:rsid w:val="00497EFC"/>
    <w:rsid w:val="004A3710"/>
    <w:rsid w:val="004A4802"/>
    <w:rsid w:val="004A5227"/>
    <w:rsid w:val="004A5957"/>
    <w:rsid w:val="004B3AD4"/>
    <w:rsid w:val="004B67AB"/>
    <w:rsid w:val="004C03AE"/>
    <w:rsid w:val="004C0FCE"/>
    <w:rsid w:val="004C10AC"/>
    <w:rsid w:val="004C29B7"/>
    <w:rsid w:val="004C6291"/>
    <w:rsid w:val="004C7A30"/>
    <w:rsid w:val="004D19E4"/>
    <w:rsid w:val="004D41F4"/>
    <w:rsid w:val="004D48B7"/>
    <w:rsid w:val="004E606F"/>
    <w:rsid w:val="004E6F1C"/>
    <w:rsid w:val="004E7059"/>
    <w:rsid w:val="004F19F9"/>
    <w:rsid w:val="004F3DB4"/>
    <w:rsid w:val="004F519B"/>
    <w:rsid w:val="004F5D53"/>
    <w:rsid w:val="004F66ED"/>
    <w:rsid w:val="00501652"/>
    <w:rsid w:val="00501756"/>
    <w:rsid w:val="00504A56"/>
    <w:rsid w:val="00504C0A"/>
    <w:rsid w:val="00505841"/>
    <w:rsid w:val="00505C2E"/>
    <w:rsid w:val="005137B6"/>
    <w:rsid w:val="005157D7"/>
    <w:rsid w:val="00515DEF"/>
    <w:rsid w:val="00524782"/>
    <w:rsid w:val="00525BF2"/>
    <w:rsid w:val="00526CE6"/>
    <w:rsid w:val="00530744"/>
    <w:rsid w:val="00535F24"/>
    <w:rsid w:val="00536E50"/>
    <w:rsid w:val="005411AD"/>
    <w:rsid w:val="00544BEA"/>
    <w:rsid w:val="00545903"/>
    <w:rsid w:val="00547CDF"/>
    <w:rsid w:val="0056564D"/>
    <w:rsid w:val="005707F4"/>
    <w:rsid w:val="00574196"/>
    <w:rsid w:val="00574537"/>
    <w:rsid w:val="00574989"/>
    <w:rsid w:val="00576A77"/>
    <w:rsid w:val="005775B7"/>
    <w:rsid w:val="00577605"/>
    <w:rsid w:val="005811FD"/>
    <w:rsid w:val="00582837"/>
    <w:rsid w:val="00582D01"/>
    <w:rsid w:val="0058615F"/>
    <w:rsid w:val="005863E6"/>
    <w:rsid w:val="00587AE8"/>
    <w:rsid w:val="00587B08"/>
    <w:rsid w:val="00592942"/>
    <w:rsid w:val="005A455A"/>
    <w:rsid w:val="005A55AB"/>
    <w:rsid w:val="005B0561"/>
    <w:rsid w:val="005B2091"/>
    <w:rsid w:val="005B3BA8"/>
    <w:rsid w:val="005B3E79"/>
    <w:rsid w:val="005B5A93"/>
    <w:rsid w:val="005B698F"/>
    <w:rsid w:val="005C09F5"/>
    <w:rsid w:val="005C0BB0"/>
    <w:rsid w:val="005C1CA6"/>
    <w:rsid w:val="005C1CB6"/>
    <w:rsid w:val="005C1D62"/>
    <w:rsid w:val="005C243F"/>
    <w:rsid w:val="005C4F6C"/>
    <w:rsid w:val="005D0C91"/>
    <w:rsid w:val="005D128A"/>
    <w:rsid w:val="005D166B"/>
    <w:rsid w:val="005D4D09"/>
    <w:rsid w:val="005D5627"/>
    <w:rsid w:val="005D693E"/>
    <w:rsid w:val="005D7D52"/>
    <w:rsid w:val="005E061F"/>
    <w:rsid w:val="005F37F6"/>
    <w:rsid w:val="00600BB3"/>
    <w:rsid w:val="0060260E"/>
    <w:rsid w:val="00602CE8"/>
    <w:rsid w:val="006036F8"/>
    <w:rsid w:val="00610BF4"/>
    <w:rsid w:val="00610EF3"/>
    <w:rsid w:val="00621C31"/>
    <w:rsid w:val="00622CC7"/>
    <w:rsid w:val="0063130A"/>
    <w:rsid w:val="00633333"/>
    <w:rsid w:val="006362A4"/>
    <w:rsid w:val="0063791E"/>
    <w:rsid w:val="00643AC7"/>
    <w:rsid w:val="00647667"/>
    <w:rsid w:val="00651216"/>
    <w:rsid w:val="006518D4"/>
    <w:rsid w:val="00655A9B"/>
    <w:rsid w:val="00664B7D"/>
    <w:rsid w:val="006674CA"/>
    <w:rsid w:val="006677EB"/>
    <w:rsid w:val="00667AD7"/>
    <w:rsid w:val="00667DBE"/>
    <w:rsid w:val="006703AC"/>
    <w:rsid w:val="006707C7"/>
    <w:rsid w:val="00674A34"/>
    <w:rsid w:val="006778C5"/>
    <w:rsid w:val="00680627"/>
    <w:rsid w:val="00680B81"/>
    <w:rsid w:val="006811A0"/>
    <w:rsid w:val="00682E33"/>
    <w:rsid w:val="00683B97"/>
    <w:rsid w:val="00686C09"/>
    <w:rsid w:val="006879D7"/>
    <w:rsid w:val="00690330"/>
    <w:rsid w:val="00690544"/>
    <w:rsid w:val="006A131D"/>
    <w:rsid w:val="006A39F9"/>
    <w:rsid w:val="006A6AD8"/>
    <w:rsid w:val="006A6DA2"/>
    <w:rsid w:val="006A7CC6"/>
    <w:rsid w:val="006B0989"/>
    <w:rsid w:val="006B3574"/>
    <w:rsid w:val="006B7793"/>
    <w:rsid w:val="006C1587"/>
    <w:rsid w:val="006C2519"/>
    <w:rsid w:val="006C419F"/>
    <w:rsid w:val="006C45DF"/>
    <w:rsid w:val="006C4764"/>
    <w:rsid w:val="006C50E2"/>
    <w:rsid w:val="006C6F9E"/>
    <w:rsid w:val="006D070F"/>
    <w:rsid w:val="006D2493"/>
    <w:rsid w:val="006D33CE"/>
    <w:rsid w:val="006D3678"/>
    <w:rsid w:val="006D6E97"/>
    <w:rsid w:val="006E4248"/>
    <w:rsid w:val="006E588F"/>
    <w:rsid w:val="006F3732"/>
    <w:rsid w:val="006F716A"/>
    <w:rsid w:val="006F750F"/>
    <w:rsid w:val="00700A8E"/>
    <w:rsid w:val="007010EE"/>
    <w:rsid w:val="007038B9"/>
    <w:rsid w:val="00703CE8"/>
    <w:rsid w:val="00706CD2"/>
    <w:rsid w:val="00710002"/>
    <w:rsid w:val="00710737"/>
    <w:rsid w:val="007121F2"/>
    <w:rsid w:val="00713F20"/>
    <w:rsid w:val="00714752"/>
    <w:rsid w:val="007155A4"/>
    <w:rsid w:val="00716129"/>
    <w:rsid w:val="00720325"/>
    <w:rsid w:val="00722C61"/>
    <w:rsid w:val="007232F9"/>
    <w:rsid w:val="00723AA9"/>
    <w:rsid w:val="007262AE"/>
    <w:rsid w:val="00730304"/>
    <w:rsid w:val="00734C89"/>
    <w:rsid w:val="007378EF"/>
    <w:rsid w:val="00743117"/>
    <w:rsid w:val="00744673"/>
    <w:rsid w:val="00744EF2"/>
    <w:rsid w:val="00744FD5"/>
    <w:rsid w:val="0075516C"/>
    <w:rsid w:val="0076010D"/>
    <w:rsid w:val="0076089A"/>
    <w:rsid w:val="0076198A"/>
    <w:rsid w:val="00763917"/>
    <w:rsid w:val="0076589D"/>
    <w:rsid w:val="00766861"/>
    <w:rsid w:val="00770800"/>
    <w:rsid w:val="00771F31"/>
    <w:rsid w:val="00772F97"/>
    <w:rsid w:val="0077320B"/>
    <w:rsid w:val="0077478E"/>
    <w:rsid w:val="00775ADB"/>
    <w:rsid w:val="00777117"/>
    <w:rsid w:val="007771B8"/>
    <w:rsid w:val="00780EA4"/>
    <w:rsid w:val="00783309"/>
    <w:rsid w:val="00784D37"/>
    <w:rsid w:val="007936D6"/>
    <w:rsid w:val="00795A42"/>
    <w:rsid w:val="007B0E4D"/>
    <w:rsid w:val="007B4525"/>
    <w:rsid w:val="007B5BF1"/>
    <w:rsid w:val="007C0C98"/>
    <w:rsid w:val="007C1FC6"/>
    <w:rsid w:val="007C2175"/>
    <w:rsid w:val="007C3B9B"/>
    <w:rsid w:val="007C5B6B"/>
    <w:rsid w:val="007C659F"/>
    <w:rsid w:val="007D1030"/>
    <w:rsid w:val="007D19B9"/>
    <w:rsid w:val="007D4495"/>
    <w:rsid w:val="007D4A08"/>
    <w:rsid w:val="007D584D"/>
    <w:rsid w:val="007E5332"/>
    <w:rsid w:val="007E5790"/>
    <w:rsid w:val="007F0965"/>
    <w:rsid w:val="007F12E0"/>
    <w:rsid w:val="007F53E3"/>
    <w:rsid w:val="007F6908"/>
    <w:rsid w:val="007F6D93"/>
    <w:rsid w:val="00801213"/>
    <w:rsid w:val="00802E07"/>
    <w:rsid w:val="008043A5"/>
    <w:rsid w:val="0080460F"/>
    <w:rsid w:val="00804769"/>
    <w:rsid w:val="00807CAE"/>
    <w:rsid w:val="008158C5"/>
    <w:rsid w:val="0082124B"/>
    <w:rsid w:val="00825892"/>
    <w:rsid w:val="00825CE8"/>
    <w:rsid w:val="00825D83"/>
    <w:rsid w:val="00826D07"/>
    <w:rsid w:val="00827A32"/>
    <w:rsid w:val="00831337"/>
    <w:rsid w:val="00832A04"/>
    <w:rsid w:val="00832A37"/>
    <w:rsid w:val="00840E29"/>
    <w:rsid w:val="008423B8"/>
    <w:rsid w:val="00843213"/>
    <w:rsid w:val="008458B2"/>
    <w:rsid w:val="00847FD4"/>
    <w:rsid w:val="00854036"/>
    <w:rsid w:val="00854E43"/>
    <w:rsid w:val="00857EA5"/>
    <w:rsid w:val="00860A79"/>
    <w:rsid w:val="00865798"/>
    <w:rsid w:val="00865F14"/>
    <w:rsid w:val="0086642B"/>
    <w:rsid w:val="008676A6"/>
    <w:rsid w:val="0087094D"/>
    <w:rsid w:val="00874423"/>
    <w:rsid w:val="008757EB"/>
    <w:rsid w:val="00877EE4"/>
    <w:rsid w:val="0088055F"/>
    <w:rsid w:val="00880C0C"/>
    <w:rsid w:val="00891878"/>
    <w:rsid w:val="00892121"/>
    <w:rsid w:val="00893E1E"/>
    <w:rsid w:val="00894C04"/>
    <w:rsid w:val="008A0ADF"/>
    <w:rsid w:val="008A4B71"/>
    <w:rsid w:val="008A6621"/>
    <w:rsid w:val="008A6D0D"/>
    <w:rsid w:val="008A707A"/>
    <w:rsid w:val="008A7E09"/>
    <w:rsid w:val="008B0A84"/>
    <w:rsid w:val="008B10F0"/>
    <w:rsid w:val="008B5EC8"/>
    <w:rsid w:val="008C312B"/>
    <w:rsid w:val="008D1B80"/>
    <w:rsid w:val="008D1CA3"/>
    <w:rsid w:val="008D2225"/>
    <w:rsid w:val="008D77D6"/>
    <w:rsid w:val="008E240C"/>
    <w:rsid w:val="008E344A"/>
    <w:rsid w:val="008E4180"/>
    <w:rsid w:val="008E41B0"/>
    <w:rsid w:val="008E5867"/>
    <w:rsid w:val="008E5C21"/>
    <w:rsid w:val="008E799C"/>
    <w:rsid w:val="008F1A3C"/>
    <w:rsid w:val="008F215B"/>
    <w:rsid w:val="008F3194"/>
    <w:rsid w:val="008F3AB3"/>
    <w:rsid w:val="008F795E"/>
    <w:rsid w:val="008F7CFD"/>
    <w:rsid w:val="0090113C"/>
    <w:rsid w:val="00901AFD"/>
    <w:rsid w:val="009044A3"/>
    <w:rsid w:val="00905597"/>
    <w:rsid w:val="0090581A"/>
    <w:rsid w:val="00905AA2"/>
    <w:rsid w:val="00906E0D"/>
    <w:rsid w:val="009110D0"/>
    <w:rsid w:val="00911914"/>
    <w:rsid w:val="00913B33"/>
    <w:rsid w:val="00913E17"/>
    <w:rsid w:val="00916324"/>
    <w:rsid w:val="009177F9"/>
    <w:rsid w:val="00920272"/>
    <w:rsid w:val="00921B26"/>
    <w:rsid w:val="0092238E"/>
    <w:rsid w:val="00922D31"/>
    <w:rsid w:val="00923CF6"/>
    <w:rsid w:val="009261FA"/>
    <w:rsid w:val="00930E4D"/>
    <w:rsid w:val="00935398"/>
    <w:rsid w:val="00937405"/>
    <w:rsid w:val="00937644"/>
    <w:rsid w:val="00942B02"/>
    <w:rsid w:val="00955C80"/>
    <w:rsid w:val="0095723D"/>
    <w:rsid w:val="00957346"/>
    <w:rsid w:val="00960947"/>
    <w:rsid w:val="00960EE9"/>
    <w:rsid w:val="00963A44"/>
    <w:rsid w:val="00965303"/>
    <w:rsid w:val="00965935"/>
    <w:rsid w:val="00966E52"/>
    <w:rsid w:val="0096731B"/>
    <w:rsid w:val="0097528E"/>
    <w:rsid w:val="00977CCB"/>
    <w:rsid w:val="00982B58"/>
    <w:rsid w:val="00985A46"/>
    <w:rsid w:val="00985C48"/>
    <w:rsid w:val="00987654"/>
    <w:rsid w:val="0098782F"/>
    <w:rsid w:val="00993ADB"/>
    <w:rsid w:val="009951A5"/>
    <w:rsid w:val="0099580C"/>
    <w:rsid w:val="009A1340"/>
    <w:rsid w:val="009A2FF1"/>
    <w:rsid w:val="009A6403"/>
    <w:rsid w:val="009A678B"/>
    <w:rsid w:val="009A6B24"/>
    <w:rsid w:val="009A6DF5"/>
    <w:rsid w:val="009B3340"/>
    <w:rsid w:val="009B6163"/>
    <w:rsid w:val="009C1313"/>
    <w:rsid w:val="009C1323"/>
    <w:rsid w:val="009C415C"/>
    <w:rsid w:val="009C454E"/>
    <w:rsid w:val="009C58C8"/>
    <w:rsid w:val="009C6AF4"/>
    <w:rsid w:val="009D0852"/>
    <w:rsid w:val="009D1B9B"/>
    <w:rsid w:val="009D1E5B"/>
    <w:rsid w:val="009D31E1"/>
    <w:rsid w:val="009D3AFA"/>
    <w:rsid w:val="009D417C"/>
    <w:rsid w:val="009D5B4C"/>
    <w:rsid w:val="009D6377"/>
    <w:rsid w:val="009E0E02"/>
    <w:rsid w:val="009E2B2D"/>
    <w:rsid w:val="009E2E34"/>
    <w:rsid w:val="009E2FDF"/>
    <w:rsid w:val="009E40EB"/>
    <w:rsid w:val="00A001E0"/>
    <w:rsid w:val="00A00618"/>
    <w:rsid w:val="00A00B60"/>
    <w:rsid w:val="00A0114C"/>
    <w:rsid w:val="00A01BA6"/>
    <w:rsid w:val="00A03366"/>
    <w:rsid w:val="00A07E3D"/>
    <w:rsid w:val="00A10997"/>
    <w:rsid w:val="00A113A4"/>
    <w:rsid w:val="00A11FA3"/>
    <w:rsid w:val="00A12D40"/>
    <w:rsid w:val="00A1419A"/>
    <w:rsid w:val="00A14784"/>
    <w:rsid w:val="00A16BBE"/>
    <w:rsid w:val="00A17384"/>
    <w:rsid w:val="00A22AE0"/>
    <w:rsid w:val="00A23242"/>
    <w:rsid w:val="00A247F0"/>
    <w:rsid w:val="00A33EE6"/>
    <w:rsid w:val="00A34368"/>
    <w:rsid w:val="00A35051"/>
    <w:rsid w:val="00A35A49"/>
    <w:rsid w:val="00A402CA"/>
    <w:rsid w:val="00A40E3D"/>
    <w:rsid w:val="00A41059"/>
    <w:rsid w:val="00A415D8"/>
    <w:rsid w:val="00A418B6"/>
    <w:rsid w:val="00A4226D"/>
    <w:rsid w:val="00A43F22"/>
    <w:rsid w:val="00A52987"/>
    <w:rsid w:val="00A52E52"/>
    <w:rsid w:val="00A5370C"/>
    <w:rsid w:val="00A574AF"/>
    <w:rsid w:val="00A57976"/>
    <w:rsid w:val="00A630F3"/>
    <w:rsid w:val="00A632DF"/>
    <w:rsid w:val="00A671C6"/>
    <w:rsid w:val="00A7195C"/>
    <w:rsid w:val="00A77AB4"/>
    <w:rsid w:val="00A80A2B"/>
    <w:rsid w:val="00A84064"/>
    <w:rsid w:val="00A84D16"/>
    <w:rsid w:val="00A8715A"/>
    <w:rsid w:val="00A90FE6"/>
    <w:rsid w:val="00A93A7A"/>
    <w:rsid w:val="00A9698F"/>
    <w:rsid w:val="00A9712D"/>
    <w:rsid w:val="00AA0DB7"/>
    <w:rsid w:val="00AA2472"/>
    <w:rsid w:val="00AA4EDF"/>
    <w:rsid w:val="00AA74F0"/>
    <w:rsid w:val="00AB3F18"/>
    <w:rsid w:val="00AB5F77"/>
    <w:rsid w:val="00AB6A26"/>
    <w:rsid w:val="00AC0374"/>
    <w:rsid w:val="00AC039E"/>
    <w:rsid w:val="00AC05D1"/>
    <w:rsid w:val="00AC0615"/>
    <w:rsid w:val="00AC224F"/>
    <w:rsid w:val="00AC28F0"/>
    <w:rsid w:val="00AC7445"/>
    <w:rsid w:val="00AD199A"/>
    <w:rsid w:val="00AD3056"/>
    <w:rsid w:val="00AD3AD9"/>
    <w:rsid w:val="00AD3B65"/>
    <w:rsid w:val="00AD5E2B"/>
    <w:rsid w:val="00AE29E1"/>
    <w:rsid w:val="00AE2F46"/>
    <w:rsid w:val="00AE3C31"/>
    <w:rsid w:val="00AE51C7"/>
    <w:rsid w:val="00AF0A3C"/>
    <w:rsid w:val="00AF0E02"/>
    <w:rsid w:val="00AF3BC5"/>
    <w:rsid w:val="00AF5170"/>
    <w:rsid w:val="00AF7A7A"/>
    <w:rsid w:val="00B028A9"/>
    <w:rsid w:val="00B02C8E"/>
    <w:rsid w:val="00B02E9D"/>
    <w:rsid w:val="00B04F09"/>
    <w:rsid w:val="00B04F2C"/>
    <w:rsid w:val="00B05485"/>
    <w:rsid w:val="00B07FBE"/>
    <w:rsid w:val="00B1239F"/>
    <w:rsid w:val="00B1678B"/>
    <w:rsid w:val="00B17AB5"/>
    <w:rsid w:val="00B206BE"/>
    <w:rsid w:val="00B21873"/>
    <w:rsid w:val="00B249A4"/>
    <w:rsid w:val="00B24E06"/>
    <w:rsid w:val="00B31BEF"/>
    <w:rsid w:val="00B34193"/>
    <w:rsid w:val="00B34848"/>
    <w:rsid w:val="00B37810"/>
    <w:rsid w:val="00B41711"/>
    <w:rsid w:val="00B41B43"/>
    <w:rsid w:val="00B46397"/>
    <w:rsid w:val="00B4687E"/>
    <w:rsid w:val="00B517B3"/>
    <w:rsid w:val="00B53965"/>
    <w:rsid w:val="00B6045E"/>
    <w:rsid w:val="00B64F51"/>
    <w:rsid w:val="00B666BD"/>
    <w:rsid w:val="00B66E7D"/>
    <w:rsid w:val="00B72991"/>
    <w:rsid w:val="00B758A3"/>
    <w:rsid w:val="00B763A5"/>
    <w:rsid w:val="00B76C54"/>
    <w:rsid w:val="00B77D81"/>
    <w:rsid w:val="00B80446"/>
    <w:rsid w:val="00B80DA4"/>
    <w:rsid w:val="00B846BB"/>
    <w:rsid w:val="00B923AA"/>
    <w:rsid w:val="00B93EF4"/>
    <w:rsid w:val="00B94E74"/>
    <w:rsid w:val="00B9665A"/>
    <w:rsid w:val="00BA780A"/>
    <w:rsid w:val="00BB4FC5"/>
    <w:rsid w:val="00BB569C"/>
    <w:rsid w:val="00BB724E"/>
    <w:rsid w:val="00BB7FF4"/>
    <w:rsid w:val="00BC3819"/>
    <w:rsid w:val="00BC3BCE"/>
    <w:rsid w:val="00BD134B"/>
    <w:rsid w:val="00BD5FEC"/>
    <w:rsid w:val="00BD673D"/>
    <w:rsid w:val="00BE131E"/>
    <w:rsid w:val="00BE2C6C"/>
    <w:rsid w:val="00BE3417"/>
    <w:rsid w:val="00BE44AE"/>
    <w:rsid w:val="00BE49F9"/>
    <w:rsid w:val="00BE5A49"/>
    <w:rsid w:val="00BE6DC5"/>
    <w:rsid w:val="00BE7097"/>
    <w:rsid w:val="00BF22F4"/>
    <w:rsid w:val="00BF3BAC"/>
    <w:rsid w:val="00BF44AD"/>
    <w:rsid w:val="00BF4E00"/>
    <w:rsid w:val="00BF52D9"/>
    <w:rsid w:val="00BF558D"/>
    <w:rsid w:val="00BF644B"/>
    <w:rsid w:val="00C01660"/>
    <w:rsid w:val="00C024BB"/>
    <w:rsid w:val="00C025C2"/>
    <w:rsid w:val="00C03BEB"/>
    <w:rsid w:val="00C03DF0"/>
    <w:rsid w:val="00C040D7"/>
    <w:rsid w:val="00C155A0"/>
    <w:rsid w:val="00C22914"/>
    <w:rsid w:val="00C22DF7"/>
    <w:rsid w:val="00C25CFD"/>
    <w:rsid w:val="00C37FCC"/>
    <w:rsid w:val="00C40FB0"/>
    <w:rsid w:val="00C43A7F"/>
    <w:rsid w:val="00C43BAC"/>
    <w:rsid w:val="00C45467"/>
    <w:rsid w:val="00C458BC"/>
    <w:rsid w:val="00C50898"/>
    <w:rsid w:val="00C552DD"/>
    <w:rsid w:val="00C56A0C"/>
    <w:rsid w:val="00C60A7E"/>
    <w:rsid w:val="00C60D18"/>
    <w:rsid w:val="00C61721"/>
    <w:rsid w:val="00C64CDB"/>
    <w:rsid w:val="00C664E0"/>
    <w:rsid w:val="00C70DEB"/>
    <w:rsid w:val="00C71020"/>
    <w:rsid w:val="00C72A88"/>
    <w:rsid w:val="00C745F0"/>
    <w:rsid w:val="00C748BA"/>
    <w:rsid w:val="00C755C4"/>
    <w:rsid w:val="00C76070"/>
    <w:rsid w:val="00C81326"/>
    <w:rsid w:val="00C82D5D"/>
    <w:rsid w:val="00C83B93"/>
    <w:rsid w:val="00C84172"/>
    <w:rsid w:val="00C87532"/>
    <w:rsid w:val="00C8755E"/>
    <w:rsid w:val="00C87656"/>
    <w:rsid w:val="00C90FF3"/>
    <w:rsid w:val="00C928AC"/>
    <w:rsid w:val="00C93CFC"/>
    <w:rsid w:val="00C950C5"/>
    <w:rsid w:val="00C966DE"/>
    <w:rsid w:val="00CA3ED3"/>
    <w:rsid w:val="00CA3F44"/>
    <w:rsid w:val="00CA57BB"/>
    <w:rsid w:val="00CA7403"/>
    <w:rsid w:val="00CB08AC"/>
    <w:rsid w:val="00CB092B"/>
    <w:rsid w:val="00CB1761"/>
    <w:rsid w:val="00CC39FB"/>
    <w:rsid w:val="00CC715C"/>
    <w:rsid w:val="00CD0DB0"/>
    <w:rsid w:val="00CD0E53"/>
    <w:rsid w:val="00CD1239"/>
    <w:rsid w:val="00CD1499"/>
    <w:rsid w:val="00CD2166"/>
    <w:rsid w:val="00CD2DA4"/>
    <w:rsid w:val="00CD6D55"/>
    <w:rsid w:val="00CD7DB3"/>
    <w:rsid w:val="00CE14F3"/>
    <w:rsid w:val="00CE1A8F"/>
    <w:rsid w:val="00CE1D62"/>
    <w:rsid w:val="00CE413A"/>
    <w:rsid w:val="00CE5059"/>
    <w:rsid w:val="00CE5347"/>
    <w:rsid w:val="00CE6AE4"/>
    <w:rsid w:val="00CF07BB"/>
    <w:rsid w:val="00CF1C7A"/>
    <w:rsid w:val="00CF1F1C"/>
    <w:rsid w:val="00CF455F"/>
    <w:rsid w:val="00CF4601"/>
    <w:rsid w:val="00CF4CAA"/>
    <w:rsid w:val="00CF75BC"/>
    <w:rsid w:val="00D003E5"/>
    <w:rsid w:val="00D0110D"/>
    <w:rsid w:val="00D01A6B"/>
    <w:rsid w:val="00D01FD8"/>
    <w:rsid w:val="00D04115"/>
    <w:rsid w:val="00D0773B"/>
    <w:rsid w:val="00D117A4"/>
    <w:rsid w:val="00D11B8C"/>
    <w:rsid w:val="00D16B35"/>
    <w:rsid w:val="00D23584"/>
    <w:rsid w:val="00D332E9"/>
    <w:rsid w:val="00D34342"/>
    <w:rsid w:val="00D36427"/>
    <w:rsid w:val="00D36BCF"/>
    <w:rsid w:val="00D3707E"/>
    <w:rsid w:val="00D37861"/>
    <w:rsid w:val="00D412DD"/>
    <w:rsid w:val="00D42BC5"/>
    <w:rsid w:val="00D43A46"/>
    <w:rsid w:val="00D44070"/>
    <w:rsid w:val="00D445A9"/>
    <w:rsid w:val="00D479C6"/>
    <w:rsid w:val="00D5445A"/>
    <w:rsid w:val="00D565A5"/>
    <w:rsid w:val="00D57744"/>
    <w:rsid w:val="00D6197A"/>
    <w:rsid w:val="00D628F5"/>
    <w:rsid w:val="00D6343E"/>
    <w:rsid w:val="00D63889"/>
    <w:rsid w:val="00D66E12"/>
    <w:rsid w:val="00D67357"/>
    <w:rsid w:val="00D67B9D"/>
    <w:rsid w:val="00D7153A"/>
    <w:rsid w:val="00D72827"/>
    <w:rsid w:val="00D80A5A"/>
    <w:rsid w:val="00D91A7D"/>
    <w:rsid w:val="00DA11CE"/>
    <w:rsid w:val="00DA7ACF"/>
    <w:rsid w:val="00DB0B15"/>
    <w:rsid w:val="00DB2C8F"/>
    <w:rsid w:val="00DB2E9B"/>
    <w:rsid w:val="00DB314E"/>
    <w:rsid w:val="00DB6416"/>
    <w:rsid w:val="00DB6AE3"/>
    <w:rsid w:val="00DC4A40"/>
    <w:rsid w:val="00DC75D9"/>
    <w:rsid w:val="00DD0A6E"/>
    <w:rsid w:val="00DD0A7F"/>
    <w:rsid w:val="00DD1643"/>
    <w:rsid w:val="00DD1D7F"/>
    <w:rsid w:val="00DD53BB"/>
    <w:rsid w:val="00DD6022"/>
    <w:rsid w:val="00DE30D4"/>
    <w:rsid w:val="00DE577F"/>
    <w:rsid w:val="00DE69EB"/>
    <w:rsid w:val="00DF5B8E"/>
    <w:rsid w:val="00DF6A63"/>
    <w:rsid w:val="00DF6D63"/>
    <w:rsid w:val="00E00E6E"/>
    <w:rsid w:val="00E021EA"/>
    <w:rsid w:val="00E03F8A"/>
    <w:rsid w:val="00E11A0E"/>
    <w:rsid w:val="00E11C21"/>
    <w:rsid w:val="00E12915"/>
    <w:rsid w:val="00E13D86"/>
    <w:rsid w:val="00E16867"/>
    <w:rsid w:val="00E207EC"/>
    <w:rsid w:val="00E228D3"/>
    <w:rsid w:val="00E23035"/>
    <w:rsid w:val="00E2331B"/>
    <w:rsid w:val="00E2448D"/>
    <w:rsid w:val="00E26083"/>
    <w:rsid w:val="00E26DC0"/>
    <w:rsid w:val="00E319D6"/>
    <w:rsid w:val="00E361B1"/>
    <w:rsid w:val="00E42518"/>
    <w:rsid w:val="00E45384"/>
    <w:rsid w:val="00E47EB5"/>
    <w:rsid w:val="00E53750"/>
    <w:rsid w:val="00E5751D"/>
    <w:rsid w:val="00E612B9"/>
    <w:rsid w:val="00E61A11"/>
    <w:rsid w:val="00E65422"/>
    <w:rsid w:val="00E655D3"/>
    <w:rsid w:val="00E66CFE"/>
    <w:rsid w:val="00E675DA"/>
    <w:rsid w:val="00E71284"/>
    <w:rsid w:val="00E71A21"/>
    <w:rsid w:val="00E71E20"/>
    <w:rsid w:val="00E72EA0"/>
    <w:rsid w:val="00E73779"/>
    <w:rsid w:val="00E74320"/>
    <w:rsid w:val="00E75966"/>
    <w:rsid w:val="00E75C42"/>
    <w:rsid w:val="00E76121"/>
    <w:rsid w:val="00E77574"/>
    <w:rsid w:val="00E81314"/>
    <w:rsid w:val="00E81999"/>
    <w:rsid w:val="00E82E94"/>
    <w:rsid w:val="00E83674"/>
    <w:rsid w:val="00E8433E"/>
    <w:rsid w:val="00E84E4F"/>
    <w:rsid w:val="00E859FB"/>
    <w:rsid w:val="00E92A8A"/>
    <w:rsid w:val="00E97C22"/>
    <w:rsid w:val="00E97F3C"/>
    <w:rsid w:val="00EA0A71"/>
    <w:rsid w:val="00EA0BA9"/>
    <w:rsid w:val="00EA1A74"/>
    <w:rsid w:val="00EA464C"/>
    <w:rsid w:val="00EA48C1"/>
    <w:rsid w:val="00EA4ED9"/>
    <w:rsid w:val="00EA59E9"/>
    <w:rsid w:val="00EA65A1"/>
    <w:rsid w:val="00EA689E"/>
    <w:rsid w:val="00EB0217"/>
    <w:rsid w:val="00EB2F1C"/>
    <w:rsid w:val="00EB7BAE"/>
    <w:rsid w:val="00EB7CAD"/>
    <w:rsid w:val="00EC11EB"/>
    <w:rsid w:val="00EC3D83"/>
    <w:rsid w:val="00EC7ADC"/>
    <w:rsid w:val="00ED02AD"/>
    <w:rsid w:val="00ED0983"/>
    <w:rsid w:val="00ED2244"/>
    <w:rsid w:val="00ED352D"/>
    <w:rsid w:val="00ED61A8"/>
    <w:rsid w:val="00ED7D99"/>
    <w:rsid w:val="00EE2335"/>
    <w:rsid w:val="00EE2603"/>
    <w:rsid w:val="00EE39B9"/>
    <w:rsid w:val="00EE7AC3"/>
    <w:rsid w:val="00EF15BB"/>
    <w:rsid w:val="00EF196F"/>
    <w:rsid w:val="00EF2B17"/>
    <w:rsid w:val="00EF39C2"/>
    <w:rsid w:val="00EF518D"/>
    <w:rsid w:val="00F00460"/>
    <w:rsid w:val="00F01309"/>
    <w:rsid w:val="00F02717"/>
    <w:rsid w:val="00F0578E"/>
    <w:rsid w:val="00F05B47"/>
    <w:rsid w:val="00F068C2"/>
    <w:rsid w:val="00F102D6"/>
    <w:rsid w:val="00F11D74"/>
    <w:rsid w:val="00F11F8D"/>
    <w:rsid w:val="00F1517B"/>
    <w:rsid w:val="00F1635E"/>
    <w:rsid w:val="00F16592"/>
    <w:rsid w:val="00F16E75"/>
    <w:rsid w:val="00F17B5B"/>
    <w:rsid w:val="00F21B9C"/>
    <w:rsid w:val="00F21BB2"/>
    <w:rsid w:val="00F24CC9"/>
    <w:rsid w:val="00F335E0"/>
    <w:rsid w:val="00F36630"/>
    <w:rsid w:val="00F377D0"/>
    <w:rsid w:val="00F4322F"/>
    <w:rsid w:val="00F433CC"/>
    <w:rsid w:val="00F54946"/>
    <w:rsid w:val="00F560ED"/>
    <w:rsid w:val="00F56B95"/>
    <w:rsid w:val="00F61B52"/>
    <w:rsid w:val="00F7047E"/>
    <w:rsid w:val="00F70C3B"/>
    <w:rsid w:val="00F71808"/>
    <w:rsid w:val="00F73758"/>
    <w:rsid w:val="00F752F5"/>
    <w:rsid w:val="00F75FB5"/>
    <w:rsid w:val="00F768DE"/>
    <w:rsid w:val="00F77DDB"/>
    <w:rsid w:val="00F81844"/>
    <w:rsid w:val="00F833E7"/>
    <w:rsid w:val="00F8516D"/>
    <w:rsid w:val="00F851F9"/>
    <w:rsid w:val="00F87074"/>
    <w:rsid w:val="00F9552D"/>
    <w:rsid w:val="00F9611F"/>
    <w:rsid w:val="00F96FBC"/>
    <w:rsid w:val="00F978A9"/>
    <w:rsid w:val="00FA1E79"/>
    <w:rsid w:val="00FA3E8C"/>
    <w:rsid w:val="00FA4E79"/>
    <w:rsid w:val="00FA5841"/>
    <w:rsid w:val="00FA6ADB"/>
    <w:rsid w:val="00FB0510"/>
    <w:rsid w:val="00FB1DAB"/>
    <w:rsid w:val="00FB499C"/>
    <w:rsid w:val="00FB5277"/>
    <w:rsid w:val="00FB5887"/>
    <w:rsid w:val="00FB7054"/>
    <w:rsid w:val="00FC0764"/>
    <w:rsid w:val="00FC3512"/>
    <w:rsid w:val="00FC67FC"/>
    <w:rsid w:val="00FC7AD1"/>
    <w:rsid w:val="00FD0277"/>
    <w:rsid w:val="00FD0535"/>
    <w:rsid w:val="00FD0771"/>
    <w:rsid w:val="00FD07BC"/>
    <w:rsid w:val="00FD1FE7"/>
    <w:rsid w:val="00FD4B3D"/>
    <w:rsid w:val="00FD5164"/>
    <w:rsid w:val="00FD74E1"/>
    <w:rsid w:val="00FE1781"/>
    <w:rsid w:val="00FE4F0E"/>
    <w:rsid w:val="00FE4F35"/>
    <w:rsid w:val="00FE5ED8"/>
    <w:rsid w:val="00FF0201"/>
    <w:rsid w:val="00FF50F4"/>
    <w:rsid w:val="00FF64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93"/>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05"/>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577605"/>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577605"/>
    <w:rPr>
      <w:rFonts w:ascii="Corbel" w:eastAsia="Times New Roman" w:hAnsi="Corbel" w:cs="Arial"/>
      <w:color w:val="3D4B67"/>
      <w:sz w:val="36"/>
      <w:lang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rsid w:val="00577605"/>
    <w:rPr>
      <w:rFonts w:ascii="Corbel" w:eastAsia="Times New Roman" w:hAnsi="Corbel" w:cs="Times New Roman"/>
      <w:color w:val="3D4B67"/>
      <w:sz w:val="18"/>
      <w:szCs w:val="20"/>
      <w:lang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577605"/>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577605"/>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577605"/>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577605"/>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5"/>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C4"/>
    <w:rPr>
      <w:rFonts w:ascii="Tahoma" w:eastAsia="Times New Roman" w:hAnsi="Tahoma" w:cs="Tahoma"/>
      <w:color w:val="000000"/>
      <w:sz w:val="16"/>
      <w:szCs w:val="16"/>
      <w:lang w:eastAsia="en-AU"/>
    </w:rPr>
  </w:style>
  <w:style w:type="table" w:styleId="TableGrid">
    <w:name w:val="Table Grid"/>
    <w:basedOn w:val="TableNormal"/>
    <w:uiPriority w:val="59"/>
    <w:rsid w:val="00D6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paragraph" w:customStyle="1" w:styleId="SAPageHeader-DocumentTitle">
    <w:name w:val="SA Page Header - Document Title"/>
    <w:rsid w:val="00F36630"/>
    <w:pPr>
      <w:spacing w:after="0" w:line="200" w:lineRule="exact"/>
    </w:pPr>
    <w:rPr>
      <w:rFonts w:ascii="Arial" w:eastAsia="Times New Roman" w:hAnsi="Arial" w:cs="Arial"/>
      <w:b/>
      <w:noProof/>
      <w:sz w:val="16"/>
      <w:szCs w:val="16"/>
      <w:lang w:eastAsia="en-AU"/>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411A4F"/>
    <w:rPr>
      <w:rFonts w:ascii="Corbel" w:eastAsia="Times New Roman" w:hAnsi="Corbel" w:cs="Times New Roman"/>
      <w:color w:val="000000"/>
      <w:sz w:val="23"/>
      <w:szCs w:val="20"/>
      <w:lang w:eastAsia="en-AU"/>
    </w:rPr>
  </w:style>
  <w:style w:type="character" w:styleId="CommentReference">
    <w:name w:val="annotation reference"/>
    <w:basedOn w:val="DefaultParagraphFont"/>
    <w:uiPriority w:val="99"/>
    <w:semiHidden/>
    <w:unhideWhenUsed/>
    <w:rsid w:val="00F77DDB"/>
    <w:rPr>
      <w:sz w:val="16"/>
      <w:szCs w:val="16"/>
    </w:rPr>
  </w:style>
  <w:style w:type="paragraph" w:styleId="CommentText">
    <w:name w:val="annotation text"/>
    <w:basedOn w:val="Normal"/>
    <w:link w:val="CommentTextChar"/>
    <w:uiPriority w:val="99"/>
    <w:unhideWhenUsed/>
    <w:rsid w:val="00F77DDB"/>
    <w:pPr>
      <w:spacing w:after="16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rsid w:val="00F77DDB"/>
    <w:rPr>
      <w:sz w:val="20"/>
      <w:szCs w:val="20"/>
    </w:rPr>
  </w:style>
  <w:style w:type="paragraph" w:customStyle="1" w:styleId="Sign-off">
    <w:name w:val="Sign-off"/>
    <w:basedOn w:val="Normal"/>
    <w:qFormat/>
    <w:rsid w:val="00C81326"/>
    <w:pPr>
      <w:numPr>
        <w:numId w:val="3"/>
      </w:numPr>
      <w:pBdr>
        <w:top w:val="single" w:sz="4" w:space="3" w:color="E5E5E5"/>
        <w:left w:val="single" w:sz="4" w:space="4" w:color="E5E5E5"/>
        <w:bottom w:val="single" w:sz="4" w:space="3" w:color="E5E5E5"/>
        <w:right w:val="single" w:sz="4" w:space="4" w:color="E5E5E5"/>
      </w:pBdr>
      <w:shd w:val="clear" w:color="auto" w:fill="E5E5E5"/>
      <w:tabs>
        <w:tab w:val="left" w:pos="6804"/>
      </w:tabs>
      <w:spacing w:before="240" w:line="240" w:lineRule="auto"/>
      <w:jc w:val="left"/>
    </w:pPr>
    <w:rPr>
      <w:rFonts w:asciiTheme="minorHAnsi" w:eastAsiaTheme="minorHAnsi" w:hAnsiTheme="minorHAnsi" w:cstheme="minorHAnsi"/>
      <w:b/>
      <w:color w:val="auto"/>
      <w:sz w:val="22"/>
      <w:szCs w:val="22"/>
      <w:lang w:eastAsia="en-US"/>
    </w:rPr>
  </w:style>
  <w:style w:type="paragraph" w:customStyle="1" w:styleId="Lettertext">
    <w:name w:val="Letter text"/>
    <w:basedOn w:val="Normal"/>
    <w:link w:val="LettertextChar"/>
    <w:uiPriority w:val="99"/>
    <w:qFormat/>
    <w:rsid w:val="00C81326"/>
    <w:pPr>
      <w:spacing w:after="0" w:line="240" w:lineRule="auto"/>
      <w:jc w:val="left"/>
    </w:pPr>
    <w:rPr>
      <w:rFonts w:asciiTheme="minorHAnsi" w:eastAsiaTheme="minorHAnsi" w:hAnsiTheme="minorHAnsi" w:cs="Arial"/>
      <w:color w:val="auto"/>
      <w:sz w:val="24"/>
      <w:szCs w:val="24"/>
      <w:lang w:eastAsia="en-US"/>
    </w:rPr>
  </w:style>
  <w:style w:type="character" w:customStyle="1" w:styleId="LettertextChar">
    <w:name w:val="Letter text Char"/>
    <w:basedOn w:val="DefaultParagraphFont"/>
    <w:link w:val="Lettertext"/>
    <w:uiPriority w:val="99"/>
    <w:rsid w:val="00C81326"/>
    <w:rPr>
      <w:rFonts w:cs="Arial"/>
      <w:sz w:val="24"/>
      <w:szCs w:val="24"/>
    </w:rPr>
  </w:style>
  <w:style w:type="paragraph" w:customStyle="1" w:styleId="Tableheading">
    <w:name w:val="Table heading"/>
    <w:rsid w:val="00C81326"/>
    <w:pPr>
      <w:spacing w:before="60" w:after="0" w:line="240" w:lineRule="auto"/>
    </w:pPr>
    <w:rPr>
      <w:rFonts w:cstheme="minorHAnsi"/>
      <w:b/>
      <w:sz w:val="20"/>
      <w:szCs w:val="20"/>
    </w:rPr>
  </w:style>
  <w:style w:type="paragraph" w:styleId="CommentSubject">
    <w:name w:val="annotation subject"/>
    <w:basedOn w:val="CommentText"/>
    <w:next w:val="CommentText"/>
    <w:link w:val="CommentSubjectChar"/>
    <w:uiPriority w:val="99"/>
    <w:semiHidden/>
    <w:unhideWhenUsed/>
    <w:rsid w:val="0037268F"/>
    <w:pPr>
      <w:spacing w:after="240"/>
      <w:jc w:val="both"/>
    </w:pPr>
    <w:rPr>
      <w:rFonts w:ascii="Corbel" w:eastAsia="Times New Roman" w:hAnsi="Corbel" w:cs="Times New Roman"/>
      <w:b/>
      <w:bCs/>
      <w:color w:val="000000"/>
      <w:lang w:eastAsia="en-AU"/>
    </w:rPr>
  </w:style>
  <w:style w:type="character" w:customStyle="1" w:styleId="CommentSubjectChar">
    <w:name w:val="Comment Subject Char"/>
    <w:basedOn w:val="CommentTextChar"/>
    <w:link w:val="CommentSubject"/>
    <w:uiPriority w:val="99"/>
    <w:semiHidden/>
    <w:rsid w:val="0037268F"/>
    <w:rPr>
      <w:rFonts w:ascii="Corbel" w:eastAsia="Times New Roman" w:hAnsi="Corbel" w:cs="Times New Roman"/>
      <w:b/>
      <w:bCs/>
      <w:color w:val="000000"/>
      <w:sz w:val="20"/>
      <w:szCs w:val="20"/>
      <w:lang w:eastAsia="en-AU"/>
    </w:rPr>
  </w:style>
  <w:style w:type="paragraph" w:customStyle="1" w:styleId="TalkingPoints">
    <w:name w:val="Talking Points"/>
    <w:basedOn w:val="ListParagraph"/>
    <w:link w:val="TalkingPointsChar"/>
    <w:qFormat/>
    <w:rsid w:val="0014576B"/>
    <w:pPr>
      <w:numPr>
        <w:numId w:val="10"/>
      </w:numPr>
      <w:spacing w:line="360" w:lineRule="auto"/>
      <w:contextualSpacing w:val="0"/>
      <w:jc w:val="left"/>
    </w:pPr>
    <w:rPr>
      <w:rFonts w:ascii="Arial" w:hAnsi="Arial" w:cs="Arial"/>
      <w:color w:val="000000" w:themeColor="text1"/>
      <w:sz w:val="32"/>
      <w:szCs w:val="32"/>
      <w:lang w:eastAsia="en-US"/>
    </w:rPr>
  </w:style>
  <w:style w:type="character" w:customStyle="1" w:styleId="TalkingPointsChar">
    <w:name w:val="Talking Points Char"/>
    <w:basedOn w:val="DefaultParagraphFont"/>
    <w:link w:val="TalkingPoints"/>
    <w:rsid w:val="0014576B"/>
    <w:rPr>
      <w:rFonts w:ascii="Arial" w:eastAsia="Times New Roman" w:hAnsi="Arial" w:cs="Arial"/>
      <w:color w:val="000000" w:themeColor="text1"/>
      <w:sz w:val="32"/>
      <w:szCs w:val="32"/>
    </w:rPr>
  </w:style>
  <w:style w:type="paragraph" w:styleId="NormalWeb">
    <w:name w:val="Normal (Web)"/>
    <w:basedOn w:val="Normal"/>
    <w:uiPriority w:val="99"/>
    <w:unhideWhenUsed/>
    <w:rsid w:val="003C5E0F"/>
    <w:rPr>
      <w:rFonts w:ascii="Times New Roman" w:hAnsi="Times New Roman"/>
      <w:sz w:val="24"/>
      <w:szCs w:val="24"/>
    </w:rPr>
  </w:style>
  <w:style w:type="paragraph" w:styleId="Revision">
    <w:name w:val="Revision"/>
    <w:hidden/>
    <w:uiPriority w:val="99"/>
    <w:semiHidden/>
    <w:rsid w:val="00357E6B"/>
    <w:pPr>
      <w:spacing w:after="0" w:line="240" w:lineRule="auto"/>
    </w:pPr>
    <w:rPr>
      <w:rFonts w:ascii="Corbel" w:eastAsia="Times New Roman" w:hAnsi="Corbel" w:cs="Times New Roman"/>
      <w:color w:val="000000"/>
      <w:sz w:val="23"/>
      <w:szCs w:val="20"/>
      <w:lang w:eastAsia="en-AU"/>
    </w:rPr>
  </w:style>
  <w:style w:type="character" w:styleId="Hyperlink">
    <w:name w:val="Hyperlink"/>
    <w:basedOn w:val="DefaultParagraphFont"/>
    <w:uiPriority w:val="99"/>
    <w:unhideWhenUsed/>
    <w:rsid w:val="00A84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594">
      <w:bodyDiv w:val="1"/>
      <w:marLeft w:val="0"/>
      <w:marRight w:val="0"/>
      <w:marTop w:val="0"/>
      <w:marBottom w:val="0"/>
      <w:divBdr>
        <w:top w:val="none" w:sz="0" w:space="0" w:color="auto"/>
        <w:left w:val="none" w:sz="0" w:space="0" w:color="auto"/>
        <w:bottom w:val="none" w:sz="0" w:space="0" w:color="auto"/>
        <w:right w:val="none" w:sz="0" w:space="0" w:color="auto"/>
      </w:divBdr>
    </w:div>
    <w:div w:id="637343906">
      <w:bodyDiv w:val="1"/>
      <w:marLeft w:val="0"/>
      <w:marRight w:val="0"/>
      <w:marTop w:val="0"/>
      <w:marBottom w:val="0"/>
      <w:divBdr>
        <w:top w:val="none" w:sz="0" w:space="0" w:color="auto"/>
        <w:left w:val="none" w:sz="0" w:space="0" w:color="auto"/>
        <w:bottom w:val="none" w:sz="0" w:space="0" w:color="auto"/>
        <w:right w:val="none" w:sz="0" w:space="0" w:color="auto"/>
      </w:divBdr>
    </w:div>
    <w:div w:id="705567652">
      <w:bodyDiv w:val="1"/>
      <w:marLeft w:val="0"/>
      <w:marRight w:val="0"/>
      <w:marTop w:val="0"/>
      <w:marBottom w:val="0"/>
      <w:divBdr>
        <w:top w:val="none" w:sz="0" w:space="0" w:color="auto"/>
        <w:left w:val="none" w:sz="0" w:space="0" w:color="auto"/>
        <w:bottom w:val="none" w:sz="0" w:space="0" w:color="auto"/>
        <w:right w:val="none" w:sz="0" w:space="0" w:color="auto"/>
      </w:divBdr>
    </w:div>
    <w:div w:id="1119447742">
      <w:bodyDiv w:val="1"/>
      <w:marLeft w:val="0"/>
      <w:marRight w:val="0"/>
      <w:marTop w:val="0"/>
      <w:marBottom w:val="0"/>
      <w:divBdr>
        <w:top w:val="none" w:sz="0" w:space="0" w:color="auto"/>
        <w:left w:val="none" w:sz="0" w:space="0" w:color="auto"/>
        <w:bottom w:val="none" w:sz="0" w:space="0" w:color="auto"/>
        <w:right w:val="none" w:sz="0" w:space="0" w:color="auto"/>
      </w:divBdr>
    </w:div>
    <w:div w:id="1196965319">
      <w:bodyDiv w:val="1"/>
      <w:marLeft w:val="0"/>
      <w:marRight w:val="0"/>
      <w:marTop w:val="0"/>
      <w:marBottom w:val="0"/>
      <w:divBdr>
        <w:top w:val="none" w:sz="0" w:space="0" w:color="auto"/>
        <w:left w:val="none" w:sz="0" w:space="0" w:color="auto"/>
        <w:bottom w:val="none" w:sz="0" w:space="0" w:color="auto"/>
        <w:right w:val="none" w:sz="0" w:space="0" w:color="auto"/>
      </w:divBdr>
    </w:div>
    <w:div w:id="1476994340">
      <w:bodyDiv w:val="1"/>
      <w:marLeft w:val="0"/>
      <w:marRight w:val="0"/>
      <w:marTop w:val="0"/>
      <w:marBottom w:val="0"/>
      <w:divBdr>
        <w:top w:val="none" w:sz="0" w:space="0" w:color="auto"/>
        <w:left w:val="none" w:sz="0" w:space="0" w:color="auto"/>
        <w:bottom w:val="none" w:sz="0" w:space="0" w:color="auto"/>
        <w:right w:val="none" w:sz="0" w:space="0" w:color="auto"/>
      </w:divBdr>
    </w:div>
    <w:div w:id="1746301439">
      <w:bodyDiv w:val="1"/>
      <w:marLeft w:val="0"/>
      <w:marRight w:val="0"/>
      <w:marTop w:val="0"/>
      <w:marBottom w:val="0"/>
      <w:divBdr>
        <w:top w:val="none" w:sz="0" w:space="0" w:color="auto"/>
        <w:left w:val="none" w:sz="0" w:space="0" w:color="auto"/>
        <w:bottom w:val="none" w:sz="0" w:space="0" w:color="auto"/>
        <w:right w:val="none" w:sz="0" w:space="0" w:color="auto"/>
      </w:divBdr>
    </w:div>
    <w:div w:id="21126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318" ma:contentTypeDescription=" " ma:contentTypeScope="" ma:versionID="73481d4cf940ebd9ca7a8d9dbb7f6b3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2022FG-64-107005</_dlc_DocId>
    <TaxCatchAll xmlns="0f563589-9cf9-4143-b1eb-fb0534803d38">
      <Value>2</Value>
    </TaxCatchAll>
    <_dlc_DocIdUrl xmlns="0f563589-9cf9-4143-b1eb-fb0534803d38">
      <Url>http://tweb/sites/fg/csrd/_layouts/15/DocIdRedir.aspx?ID=2022FG-64-107005</Url>
      <Description>2022FG-64-107005</Description>
    </_dlc_DocIdUrl>
    <IconOverlay xmlns="http://schemas.microsoft.com/sharepoint/v4" xsi:nil="true"/>
  </documentManagement>
</p:properties>
</file>

<file path=customXml/itemProps1.xml><?xml version="1.0" encoding="utf-8"?>
<ds:datastoreItem xmlns:ds="http://schemas.openxmlformats.org/officeDocument/2006/customXml" ds:itemID="{64EA9582-A6A1-4DF7-8EDC-40098340864D}"/>
</file>

<file path=customXml/itemProps2.xml><?xml version="1.0" encoding="utf-8"?>
<ds:datastoreItem xmlns:ds="http://schemas.openxmlformats.org/officeDocument/2006/customXml" ds:itemID="{CB74D5EC-1AC5-4567-B3A2-6C3ADD486B82}"/>
</file>

<file path=customXml/itemProps3.xml><?xml version="1.0" encoding="utf-8"?>
<ds:datastoreItem xmlns:ds="http://schemas.openxmlformats.org/officeDocument/2006/customXml" ds:itemID="{E768BACC-EB06-48CF-9A23-6C118EDAEDC5}"/>
</file>

<file path=customXml/itemProps4.xml><?xml version="1.0" encoding="utf-8"?>
<ds:datastoreItem xmlns:ds="http://schemas.openxmlformats.org/officeDocument/2006/customXml" ds:itemID="{16C97796-4CD2-4FA2-B813-26D667AC8BAB}"/>
</file>

<file path=customXml/itemProps5.xml><?xml version="1.0" encoding="utf-8"?>
<ds:datastoreItem xmlns:ds="http://schemas.openxmlformats.org/officeDocument/2006/customXml" ds:itemID="{AAB16E62-F477-4988-9B8B-16F7B9C5085D}"/>
</file>

<file path=customXml/itemProps6.xml><?xml version="1.0" encoding="utf-8"?>
<ds:datastoreItem xmlns:ds="http://schemas.openxmlformats.org/officeDocument/2006/customXml" ds:itemID="{CFB28F2D-91E7-41A7-9184-454282D6EC9B}"/>
</file>

<file path=docProps/app.xml><?xml version="1.0" encoding="utf-8"?>
<Properties xmlns="http://schemas.openxmlformats.org/officeDocument/2006/extended-properties" xmlns:vt="http://schemas.openxmlformats.org/officeDocument/2006/docPropsVTypes">
  <Template>Normal.dotm</Template>
  <TotalTime>0</TotalTime>
  <Pages>6</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2022-04-29T00:01:00Z</dcterms:created>
  <dcterms:modified xsi:type="dcterms:W3CDTF">2022-04-29T00:01:00Z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54f31aa5-5733-4270-b97c-76b3951dd9a5</vt:lpwstr>
  </property>
</Properties>
</file>