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60D2" w14:textId="1EB7544D" w:rsidR="006538BC" w:rsidRPr="009A2A39" w:rsidRDefault="00F52972" w:rsidP="00777766">
      <w:pPr>
        <w:pStyle w:val="Heading1"/>
        <w:jc w:val="right"/>
        <w:rPr>
          <w:sz w:val="34"/>
          <w:szCs w:val="34"/>
        </w:rPr>
      </w:pPr>
      <w:r w:rsidRPr="009A2A39">
        <w:rPr>
          <w:caps w:val="0"/>
          <w:sz w:val="34"/>
          <w:szCs w:val="34"/>
        </w:rPr>
        <w:t>S</w:t>
      </w:r>
      <w:r w:rsidR="00483B49" w:rsidRPr="009A2A39">
        <w:rPr>
          <w:caps w:val="0"/>
          <w:sz w:val="34"/>
          <w:szCs w:val="34"/>
        </w:rPr>
        <w:t>chedule C</w:t>
      </w:r>
      <w:r w:rsidRPr="009A2A39">
        <w:rPr>
          <w:sz w:val="34"/>
          <w:szCs w:val="34"/>
        </w:rPr>
        <w:t xml:space="preserve"> </w:t>
      </w:r>
    </w:p>
    <w:p w14:paraId="03D9D457" w14:textId="2F0D1C46" w:rsidR="00F870D1" w:rsidRPr="007C2F2B" w:rsidRDefault="00875444" w:rsidP="007C2F2B">
      <w:pPr>
        <w:pStyle w:val="Title"/>
        <w:spacing w:before="240"/>
        <w:rPr>
          <w:rFonts w:cs="Consolas"/>
          <w:sz w:val="56"/>
          <w:szCs w:val="56"/>
        </w:rPr>
      </w:pPr>
      <w:r>
        <w:rPr>
          <w:rFonts w:ascii="Consolas" w:hAnsi="Consolas" w:cs="Consolas"/>
          <w:sz w:val="56"/>
          <w:szCs w:val="56"/>
        </w:rPr>
        <w:t>Stage 1 Funding</w:t>
      </w:r>
      <w:r w:rsidR="00352B22">
        <w:rPr>
          <w:rFonts w:ascii="Consolas" w:hAnsi="Consolas" w:cs="Consolas"/>
          <w:sz w:val="56"/>
          <w:szCs w:val="56"/>
        </w:rPr>
        <w:t xml:space="preserve"> for</w:t>
      </w:r>
      <w:r w:rsidR="00483B49">
        <w:rPr>
          <w:rFonts w:ascii="Consolas" w:hAnsi="Consolas" w:cs="Consolas"/>
          <w:sz w:val="56"/>
          <w:szCs w:val="56"/>
        </w:rPr>
        <w:t xml:space="preserve"> </w:t>
      </w:r>
      <w:r w:rsidR="008D0EE2">
        <w:rPr>
          <w:rFonts w:ascii="Consolas" w:hAnsi="Consolas" w:cs="Consolas"/>
          <w:sz w:val="56"/>
          <w:szCs w:val="56"/>
        </w:rPr>
        <w:t xml:space="preserve">the River Murray in </w:t>
      </w:r>
      <w:r w:rsidR="00483B49">
        <w:rPr>
          <w:rFonts w:ascii="Consolas" w:hAnsi="Consolas" w:cs="Consolas"/>
          <w:sz w:val="56"/>
          <w:szCs w:val="56"/>
        </w:rPr>
        <w:t>South </w:t>
      </w:r>
      <w:r w:rsidR="00D13152">
        <w:rPr>
          <w:rFonts w:ascii="Consolas" w:hAnsi="Consolas" w:cs="Consolas"/>
          <w:sz w:val="56"/>
          <w:szCs w:val="56"/>
        </w:rPr>
        <w:t>Australia</w:t>
      </w:r>
      <w:r w:rsidR="00F4253F">
        <w:rPr>
          <w:rFonts w:ascii="Consolas" w:hAnsi="Consolas" w:cs="Consolas"/>
          <w:sz w:val="56"/>
          <w:szCs w:val="56"/>
        </w:rPr>
        <w:t xml:space="preserve"> </w:t>
      </w:r>
      <w:r w:rsidR="0009494A">
        <w:rPr>
          <w:rFonts w:ascii="Consolas" w:hAnsi="Consolas" w:cs="Consolas"/>
          <w:sz w:val="56"/>
          <w:szCs w:val="56"/>
        </w:rPr>
        <w:t>Constraints Measure</w:t>
      </w:r>
      <w:r w:rsidR="005F7997">
        <w:rPr>
          <w:rFonts w:ascii="Consolas" w:hAnsi="Consolas" w:cs="Consolas"/>
          <w:sz w:val="56"/>
          <w:szCs w:val="56"/>
        </w:rPr>
        <w:t xml:space="preserve"> </w:t>
      </w:r>
    </w:p>
    <w:p w14:paraId="2D09FCEE" w14:textId="0282998C" w:rsidR="00B53285" w:rsidRPr="004E4379" w:rsidRDefault="00B53285" w:rsidP="007C2F2B">
      <w:pPr>
        <w:pStyle w:val="Subtitle"/>
        <w:numPr>
          <w:ilvl w:val="0"/>
          <w:numId w:val="0"/>
        </w:numPr>
        <w:spacing w:before="240" w:after="480" w:line="240" w:lineRule="auto"/>
        <w:rPr>
          <w:rFonts w:ascii="Consolas" w:hAnsi="Consolas" w:cs="Consolas"/>
          <w:b/>
          <w:color w:val="C7823E"/>
          <w:spacing w:val="50"/>
          <w:lang w:eastAsia="ja-JP"/>
        </w:rPr>
      </w:pPr>
      <w:r w:rsidRPr="00CE1E09">
        <w:rPr>
          <w:rFonts w:ascii="Consolas" w:eastAsia="Times New Roman" w:hAnsi="Consolas" w:cs="Consolas"/>
          <w:b/>
          <w:bCs/>
          <w:caps/>
          <w:color w:val="C7823E"/>
          <w:spacing w:val="50"/>
          <w:szCs w:val="20"/>
          <w:lang w:eastAsia="ja-JP"/>
        </w:rPr>
        <w:t xml:space="preserve">Project Agreement for </w:t>
      </w:r>
      <w:r w:rsidR="0054643C" w:rsidRPr="00CE1E09">
        <w:rPr>
          <w:rFonts w:ascii="Consolas" w:eastAsia="Times New Roman" w:hAnsi="Consolas" w:cs="Consolas"/>
          <w:b/>
          <w:bCs/>
          <w:caps/>
          <w:color w:val="C7823E"/>
          <w:spacing w:val="50"/>
          <w:szCs w:val="20"/>
          <w:lang w:eastAsia="ja-JP"/>
        </w:rPr>
        <w:t>Stage 1 funding</w:t>
      </w:r>
      <w:r w:rsidRPr="00CE1E09">
        <w:rPr>
          <w:rFonts w:ascii="Consolas" w:eastAsia="Times New Roman" w:hAnsi="Consolas" w:cs="Consolas"/>
          <w:b/>
          <w:bCs/>
          <w:caps/>
          <w:color w:val="C7823E"/>
          <w:spacing w:val="50"/>
          <w:szCs w:val="20"/>
          <w:lang w:eastAsia="ja-JP"/>
        </w:rPr>
        <w:t xml:space="preserve"> for </w:t>
      </w:r>
      <w:r w:rsidR="00A85270" w:rsidRPr="00CE1E09">
        <w:rPr>
          <w:rFonts w:ascii="Consolas" w:eastAsia="Times New Roman" w:hAnsi="Consolas" w:cs="Consolas"/>
          <w:b/>
          <w:bCs/>
          <w:caps/>
          <w:color w:val="C7823E"/>
          <w:spacing w:val="50"/>
          <w:szCs w:val="20"/>
          <w:lang w:eastAsia="ja-JP"/>
        </w:rPr>
        <w:t xml:space="preserve">SUSTAINABLE DIVERSION LIMITS (sdl) ADJUSTMENT </w:t>
      </w:r>
      <w:r w:rsidRPr="00CE1E09">
        <w:rPr>
          <w:rFonts w:ascii="Consolas" w:eastAsia="Times New Roman" w:hAnsi="Consolas" w:cs="Consolas"/>
          <w:b/>
          <w:bCs/>
          <w:caps/>
          <w:color w:val="C7823E"/>
          <w:spacing w:val="50"/>
          <w:szCs w:val="20"/>
          <w:lang w:eastAsia="ja-JP"/>
        </w:rPr>
        <w:t xml:space="preserve">Supply </w:t>
      </w:r>
      <w:r w:rsidR="0072544A" w:rsidRPr="004E4379">
        <w:rPr>
          <w:rFonts w:ascii="Consolas" w:eastAsia="Times New Roman" w:hAnsi="Consolas" w:cs="Consolas"/>
          <w:b/>
          <w:bCs/>
          <w:caps/>
          <w:color w:val="C7823E"/>
          <w:spacing w:val="50"/>
          <w:lang w:eastAsia="ja-JP"/>
        </w:rPr>
        <w:t xml:space="preserve">and constraints </w:t>
      </w:r>
      <w:r w:rsidRPr="004E4379">
        <w:rPr>
          <w:rFonts w:ascii="Consolas" w:eastAsia="Times New Roman" w:hAnsi="Consolas" w:cs="Consolas"/>
          <w:b/>
          <w:bCs/>
          <w:caps/>
          <w:color w:val="C7823E"/>
          <w:spacing w:val="50"/>
          <w:lang w:eastAsia="ja-JP"/>
        </w:rPr>
        <w:t>Measures in the Murray-Darling Basin</w:t>
      </w:r>
    </w:p>
    <w:p w14:paraId="66168E5A" w14:textId="7F0B51C5" w:rsidR="00EC1A15" w:rsidRPr="009A2A39" w:rsidRDefault="00EC1A15" w:rsidP="00CB7E0D">
      <w:pPr>
        <w:pStyle w:val="ScheduleNumberedPara"/>
        <w:numPr>
          <w:ilvl w:val="1"/>
          <w:numId w:val="9"/>
        </w:numPr>
        <w:tabs>
          <w:tab w:val="num" w:pos="1440"/>
        </w:tabs>
        <w:rPr>
          <w:sz w:val="22"/>
          <w:szCs w:val="22"/>
        </w:rPr>
      </w:pPr>
      <w:r w:rsidRPr="009A2A39">
        <w:rPr>
          <w:sz w:val="22"/>
          <w:szCs w:val="22"/>
        </w:rPr>
        <w:t>Th</w:t>
      </w:r>
      <w:r w:rsidR="00822244" w:rsidRPr="009A2A39">
        <w:rPr>
          <w:sz w:val="22"/>
          <w:szCs w:val="22"/>
        </w:rPr>
        <w:t>is Schedule has been developed in accordance with Clause 18</w:t>
      </w:r>
      <w:r w:rsidRPr="009A2A39">
        <w:rPr>
          <w:sz w:val="22"/>
          <w:szCs w:val="22"/>
        </w:rPr>
        <w:t xml:space="preserve"> </w:t>
      </w:r>
      <w:r w:rsidR="00822244" w:rsidRPr="009A2A39">
        <w:rPr>
          <w:sz w:val="22"/>
          <w:szCs w:val="22"/>
        </w:rPr>
        <w:t xml:space="preserve">of </w:t>
      </w:r>
      <w:r w:rsidRPr="009A2A39">
        <w:rPr>
          <w:sz w:val="22"/>
          <w:szCs w:val="22"/>
        </w:rPr>
        <w:t xml:space="preserve">the Project Agreement for </w:t>
      </w:r>
      <w:r w:rsidR="0054643C" w:rsidRPr="009A2A39">
        <w:rPr>
          <w:sz w:val="22"/>
          <w:szCs w:val="22"/>
        </w:rPr>
        <w:t xml:space="preserve">Stage 1 Funding </w:t>
      </w:r>
      <w:r w:rsidRPr="009A2A39">
        <w:rPr>
          <w:sz w:val="22"/>
          <w:szCs w:val="22"/>
        </w:rPr>
        <w:t xml:space="preserve">for </w:t>
      </w:r>
      <w:r w:rsidR="004C6F8F" w:rsidRPr="009A2A39">
        <w:rPr>
          <w:sz w:val="22"/>
          <w:szCs w:val="22"/>
        </w:rPr>
        <w:t xml:space="preserve">Sustainable Diversion Limits (SDL) Adjustment </w:t>
      </w:r>
      <w:r w:rsidRPr="009A2A39">
        <w:rPr>
          <w:sz w:val="22"/>
          <w:szCs w:val="22"/>
        </w:rPr>
        <w:t xml:space="preserve">Supply </w:t>
      </w:r>
      <w:r w:rsidR="0072544A" w:rsidRPr="009A2A39">
        <w:rPr>
          <w:sz w:val="22"/>
          <w:szCs w:val="22"/>
        </w:rPr>
        <w:t xml:space="preserve">and Constraints </w:t>
      </w:r>
      <w:r w:rsidRPr="009A2A39">
        <w:rPr>
          <w:sz w:val="22"/>
          <w:szCs w:val="22"/>
        </w:rPr>
        <w:t xml:space="preserve">Measures in the Murray-Darling Basin [the Agreement]. </w:t>
      </w:r>
    </w:p>
    <w:p w14:paraId="0D694F52" w14:textId="4199E48D" w:rsidR="00B578C5" w:rsidRPr="009A2A39" w:rsidRDefault="00CE1733" w:rsidP="00CB7E0D">
      <w:pPr>
        <w:pStyle w:val="ScheduleNumberedPara"/>
        <w:numPr>
          <w:ilvl w:val="1"/>
          <w:numId w:val="9"/>
        </w:numPr>
        <w:tabs>
          <w:tab w:val="num" w:pos="1440"/>
        </w:tabs>
        <w:rPr>
          <w:sz w:val="22"/>
          <w:szCs w:val="22"/>
        </w:rPr>
      </w:pPr>
      <w:r w:rsidRPr="009A2A39">
        <w:rPr>
          <w:sz w:val="22"/>
          <w:szCs w:val="22"/>
        </w:rPr>
        <w:t xml:space="preserve">This Schedule will commence </w:t>
      </w:r>
      <w:r w:rsidR="005F7997" w:rsidRPr="009A2A39">
        <w:rPr>
          <w:sz w:val="22"/>
          <w:szCs w:val="22"/>
        </w:rPr>
        <w:t xml:space="preserve">as soon as it agreed between the Commonwealth and </w:t>
      </w:r>
      <w:r w:rsidR="00553A4A" w:rsidRPr="009A2A39">
        <w:rPr>
          <w:sz w:val="22"/>
          <w:szCs w:val="22"/>
        </w:rPr>
        <w:t>South Australia</w:t>
      </w:r>
      <w:r w:rsidR="005F7997" w:rsidRPr="009A2A39">
        <w:rPr>
          <w:sz w:val="22"/>
          <w:szCs w:val="22"/>
        </w:rPr>
        <w:t xml:space="preserve"> </w:t>
      </w:r>
      <w:r w:rsidR="004D6DF6" w:rsidRPr="009A2A39">
        <w:rPr>
          <w:sz w:val="22"/>
          <w:szCs w:val="22"/>
        </w:rPr>
        <w:t>and will expire on 30 June 20</w:t>
      </w:r>
      <w:r w:rsidR="00875444" w:rsidRPr="009A2A39">
        <w:rPr>
          <w:sz w:val="22"/>
          <w:szCs w:val="22"/>
        </w:rPr>
        <w:t>2</w:t>
      </w:r>
      <w:r w:rsidR="00553A4A" w:rsidRPr="009A2A39">
        <w:rPr>
          <w:sz w:val="22"/>
          <w:szCs w:val="22"/>
        </w:rPr>
        <w:t>1</w:t>
      </w:r>
      <w:r w:rsidR="00F44774" w:rsidRPr="009A2A39">
        <w:rPr>
          <w:sz w:val="22"/>
          <w:szCs w:val="22"/>
        </w:rPr>
        <w:t xml:space="preserve">, or on completion of </w:t>
      </w:r>
      <w:r w:rsidR="00F4253F" w:rsidRPr="009A2A39">
        <w:rPr>
          <w:sz w:val="22"/>
          <w:szCs w:val="22"/>
        </w:rPr>
        <w:t>the agreed measure</w:t>
      </w:r>
      <w:r w:rsidR="00F44774" w:rsidRPr="009A2A39">
        <w:rPr>
          <w:sz w:val="22"/>
          <w:szCs w:val="22"/>
        </w:rPr>
        <w:t>, including final performance reporting and processing of final payments against milestones</w:t>
      </w:r>
      <w:r w:rsidRPr="009A2A39">
        <w:rPr>
          <w:sz w:val="22"/>
          <w:szCs w:val="22"/>
        </w:rPr>
        <w:t>.</w:t>
      </w:r>
    </w:p>
    <w:p w14:paraId="69252FB6" w14:textId="25027256" w:rsidR="00074F46" w:rsidRPr="009A2A39" w:rsidRDefault="00074F46" w:rsidP="00CB7E0D">
      <w:pPr>
        <w:pStyle w:val="ScheduleNumberedPara"/>
        <w:numPr>
          <w:ilvl w:val="1"/>
          <w:numId w:val="9"/>
        </w:numPr>
        <w:rPr>
          <w:sz w:val="22"/>
          <w:szCs w:val="22"/>
        </w:rPr>
      </w:pPr>
      <w:r w:rsidRPr="009A2A39">
        <w:rPr>
          <w:sz w:val="22"/>
          <w:szCs w:val="22"/>
        </w:rPr>
        <w:t xml:space="preserve">The Commonwealth will provide an estimated total financial contribution to </w:t>
      </w:r>
      <w:r w:rsidR="00553A4A" w:rsidRPr="009A2A39">
        <w:rPr>
          <w:sz w:val="22"/>
          <w:szCs w:val="22"/>
        </w:rPr>
        <w:t>South</w:t>
      </w:r>
      <w:r w:rsidR="00ED38DA" w:rsidRPr="009A2A39">
        <w:rPr>
          <w:sz w:val="22"/>
          <w:szCs w:val="22"/>
        </w:rPr>
        <w:t> </w:t>
      </w:r>
      <w:r w:rsidR="00553A4A" w:rsidRPr="009A2A39">
        <w:rPr>
          <w:sz w:val="22"/>
          <w:szCs w:val="22"/>
        </w:rPr>
        <w:t xml:space="preserve">Australia </w:t>
      </w:r>
      <w:r w:rsidRPr="009A2A39">
        <w:rPr>
          <w:sz w:val="22"/>
          <w:szCs w:val="22"/>
        </w:rPr>
        <w:t xml:space="preserve">of </w:t>
      </w:r>
      <w:r w:rsidR="00F076F1" w:rsidRPr="009A2A39">
        <w:rPr>
          <w:sz w:val="22"/>
          <w:szCs w:val="22"/>
        </w:rPr>
        <w:t xml:space="preserve">up to </w:t>
      </w:r>
      <w:r w:rsidRPr="009A2A39">
        <w:rPr>
          <w:sz w:val="22"/>
          <w:szCs w:val="22"/>
        </w:rPr>
        <w:t>$</w:t>
      </w:r>
      <w:r w:rsidR="0009494A" w:rsidRPr="009A2A39">
        <w:rPr>
          <w:sz w:val="22"/>
          <w:szCs w:val="22"/>
        </w:rPr>
        <w:t>2.</w:t>
      </w:r>
      <w:r w:rsidR="008D0EE2">
        <w:rPr>
          <w:sz w:val="22"/>
          <w:szCs w:val="22"/>
        </w:rPr>
        <w:t>50</w:t>
      </w:r>
      <w:r w:rsidRPr="009A2A39">
        <w:rPr>
          <w:sz w:val="22"/>
          <w:szCs w:val="22"/>
        </w:rPr>
        <w:t xml:space="preserve"> million in respect of this Schedule</w:t>
      </w:r>
      <w:r w:rsidR="00555CBC" w:rsidRPr="009A2A39">
        <w:rPr>
          <w:sz w:val="22"/>
          <w:szCs w:val="22"/>
        </w:rPr>
        <w:t xml:space="preserve"> as shown in Table 1</w:t>
      </w:r>
      <w:r w:rsidRPr="009A2A39">
        <w:rPr>
          <w:sz w:val="22"/>
          <w:szCs w:val="22"/>
        </w:rPr>
        <w:t>.  All payments are GST exclusive.</w:t>
      </w:r>
      <w:r w:rsidR="009E45B5" w:rsidRPr="009A2A39">
        <w:rPr>
          <w:sz w:val="22"/>
          <w:szCs w:val="22"/>
        </w:rPr>
        <w:t xml:space="preserve"> </w:t>
      </w:r>
    </w:p>
    <w:p w14:paraId="02463B88" w14:textId="3C2F7BE0" w:rsidR="00074F46" w:rsidRPr="009A2A39" w:rsidRDefault="00074F46" w:rsidP="00074F46">
      <w:pPr>
        <w:pStyle w:val="Normalnumbered"/>
        <w:numPr>
          <w:ilvl w:val="0"/>
          <w:numId w:val="0"/>
        </w:numPr>
        <w:rPr>
          <w:b/>
          <w:sz w:val="22"/>
          <w:szCs w:val="22"/>
        </w:rPr>
      </w:pPr>
      <w:r w:rsidRPr="009A2A39">
        <w:rPr>
          <w:b/>
          <w:sz w:val="22"/>
          <w:szCs w:val="22"/>
        </w:rPr>
        <w:t xml:space="preserve">Table 1: Estimated financial contributions </w:t>
      </w:r>
    </w:p>
    <w:tbl>
      <w:tblPr>
        <w:tblW w:w="0" w:type="auto"/>
        <w:tblLook w:val="01E0" w:firstRow="1" w:lastRow="1" w:firstColumn="1" w:lastColumn="1" w:noHBand="0" w:noVBand="0"/>
      </w:tblPr>
      <w:tblGrid>
        <w:gridCol w:w="4244"/>
        <w:gridCol w:w="970"/>
        <w:gridCol w:w="970"/>
        <w:gridCol w:w="1046"/>
        <w:gridCol w:w="902"/>
      </w:tblGrid>
      <w:tr w:rsidR="00B11056" w:rsidRPr="009A2A39" w14:paraId="4F6C4D92" w14:textId="77777777" w:rsidTr="00CD5B7D">
        <w:trPr>
          <w:cantSplit/>
        </w:trPr>
        <w:tc>
          <w:tcPr>
            <w:tcW w:w="4244" w:type="dxa"/>
            <w:tcBorders>
              <w:top w:val="single" w:sz="4" w:space="0" w:color="000080"/>
            </w:tcBorders>
          </w:tcPr>
          <w:p w14:paraId="057CB6B0" w14:textId="77777777" w:rsidR="00B11056" w:rsidRPr="009A2A39" w:rsidRDefault="00B11056" w:rsidP="00FA66AB">
            <w:pPr>
              <w:keepNext/>
              <w:keepLines/>
              <w:spacing w:before="40" w:after="40"/>
              <w:rPr>
                <w:rFonts w:ascii="Corbel" w:hAnsi="Corbel"/>
                <w:b/>
              </w:rPr>
            </w:pPr>
            <w:r w:rsidRPr="009A2A39">
              <w:rPr>
                <w:rFonts w:ascii="Corbel" w:hAnsi="Corbel"/>
                <w:b/>
              </w:rPr>
              <w:t>($ million)</w:t>
            </w:r>
          </w:p>
        </w:tc>
        <w:tc>
          <w:tcPr>
            <w:tcW w:w="970" w:type="dxa"/>
            <w:tcBorders>
              <w:top w:val="single" w:sz="4" w:space="0" w:color="000080"/>
              <w:bottom w:val="single" w:sz="4" w:space="0" w:color="000080"/>
            </w:tcBorders>
          </w:tcPr>
          <w:p w14:paraId="6F444E5E" w14:textId="49841DBE" w:rsidR="00B11056" w:rsidRPr="009A2A39" w:rsidRDefault="00B11056" w:rsidP="00CD647E">
            <w:pPr>
              <w:keepNext/>
              <w:keepLines/>
              <w:spacing w:before="40" w:after="40"/>
              <w:jc w:val="right"/>
              <w:rPr>
                <w:rFonts w:ascii="Corbel" w:hAnsi="Corbel"/>
              </w:rPr>
            </w:pPr>
            <w:r w:rsidRPr="009A2A39">
              <w:rPr>
                <w:rFonts w:ascii="Corbel" w:hAnsi="Corbel"/>
              </w:rPr>
              <w:t>2019-20</w:t>
            </w:r>
          </w:p>
        </w:tc>
        <w:tc>
          <w:tcPr>
            <w:tcW w:w="970" w:type="dxa"/>
            <w:tcBorders>
              <w:top w:val="single" w:sz="4" w:space="0" w:color="000080"/>
              <w:bottom w:val="single" w:sz="4" w:space="0" w:color="000080"/>
            </w:tcBorders>
          </w:tcPr>
          <w:p w14:paraId="2A7F6A41" w14:textId="6C75CF32" w:rsidR="00B11056" w:rsidRPr="009A2A39" w:rsidRDefault="00B11056" w:rsidP="00CD647E">
            <w:pPr>
              <w:keepNext/>
              <w:keepLines/>
              <w:spacing w:before="40" w:after="40"/>
              <w:jc w:val="right"/>
              <w:rPr>
                <w:rFonts w:ascii="Corbel" w:hAnsi="Corbel"/>
              </w:rPr>
            </w:pPr>
            <w:r w:rsidRPr="009A2A39">
              <w:rPr>
                <w:rFonts w:ascii="Corbel" w:hAnsi="Corbel"/>
              </w:rPr>
              <w:t>2020-21</w:t>
            </w:r>
          </w:p>
        </w:tc>
        <w:tc>
          <w:tcPr>
            <w:tcW w:w="1046" w:type="dxa"/>
            <w:tcBorders>
              <w:top w:val="single" w:sz="4" w:space="0" w:color="000080"/>
              <w:bottom w:val="single" w:sz="4" w:space="0" w:color="000080"/>
            </w:tcBorders>
          </w:tcPr>
          <w:p w14:paraId="29529BE3" w14:textId="36DB8E49" w:rsidR="00B11056" w:rsidRPr="009A2A39" w:rsidRDefault="00B11056" w:rsidP="00CD647E">
            <w:pPr>
              <w:keepNext/>
              <w:keepLines/>
              <w:spacing w:before="40" w:after="40"/>
              <w:jc w:val="right"/>
              <w:rPr>
                <w:rFonts w:ascii="Corbel" w:hAnsi="Corbel"/>
              </w:rPr>
            </w:pPr>
            <w:r>
              <w:rPr>
                <w:rFonts w:ascii="Corbel" w:hAnsi="Corbel"/>
              </w:rPr>
              <w:t>2021-22</w:t>
            </w:r>
          </w:p>
        </w:tc>
        <w:tc>
          <w:tcPr>
            <w:tcW w:w="902" w:type="dxa"/>
            <w:tcBorders>
              <w:top w:val="single" w:sz="4" w:space="0" w:color="000080"/>
              <w:bottom w:val="single" w:sz="4" w:space="0" w:color="000080"/>
            </w:tcBorders>
          </w:tcPr>
          <w:p w14:paraId="50545C78" w14:textId="4EEE5C2A" w:rsidR="00B11056" w:rsidRPr="009A2A39" w:rsidRDefault="00B11056" w:rsidP="00CD647E">
            <w:pPr>
              <w:keepNext/>
              <w:keepLines/>
              <w:spacing w:before="40" w:after="40"/>
              <w:jc w:val="right"/>
              <w:rPr>
                <w:rFonts w:ascii="Corbel" w:hAnsi="Corbel"/>
              </w:rPr>
            </w:pPr>
            <w:r w:rsidRPr="009A2A39">
              <w:rPr>
                <w:rFonts w:ascii="Corbel" w:hAnsi="Corbel"/>
              </w:rPr>
              <w:t>Total</w:t>
            </w:r>
          </w:p>
        </w:tc>
      </w:tr>
      <w:tr w:rsidR="00B11056" w:rsidRPr="009A2A39" w14:paraId="446E3A0E" w14:textId="77777777" w:rsidTr="00CD5B7D">
        <w:trPr>
          <w:cantSplit/>
        </w:trPr>
        <w:tc>
          <w:tcPr>
            <w:tcW w:w="4244" w:type="dxa"/>
          </w:tcPr>
          <w:p w14:paraId="08E8BC0D" w14:textId="77777777" w:rsidR="00B11056" w:rsidRPr="009A2A39" w:rsidRDefault="00B11056" w:rsidP="00CD647E">
            <w:pPr>
              <w:keepNext/>
              <w:keepLines/>
              <w:spacing w:before="60" w:after="60"/>
              <w:rPr>
                <w:rFonts w:ascii="Corbel" w:hAnsi="Corbel"/>
                <w:b/>
              </w:rPr>
            </w:pPr>
            <w:r w:rsidRPr="009A2A39">
              <w:rPr>
                <w:rFonts w:ascii="Corbel" w:hAnsi="Corbel"/>
                <w:b/>
              </w:rPr>
              <w:t>Estimated total budget</w:t>
            </w:r>
          </w:p>
        </w:tc>
        <w:tc>
          <w:tcPr>
            <w:tcW w:w="970" w:type="dxa"/>
            <w:tcBorders>
              <w:top w:val="single" w:sz="4" w:space="0" w:color="000080"/>
            </w:tcBorders>
          </w:tcPr>
          <w:p w14:paraId="2F30FB9E" w14:textId="2F0913C3" w:rsidR="00B11056" w:rsidRPr="009A2A39" w:rsidRDefault="00B11056" w:rsidP="00B11056">
            <w:pPr>
              <w:keepNext/>
              <w:keepLines/>
              <w:spacing w:before="40" w:after="40"/>
              <w:jc w:val="right"/>
              <w:rPr>
                <w:rFonts w:ascii="Corbel" w:hAnsi="Corbel"/>
                <w:b/>
              </w:rPr>
            </w:pPr>
            <w:r w:rsidRPr="009A2A39">
              <w:rPr>
                <w:rFonts w:ascii="Corbel" w:hAnsi="Corbel"/>
                <w:b/>
              </w:rPr>
              <w:t>0.</w:t>
            </w:r>
            <w:r>
              <w:rPr>
                <w:rFonts w:ascii="Corbel" w:hAnsi="Corbel"/>
                <w:b/>
              </w:rPr>
              <w:t>595</w:t>
            </w:r>
          </w:p>
        </w:tc>
        <w:tc>
          <w:tcPr>
            <w:tcW w:w="970" w:type="dxa"/>
            <w:tcBorders>
              <w:top w:val="single" w:sz="4" w:space="0" w:color="000080"/>
            </w:tcBorders>
          </w:tcPr>
          <w:p w14:paraId="0531AD1A" w14:textId="4CB51707" w:rsidR="00B11056" w:rsidRPr="009A2A39" w:rsidRDefault="00B11056" w:rsidP="00B11056">
            <w:pPr>
              <w:keepNext/>
              <w:keepLines/>
              <w:spacing w:before="40" w:after="40"/>
              <w:jc w:val="right"/>
              <w:rPr>
                <w:rFonts w:ascii="Corbel" w:hAnsi="Corbel"/>
                <w:b/>
              </w:rPr>
            </w:pPr>
            <w:r>
              <w:rPr>
                <w:rFonts w:ascii="Corbel" w:hAnsi="Corbel"/>
                <w:b/>
              </w:rPr>
              <w:t>0</w:t>
            </w:r>
            <w:r w:rsidRPr="009A2A39">
              <w:rPr>
                <w:rFonts w:ascii="Corbel" w:hAnsi="Corbel"/>
                <w:b/>
              </w:rPr>
              <w:t>.</w:t>
            </w:r>
            <w:r>
              <w:rPr>
                <w:rFonts w:ascii="Corbel" w:hAnsi="Corbel"/>
                <w:b/>
              </w:rPr>
              <w:t>920</w:t>
            </w:r>
          </w:p>
        </w:tc>
        <w:tc>
          <w:tcPr>
            <w:tcW w:w="1046" w:type="dxa"/>
            <w:tcBorders>
              <w:top w:val="single" w:sz="4" w:space="0" w:color="000080"/>
            </w:tcBorders>
          </w:tcPr>
          <w:p w14:paraId="030A7EC3" w14:textId="7DAB2523" w:rsidR="00B11056" w:rsidRPr="009A2A39" w:rsidRDefault="00B11056" w:rsidP="0009494A">
            <w:pPr>
              <w:keepNext/>
              <w:keepLines/>
              <w:spacing w:before="40" w:after="40"/>
              <w:jc w:val="right"/>
              <w:rPr>
                <w:rFonts w:ascii="Corbel" w:hAnsi="Corbel"/>
                <w:b/>
              </w:rPr>
            </w:pPr>
            <w:r>
              <w:rPr>
                <w:rFonts w:ascii="Corbel" w:hAnsi="Corbel"/>
                <w:b/>
              </w:rPr>
              <w:t>0.985</w:t>
            </w:r>
          </w:p>
        </w:tc>
        <w:tc>
          <w:tcPr>
            <w:tcW w:w="902" w:type="dxa"/>
            <w:tcBorders>
              <w:top w:val="single" w:sz="4" w:space="0" w:color="000080"/>
            </w:tcBorders>
          </w:tcPr>
          <w:p w14:paraId="385C351C" w14:textId="5A414714" w:rsidR="00B11056" w:rsidRPr="009A2A39" w:rsidRDefault="00B11056" w:rsidP="0009494A">
            <w:pPr>
              <w:keepNext/>
              <w:keepLines/>
              <w:spacing w:before="40" w:after="40"/>
              <w:jc w:val="right"/>
              <w:rPr>
                <w:rFonts w:ascii="Corbel" w:hAnsi="Corbel"/>
                <w:b/>
              </w:rPr>
            </w:pPr>
            <w:r w:rsidRPr="009A2A39">
              <w:rPr>
                <w:rFonts w:ascii="Corbel" w:hAnsi="Corbel"/>
                <w:b/>
              </w:rPr>
              <w:t>2.</w:t>
            </w:r>
            <w:r>
              <w:rPr>
                <w:rFonts w:ascii="Corbel" w:hAnsi="Corbel"/>
                <w:b/>
              </w:rPr>
              <w:t>50</w:t>
            </w:r>
          </w:p>
        </w:tc>
      </w:tr>
      <w:tr w:rsidR="00B11056" w:rsidRPr="009A2A39" w14:paraId="4EC2861B" w14:textId="77777777" w:rsidTr="00CD5B7D">
        <w:trPr>
          <w:cantSplit/>
        </w:trPr>
        <w:tc>
          <w:tcPr>
            <w:tcW w:w="4244" w:type="dxa"/>
          </w:tcPr>
          <w:p w14:paraId="53B5FE7B" w14:textId="77777777" w:rsidR="00B11056" w:rsidRPr="009A2A39" w:rsidRDefault="00B11056" w:rsidP="00CD647E">
            <w:pPr>
              <w:keepNext/>
              <w:keepLines/>
              <w:spacing w:before="60" w:after="60"/>
              <w:rPr>
                <w:rFonts w:ascii="Corbel" w:hAnsi="Corbel"/>
              </w:rPr>
            </w:pPr>
            <w:r w:rsidRPr="009A2A39">
              <w:rPr>
                <w:rFonts w:ascii="Corbel" w:hAnsi="Corbel"/>
              </w:rPr>
              <w:t>Less estimated National Partnership Payments</w:t>
            </w:r>
          </w:p>
        </w:tc>
        <w:tc>
          <w:tcPr>
            <w:tcW w:w="970" w:type="dxa"/>
            <w:tcBorders>
              <w:bottom w:val="single" w:sz="4" w:space="0" w:color="000080"/>
            </w:tcBorders>
          </w:tcPr>
          <w:p w14:paraId="338CD15C" w14:textId="52CE24CE" w:rsidR="00B11056" w:rsidRPr="009A2A39" w:rsidRDefault="00B11056" w:rsidP="00B11056">
            <w:pPr>
              <w:keepNext/>
              <w:keepLines/>
              <w:spacing w:before="40" w:after="40"/>
              <w:jc w:val="right"/>
              <w:rPr>
                <w:rFonts w:ascii="Corbel" w:hAnsi="Corbel"/>
              </w:rPr>
            </w:pPr>
            <w:r w:rsidRPr="009A2A39">
              <w:rPr>
                <w:rFonts w:ascii="Corbel" w:hAnsi="Corbel"/>
              </w:rPr>
              <w:t>0.</w:t>
            </w:r>
            <w:r>
              <w:rPr>
                <w:rFonts w:ascii="Corbel" w:hAnsi="Corbel"/>
              </w:rPr>
              <w:t>595</w:t>
            </w:r>
          </w:p>
        </w:tc>
        <w:tc>
          <w:tcPr>
            <w:tcW w:w="970" w:type="dxa"/>
            <w:tcBorders>
              <w:bottom w:val="single" w:sz="4" w:space="0" w:color="000080"/>
            </w:tcBorders>
          </w:tcPr>
          <w:p w14:paraId="3C488ACB" w14:textId="1BA397E8" w:rsidR="00B11056" w:rsidRPr="009A2A39" w:rsidRDefault="00B11056" w:rsidP="00B11056">
            <w:pPr>
              <w:keepNext/>
              <w:keepLines/>
              <w:spacing w:before="40" w:after="40"/>
              <w:jc w:val="right"/>
              <w:rPr>
                <w:rFonts w:ascii="Corbel" w:hAnsi="Corbel"/>
              </w:rPr>
            </w:pPr>
            <w:r>
              <w:rPr>
                <w:rFonts w:ascii="Corbel" w:hAnsi="Corbel"/>
              </w:rPr>
              <w:t>0</w:t>
            </w:r>
            <w:r w:rsidRPr="009A2A39">
              <w:rPr>
                <w:rFonts w:ascii="Corbel" w:hAnsi="Corbel"/>
              </w:rPr>
              <w:t>.</w:t>
            </w:r>
            <w:r>
              <w:rPr>
                <w:rFonts w:ascii="Corbel" w:hAnsi="Corbel"/>
              </w:rPr>
              <w:t>920</w:t>
            </w:r>
          </w:p>
        </w:tc>
        <w:tc>
          <w:tcPr>
            <w:tcW w:w="1046" w:type="dxa"/>
            <w:tcBorders>
              <w:bottom w:val="single" w:sz="4" w:space="0" w:color="000080"/>
            </w:tcBorders>
          </w:tcPr>
          <w:p w14:paraId="5736F83F" w14:textId="29BC9AA4" w:rsidR="00B11056" w:rsidRPr="009A2A39" w:rsidRDefault="00B11056" w:rsidP="00CD647E">
            <w:pPr>
              <w:keepNext/>
              <w:keepLines/>
              <w:spacing w:before="40" w:after="40"/>
              <w:jc w:val="right"/>
              <w:rPr>
                <w:rFonts w:ascii="Corbel" w:hAnsi="Corbel"/>
              </w:rPr>
            </w:pPr>
            <w:r>
              <w:rPr>
                <w:rFonts w:ascii="Corbel" w:hAnsi="Corbel"/>
              </w:rPr>
              <w:t>0.985</w:t>
            </w:r>
          </w:p>
        </w:tc>
        <w:tc>
          <w:tcPr>
            <w:tcW w:w="902" w:type="dxa"/>
            <w:tcBorders>
              <w:bottom w:val="single" w:sz="4" w:space="0" w:color="000080"/>
            </w:tcBorders>
          </w:tcPr>
          <w:p w14:paraId="3C381676" w14:textId="6E0752D4" w:rsidR="00B11056" w:rsidRPr="009A2A39" w:rsidRDefault="00B11056" w:rsidP="00CD647E">
            <w:pPr>
              <w:keepNext/>
              <w:keepLines/>
              <w:spacing w:before="40" w:after="40"/>
              <w:jc w:val="right"/>
              <w:rPr>
                <w:rFonts w:ascii="Corbel" w:hAnsi="Corbel"/>
              </w:rPr>
            </w:pPr>
            <w:r w:rsidRPr="009A2A39">
              <w:rPr>
                <w:rFonts w:ascii="Corbel" w:hAnsi="Corbel"/>
              </w:rPr>
              <w:t>2.</w:t>
            </w:r>
            <w:r>
              <w:rPr>
                <w:rFonts w:ascii="Corbel" w:hAnsi="Corbel"/>
              </w:rPr>
              <w:t>50</w:t>
            </w:r>
          </w:p>
        </w:tc>
      </w:tr>
      <w:tr w:rsidR="00B11056" w:rsidRPr="009A2A39" w14:paraId="5679ADDE" w14:textId="77777777" w:rsidTr="00CD5B7D">
        <w:trPr>
          <w:cantSplit/>
        </w:trPr>
        <w:tc>
          <w:tcPr>
            <w:tcW w:w="4244" w:type="dxa"/>
            <w:tcBorders>
              <w:bottom w:val="single" w:sz="4" w:space="0" w:color="000080"/>
            </w:tcBorders>
          </w:tcPr>
          <w:p w14:paraId="179FA077" w14:textId="77777777" w:rsidR="00B11056" w:rsidRPr="009A2A39" w:rsidRDefault="00B11056" w:rsidP="00CD647E">
            <w:pPr>
              <w:keepNext/>
              <w:keepLines/>
              <w:spacing w:before="40" w:after="40"/>
              <w:rPr>
                <w:rFonts w:ascii="Corbel" w:hAnsi="Corbel"/>
              </w:rPr>
            </w:pPr>
            <w:r w:rsidRPr="009A2A39">
              <w:rPr>
                <w:rFonts w:ascii="Corbel" w:hAnsi="Corbel"/>
              </w:rPr>
              <w:t>Balance of non-Commonwealth contributions</w:t>
            </w:r>
          </w:p>
        </w:tc>
        <w:tc>
          <w:tcPr>
            <w:tcW w:w="970" w:type="dxa"/>
            <w:tcBorders>
              <w:bottom w:val="single" w:sz="4" w:space="0" w:color="000080"/>
            </w:tcBorders>
          </w:tcPr>
          <w:p w14:paraId="4203C383"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970" w:type="dxa"/>
            <w:tcBorders>
              <w:bottom w:val="single" w:sz="4" w:space="0" w:color="000080"/>
            </w:tcBorders>
          </w:tcPr>
          <w:p w14:paraId="25706084"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1046" w:type="dxa"/>
            <w:tcBorders>
              <w:bottom w:val="single" w:sz="4" w:space="0" w:color="000080"/>
            </w:tcBorders>
          </w:tcPr>
          <w:p w14:paraId="57E3123A" w14:textId="28DF8FE2" w:rsidR="00B11056" w:rsidRPr="009A2A39" w:rsidRDefault="00CD5B7D" w:rsidP="00CD647E">
            <w:pPr>
              <w:keepNext/>
              <w:keepLines/>
              <w:spacing w:before="40" w:after="40"/>
              <w:jc w:val="right"/>
              <w:rPr>
                <w:rFonts w:ascii="Corbel" w:hAnsi="Corbel"/>
              </w:rPr>
            </w:pPr>
            <w:r>
              <w:rPr>
                <w:rFonts w:ascii="Corbel" w:hAnsi="Corbel"/>
              </w:rPr>
              <w:t>0.00</w:t>
            </w:r>
          </w:p>
        </w:tc>
        <w:tc>
          <w:tcPr>
            <w:tcW w:w="902" w:type="dxa"/>
            <w:tcBorders>
              <w:bottom w:val="single" w:sz="4" w:space="0" w:color="000080"/>
            </w:tcBorders>
          </w:tcPr>
          <w:p w14:paraId="49A83EAF" w14:textId="72DE5EAD" w:rsidR="00B11056" w:rsidRPr="009A2A39" w:rsidRDefault="00B11056" w:rsidP="00CD647E">
            <w:pPr>
              <w:keepNext/>
              <w:keepLines/>
              <w:spacing w:before="40" w:after="40"/>
              <w:jc w:val="right"/>
              <w:rPr>
                <w:rFonts w:ascii="Corbel" w:hAnsi="Corbel"/>
              </w:rPr>
            </w:pPr>
            <w:r w:rsidRPr="009A2A39">
              <w:rPr>
                <w:rFonts w:ascii="Corbel" w:hAnsi="Corbel"/>
              </w:rPr>
              <w:t>0.0</w:t>
            </w:r>
          </w:p>
        </w:tc>
      </w:tr>
    </w:tbl>
    <w:p w14:paraId="151005E0" w14:textId="2A4092CE" w:rsidR="00074F46" w:rsidRPr="009A2A39" w:rsidRDefault="00074F46" w:rsidP="008E0356">
      <w:pPr>
        <w:pStyle w:val="ChartandTableFootnoteAlpha"/>
        <w:numPr>
          <w:ilvl w:val="0"/>
          <w:numId w:val="0"/>
        </w:numPr>
        <w:spacing w:after="240"/>
        <w:ind w:left="283" w:hanging="283"/>
        <w:rPr>
          <w:rFonts w:ascii="Corbel" w:hAnsi="Corbel"/>
          <w:sz w:val="22"/>
          <w:szCs w:val="22"/>
        </w:rPr>
      </w:pPr>
    </w:p>
    <w:p w14:paraId="75B37F94" w14:textId="709527D3" w:rsidR="000A6B3D" w:rsidRPr="009A2A39" w:rsidRDefault="00786173" w:rsidP="00CB7E0D">
      <w:pPr>
        <w:pStyle w:val="ScheduleNumberedPara"/>
        <w:numPr>
          <w:ilvl w:val="1"/>
          <w:numId w:val="9"/>
        </w:numPr>
        <w:rPr>
          <w:sz w:val="22"/>
          <w:szCs w:val="22"/>
        </w:rPr>
      </w:pPr>
      <w:r w:rsidRPr="009A2A39">
        <w:rPr>
          <w:sz w:val="22"/>
          <w:szCs w:val="22"/>
        </w:rPr>
        <w:t>T</w:t>
      </w:r>
      <w:r w:rsidR="008950A1" w:rsidRPr="009A2A39">
        <w:rPr>
          <w:sz w:val="22"/>
          <w:szCs w:val="22"/>
        </w:rPr>
        <w:t xml:space="preserve">he </w:t>
      </w:r>
      <w:r w:rsidR="001647A0" w:rsidRPr="009A2A39">
        <w:rPr>
          <w:sz w:val="22"/>
          <w:szCs w:val="22"/>
        </w:rPr>
        <w:t xml:space="preserve">Stage 1 </w:t>
      </w:r>
      <w:r w:rsidR="008950A1" w:rsidRPr="009A2A39">
        <w:rPr>
          <w:sz w:val="22"/>
          <w:szCs w:val="22"/>
        </w:rPr>
        <w:t xml:space="preserve">activities </w:t>
      </w:r>
      <w:r w:rsidR="00017DC3" w:rsidRPr="009A2A39">
        <w:rPr>
          <w:sz w:val="22"/>
          <w:szCs w:val="22"/>
        </w:rPr>
        <w:t xml:space="preserve">or outputs </w:t>
      </w:r>
      <w:r w:rsidR="00DC1F4B" w:rsidRPr="009A2A39">
        <w:rPr>
          <w:sz w:val="22"/>
          <w:szCs w:val="22"/>
        </w:rPr>
        <w:t>to</w:t>
      </w:r>
      <w:r w:rsidR="008950A1" w:rsidRPr="009A2A39">
        <w:rPr>
          <w:sz w:val="22"/>
          <w:szCs w:val="22"/>
        </w:rPr>
        <w:t xml:space="preserve"> be delivered by </w:t>
      </w:r>
      <w:r w:rsidR="00553A4A" w:rsidRPr="009A2A39">
        <w:rPr>
          <w:sz w:val="22"/>
          <w:szCs w:val="22"/>
        </w:rPr>
        <w:t>South Australia</w:t>
      </w:r>
      <w:r w:rsidR="00DC1F4B" w:rsidRPr="009A2A39">
        <w:rPr>
          <w:sz w:val="22"/>
          <w:szCs w:val="22"/>
        </w:rPr>
        <w:t xml:space="preserve"> are </w:t>
      </w:r>
      <w:r w:rsidR="000A6B3D" w:rsidRPr="009A2A39">
        <w:rPr>
          <w:sz w:val="22"/>
          <w:szCs w:val="22"/>
        </w:rPr>
        <w:t>outlined below</w:t>
      </w:r>
      <w:r w:rsidR="00283683" w:rsidRPr="009A2A39">
        <w:rPr>
          <w:sz w:val="22"/>
          <w:szCs w:val="22"/>
        </w:rPr>
        <w:t>:</w:t>
      </w:r>
    </w:p>
    <w:p w14:paraId="66367DC0" w14:textId="7C99215D" w:rsidR="00057B78" w:rsidRPr="009A2A39" w:rsidRDefault="00057B78" w:rsidP="004E4379">
      <w:pPr>
        <w:pStyle w:val="ScheduleNumberedPara"/>
        <w:numPr>
          <w:ilvl w:val="2"/>
          <w:numId w:val="9"/>
        </w:numPr>
        <w:tabs>
          <w:tab w:val="clear" w:pos="1593"/>
          <w:tab w:val="num" w:pos="1134"/>
        </w:tabs>
        <w:ind w:left="1134" w:hanging="567"/>
        <w:rPr>
          <w:sz w:val="22"/>
          <w:szCs w:val="22"/>
        </w:rPr>
      </w:pPr>
      <w:r w:rsidRPr="009A2A39">
        <w:rPr>
          <w:sz w:val="22"/>
          <w:szCs w:val="22"/>
        </w:rPr>
        <w:t>Establishmen</w:t>
      </w:r>
      <w:r w:rsidR="00C3353D" w:rsidRPr="009A2A39">
        <w:rPr>
          <w:sz w:val="22"/>
          <w:szCs w:val="22"/>
        </w:rPr>
        <w:t xml:space="preserve">t of project </w:t>
      </w:r>
      <w:r w:rsidRPr="009A2A39">
        <w:rPr>
          <w:sz w:val="22"/>
          <w:szCs w:val="22"/>
        </w:rPr>
        <w:t xml:space="preserve">governance </w:t>
      </w:r>
      <w:r w:rsidR="00C3353D" w:rsidRPr="009A2A39">
        <w:rPr>
          <w:sz w:val="22"/>
          <w:szCs w:val="22"/>
        </w:rPr>
        <w:t xml:space="preserve">and implementation </w:t>
      </w:r>
      <w:r w:rsidRPr="009A2A39">
        <w:rPr>
          <w:sz w:val="22"/>
          <w:szCs w:val="22"/>
        </w:rPr>
        <w:t>arrangements. The activities to be delivered include:</w:t>
      </w:r>
    </w:p>
    <w:p w14:paraId="53830956" w14:textId="2DD4C74C" w:rsidR="00057B78" w:rsidRPr="009A2A39" w:rsidRDefault="00057B78" w:rsidP="00660904">
      <w:pPr>
        <w:pStyle w:val="ScheduleNumberedPara"/>
        <w:numPr>
          <w:ilvl w:val="3"/>
          <w:numId w:val="9"/>
        </w:numPr>
        <w:tabs>
          <w:tab w:val="clear" w:pos="1778"/>
          <w:tab w:val="num" w:pos="1843"/>
        </w:tabs>
        <w:ind w:left="1843" w:hanging="567"/>
        <w:rPr>
          <w:sz w:val="22"/>
          <w:szCs w:val="22"/>
        </w:rPr>
      </w:pPr>
      <w:r w:rsidRPr="009A2A39">
        <w:rPr>
          <w:sz w:val="22"/>
          <w:szCs w:val="22"/>
        </w:rPr>
        <w:t>Establishment o</w:t>
      </w:r>
      <w:r w:rsidR="00C3353D" w:rsidRPr="009A2A39">
        <w:rPr>
          <w:sz w:val="22"/>
          <w:szCs w:val="22"/>
        </w:rPr>
        <w:t xml:space="preserve">f project governance </w:t>
      </w:r>
      <w:r w:rsidR="00F4253F" w:rsidRPr="009A2A39">
        <w:rPr>
          <w:sz w:val="22"/>
          <w:szCs w:val="22"/>
        </w:rPr>
        <w:t xml:space="preserve">arrangements </w:t>
      </w:r>
      <w:r w:rsidR="00C3353D" w:rsidRPr="009A2A39">
        <w:rPr>
          <w:sz w:val="22"/>
          <w:szCs w:val="22"/>
        </w:rPr>
        <w:t>and project team</w:t>
      </w:r>
      <w:r w:rsidR="00321B4B" w:rsidRPr="009A2A39">
        <w:rPr>
          <w:sz w:val="22"/>
          <w:szCs w:val="22"/>
        </w:rPr>
        <w:t xml:space="preserve">; </w:t>
      </w:r>
    </w:p>
    <w:p w14:paraId="03D0054A" w14:textId="0CED501A" w:rsidR="00057B78" w:rsidRPr="009A2A39" w:rsidRDefault="00483B49" w:rsidP="00660904">
      <w:pPr>
        <w:pStyle w:val="ScheduleNumberedPara"/>
        <w:numPr>
          <w:ilvl w:val="3"/>
          <w:numId w:val="9"/>
        </w:numPr>
        <w:tabs>
          <w:tab w:val="num" w:pos="1843"/>
        </w:tabs>
        <w:ind w:left="1843" w:hanging="567"/>
        <w:rPr>
          <w:sz w:val="22"/>
          <w:szCs w:val="22"/>
        </w:rPr>
      </w:pPr>
      <w:r w:rsidRPr="009A2A39">
        <w:rPr>
          <w:sz w:val="22"/>
          <w:szCs w:val="22"/>
        </w:rPr>
        <w:t xml:space="preserve">Completion of </w:t>
      </w:r>
      <w:r w:rsidR="009A2A39">
        <w:rPr>
          <w:sz w:val="22"/>
          <w:szCs w:val="22"/>
        </w:rPr>
        <w:t>a p</w:t>
      </w:r>
      <w:r w:rsidR="00C3353D" w:rsidRPr="009A2A39">
        <w:rPr>
          <w:sz w:val="22"/>
          <w:szCs w:val="22"/>
        </w:rPr>
        <w:t xml:space="preserve">roject </w:t>
      </w:r>
      <w:r w:rsidR="00057B78" w:rsidRPr="009A2A39">
        <w:rPr>
          <w:sz w:val="22"/>
          <w:szCs w:val="22"/>
        </w:rPr>
        <w:t>plan</w:t>
      </w:r>
      <w:r w:rsidR="00B74BCB" w:rsidRPr="009A2A39">
        <w:rPr>
          <w:sz w:val="22"/>
          <w:szCs w:val="22"/>
        </w:rPr>
        <w:t xml:space="preserve"> to guide the delivery of Stage 1 activities and outputs</w:t>
      </w:r>
      <w:r w:rsidR="00321B4B" w:rsidRPr="009A2A39">
        <w:rPr>
          <w:sz w:val="22"/>
          <w:szCs w:val="22"/>
        </w:rPr>
        <w:t>; and</w:t>
      </w:r>
    </w:p>
    <w:p w14:paraId="7C90C9F6" w14:textId="59320F61" w:rsidR="00CC32EA" w:rsidRPr="009A2A39" w:rsidRDefault="00483B49" w:rsidP="00660904">
      <w:pPr>
        <w:pStyle w:val="ScheduleNumberedPara"/>
        <w:numPr>
          <w:ilvl w:val="3"/>
          <w:numId w:val="9"/>
        </w:numPr>
        <w:tabs>
          <w:tab w:val="num" w:pos="1843"/>
        </w:tabs>
        <w:ind w:left="1843" w:hanging="567"/>
        <w:rPr>
          <w:sz w:val="22"/>
          <w:szCs w:val="22"/>
        </w:rPr>
      </w:pPr>
      <w:r w:rsidRPr="009A2A39">
        <w:rPr>
          <w:sz w:val="22"/>
          <w:szCs w:val="22"/>
        </w:rPr>
        <w:t xml:space="preserve">Completion of </w:t>
      </w:r>
      <w:r w:rsidR="00321B4B" w:rsidRPr="009A2A39">
        <w:rPr>
          <w:sz w:val="22"/>
          <w:szCs w:val="22"/>
        </w:rPr>
        <w:t>Stage 2 implementation proposal</w:t>
      </w:r>
      <w:r w:rsidR="00CC32EA" w:rsidRPr="009A2A39">
        <w:rPr>
          <w:sz w:val="22"/>
          <w:szCs w:val="22"/>
        </w:rPr>
        <w:t xml:space="preserve"> including, but not limited to the following information:</w:t>
      </w:r>
    </w:p>
    <w:p w14:paraId="2BE9F992" w14:textId="5CAD9A93" w:rsidR="00283683"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lastRenderedPageBreak/>
        <w:t xml:space="preserve">Confirmation </w:t>
      </w:r>
      <w:r w:rsidR="00283683" w:rsidRPr="009A2A39">
        <w:rPr>
          <w:sz w:val="22"/>
          <w:szCs w:val="22"/>
        </w:rPr>
        <w:t>of the submission of the measure</w:t>
      </w:r>
      <w:r w:rsidR="006862A6" w:rsidRPr="009A2A39">
        <w:rPr>
          <w:sz w:val="22"/>
          <w:szCs w:val="22"/>
        </w:rPr>
        <w:t xml:space="preserve"> t</w:t>
      </w:r>
      <w:r w:rsidRPr="009A2A39">
        <w:rPr>
          <w:sz w:val="22"/>
          <w:szCs w:val="22"/>
        </w:rPr>
        <w:t xml:space="preserve">o the </w:t>
      </w:r>
      <w:r w:rsidR="00283683" w:rsidRPr="009A2A39">
        <w:rPr>
          <w:sz w:val="22"/>
          <w:szCs w:val="22"/>
        </w:rPr>
        <w:t>Commonwealth</w:t>
      </w:r>
      <w:r w:rsidR="009A2A39">
        <w:rPr>
          <w:sz w:val="22"/>
          <w:szCs w:val="22"/>
        </w:rPr>
        <w:t xml:space="preserve"> for</w:t>
      </w:r>
      <w:r w:rsidR="006862A6" w:rsidRPr="009A2A39">
        <w:rPr>
          <w:sz w:val="22"/>
          <w:szCs w:val="22"/>
        </w:rPr>
        <w:t xml:space="preserve"> </w:t>
      </w:r>
      <w:r w:rsidRPr="009A2A39">
        <w:rPr>
          <w:sz w:val="22"/>
          <w:szCs w:val="22"/>
        </w:rPr>
        <w:t xml:space="preserve">gateway </w:t>
      </w:r>
      <w:r w:rsidR="00B74BCB" w:rsidRPr="009A2A39">
        <w:rPr>
          <w:sz w:val="22"/>
          <w:szCs w:val="22"/>
        </w:rPr>
        <w:t>assessment</w:t>
      </w:r>
      <w:r w:rsidRPr="009A2A39">
        <w:rPr>
          <w:sz w:val="22"/>
          <w:szCs w:val="22"/>
        </w:rPr>
        <w:t>;</w:t>
      </w:r>
    </w:p>
    <w:p w14:paraId="4470DA61" w14:textId="2A018E05" w:rsidR="00321B4B"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t xml:space="preserve">Stage 2 cost estimate for the measure; </w:t>
      </w:r>
    </w:p>
    <w:p w14:paraId="36C9F024" w14:textId="0B0FD591" w:rsidR="00CC32EA"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t>Evidence to demonstrate resolution</w:t>
      </w:r>
      <w:r w:rsidR="00283683" w:rsidRPr="009A2A39">
        <w:rPr>
          <w:sz w:val="22"/>
          <w:szCs w:val="22"/>
        </w:rPr>
        <w:t>,</w:t>
      </w:r>
      <w:r w:rsidRPr="009A2A39">
        <w:rPr>
          <w:sz w:val="22"/>
          <w:szCs w:val="22"/>
        </w:rPr>
        <w:t xml:space="preserve"> or a strategy to resolve all pos</w:t>
      </w:r>
      <w:r w:rsidR="00283683" w:rsidRPr="009A2A39">
        <w:rPr>
          <w:sz w:val="22"/>
          <w:szCs w:val="22"/>
        </w:rPr>
        <w:t>t-Phase 2</w:t>
      </w:r>
      <w:r w:rsidR="009A2A39">
        <w:rPr>
          <w:sz w:val="22"/>
          <w:szCs w:val="22"/>
        </w:rPr>
        <w:t xml:space="preserve"> assessment</w:t>
      </w:r>
      <w:r w:rsidR="00283683" w:rsidRPr="009A2A39">
        <w:rPr>
          <w:sz w:val="22"/>
          <w:szCs w:val="22"/>
        </w:rPr>
        <w:t xml:space="preserve"> issues for the measure</w:t>
      </w:r>
      <w:r w:rsidR="00780DC8" w:rsidRPr="009A2A39">
        <w:rPr>
          <w:sz w:val="22"/>
          <w:szCs w:val="22"/>
        </w:rPr>
        <w:t>; and</w:t>
      </w:r>
    </w:p>
    <w:p w14:paraId="6C0A6014" w14:textId="16AF86C5" w:rsidR="00780DC8"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t>Arrangements for the ongoing ownership and responsibility for the operations and maintenance costs of the measure.</w:t>
      </w:r>
    </w:p>
    <w:p w14:paraId="63EA5BE2" w14:textId="55DDBC87" w:rsidR="00553A4A" w:rsidRPr="009A2A39" w:rsidRDefault="009D711F" w:rsidP="004E4379">
      <w:pPr>
        <w:pStyle w:val="ScheduleNumberedPara"/>
        <w:numPr>
          <w:ilvl w:val="2"/>
          <w:numId w:val="9"/>
        </w:numPr>
        <w:tabs>
          <w:tab w:val="clear" w:pos="1593"/>
          <w:tab w:val="num" w:pos="1134"/>
        </w:tabs>
        <w:ind w:left="1134" w:hanging="567"/>
        <w:rPr>
          <w:sz w:val="22"/>
          <w:szCs w:val="22"/>
        </w:rPr>
      </w:pPr>
      <w:r w:rsidRPr="009A2A39">
        <w:rPr>
          <w:sz w:val="22"/>
          <w:szCs w:val="22"/>
        </w:rPr>
        <w:t xml:space="preserve">Preliminary concept </w:t>
      </w:r>
      <w:r w:rsidR="00283683" w:rsidRPr="009A2A39">
        <w:rPr>
          <w:sz w:val="22"/>
          <w:szCs w:val="22"/>
        </w:rPr>
        <w:t>designs for the</w:t>
      </w:r>
      <w:r w:rsidR="00F4253F" w:rsidRPr="009A2A39">
        <w:rPr>
          <w:sz w:val="22"/>
          <w:szCs w:val="22"/>
        </w:rPr>
        <w:t xml:space="preserve"> South Australian Murray Key Focus Area Constraints Measure</w:t>
      </w:r>
      <w:r w:rsidR="00283683" w:rsidRPr="009A2A39">
        <w:rPr>
          <w:sz w:val="22"/>
          <w:szCs w:val="22"/>
        </w:rPr>
        <w:t xml:space="preserve"> </w:t>
      </w:r>
      <w:r w:rsidR="00F4253F" w:rsidRPr="009A2A39">
        <w:rPr>
          <w:sz w:val="22"/>
          <w:szCs w:val="22"/>
        </w:rPr>
        <w:t>(</w:t>
      </w:r>
      <w:r w:rsidRPr="009A2A39">
        <w:rPr>
          <w:sz w:val="22"/>
          <w:szCs w:val="22"/>
        </w:rPr>
        <w:t>South Australia</w:t>
      </w:r>
      <w:r w:rsidR="00F4253F" w:rsidRPr="009A2A39">
        <w:rPr>
          <w:sz w:val="22"/>
          <w:szCs w:val="22"/>
        </w:rPr>
        <w:t>n</w:t>
      </w:r>
      <w:r w:rsidRPr="009A2A39">
        <w:rPr>
          <w:sz w:val="22"/>
          <w:szCs w:val="22"/>
        </w:rPr>
        <w:t xml:space="preserve"> </w:t>
      </w:r>
      <w:r w:rsidR="00283683" w:rsidRPr="009A2A39">
        <w:rPr>
          <w:sz w:val="22"/>
          <w:szCs w:val="22"/>
        </w:rPr>
        <w:t>Murray c</w:t>
      </w:r>
      <w:r w:rsidRPr="009A2A39">
        <w:rPr>
          <w:sz w:val="22"/>
          <w:szCs w:val="22"/>
        </w:rPr>
        <w:t>onstraints measure</w:t>
      </w:r>
      <w:r w:rsidR="00F4253F" w:rsidRPr="009A2A39">
        <w:rPr>
          <w:sz w:val="22"/>
          <w:szCs w:val="22"/>
        </w:rPr>
        <w:t>)</w:t>
      </w:r>
      <w:r w:rsidR="00A36DA5" w:rsidRPr="009A2A39">
        <w:rPr>
          <w:sz w:val="22"/>
          <w:szCs w:val="22"/>
        </w:rPr>
        <w:t xml:space="preserve">. </w:t>
      </w:r>
      <w:r w:rsidRPr="009A2A39">
        <w:rPr>
          <w:sz w:val="22"/>
          <w:szCs w:val="22"/>
        </w:rPr>
        <w:t>The activities to be delivered include:</w:t>
      </w:r>
    </w:p>
    <w:p w14:paraId="6D27FA3A" w14:textId="598F58AE"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Inundation assessment;</w:t>
      </w:r>
    </w:p>
    <w:p w14:paraId="140EC8B6" w14:textId="4852941C"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 xml:space="preserve">State </w:t>
      </w:r>
      <w:r w:rsidR="00DE5984" w:rsidRPr="009A2A39">
        <w:rPr>
          <w:sz w:val="22"/>
          <w:szCs w:val="22"/>
        </w:rPr>
        <w:t xml:space="preserve">policy and legislation </w:t>
      </w:r>
      <w:r w:rsidR="00C3353D" w:rsidRPr="009A2A39">
        <w:rPr>
          <w:sz w:val="22"/>
          <w:szCs w:val="22"/>
        </w:rPr>
        <w:t xml:space="preserve">position </w:t>
      </w:r>
      <w:r w:rsidR="00DE5984" w:rsidRPr="009A2A39">
        <w:rPr>
          <w:sz w:val="22"/>
          <w:szCs w:val="22"/>
        </w:rPr>
        <w:t>paper</w:t>
      </w:r>
      <w:r w:rsidRPr="009A2A39">
        <w:rPr>
          <w:sz w:val="22"/>
          <w:szCs w:val="22"/>
        </w:rPr>
        <w:t xml:space="preserve"> to guide implementa</w:t>
      </w:r>
      <w:r w:rsidR="00DE5984" w:rsidRPr="009A2A39">
        <w:rPr>
          <w:sz w:val="22"/>
          <w:szCs w:val="22"/>
        </w:rPr>
        <w:t>tion of mitigation measures</w:t>
      </w:r>
      <w:r w:rsidR="003460CF" w:rsidRPr="009A2A39">
        <w:rPr>
          <w:sz w:val="22"/>
          <w:szCs w:val="22"/>
        </w:rPr>
        <w:t xml:space="preserve"> for private and public land</w:t>
      </w:r>
      <w:r w:rsidR="009A2A39">
        <w:rPr>
          <w:sz w:val="22"/>
          <w:szCs w:val="22"/>
        </w:rPr>
        <w:t xml:space="preserve">, </w:t>
      </w:r>
      <w:r w:rsidR="003460CF" w:rsidRPr="009A2A39">
        <w:rPr>
          <w:sz w:val="22"/>
          <w:szCs w:val="22"/>
        </w:rPr>
        <w:t>infrastructure works and stakeholder agreements</w:t>
      </w:r>
      <w:r w:rsidR="00DE5984" w:rsidRPr="009A2A39">
        <w:rPr>
          <w:sz w:val="22"/>
          <w:szCs w:val="22"/>
        </w:rPr>
        <w:t xml:space="preserve">; </w:t>
      </w:r>
    </w:p>
    <w:p w14:paraId="4CDFF7EA" w14:textId="686734B1" w:rsidR="009D711F" w:rsidRPr="009A2A39" w:rsidRDefault="009D711F" w:rsidP="00660904">
      <w:pPr>
        <w:pStyle w:val="ScheduleNumberedPara"/>
        <w:numPr>
          <w:ilvl w:val="3"/>
          <w:numId w:val="9"/>
        </w:numPr>
        <w:tabs>
          <w:tab w:val="clear" w:pos="1778"/>
        </w:tabs>
        <w:ind w:left="1843" w:hanging="567"/>
        <w:rPr>
          <w:sz w:val="22"/>
          <w:szCs w:val="22"/>
        </w:rPr>
      </w:pPr>
      <w:r w:rsidRPr="009A2A39">
        <w:rPr>
          <w:sz w:val="22"/>
          <w:szCs w:val="22"/>
        </w:rPr>
        <w:t>Summary of statutory approvals processes that need to be obtained t</w:t>
      </w:r>
      <w:r w:rsidR="00DE5984" w:rsidRPr="009A2A39">
        <w:rPr>
          <w:sz w:val="22"/>
          <w:szCs w:val="22"/>
        </w:rPr>
        <w:t xml:space="preserve">o implement </w:t>
      </w:r>
      <w:r w:rsidR="00283683" w:rsidRPr="009A2A39">
        <w:rPr>
          <w:sz w:val="22"/>
          <w:szCs w:val="22"/>
        </w:rPr>
        <w:t>the measure</w:t>
      </w:r>
      <w:r w:rsidR="00DE5984" w:rsidRPr="009A2A39">
        <w:rPr>
          <w:sz w:val="22"/>
          <w:szCs w:val="22"/>
        </w:rPr>
        <w:t>;</w:t>
      </w:r>
      <w:r w:rsidR="00C3353D" w:rsidRPr="009A2A39">
        <w:rPr>
          <w:sz w:val="22"/>
          <w:szCs w:val="22"/>
        </w:rPr>
        <w:t xml:space="preserve"> and </w:t>
      </w:r>
    </w:p>
    <w:p w14:paraId="33B15290" w14:textId="0EFA2CEE" w:rsidR="00DE5984" w:rsidRPr="009A2A39" w:rsidRDefault="00DE5984" w:rsidP="00660904">
      <w:pPr>
        <w:pStyle w:val="ScheduleNumberedPara"/>
        <w:numPr>
          <w:ilvl w:val="3"/>
          <w:numId w:val="9"/>
        </w:numPr>
        <w:tabs>
          <w:tab w:val="clear" w:pos="1778"/>
          <w:tab w:val="num" w:pos="1843"/>
        </w:tabs>
        <w:ind w:left="1843" w:hanging="567"/>
        <w:rPr>
          <w:sz w:val="22"/>
          <w:szCs w:val="22"/>
        </w:rPr>
      </w:pPr>
      <w:r w:rsidRPr="009A2A39">
        <w:rPr>
          <w:sz w:val="22"/>
          <w:szCs w:val="22"/>
        </w:rPr>
        <w:t>Preliminary concept design reports</w:t>
      </w:r>
      <w:r w:rsidR="00C3353D" w:rsidRPr="009A2A39">
        <w:rPr>
          <w:sz w:val="22"/>
          <w:szCs w:val="22"/>
        </w:rPr>
        <w:t>.</w:t>
      </w:r>
    </w:p>
    <w:p w14:paraId="69CBBF42" w14:textId="09F8C22D" w:rsidR="009D711F" w:rsidRPr="009A2A39" w:rsidRDefault="00C3353D" w:rsidP="004E4379">
      <w:pPr>
        <w:pStyle w:val="ScheduleNumberedPara"/>
        <w:numPr>
          <w:ilvl w:val="2"/>
          <w:numId w:val="9"/>
        </w:numPr>
        <w:tabs>
          <w:tab w:val="clear" w:pos="1593"/>
          <w:tab w:val="num" w:pos="1134"/>
        </w:tabs>
        <w:ind w:left="1134" w:hanging="567"/>
        <w:rPr>
          <w:sz w:val="22"/>
          <w:szCs w:val="22"/>
        </w:rPr>
      </w:pPr>
      <w:r w:rsidRPr="009A2A39">
        <w:rPr>
          <w:sz w:val="22"/>
          <w:szCs w:val="22"/>
        </w:rPr>
        <w:t>C</w:t>
      </w:r>
      <w:r w:rsidR="00B578E6" w:rsidRPr="009A2A39">
        <w:rPr>
          <w:sz w:val="22"/>
          <w:szCs w:val="22"/>
        </w:rPr>
        <w:t>ommunity engagement activities, including:</w:t>
      </w:r>
    </w:p>
    <w:p w14:paraId="5ED28028" w14:textId="18B22B2A" w:rsidR="00DE5984" w:rsidRPr="009A2A39" w:rsidRDefault="00DE5984" w:rsidP="00CE1E09">
      <w:pPr>
        <w:pStyle w:val="ScheduleNumberedPara"/>
        <w:numPr>
          <w:ilvl w:val="3"/>
          <w:numId w:val="9"/>
        </w:numPr>
        <w:tabs>
          <w:tab w:val="num" w:pos="1701"/>
        </w:tabs>
        <w:ind w:left="1701" w:hanging="567"/>
        <w:rPr>
          <w:sz w:val="22"/>
          <w:szCs w:val="22"/>
        </w:rPr>
      </w:pPr>
      <w:r w:rsidRPr="009A2A39">
        <w:rPr>
          <w:sz w:val="22"/>
          <w:szCs w:val="22"/>
        </w:rPr>
        <w:t>Communications and community engagement strategy</w:t>
      </w:r>
      <w:r w:rsidR="001F0B98" w:rsidRPr="009A2A39">
        <w:rPr>
          <w:sz w:val="22"/>
          <w:szCs w:val="22"/>
        </w:rPr>
        <w:t xml:space="preserve"> to guide engagement with a range of local communities, </w:t>
      </w:r>
      <w:r w:rsidR="00C67587">
        <w:rPr>
          <w:sz w:val="22"/>
          <w:szCs w:val="22"/>
        </w:rPr>
        <w:t>I</w:t>
      </w:r>
      <w:r w:rsidR="00C67587" w:rsidRPr="009A2A39">
        <w:rPr>
          <w:sz w:val="22"/>
          <w:szCs w:val="22"/>
        </w:rPr>
        <w:t xml:space="preserve">ndigenous </w:t>
      </w:r>
      <w:r w:rsidR="001F0B98" w:rsidRPr="009A2A39">
        <w:rPr>
          <w:sz w:val="22"/>
          <w:szCs w:val="22"/>
        </w:rPr>
        <w:t xml:space="preserve">groups, private </w:t>
      </w:r>
      <w:proofErr w:type="gramStart"/>
      <w:r w:rsidR="001F0B98" w:rsidRPr="009A2A39">
        <w:rPr>
          <w:sz w:val="22"/>
          <w:szCs w:val="22"/>
        </w:rPr>
        <w:t>businesses</w:t>
      </w:r>
      <w:proofErr w:type="gramEnd"/>
      <w:r w:rsidR="001F0B98" w:rsidRPr="009A2A39">
        <w:rPr>
          <w:sz w:val="22"/>
          <w:szCs w:val="22"/>
        </w:rPr>
        <w:t xml:space="preserve"> and public agencies to verify potential impacts, confirm preferred mitigation measures and refine mitigation costs</w:t>
      </w:r>
      <w:r w:rsidRPr="009A2A39">
        <w:rPr>
          <w:sz w:val="22"/>
          <w:szCs w:val="22"/>
        </w:rPr>
        <w:t>;</w:t>
      </w:r>
    </w:p>
    <w:p w14:paraId="7828C828" w14:textId="062E9977" w:rsidR="00D13152" w:rsidRPr="009A2A39" w:rsidRDefault="002E3077" w:rsidP="00CE1E09">
      <w:pPr>
        <w:pStyle w:val="ScheduleNumberedPara"/>
        <w:numPr>
          <w:ilvl w:val="3"/>
          <w:numId w:val="9"/>
        </w:numPr>
        <w:tabs>
          <w:tab w:val="num" w:pos="1701"/>
        </w:tabs>
        <w:ind w:left="1701" w:hanging="567"/>
        <w:rPr>
          <w:sz w:val="22"/>
          <w:szCs w:val="22"/>
        </w:rPr>
      </w:pPr>
      <w:r w:rsidRPr="009A2A39">
        <w:rPr>
          <w:sz w:val="22"/>
          <w:szCs w:val="22"/>
        </w:rPr>
        <w:t>Community engagement summary reports</w:t>
      </w:r>
      <w:r w:rsidR="00CC32EA" w:rsidRPr="009A2A39">
        <w:rPr>
          <w:sz w:val="22"/>
          <w:szCs w:val="22"/>
        </w:rPr>
        <w:t xml:space="preserve"> from each of the</w:t>
      </w:r>
      <w:r w:rsidR="00DE5984" w:rsidRPr="009A2A39">
        <w:rPr>
          <w:sz w:val="22"/>
          <w:szCs w:val="22"/>
        </w:rPr>
        <w:t xml:space="preserve"> </w:t>
      </w:r>
      <w:r w:rsidR="00A36DA5" w:rsidRPr="009A2A39">
        <w:rPr>
          <w:sz w:val="22"/>
          <w:szCs w:val="22"/>
        </w:rPr>
        <w:t>f</w:t>
      </w:r>
      <w:r w:rsidR="00D13152" w:rsidRPr="009A2A39">
        <w:rPr>
          <w:sz w:val="22"/>
          <w:szCs w:val="22"/>
        </w:rPr>
        <w:t>our rounds of stakeholder consultati</w:t>
      </w:r>
      <w:r w:rsidR="00DE5984" w:rsidRPr="009A2A39">
        <w:rPr>
          <w:sz w:val="22"/>
          <w:szCs w:val="22"/>
        </w:rPr>
        <w:t>o</w:t>
      </w:r>
      <w:r w:rsidR="00D13152" w:rsidRPr="009A2A39">
        <w:rPr>
          <w:sz w:val="22"/>
          <w:szCs w:val="22"/>
        </w:rPr>
        <w:t>n</w:t>
      </w:r>
      <w:r w:rsidR="001F0B98" w:rsidRPr="009A2A39">
        <w:rPr>
          <w:sz w:val="22"/>
          <w:szCs w:val="22"/>
        </w:rPr>
        <w:t xml:space="preserve"> </w:t>
      </w:r>
      <w:r w:rsidR="007C7B5F" w:rsidRPr="009A2A39">
        <w:rPr>
          <w:sz w:val="22"/>
          <w:szCs w:val="22"/>
        </w:rPr>
        <w:t xml:space="preserve">that will be </w:t>
      </w:r>
      <w:r w:rsidR="001F0B98" w:rsidRPr="009A2A39">
        <w:rPr>
          <w:sz w:val="22"/>
          <w:szCs w:val="22"/>
        </w:rPr>
        <w:t xml:space="preserve">conducted once every 6 months with a range of local communities, </w:t>
      </w:r>
      <w:r w:rsidR="00C67587">
        <w:rPr>
          <w:sz w:val="22"/>
          <w:szCs w:val="22"/>
        </w:rPr>
        <w:t>I</w:t>
      </w:r>
      <w:r w:rsidR="00C67587" w:rsidRPr="009A2A39">
        <w:rPr>
          <w:sz w:val="22"/>
          <w:szCs w:val="22"/>
        </w:rPr>
        <w:t xml:space="preserve">ndigenous </w:t>
      </w:r>
      <w:r w:rsidR="001F0B98" w:rsidRPr="009A2A39">
        <w:rPr>
          <w:sz w:val="22"/>
          <w:szCs w:val="22"/>
        </w:rPr>
        <w:t xml:space="preserve">groups, private </w:t>
      </w:r>
      <w:proofErr w:type="gramStart"/>
      <w:r w:rsidR="001F0B98" w:rsidRPr="009A2A39">
        <w:rPr>
          <w:sz w:val="22"/>
          <w:szCs w:val="22"/>
        </w:rPr>
        <w:t>businesses</w:t>
      </w:r>
      <w:proofErr w:type="gramEnd"/>
      <w:r w:rsidR="001F0B98" w:rsidRPr="009A2A39">
        <w:rPr>
          <w:sz w:val="22"/>
          <w:szCs w:val="22"/>
        </w:rPr>
        <w:t xml:space="preserve"> and public agencies</w:t>
      </w:r>
      <w:r w:rsidR="00D13152" w:rsidRPr="009A2A39">
        <w:rPr>
          <w:sz w:val="22"/>
          <w:szCs w:val="22"/>
        </w:rPr>
        <w:t xml:space="preserve">; </w:t>
      </w:r>
      <w:r w:rsidR="00283683" w:rsidRPr="009A2A39">
        <w:rPr>
          <w:sz w:val="22"/>
          <w:szCs w:val="22"/>
        </w:rPr>
        <w:t xml:space="preserve">and </w:t>
      </w:r>
    </w:p>
    <w:p w14:paraId="56D7E06B" w14:textId="220D0CB0" w:rsidR="00057B78" w:rsidRPr="009A2A39" w:rsidRDefault="00B578E6" w:rsidP="00CE1E09">
      <w:pPr>
        <w:pStyle w:val="ScheduleNumberedPara"/>
        <w:numPr>
          <w:ilvl w:val="3"/>
          <w:numId w:val="9"/>
        </w:numPr>
        <w:tabs>
          <w:tab w:val="num" w:pos="1701"/>
        </w:tabs>
        <w:ind w:left="1701" w:hanging="567"/>
        <w:rPr>
          <w:sz w:val="22"/>
          <w:szCs w:val="22"/>
        </w:rPr>
      </w:pPr>
      <w:r w:rsidRPr="009A2A39">
        <w:rPr>
          <w:sz w:val="22"/>
          <w:szCs w:val="22"/>
        </w:rPr>
        <w:t>Stakeholder agreement</w:t>
      </w:r>
      <w:r w:rsidR="00086A8A" w:rsidRPr="009A2A39">
        <w:rPr>
          <w:sz w:val="22"/>
          <w:szCs w:val="22"/>
        </w:rPr>
        <w:t>s</w:t>
      </w:r>
      <w:r w:rsidRPr="009A2A39">
        <w:rPr>
          <w:sz w:val="22"/>
          <w:szCs w:val="22"/>
        </w:rPr>
        <w:t xml:space="preserve"> strategy</w:t>
      </w:r>
      <w:r w:rsidR="001F0B98" w:rsidRPr="009A2A39">
        <w:rPr>
          <w:sz w:val="22"/>
          <w:szCs w:val="22"/>
        </w:rPr>
        <w:t xml:space="preserve"> to guide community enga</w:t>
      </w:r>
      <w:r w:rsidR="009A2A39">
        <w:rPr>
          <w:sz w:val="22"/>
          <w:szCs w:val="22"/>
        </w:rPr>
        <w:t xml:space="preserve">gement for detailed designs, </w:t>
      </w:r>
      <w:r w:rsidR="001F0B98" w:rsidRPr="009A2A39">
        <w:rPr>
          <w:sz w:val="22"/>
          <w:szCs w:val="22"/>
        </w:rPr>
        <w:t>construction of infrastructure works and negotiation of stakeholder agreements for</w:t>
      </w:r>
      <w:r w:rsidR="00276468" w:rsidRPr="009A2A39">
        <w:rPr>
          <w:sz w:val="22"/>
          <w:szCs w:val="22"/>
        </w:rPr>
        <w:t xml:space="preserve"> the</w:t>
      </w:r>
      <w:r w:rsidR="001F0B98" w:rsidRPr="009A2A39">
        <w:rPr>
          <w:sz w:val="22"/>
          <w:szCs w:val="22"/>
        </w:rPr>
        <w:t xml:space="preserve"> implementation</w:t>
      </w:r>
      <w:r w:rsidR="007C7B5F" w:rsidRPr="009A2A39">
        <w:rPr>
          <w:sz w:val="22"/>
          <w:szCs w:val="22"/>
        </w:rPr>
        <w:t xml:space="preserve"> of the measure under Stage 2</w:t>
      </w:r>
      <w:r w:rsidRPr="009A2A39">
        <w:rPr>
          <w:sz w:val="22"/>
          <w:szCs w:val="22"/>
        </w:rPr>
        <w:t>.</w:t>
      </w:r>
    </w:p>
    <w:p w14:paraId="6A409851" w14:textId="0726BA75" w:rsidR="002000E4" w:rsidRPr="009A2A39" w:rsidRDefault="00E0175D" w:rsidP="00CB7E0D">
      <w:pPr>
        <w:pStyle w:val="ScheduleNumberedPara"/>
        <w:numPr>
          <w:ilvl w:val="1"/>
          <w:numId w:val="9"/>
        </w:numPr>
        <w:rPr>
          <w:sz w:val="22"/>
          <w:szCs w:val="22"/>
        </w:rPr>
      </w:pPr>
      <w:r w:rsidRPr="009A2A39">
        <w:rPr>
          <w:sz w:val="22"/>
          <w:szCs w:val="22"/>
        </w:rPr>
        <w:t xml:space="preserve">In accordance with </w:t>
      </w:r>
      <w:r w:rsidR="00367426" w:rsidRPr="009A2A39">
        <w:rPr>
          <w:sz w:val="22"/>
          <w:szCs w:val="22"/>
        </w:rPr>
        <w:t>the Agreement</w:t>
      </w:r>
      <w:r w:rsidRPr="009A2A39">
        <w:rPr>
          <w:sz w:val="22"/>
          <w:szCs w:val="22"/>
        </w:rPr>
        <w:t>,</w:t>
      </w:r>
      <w:r w:rsidR="00367426" w:rsidRPr="009A2A39">
        <w:rPr>
          <w:sz w:val="22"/>
          <w:szCs w:val="22"/>
        </w:rPr>
        <w:t xml:space="preserve"> </w:t>
      </w:r>
      <w:r w:rsidR="002000E4" w:rsidRPr="009A2A39">
        <w:rPr>
          <w:sz w:val="22"/>
          <w:szCs w:val="22"/>
        </w:rPr>
        <w:t xml:space="preserve">South Australia will provide reports on the progress of each output </w:t>
      </w:r>
      <w:r w:rsidR="0040564A">
        <w:rPr>
          <w:sz w:val="22"/>
          <w:szCs w:val="22"/>
        </w:rPr>
        <w:t xml:space="preserve">in </w:t>
      </w:r>
      <w:r w:rsidR="002000E4" w:rsidRPr="009A2A39">
        <w:rPr>
          <w:sz w:val="22"/>
          <w:szCs w:val="22"/>
        </w:rPr>
        <w:t>Table 2. If a report referred to in Table 2 indicates that South Australia has not met the relevant milestone, South Australia may submit a later report demonstrating that the relevant milestone has been met, for the purposes of clause 21 of the Agreement. In addition to the reporting specified in the Agreement, the reports to be provided by South</w:t>
      </w:r>
      <w:r w:rsidR="00EC0B80">
        <w:rPr>
          <w:sz w:val="22"/>
          <w:szCs w:val="22"/>
        </w:rPr>
        <w:t> </w:t>
      </w:r>
      <w:r w:rsidR="002000E4" w:rsidRPr="009A2A39">
        <w:rPr>
          <w:sz w:val="22"/>
          <w:szCs w:val="22"/>
        </w:rPr>
        <w:t>Australia are also to include:</w:t>
      </w:r>
    </w:p>
    <w:p w14:paraId="31CCF3A8" w14:textId="19419008" w:rsidR="002000E4" w:rsidRPr="009A2A39" w:rsidRDefault="00EC0B80" w:rsidP="00CE1E09">
      <w:pPr>
        <w:pStyle w:val="ScheduleNumberedPara"/>
        <w:numPr>
          <w:ilvl w:val="2"/>
          <w:numId w:val="9"/>
        </w:numPr>
        <w:tabs>
          <w:tab w:val="clear" w:pos="1593"/>
        </w:tabs>
        <w:ind w:left="1134" w:hanging="567"/>
        <w:rPr>
          <w:sz w:val="22"/>
          <w:szCs w:val="22"/>
        </w:rPr>
      </w:pPr>
      <w:r>
        <w:rPr>
          <w:sz w:val="22"/>
          <w:szCs w:val="22"/>
        </w:rPr>
        <w:t xml:space="preserve">Stage </w:t>
      </w:r>
      <w:r w:rsidRPr="009A2A39">
        <w:rPr>
          <w:sz w:val="22"/>
          <w:szCs w:val="22"/>
        </w:rPr>
        <w:t>1 Activities Status Update</w:t>
      </w:r>
      <w:r w:rsidR="006847F2">
        <w:rPr>
          <w:sz w:val="22"/>
          <w:szCs w:val="22"/>
        </w:rPr>
        <w:t xml:space="preserve"> </w:t>
      </w:r>
      <w:r w:rsidR="0040564A">
        <w:rPr>
          <w:sz w:val="22"/>
          <w:szCs w:val="22"/>
        </w:rPr>
        <w:t xml:space="preserve">outlining activities completed in the current period that </w:t>
      </w:r>
      <w:r>
        <w:rPr>
          <w:sz w:val="22"/>
          <w:szCs w:val="22"/>
        </w:rPr>
        <w:t xml:space="preserve">progress achievement of </w:t>
      </w:r>
      <w:r w:rsidR="0040564A">
        <w:rPr>
          <w:sz w:val="22"/>
          <w:szCs w:val="22"/>
        </w:rPr>
        <w:t xml:space="preserve">subsequent </w:t>
      </w:r>
      <w:r>
        <w:rPr>
          <w:sz w:val="22"/>
          <w:szCs w:val="22"/>
        </w:rPr>
        <w:t>milestones</w:t>
      </w:r>
      <w:r w:rsidR="002574AE">
        <w:rPr>
          <w:sz w:val="22"/>
          <w:szCs w:val="22"/>
        </w:rPr>
        <w:t>, including d</w:t>
      </w:r>
      <w:r w:rsidR="000A5E99">
        <w:rPr>
          <w:sz w:val="22"/>
          <w:szCs w:val="22"/>
        </w:rPr>
        <w:t xml:space="preserve">etails of </w:t>
      </w:r>
      <w:r w:rsidR="002574AE">
        <w:rPr>
          <w:sz w:val="22"/>
          <w:szCs w:val="22"/>
        </w:rPr>
        <w:t xml:space="preserve">any </w:t>
      </w:r>
      <w:r w:rsidR="00140C6B">
        <w:rPr>
          <w:sz w:val="22"/>
          <w:szCs w:val="22"/>
        </w:rPr>
        <w:t>costs</w:t>
      </w:r>
      <w:r w:rsidR="002574AE">
        <w:rPr>
          <w:sz w:val="22"/>
          <w:szCs w:val="22"/>
        </w:rPr>
        <w:t xml:space="preserve"> incurred in completing the activities, consistent with clause 29 of the Agreement;</w:t>
      </w:r>
      <w:r w:rsidR="00B00B57">
        <w:rPr>
          <w:sz w:val="22"/>
          <w:szCs w:val="22"/>
        </w:rPr>
        <w:t xml:space="preserve"> and</w:t>
      </w:r>
    </w:p>
    <w:p w14:paraId="11491EFC" w14:textId="2F3CB718" w:rsidR="009A2A39" w:rsidRPr="009A2A39" w:rsidRDefault="009A2A39" w:rsidP="00CE1E09">
      <w:pPr>
        <w:pStyle w:val="ScheduleNumberedPara"/>
        <w:numPr>
          <w:ilvl w:val="2"/>
          <w:numId w:val="9"/>
        </w:numPr>
        <w:tabs>
          <w:tab w:val="clear" w:pos="1593"/>
          <w:tab w:val="num" w:pos="2268"/>
        </w:tabs>
        <w:ind w:left="1134" w:hanging="567"/>
        <w:rPr>
          <w:sz w:val="22"/>
          <w:szCs w:val="22"/>
        </w:rPr>
      </w:pPr>
      <w:r>
        <w:rPr>
          <w:sz w:val="22"/>
          <w:szCs w:val="22"/>
        </w:rPr>
        <w:lastRenderedPageBreak/>
        <w:t xml:space="preserve">Updates on resolving </w:t>
      </w:r>
      <w:r w:rsidRPr="009A2A39">
        <w:rPr>
          <w:sz w:val="22"/>
          <w:szCs w:val="22"/>
          <w:lang w:eastAsia="ja-JP"/>
        </w:rPr>
        <w:t xml:space="preserve">the </w:t>
      </w:r>
      <w:r w:rsidRPr="009A2A39">
        <w:rPr>
          <w:sz w:val="22"/>
          <w:szCs w:val="22"/>
        </w:rPr>
        <w:t xml:space="preserve">issues identified in the </w:t>
      </w:r>
      <w:r w:rsidRPr="009A2A39">
        <w:rPr>
          <w:sz w:val="22"/>
          <w:szCs w:val="22"/>
          <w:lang w:eastAsia="ja-JP"/>
        </w:rPr>
        <w:t xml:space="preserve">assessment of the </w:t>
      </w:r>
      <w:r>
        <w:rPr>
          <w:sz w:val="22"/>
          <w:szCs w:val="22"/>
        </w:rPr>
        <w:t>South </w:t>
      </w:r>
      <w:r w:rsidRPr="009A2A39">
        <w:rPr>
          <w:sz w:val="22"/>
          <w:szCs w:val="22"/>
        </w:rPr>
        <w:t>Australian Murray constraints measure business case for the S</w:t>
      </w:r>
      <w:r>
        <w:rPr>
          <w:sz w:val="22"/>
          <w:szCs w:val="22"/>
          <w:lang w:eastAsia="ja-JP"/>
        </w:rPr>
        <w:t>DL </w:t>
      </w:r>
      <w:r w:rsidRPr="009A2A39">
        <w:rPr>
          <w:sz w:val="22"/>
          <w:szCs w:val="22"/>
          <w:lang w:eastAsia="ja-JP"/>
        </w:rPr>
        <w:t>adjustment mechanism and reflected in the post-Phase 2 assessment issues register</w:t>
      </w:r>
      <w:r w:rsidRPr="009A2A39">
        <w:rPr>
          <w:sz w:val="22"/>
          <w:szCs w:val="22"/>
        </w:rPr>
        <w:t xml:space="preserve">.  </w:t>
      </w:r>
    </w:p>
    <w:p w14:paraId="39748EAA" w14:textId="6389D7F8" w:rsidR="00E0175D" w:rsidRPr="009A2A39" w:rsidRDefault="004573BC" w:rsidP="00CB7E0D">
      <w:pPr>
        <w:pStyle w:val="ScheduleNumberedPara"/>
        <w:numPr>
          <w:ilvl w:val="1"/>
          <w:numId w:val="9"/>
        </w:numPr>
        <w:rPr>
          <w:sz w:val="22"/>
          <w:szCs w:val="22"/>
        </w:rPr>
      </w:pPr>
      <w:r w:rsidRPr="009A2A39">
        <w:rPr>
          <w:sz w:val="22"/>
          <w:szCs w:val="22"/>
        </w:rPr>
        <w:t xml:space="preserve">In accordance with clause 21 of the Agreement, </w:t>
      </w:r>
      <w:r w:rsidR="00E1180D" w:rsidRPr="009A2A39">
        <w:rPr>
          <w:sz w:val="22"/>
          <w:szCs w:val="22"/>
        </w:rPr>
        <w:t xml:space="preserve">the milestones for </w:t>
      </w:r>
      <w:r w:rsidRPr="009A2A39">
        <w:rPr>
          <w:sz w:val="22"/>
          <w:szCs w:val="22"/>
        </w:rPr>
        <w:t>the measure</w:t>
      </w:r>
      <w:r w:rsidR="00E1180D" w:rsidRPr="009A2A39">
        <w:rPr>
          <w:sz w:val="22"/>
          <w:szCs w:val="22"/>
        </w:rPr>
        <w:t xml:space="preserve">, their relationship to the outputs, </w:t>
      </w:r>
      <w:r w:rsidR="00074F46" w:rsidRPr="009A2A39">
        <w:rPr>
          <w:sz w:val="22"/>
          <w:szCs w:val="22"/>
        </w:rPr>
        <w:t xml:space="preserve">relevant reporting </w:t>
      </w:r>
      <w:r w:rsidR="00E1180D" w:rsidRPr="009A2A39">
        <w:rPr>
          <w:sz w:val="22"/>
          <w:szCs w:val="22"/>
        </w:rPr>
        <w:t xml:space="preserve">dates and </w:t>
      </w:r>
      <w:r w:rsidR="00F076F1" w:rsidRPr="009A2A39">
        <w:rPr>
          <w:sz w:val="22"/>
          <w:szCs w:val="22"/>
        </w:rPr>
        <w:t xml:space="preserve">the maximum </w:t>
      </w:r>
      <w:r w:rsidR="00E1180D" w:rsidRPr="009A2A39">
        <w:rPr>
          <w:sz w:val="22"/>
          <w:szCs w:val="22"/>
        </w:rPr>
        <w:t>expected payments</w:t>
      </w:r>
      <w:r w:rsidR="00074F46" w:rsidRPr="009A2A39">
        <w:rPr>
          <w:sz w:val="22"/>
          <w:szCs w:val="22"/>
        </w:rPr>
        <w:t xml:space="preserve"> to be made</w:t>
      </w:r>
      <w:r w:rsidR="00367426" w:rsidRPr="009A2A39">
        <w:rPr>
          <w:sz w:val="22"/>
          <w:szCs w:val="22"/>
        </w:rPr>
        <w:t xml:space="preserve"> are set out in Table </w:t>
      </w:r>
      <w:r w:rsidR="00057B78" w:rsidRPr="009A2A39">
        <w:rPr>
          <w:sz w:val="22"/>
          <w:szCs w:val="22"/>
        </w:rPr>
        <w:t>2</w:t>
      </w:r>
      <w:r w:rsidRPr="009A2A39">
        <w:rPr>
          <w:sz w:val="22"/>
          <w:szCs w:val="22"/>
        </w:rPr>
        <w:t>.</w:t>
      </w:r>
    </w:p>
    <w:p w14:paraId="1919EE2E" w14:textId="65B8426F" w:rsidR="00B53285" w:rsidRDefault="00B53285" w:rsidP="00B53285">
      <w:pPr>
        <w:pStyle w:val="ScheduleNumberedPara"/>
        <w:numPr>
          <w:ilvl w:val="0"/>
          <w:numId w:val="0"/>
        </w:numPr>
        <w:rPr>
          <w:b/>
          <w:sz w:val="22"/>
          <w:szCs w:val="22"/>
        </w:rPr>
      </w:pPr>
      <w:r w:rsidRPr="009A2A39">
        <w:rPr>
          <w:b/>
          <w:sz w:val="22"/>
          <w:szCs w:val="22"/>
        </w:rPr>
        <w:t xml:space="preserve">Table </w:t>
      </w:r>
      <w:r w:rsidR="00057B78" w:rsidRPr="009A2A39">
        <w:rPr>
          <w:b/>
          <w:sz w:val="22"/>
          <w:szCs w:val="22"/>
        </w:rPr>
        <w:t>2</w:t>
      </w:r>
      <w:r w:rsidRPr="009A2A39">
        <w:rPr>
          <w:b/>
          <w:sz w:val="22"/>
          <w:szCs w:val="22"/>
        </w:rPr>
        <w:t xml:space="preserve">: </w:t>
      </w:r>
      <w:r w:rsidR="003D4265" w:rsidRPr="009A2A39">
        <w:rPr>
          <w:b/>
          <w:sz w:val="22"/>
          <w:szCs w:val="22"/>
        </w:rPr>
        <w:t xml:space="preserve">South Australian Murray constraints measure </w:t>
      </w:r>
      <w:r w:rsidR="002574AE">
        <w:rPr>
          <w:b/>
          <w:sz w:val="22"/>
          <w:szCs w:val="22"/>
        </w:rPr>
        <w:t xml:space="preserve">outputs, </w:t>
      </w:r>
      <w:r w:rsidR="00780DC8" w:rsidRPr="009A2A39">
        <w:rPr>
          <w:b/>
          <w:sz w:val="22"/>
          <w:szCs w:val="22"/>
        </w:rPr>
        <w:t>m</w:t>
      </w:r>
      <w:r w:rsidR="00367426" w:rsidRPr="009A2A39">
        <w:rPr>
          <w:b/>
          <w:sz w:val="22"/>
          <w:szCs w:val="22"/>
        </w:rPr>
        <w:t>ilestones</w:t>
      </w:r>
      <w:r w:rsidRPr="009A2A39">
        <w:rPr>
          <w:b/>
          <w:sz w:val="22"/>
          <w:szCs w:val="22"/>
        </w:rPr>
        <w:t>, reporting and payment summary</w:t>
      </w:r>
    </w:p>
    <w:tbl>
      <w:tblPr>
        <w:tblStyle w:val="TableGrid"/>
        <w:tblW w:w="90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ook w:val="04A0" w:firstRow="1" w:lastRow="0" w:firstColumn="1" w:lastColumn="0" w:noHBand="0" w:noVBand="1"/>
      </w:tblPr>
      <w:tblGrid>
        <w:gridCol w:w="1838"/>
        <w:gridCol w:w="4394"/>
        <w:gridCol w:w="1418"/>
        <w:gridCol w:w="1417"/>
      </w:tblGrid>
      <w:tr w:rsidR="00E6109F" w14:paraId="3F87318A" w14:textId="77777777" w:rsidTr="0047106F">
        <w:trPr>
          <w:trHeight w:val="819"/>
          <w:tblHeader/>
        </w:trPr>
        <w:tc>
          <w:tcPr>
            <w:tcW w:w="1838" w:type="dxa"/>
            <w:vAlign w:val="center"/>
          </w:tcPr>
          <w:p w14:paraId="325C61DB" w14:textId="181BD14E" w:rsidR="00E6109F" w:rsidRPr="00E67F20" w:rsidRDefault="0047106F" w:rsidP="00CA550E">
            <w:pPr>
              <w:rPr>
                <w:b/>
                <w:lang w:eastAsia="ja-JP"/>
              </w:rPr>
            </w:pPr>
            <w:r>
              <w:rPr>
                <w:b/>
                <w:lang w:eastAsia="ja-JP"/>
              </w:rPr>
              <w:t>Outputs</w:t>
            </w:r>
          </w:p>
        </w:tc>
        <w:tc>
          <w:tcPr>
            <w:tcW w:w="4394" w:type="dxa"/>
            <w:vAlign w:val="center"/>
          </w:tcPr>
          <w:p w14:paraId="1D22E6E7" w14:textId="77777777" w:rsidR="00E6109F" w:rsidRPr="00E67F20" w:rsidRDefault="00E6109F" w:rsidP="00CA550E">
            <w:pPr>
              <w:rPr>
                <w:b/>
                <w:lang w:eastAsia="ja-JP"/>
              </w:rPr>
            </w:pPr>
            <w:r>
              <w:rPr>
                <w:b/>
                <w:lang w:eastAsia="ja-JP"/>
              </w:rPr>
              <w:t>Milestones</w:t>
            </w:r>
          </w:p>
        </w:tc>
        <w:tc>
          <w:tcPr>
            <w:tcW w:w="1418" w:type="dxa"/>
            <w:vAlign w:val="center"/>
          </w:tcPr>
          <w:p w14:paraId="5F00E550" w14:textId="77777777" w:rsidR="00E6109F" w:rsidRPr="00E67F20" w:rsidRDefault="00E6109F" w:rsidP="00CA550E">
            <w:pPr>
              <w:jc w:val="center"/>
              <w:rPr>
                <w:b/>
                <w:lang w:eastAsia="ja-JP"/>
              </w:rPr>
            </w:pPr>
            <w:r w:rsidRPr="00E67F20">
              <w:rPr>
                <w:b/>
                <w:lang w:eastAsia="ja-JP"/>
              </w:rPr>
              <w:t>Report Due</w:t>
            </w:r>
          </w:p>
        </w:tc>
        <w:tc>
          <w:tcPr>
            <w:tcW w:w="1417" w:type="dxa"/>
            <w:vAlign w:val="center"/>
          </w:tcPr>
          <w:p w14:paraId="406A0D26" w14:textId="77777777" w:rsidR="00E6109F" w:rsidRPr="00E67F20" w:rsidRDefault="00E6109F" w:rsidP="00CA550E">
            <w:pPr>
              <w:rPr>
                <w:b/>
                <w:lang w:eastAsia="ja-JP"/>
              </w:rPr>
            </w:pPr>
            <w:r w:rsidRPr="00E67F20">
              <w:rPr>
                <w:b/>
                <w:lang w:eastAsia="ja-JP"/>
              </w:rPr>
              <w:t>Payment</w:t>
            </w:r>
            <w:r>
              <w:rPr>
                <w:b/>
                <w:lang w:eastAsia="ja-JP"/>
              </w:rPr>
              <w:br/>
              <w:t>(Up to amount)</w:t>
            </w:r>
          </w:p>
        </w:tc>
      </w:tr>
      <w:tr w:rsidR="00E6109F" w14:paraId="491A7AB3" w14:textId="77777777" w:rsidTr="0047106F">
        <w:trPr>
          <w:trHeight w:val="1560"/>
        </w:trPr>
        <w:tc>
          <w:tcPr>
            <w:tcW w:w="1838" w:type="dxa"/>
            <w:vMerge w:val="restart"/>
          </w:tcPr>
          <w:p w14:paraId="40844097" w14:textId="77777777" w:rsidR="00E6109F" w:rsidRDefault="00E6109F" w:rsidP="00CA550E">
            <w:pPr>
              <w:rPr>
                <w:lang w:eastAsia="ja-JP"/>
              </w:rPr>
            </w:pPr>
            <w:r>
              <w:rPr>
                <w:lang w:eastAsia="ja-JP"/>
              </w:rPr>
              <w:t xml:space="preserve">River Murray in </w:t>
            </w:r>
            <w:r w:rsidRPr="00AD050D">
              <w:rPr>
                <w:lang w:eastAsia="ja-JP"/>
              </w:rPr>
              <w:t>South Australia Constraints Measure</w:t>
            </w:r>
          </w:p>
        </w:tc>
        <w:tc>
          <w:tcPr>
            <w:tcW w:w="4394" w:type="dxa"/>
            <w:tcBorders>
              <w:bottom w:val="single" w:sz="4" w:space="0" w:color="5B9BD5" w:themeColor="accent1"/>
            </w:tcBorders>
          </w:tcPr>
          <w:p w14:paraId="2CAEC94F" w14:textId="77777777" w:rsidR="00E6109F" w:rsidRDefault="00E6109F" w:rsidP="00CA550E">
            <w:pPr>
              <w:rPr>
                <w:lang w:eastAsia="ja-JP"/>
              </w:rPr>
            </w:pPr>
            <w:r>
              <w:rPr>
                <w:lang w:eastAsia="ja-JP"/>
              </w:rPr>
              <w:t>Project governance and implementation arrangements</w:t>
            </w:r>
          </w:p>
          <w:p w14:paraId="486D971E" w14:textId="77777777" w:rsidR="00E6109F" w:rsidRPr="00B76D46" w:rsidRDefault="00E6109F" w:rsidP="00E6109F">
            <w:pPr>
              <w:pStyle w:val="ListParagraph"/>
              <w:numPr>
                <w:ilvl w:val="0"/>
                <w:numId w:val="21"/>
              </w:numPr>
              <w:ind w:left="459"/>
            </w:pPr>
            <w:r w:rsidRPr="00B76D46">
              <w:t>Establishment of project governance arrangements and project team</w:t>
            </w:r>
          </w:p>
          <w:p w14:paraId="2F4B3550" w14:textId="77777777" w:rsidR="00E6109F" w:rsidRDefault="00E6109F" w:rsidP="00E6109F">
            <w:pPr>
              <w:pStyle w:val="ListParagraph"/>
              <w:numPr>
                <w:ilvl w:val="0"/>
                <w:numId w:val="21"/>
              </w:numPr>
              <w:ind w:left="459"/>
            </w:pPr>
            <w:r>
              <w:t xml:space="preserve">Completion of project plan </w:t>
            </w:r>
          </w:p>
        </w:tc>
        <w:tc>
          <w:tcPr>
            <w:tcW w:w="1418" w:type="dxa"/>
            <w:tcBorders>
              <w:bottom w:val="single" w:sz="4" w:space="0" w:color="5B9BD5" w:themeColor="accent1"/>
            </w:tcBorders>
          </w:tcPr>
          <w:p w14:paraId="7349089D" w14:textId="77777777" w:rsidR="00E6109F" w:rsidRDefault="00E6109F" w:rsidP="00CA550E">
            <w:pPr>
              <w:jc w:val="center"/>
              <w:rPr>
                <w:lang w:eastAsia="ja-JP"/>
              </w:rPr>
            </w:pPr>
            <w:r>
              <w:rPr>
                <w:lang w:eastAsia="ja-JP"/>
              </w:rPr>
              <w:t>30/6/2019</w:t>
            </w:r>
          </w:p>
        </w:tc>
        <w:tc>
          <w:tcPr>
            <w:tcW w:w="1417" w:type="dxa"/>
            <w:tcBorders>
              <w:bottom w:val="single" w:sz="4" w:space="0" w:color="5B9BD5" w:themeColor="accent1"/>
            </w:tcBorders>
          </w:tcPr>
          <w:p w14:paraId="53DC64F9" w14:textId="77777777" w:rsidR="00E6109F" w:rsidRPr="00D7653D" w:rsidRDefault="00E6109F" w:rsidP="00CA550E">
            <w:pPr>
              <w:tabs>
                <w:tab w:val="left" w:pos="600"/>
              </w:tabs>
              <w:ind w:right="98"/>
              <w:jc w:val="right"/>
              <w:rPr>
                <w:b/>
                <w:lang w:eastAsia="ja-JP"/>
              </w:rPr>
            </w:pPr>
            <w:r>
              <w:rPr>
                <w:b/>
                <w:lang w:eastAsia="ja-JP"/>
              </w:rPr>
              <w:t>$160,000</w:t>
            </w:r>
          </w:p>
        </w:tc>
      </w:tr>
      <w:tr w:rsidR="00E6109F" w14:paraId="57810611" w14:textId="77777777" w:rsidTr="0047106F">
        <w:trPr>
          <w:trHeight w:val="2460"/>
        </w:trPr>
        <w:tc>
          <w:tcPr>
            <w:tcW w:w="1838" w:type="dxa"/>
            <w:vMerge/>
          </w:tcPr>
          <w:p w14:paraId="17E2017E" w14:textId="77777777" w:rsidR="00E6109F" w:rsidRDefault="00E6109F" w:rsidP="00CA550E">
            <w:pPr>
              <w:rPr>
                <w:lang w:eastAsia="ja-JP"/>
              </w:rPr>
            </w:pPr>
          </w:p>
        </w:tc>
        <w:tc>
          <w:tcPr>
            <w:tcW w:w="4394" w:type="dxa"/>
            <w:tcBorders>
              <w:top w:val="single" w:sz="4" w:space="0" w:color="5B9BD5" w:themeColor="accent1"/>
            </w:tcBorders>
          </w:tcPr>
          <w:p w14:paraId="545FF7CB" w14:textId="77777777" w:rsidR="00E6109F" w:rsidRDefault="00E6109F" w:rsidP="00CA550E">
            <w:pPr>
              <w:rPr>
                <w:lang w:eastAsia="ja-JP"/>
              </w:rPr>
            </w:pPr>
            <w:r>
              <w:rPr>
                <w:lang w:eastAsia="ja-JP"/>
              </w:rPr>
              <w:t>Project governance and implementation arrangements</w:t>
            </w:r>
          </w:p>
          <w:p w14:paraId="00B2095B" w14:textId="77777777" w:rsidR="00E6109F" w:rsidRDefault="00E6109F" w:rsidP="00E6109F">
            <w:pPr>
              <w:pStyle w:val="ListParagraph"/>
              <w:numPr>
                <w:ilvl w:val="0"/>
                <w:numId w:val="21"/>
              </w:numPr>
              <w:ind w:left="459"/>
            </w:pPr>
            <w:r>
              <w:t>Completion of Stage 1 Activities Status Report one</w:t>
            </w:r>
          </w:p>
          <w:p w14:paraId="491D9D08" w14:textId="77777777" w:rsidR="00E6109F" w:rsidRDefault="00E6109F" w:rsidP="00CA550E">
            <w:pPr>
              <w:rPr>
                <w:lang w:eastAsia="ja-JP"/>
              </w:rPr>
            </w:pPr>
            <w:r>
              <w:rPr>
                <w:lang w:eastAsia="ja-JP"/>
              </w:rPr>
              <w:t>Preliminary concept designs</w:t>
            </w:r>
          </w:p>
          <w:p w14:paraId="101E25DC" w14:textId="77777777" w:rsidR="00E6109F" w:rsidRDefault="00E6109F" w:rsidP="00E6109F">
            <w:pPr>
              <w:pStyle w:val="ListParagraph"/>
              <w:numPr>
                <w:ilvl w:val="0"/>
                <w:numId w:val="21"/>
              </w:numPr>
              <w:ind w:left="459"/>
            </w:pPr>
            <w:r>
              <w:t>Completion of inundation assessment</w:t>
            </w:r>
          </w:p>
          <w:p w14:paraId="6F9F21B7" w14:textId="77777777" w:rsidR="00E6109F" w:rsidRDefault="00E6109F" w:rsidP="00CA550E">
            <w:pPr>
              <w:rPr>
                <w:lang w:eastAsia="ja-JP"/>
              </w:rPr>
            </w:pPr>
            <w:r>
              <w:rPr>
                <w:lang w:eastAsia="ja-JP"/>
              </w:rPr>
              <w:t>Community engagement</w:t>
            </w:r>
          </w:p>
          <w:p w14:paraId="46DD5D8B" w14:textId="77777777" w:rsidR="00E6109F" w:rsidRDefault="00E6109F" w:rsidP="00E6109F">
            <w:pPr>
              <w:pStyle w:val="ListParagraph"/>
              <w:numPr>
                <w:ilvl w:val="0"/>
                <w:numId w:val="21"/>
              </w:numPr>
              <w:ind w:left="459"/>
            </w:pPr>
            <w:r>
              <w:t>Completion of communications and community engagement strategy</w:t>
            </w:r>
          </w:p>
          <w:p w14:paraId="355A8546" w14:textId="77777777" w:rsidR="00E6109F" w:rsidRDefault="00E6109F" w:rsidP="00E6109F">
            <w:pPr>
              <w:pStyle w:val="ListParagraph"/>
              <w:numPr>
                <w:ilvl w:val="0"/>
                <w:numId w:val="21"/>
              </w:numPr>
              <w:ind w:left="459"/>
            </w:pPr>
            <w:r>
              <w:t>Completion of community engagement summary report one</w:t>
            </w:r>
          </w:p>
        </w:tc>
        <w:tc>
          <w:tcPr>
            <w:tcW w:w="1418" w:type="dxa"/>
            <w:tcBorders>
              <w:top w:val="single" w:sz="4" w:space="0" w:color="5B9BD5" w:themeColor="accent1"/>
            </w:tcBorders>
          </w:tcPr>
          <w:p w14:paraId="6CB797DB" w14:textId="77777777" w:rsidR="00E6109F" w:rsidRDefault="00E6109F" w:rsidP="00CA550E">
            <w:pPr>
              <w:jc w:val="center"/>
              <w:rPr>
                <w:lang w:eastAsia="ja-JP"/>
              </w:rPr>
            </w:pPr>
            <w:r>
              <w:rPr>
                <w:lang w:eastAsia="ja-JP"/>
              </w:rPr>
              <w:t>31/12/2019</w:t>
            </w:r>
          </w:p>
        </w:tc>
        <w:tc>
          <w:tcPr>
            <w:tcW w:w="1417" w:type="dxa"/>
            <w:tcBorders>
              <w:top w:val="single" w:sz="4" w:space="0" w:color="5B9BD5" w:themeColor="accent1"/>
            </w:tcBorders>
          </w:tcPr>
          <w:p w14:paraId="5A49AD0F" w14:textId="77777777" w:rsidR="00E6109F" w:rsidRDefault="00E6109F" w:rsidP="00CA550E">
            <w:pPr>
              <w:tabs>
                <w:tab w:val="left" w:pos="600"/>
              </w:tabs>
              <w:ind w:right="98"/>
              <w:jc w:val="right"/>
              <w:rPr>
                <w:lang w:eastAsia="ja-JP"/>
              </w:rPr>
            </w:pPr>
            <w:r w:rsidRPr="00D7653D">
              <w:rPr>
                <w:b/>
                <w:lang w:eastAsia="ja-JP"/>
              </w:rPr>
              <w:t>$43</w:t>
            </w:r>
            <w:r>
              <w:rPr>
                <w:b/>
                <w:lang w:eastAsia="ja-JP"/>
              </w:rPr>
              <w:t>5</w:t>
            </w:r>
            <w:r w:rsidRPr="00D7653D">
              <w:rPr>
                <w:b/>
                <w:lang w:eastAsia="ja-JP"/>
              </w:rPr>
              <w:t>,000</w:t>
            </w:r>
          </w:p>
        </w:tc>
      </w:tr>
      <w:tr w:rsidR="00E6109F" w14:paraId="5566B2CF" w14:textId="77777777" w:rsidTr="0047106F">
        <w:trPr>
          <w:trHeight w:val="2202"/>
        </w:trPr>
        <w:tc>
          <w:tcPr>
            <w:tcW w:w="1838" w:type="dxa"/>
            <w:vMerge/>
          </w:tcPr>
          <w:p w14:paraId="0BD2B06B" w14:textId="77777777" w:rsidR="00E6109F" w:rsidRDefault="00E6109F" w:rsidP="00CA550E">
            <w:pPr>
              <w:rPr>
                <w:lang w:eastAsia="ja-JP"/>
              </w:rPr>
            </w:pPr>
          </w:p>
        </w:tc>
        <w:tc>
          <w:tcPr>
            <w:tcW w:w="4394" w:type="dxa"/>
          </w:tcPr>
          <w:p w14:paraId="2CC69E1D" w14:textId="77777777" w:rsidR="00E6109F" w:rsidRDefault="00E6109F" w:rsidP="00CA550E">
            <w:pPr>
              <w:rPr>
                <w:lang w:eastAsia="ja-JP"/>
              </w:rPr>
            </w:pPr>
            <w:r>
              <w:rPr>
                <w:lang w:eastAsia="ja-JP"/>
              </w:rPr>
              <w:t>Project governance and implementation arrangements</w:t>
            </w:r>
          </w:p>
          <w:p w14:paraId="5AAC7C93" w14:textId="77777777" w:rsidR="00E6109F" w:rsidRDefault="00E6109F" w:rsidP="00E6109F">
            <w:pPr>
              <w:pStyle w:val="ListParagraph"/>
              <w:numPr>
                <w:ilvl w:val="0"/>
                <w:numId w:val="21"/>
              </w:numPr>
              <w:ind w:left="459"/>
            </w:pPr>
            <w:r>
              <w:t>Completion of Stage 1 Activities Status Report two</w:t>
            </w:r>
          </w:p>
          <w:p w14:paraId="2633FC87" w14:textId="77777777" w:rsidR="00E6109F" w:rsidRDefault="00E6109F" w:rsidP="00CA550E">
            <w:pPr>
              <w:rPr>
                <w:lang w:eastAsia="ja-JP"/>
              </w:rPr>
            </w:pPr>
            <w:r>
              <w:rPr>
                <w:lang w:eastAsia="ja-JP"/>
              </w:rPr>
              <w:t>Preliminary concept designs</w:t>
            </w:r>
          </w:p>
          <w:p w14:paraId="336B9AD0" w14:textId="77777777" w:rsidR="00E6109F" w:rsidRDefault="00E6109F" w:rsidP="00E6109F">
            <w:pPr>
              <w:pStyle w:val="ListParagraph"/>
              <w:numPr>
                <w:ilvl w:val="0"/>
                <w:numId w:val="21"/>
              </w:numPr>
              <w:ind w:left="459"/>
            </w:pPr>
            <w:r w:rsidRPr="00802295">
              <w:t>Completion of state policy and legislation position paper</w:t>
            </w:r>
          </w:p>
          <w:p w14:paraId="421EFA40" w14:textId="77777777" w:rsidR="00E6109F" w:rsidRDefault="00E6109F" w:rsidP="00CA550E">
            <w:pPr>
              <w:rPr>
                <w:lang w:eastAsia="ja-JP"/>
              </w:rPr>
            </w:pPr>
            <w:r>
              <w:rPr>
                <w:lang w:eastAsia="ja-JP"/>
              </w:rPr>
              <w:t>Community engagement</w:t>
            </w:r>
          </w:p>
          <w:p w14:paraId="3973372D" w14:textId="77777777" w:rsidR="00E6109F" w:rsidRDefault="00E6109F" w:rsidP="00E6109F">
            <w:pPr>
              <w:pStyle w:val="ListParagraph"/>
              <w:numPr>
                <w:ilvl w:val="0"/>
                <w:numId w:val="21"/>
              </w:numPr>
              <w:ind w:left="459"/>
            </w:pPr>
            <w:r>
              <w:t>Completion of community engagement summary report two</w:t>
            </w:r>
          </w:p>
        </w:tc>
        <w:tc>
          <w:tcPr>
            <w:tcW w:w="1418" w:type="dxa"/>
          </w:tcPr>
          <w:p w14:paraId="14188F98" w14:textId="77777777" w:rsidR="00E6109F" w:rsidRDefault="00E6109F" w:rsidP="00CA550E">
            <w:pPr>
              <w:jc w:val="center"/>
              <w:rPr>
                <w:lang w:eastAsia="ja-JP"/>
              </w:rPr>
            </w:pPr>
            <w:r>
              <w:rPr>
                <w:lang w:eastAsia="ja-JP"/>
              </w:rPr>
              <w:t>30/6/2020</w:t>
            </w:r>
          </w:p>
        </w:tc>
        <w:tc>
          <w:tcPr>
            <w:tcW w:w="1417" w:type="dxa"/>
          </w:tcPr>
          <w:p w14:paraId="0D497052" w14:textId="77777777" w:rsidR="00E6109F" w:rsidRPr="009A1C2B" w:rsidRDefault="00E6109F" w:rsidP="00CA550E">
            <w:pPr>
              <w:tabs>
                <w:tab w:val="left" w:pos="600"/>
              </w:tabs>
              <w:ind w:right="98"/>
              <w:jc w:val="right"/>
              <w:rPr>
                <w:b/>
                <w:lang w:eastAsia="ja-JP"/>
              </w:rPr>
            </w:pPr>
            <w:r w:rsidRPr="009A1C2B">
              <w:rPr>
                <w:b/>
                <w:lang w:eastAsia="ja-JP"/>
              </w:rPr>
              <w:t>$</w:t>
            </w:r>
            <w:r>
              <w:rPr>
                <w:b/>
                <w:lang w:eastAsia="ja-JP"/>
              </w:rPr>
              <w:t>335</w:t>
            </w:r>
            <w:r w:rsidRPr="009A1C2B">
              <w:rPr>
                <w:b/>
                <w:lang w:eastAsia="ja-JP"/>
              </w:rPr>
              <w:t>,000</w:t>
            </w:r>
          </w:p>
        </w:tc>
      </w:tr>
      <w:tr w:rsidR="00E6109F" w14:paraId="2B6FA22F" w14:textId="77777777" w:rsidTr="0047106F">
        <w:tc>
          <w:tcPr>
            <w:tcW w:w="1838" w:type="dxa"/>
            <w:vMerge/>
          </w:tcPr>
          <w:p w14:paraId="5FE691CE" w14:textId="77777777" w:rsidR="00E6109F" w:rsidRDefault="00E6109F" w:rsidP="00CA550E">
            <w:pPr>
              <w:rPr>
                <w:lang w:eastAsia="ja-JP"/>
              </w:rPr>
            </w:pPr>
          </w:p>
        </w:tc>
        <w:tc>
          <w:tcPr>
            <w:tcW w:w="4394" w:type="dxa"/>
          </w:tcPr>
          <w:p w14:paraId="2B74672D" w14:textId="77777777" w:rsidR="00E6109F" w:rsidRDefault="00E6109F" w:rsidP="00CA550E">
            <w:pPr>
              <w:rPr>
                <w:lang w:eastAsia="ja-JP"/>
              </w:rPr>
            </w:pPr>
            <w:r>
              <w:rPr>
                <w:lang w:eastAsia="ja-JP"/>
              </w:rPr>
              <w:t>Project governance and implementation arrangements</w:t>
            </w:r>
          </w:p>
          <w:p w14:paraId="2BA6ECEF" w14:textId="77777777" w:rsidR="00E6109F" w:rsidRDefault="00E6109F" w:rsidP="00E6109F">
            <w:pPr>
              <w:pStyle w:val="ListParagraph"/>
              <w:numPr>
                <w:ilvl w:val="0"/>
                <w:numId w:val="21"/>
              </w:numPr>
              <w:ind w:left="459"/>
            </w:pPr>
            <w:r>
              <w:t>Completion of Stage 1 Activities Status Report three</w:t>
            </w:r>
          </w:p>
          <w:p w14:paraId="3DDC6085" w14:textId="77777777" w:rsidR="00E6109F" w:rsidRDefault="00E6109F" w:rsidP="00CA550E">
            <w:pPr>
              <w:rPr>
                <w:lang w:eastAsia="ja-JP"/>
              </w:rPr>
            </w:pPr>
            <w:r>
              <w:rPr>
                <w:lang w:eastAsia="ja-JP"/>
              </w:rPr>
              <w:t>Preliminary concept designs</w:t>
            </w:r>
          </w:p>
          <w:p w14:paraId="4A6FA409" w14:textId="77777777" w:rsidR="00E6109F" w:rsidRDefault="00E6109F" w:rsidP="00E6109F">
            <w:pPr>
              <w:pStyle w:val="ListParagraph"/>
              <w:numPr>
                <w:ilvl w:val="0"/>
                <w:numId w:val="21"/>
              </w:numPr>
              <w:ind w:left="459"/>
            </w:pPr>
            <w:r w:rsidRPr="00416D70">
              <w:t>Completion of summary of statutory approvals processes</w:t>
            </w:r>
          </w:p>
          <w:p w14:paraId="37F4BF51" w14:textId="77777777" w:rsidR="00E6109F" w:rsidRDefault="00E6109F" w:rsidP="00CA550E">
            <w:pPr>
              <w:rPr>
                <w:lang w:eastAsia="ja-JP"/>
              </w:rPr>
            </w:pPr>
            <w:r>
              <w:rPr>
                <w:lang w:eastAsia="ja-JP"/>
              </w:rPr>
              <w:t>Community engagement</w:t>
            </w:r>
          </w:p>
          <w:p w14:paraId="435C5C4B" w14:textId="77777777" w:rsidR="00E6109F" w:rsidRDefault="00E6109F" w:rsidP="00E6109F">
            <w:pPr>
              <w:pStyle w:val="ListParagraph"/>
              <w:numPr>
                <w:ilvl w:val="0"/>
                <w:numId w:val="21"/>
              </w:numPr>
              <w:ind w:left="459"/>
            </w:pPr>
            <w:r>
              <w:t>Completion of community engagement summary report three</w:t>
            </w:r>
          </w:p>
        </w:tc>
        <w:tc>
          <w:tcPr>
            <w:tcW w:w="1418" w:type="dxa"/>
          </w:tcPr>
          <w:p w14:paraId="494D893B" w14:textId="77777777" w:rsidR="00E6109F" w:rsidRDefault="00E6109F" w:rsidP="00CA550E">
            <w:pPr>
              <w:jc w:val="center"/>
              <w:rPr>
                <w:lang w:eastAsia="ja-JP"/>
              </w:rPr>
            </w:pPr>
            <w:r>
              <w:rPr>
                <w:lang w:eastAsia="ja-JP"/>
              </w:rPr>
              <w:t>31/12/2020</w:t>
            </w:r>
          </w:p>
        </w:tc>
        <w:tc>
          <w:tcPr>
            <w:tcW w:w="1417" w:type="dxa"/>
          </w:tcPr>
          <w:p w14:paraId="3E966A0F" w14:textId="77777777" w:rsidR="00E6109F" w:rsidRPr="009A1C2B" w:rsidRDefault="00E6109F" w:rsidP="00CA550E">
            <w:pPr>
              <w:tabs>
                <w:tab w:val="left" w:pos="600"/>
              </w:tabs>
              <w:ind w:right="98"/>
              <w:jc w:val="right"/>
              <w:rPr>
                <w:b/>
                <w:lang w:eastAsia="ja-JP"/>
              </w:rPr>
            </w:pPr>
            <w:r w:rsidRPr="009A1C2B">
              <w:rPr>
                <w:b/>
                <w:lang w:eastAsia="ja-JP"/>
              </w:rPr>
              <w:t>$</w:t>
            </w:r>
            <w:r>
              <w:rPr>
                <w:b/>
                <w:lang w:eastAsia="ja-JP"/>
              </w:rPr>
              <w:t>585</w:t>
            </w:r>
            <w:r w:rsidRPr="009A1C2B">
              <w:rPr>
                <w:b/>
                <w:lang w:eastAsia="ja-JP"/>
              </w:rPr>
              <w:t>,000</w:t>
            </w:r>
          </w:p>
        </w:tc>
      </w:tr>
      <w:tr w:rsidR="00E6109F" w14:paraId="062B923D" w14:textId="77777777" w:rsidTr="0047106F">
        <w:tc>
          <w:tcPr>
            <w:tcW w:w="1838" w:type="dxa"/>
            <w:vMerge/>
          </w:tcPr>
          <w:p w14:paraId="74ADABA7" w14:textId="77777777" w:rsidR="00E6109F" w:rsidRDefault="00E6109F" w:rsidP="00CA550E">
            <w:pPr>
              <w:rPr>
                <w:lang w:eastAsia="ja-JP"/>
              </w:rPr>
            </w:pPr>
          </w:p>
        </w:tc>
        <w:tc>
          <w:tcPr>
            <w:tcW w:w="4394" w:type="dxa"/>
          </w:tcPr>
          <w:p w14:paraId="459F29EB" w14:textId="77777777" w:rsidR="00E6109F" w:rsidRDefault="00E6109F" w:rsidP="00CA550E">
            <w:pPr>
              <w:rPr>
                <w:lang w:eastAsia="ja-JP"/>
              </w:rPr>
            </w:pPr>
            <w:r>
              <w:rPr>
                <w:lang w:eastAsia="ja-JP"/>
              </w:rPr>
              <w:t>Project governance and implementation arrangements</w:t>
            </w:r>
          </w:p>
          <w:p w14:paraId="0617E6C7" w14:textId="77777777" w:rsidR="00E6109F" w:rsidRDefault="00E6109F" w:rsidP="00E6109F">
            <w:pPr>
              <w:pStyle w:val="ListParagraph"/>
              <w:numPr>
                <w:ilvl w:val="0"/>
                <w:numId w:val="21"/>
              </w:numPr>
              <w:ind w:left="459"/>
            </w:pPr>
            <w:r>
              <w:t>Completion of Stage 2 implementation proposal</w:t>
            </w:r>
          </w:p>
          <w:p w14:paraId="5DFD21EE" w14:textId="77777777" w:rsidR="00E6109F" w:rsidRDefault="00E6109F" w:rsidP="00CA550E">
            <w:pPr>
              <w:rPr>
                <w:lang w:eastAsia="ja-JP"/>
              </w:rPr>
            </w:pPr>
            <w:r>
              <w:rPr>
                <w:lang w:eastAsia="ja-JP"/>
              </w:rPr>
              <w:t>Preliminary concept designs</w:t>
            </w:r>
          </w:p>
          <w:p w14:paraId="530B85CB" w14:textId="77777777" w:rsidR="00E6109F" w:rsidRPr="00416D70" w:rsidRDefault="00E6109F" w:rsidP="00E6109F">
            <w:pPr>
              <w:pStyle w:val="ListParagraph"/>
              <w:numPr>
                <w:ilvl w:val="0"/>
                <w:numId w:val="21"/>
              </w:numPr>
              <w:ind w:left="459"/>
            </w:pPr>
            <w:r w:rsidRPr="00416D70">
              <w:t>Completion of preliminary concept design reports</w:t>
            </w:r>
          </w:p>
          <w:p w14:paraId="7C18B0E2" w14:textId="77777777" w:rsidR="00E6109F" w:rsidRDefault="00E6109F" w:rsidP="00CA550E">
            <w:pPr>
              <w:rPr>
                <w:lang w:eastAsia="ja-JP"/>
              </w:rPr>
            </w:pPr>
            <w:r>
              <w:rPr>
                <w:lang w:eastAsia="ja-JP"/>
              </w:rPr>
              <w:t>Community engagement</w:t>
            </w:r>
          </w:p>
          <w:p w14:paraId="5A46BCC5" w14:textId="77777777" w:rsidR="00E6109F" w:rsidRDefault="00E6109F" w:rsidP="00E6109F">
            <w:pPr>
              <w:pStyle w:val="ListParagraph"/>
              <w:numPr>
                <w:ilvl w:val="0"/>
                <w:numId w:val="21"/>
              </w:numPr>
              <w:ind w:left="459"/>
            </w:pPr>
            <w:r>
              <w:t>Completion of stakeholder agreements strategy</w:t>
            </w:r>
          </w:p>
          <w:p w14:paraId="66C4B658" w14:textId="77777777" w:rsidR="00E6109F" w:rsidRDefault="00E6109F" w:rsidP="00E6109F">
            <w:pPr>
              <w:pStyle w:val="ListParagraph"/>
              <w:numPr>
                <w:ilvl w:val="0"/>
                <w:numId w:val="21"/>
              </w:numPr>
              <w:ind w:left="459"/>
            </w:pPr>
            <w:r>
              <w:t>Completion of community engagement summary report four</w:t>
            </w:r>
          </w:p>
        </w:tc>
        <w:tc>
          <w:tcPr>
            <w:tcW w:w="1418" w:type="dxa"/>
          </w:tcPr>
          <w:p w14:paraId="23943393" w14:textId="77777777" w:rsidR="00E6109F" w:rsidRDefault="00E6109F" w:rsidP="00CA550E">
            <w:pPr>
              <w:jc w:val="center"/>
              <w:rPr>
                <w:lang w:eastAsia="ja-JP"/>
              </w:rPr>
            </w:pPr>
            <w:r>
              <w:rPr>
                <w:lang w:eastAsia="ja-JP"/>
              </w:rPr>
              <w:t>30/6/2021</w:t>
            </w:r>
          </w:p>
        </w:tc>
        <w:tc>
          <w:tcPr>
            <w:tcW w:w="1417" w:type="dxa"/>
          </w:tcPr>
          <w:p w14:paraId="078B4D92" w14:textId="77777777" w:rsidR="00E6109F" w:rsidRPr="00A21F0E" w:rsidRDefault="00E6109F" w:rsidP="00CA550E">
            <w:pPr>
              <w:tabs>
                <w:tab w:val="left" w:pos="600"/>
              </w:tabs>
              <w:ind w:right="98"/>
              <w:jc w:val="right"/>
              <w:rPr>
                <w:b/>
                <w:lang w:eastAsia="ja-JP"/>
              </w:rPr>
            </w:pPr>
            <w:r w:rsidRPr="00A21F0E">
              <w:rPr>
                <w:b/>
                <w:lang w:eastAsia="ja-JP"/>
              </w:rPr>
              <w:t>$</w:t>
            </w:r>
            <w:r>
              <w:rPr>
                <w:b/>
                <w:lang w:eastAsia="ja-JP"/>
              </w:rPr>
              <w:t>985</w:t>
            </w:r>
            <w:r w:rsidRPr="00A21F0E">
              <w:rPr>
                <w:b/>
                <w:lang w:eastAsia="ja-JP"/>
              </w:rPr>
              <w:t>,000</w:t>
            </w:r>
          </w:p>
        </w:tc>
      </w:tr>
    </w:tbl>
    <w:p w14:paraId="12E7990C" w14:textId="77777777" w:rsidR="00E6109F" w:rsidRPr="009A2A39" w:rsidRDefault="00E6109F" w:rsidP="00B53285">
      <w:pPr>
        <w:pStyle w:val="ScheduleNumberedPara"/>
        <w:numPr>
          <w:ilvl w:val="0"/>
          <w:numId w:val="0"/>
        </w:numPr>
        <w:rPr>
          <w:b/>
          <w:sz w:val="22"/>
          <w:szCs w:val="22"/>
        </w:rPr>
      </w:pPr>
    </w:p>
    <w:p w14:paraId="07AC21A8" w14:textId="2AEADB75" w:rsidR="00443550" w:rsidRPr="00443550" w:rsidRDefault="000B4F2C" w:rsidP="00BD7B59">
      <w:pPr>
        <w:pStyle w:val="ScheduleNumberedPara"/>
        <w:numPr>
          <w:ilvl w:val="1"/>
          <w:numId w:val="9"/>
        </w:numPr>
        <w:rPr>
          <w:sz w:val="22"/>
          <w:szCs w:val="22"/>
        </w:rPr>
      </w:pPr>
      <w:r w:rsidRPr="009A2A39">
        <w:rPr>
          <w:sz w:val="22"/>
          <w:szCs w:val="22"/>
        </w:rPr>
        <w:t>Funds will be paid against actual expenditure incurred for the achievement of project milestones.</w:t>
      </w:r>
      <w:r w:rsidR="00784A0B">
        <w:rPr>
          <w:sz w:val="22"/>
          <w:szCs w:val="22"/>
        </w:rPr>
        <w:t xml:space="preserve"> </w:t>
      </w:r>
      <w:r w:rsidR="00B00B57">
        <w:rPr>
          <w:sz w:val="22"/>
          <w:szCs w:val="22"/>
        </w:rPr>
        <w:t>Payments may also include amounts for costs incurred on activities completed in the current period that progress achievement of subsequent milestones.</w:t>
      </w:r>
    </w:p>
    <w:p w14:paraId="173CBD75" w14:textId="68789DB7" w:rsidR="00BD7B59" w:rsidRPr="009A2A39" w:rsidRDefault="00BD7B59" w:rsidP="00BD7B59">
      <w:pPr>
        <w:pStyle w:val="ScheduleNumberedPara"/>
        <w:numPr>
          <w:ilvl w:val="1"/>
          <w:numId w:val="9"/>
        </w:numPr>
        <w:rPr>
          <w:sz w:val="22"/>
          <w:szCs w:val="22"/>
        </w:rPr>
      </w:pPr>
      <w:r w:rsidRPr="009A2A39">
        <w:rPr>
          <w:sz w:val="22"/>
          <w:szCs w:val="22"/>
        </w:rPr>
        <w:t xml:space="preserve">Expenditure on activities under this Schedule incurred by South Australia from </w:t>
      </w:r>
      <w:r w:rsidR="008D0EE2">
        <w:rPr>
          <w:sz w:val="22"/>
          <w:szCs w:val="22"/>
        </w:rPr>
        <w:t xml:space="preserve">1 July 2018 </w:t>
      </w:r>
      <w:r w:rsidRPr="009A2A39">
        <w:rPr>
          <w:sz w:val="22"/>
          <w:szCs w:val="22"/>
        </w:rPr>
        <w:t>will be eligible for consideration for payment under milestones in this Schedule.</w:t>
      </w:r>
    </w:p>
    <w:p w14:paraId="72683902" w14:textId="5E7F74FE"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w:t>
      </w:r>
      <w:r w:rsidR="00E6109F">
        <w:rPr>
          <w:sz w:val="22"/>
          <w:szCs w:val="22"/>
          <w:lang w:eastAsia="ja-JP"/>
        </w:rPr>
        <w:t>t</w:t>
      </w:r>
      <w:r w:rsidRPr="009A2A39">
        <w:rPr>
          <w:sz w:val="22"/>
          <w:szCs w:val="22"/>
          <w:lang w:eastAsia="ja-JP"/>
        </w:rPr>
        <w:t>o meet any necessary costs for activities under the Schedule subject to clauses 10 to 14 of this Schedule.</w:t>
      </w:r>
    </w:p>
    <w:p w14:paraId="235FFA23" w14:textId="36DFB8FF"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The Commonwealth may agree to requests from South Australia to transfer a residual amount, or part thereof, to a subsequent milestone in this Schedule.</w:t>
      </w:r>
    </w:p>
    <w:p w14:paraId="340BE6A9" w14:textId="395A5D07"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A request from South Australia to transfer a residual amount to a milestone falling within the same financial year may be agreed to by the Commonwealth </w:t>
      </w:r>
      <w:r w:rsidR="002574AE">
        <w:rPr>
          <w:sz w:val="22"/>
          <w:szCs w:val="22"/>
          <w:lang w:eastAsia="ja-JP"/>
        </w:rPr>
        <w:t>p</w:t>
      </w:r>
      <w:r w:rsidRPr="009A2A39">
        <w:rPr>
          <w:sz w:val="22"/>
          <w:szCs w:val="22"/>
          <w:lang w:eastAsia="ja-JP"/>
        </w:rPr>
        <w:t xml:space="preserve">ortfolio </w:t>
      </w:r>
      <w:r w:rsidR="000B5D42">
        <w:rPr>
          <w:sz w:val="22"/>
          <w:szCs w:val="22"/>
          <w:lang w:eastAsia="ja-JP"/>
        </w:rPr>
        <w:t>m</w:t>
      </w:r>
      <w:r w:rsidRPr="009A2A39">
        <w:rPr>
          <w:sz w:val="22"/>
          <w:szCs w:val="22"/>
          <w:lang w:eastAsia="ja-JP"/>
        </w:rPr>
        <w:t>inister. Such transfers may be agreed and take place without a variation to the Schedule.</w:t>
      </w:r>
    </w:p>
    <w:p w14:paraId="479CA1FC" w14:textId="5AB80D96"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The Commonwealth </w:t>
      </w:r>
      <w:r w:rsidR="002574AE">
        <w:rPr>
          <w:sz w:val="22"/>
          <w:szCs w:val="22"/>
          <w:lang w:eastAsia="ja-JP"/>
        </w:rPr>
        <w:t>p</w:t>
      </w:r>
      <w:r w:rsidR="000B5D42">
        <w:rPr>
          <w:sz w:val="22"/>
          <w:szCs w:val="22"/>
          <w:lang w:eastAsia="ja-JP"/>
        </w:rPr>
        <w:t>ortfolio m</w:t>
      </w:r>
      <w:r w:rsidRPr="009A2A39">
        <w:rPr>
          <w:sz w:val="22"/>
          <w:szCs w:val="22"/>
          <w:lang w:eastAsia="ja-JP"/>
        </w:rPr>
        <w:t xml:space="preserve">inister may delegate the agreement of transfers of residual amounts within the same financial year </w:t>
      </w:r>
      <w:r w:rsidR="00B00B57" w:rsidRPr="009A2A39">
        <w:rPr>
          <w:sz w:val="22"/>
          <w:szCs w:val="22"/>
          <w:lang w:eastAsia="ja-JP"/>
        </w:rPr>
        <w:t>to</w:t>
      </w:r>
      <w:r w:rsidR="00B00B57">
        <w:rPr>
          <w:sz w:val="22"/>
          <w:szCs w:val="22"/>
          <w:lang w:eastAsia="ja-JP"/>
        </w:rPr>
        <w:t xml:space="preserve"> </w:t>
      </w:r>
      <w:r w:rsidR="00B00B57" w:rsidRPr="009A2A39">
        <w:rPr>
          <w:sz w:val="22"/>
          <w:szCs w:val="22"/>
          <w:lang w:eastAsia="ja-JP"/>
        </w:rPr>
        <w:t>senior</w:t>
      </w:r>
      <w:r w:rsidR="00B00B57">
        <w:rPr>
          <w:sz w:val="22"/>
          <w:szCs w:val="22"/>
          <w:lang w:eastAsia="ja-JP"/>
        </w:rPr>
        <w:t xml:space="preserve"> Commonwealth officials</w:t>
      </w:r>
      <w:r w:rsidRPr="009A2A39">
        <w:rPr>
          <w:sz w:val="22"/>
          <w:szCs w:val="22"/>
          <w:lang w:eastAsia="ja-JP"/>
        </w:rPr>
        <w:t>, having regard to the financial and policy risks associated with the transfers.</w:t>
      </w:r>
    </w:p>
    <w:p w14:paraId="5EFF0A0D" w14:textId="006666D2"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A request from South Australia to transfer a residual amount to increase a milestone amount in a later financial year may be agreed in writing by the relevant Commonwealth and State portfolio ministers in accordance with clause 35 of the Agreement.</w:t>
      </w:r>
    </w:p>
    <w:p w14:paraId="793175D4" w14:textId="1AFC360B" w:rsidR="00BD7B5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South Australia will provide a reconciliation of any residual amounts that have been transferred to subsequent milestones as part of reports required in accordance with clause 23 of the Agreement.</w:t>
      </w:r>
    </w:p>
    <w:p w14:paraId="3AE0DA31" w14:textId="3F606BE5" w:rsidR="000F2D71" w:rsidRDefault="000F2D71">
      <w:pPr>
        <w:rPr>
          <w:rFonts w:ascii="Corbel" w:eastAsia="Times New Roman" w:hAnsi="Corbel" w:cs="Times New Roman"/>
          <w:b/>
          <w:color w:val="000000"/>
          <w:sz w:val="23"/>
          <w:szCs w:val="20"/>
          <w:lang w:eastAsia="en-AU"/>
        </w:rPr>
      </w:pPr>
      <w:r>
        <w:rPr>
          <w:rFonts w:ascii="Corbel" w:eastAsia="Times New Roman" w:hAnsi="Corbel" w:cs="Times New Roman"/>
          <w:b/>
          <w:color w:val="000000"/>
          <w:sz w:val="23"/>
          <w:szCs w:val="20"/>
          <w:lang w:eastAsia="en-AU"/>
        </w:rPr>
        <w:br w:type="page"/>
      </w:r>
    </w:p>
    <w:p w14:paraId="7117F9EB" w14:textId="77777777" w:rsidR="00E51419" w:rsidRPr="00321B4B" w:rsidRDefault="00E51419" w:rsidP="00321B4B">
      <w:pPr>
        <w:rPr>
          <w:rFonts w:ascii="Corbel" w:eastAsia="Times New Roman" w:hAnsi="Corbel" w:cs="Times New Roman"/>
          <w:b/>
          <w:color w:val="000000"/>
          <w:sz w:val="23"/>
          <w:szCs w:val="20"/>
          <w:lang w:eastAsia="en-AU"/>
        </w:rPr>
      </w:pPr>
    </w:p>
    <w:p w14:paraId="163F6A90" w14:textId="70887159" w:rsidR="00F44774" w:rsidRPr="00640594" w:rsidRDefault="00F44774" w:rsidP="00BE7A7A">
      <w:pPr>
        <w:rPr>
          <w:rFonts w:ascii="Consolas" w:eastAsia="Times New Roman" w:hAnsi="Consolas" w:cs="Arial"/>
          <w:bCs/>
          <w:caps/>
          <w:color w:val="3D4B67"/>
          <w:kern w:val="32"/>
          <w:sz w:val="32"/>
          <w:szCs w:val="36"/>
          <w:lang w:eastAsia="en-AU"/>
        </w:rPr>
      </w:pPr>
      <w:r w:rsidRPr="00640594">
        <w:rPr>
          <w:rFonts w:ascii="Consolas" w:eastAsia="Times New Roman" w:hAnsi="Consolas" w:cs="Arial"/>
          <w:bCs/>
          <w:caps/>
          <w:color w:val="3D4B67"/>
          <w:kern w:val="32"/>
          <w:sz w:val="32"/>
          <w:szCs w:val="36"/>
          <w:lang w:eastAsia="en-AU"/>
        </w:rPr>
        <w:t>Sig</w:t>
      </w:r>
      <w:r w:rsidR="007C2F2B">
        <w:rPr>
          <w:rFonts w:ascii="Consolas" w:eastAsia="Times New Roman" w:hAnsi="Consolas" w:cs="Arial"/>
          <w:bCs/>
          <w:caps/>
          <w:color w:val="3D4B67"/>
          <w:kern w:val="32"/>
          <w:sz w:val="32"/>
          <w:szCs w:val="36"/>
          <w:lang w:eastAsia="en-AU"/>
        </w:rPr>
        <w:t xml:space="preserve">N OFF </w:t>
      </w:r>
      <w:r w:rsidRPr="00640594">
        <w:rPr>
          <w:rFonts w:ascii="Consolas" w:eastAsia="Times New Roman" w:hAnsi="Consolas" w:cs="Arial"/>
          <w:bCs/>
          <w:caps/>
          <w:color w:val="3D4B67"/>
          <w:kern w:val="32"/>
          <w:sz w:val="32"/>
          <w:szCs w:val="36"/>
          <w:lang w:eastAsia="en-AU"/>
        </w:rPr>
        <w:t xml:space="preserve"> </w:t>
      </w:r>
    </w:p>
    <w:p w14:paraId="366E8054" w14:textId="77777777" w:rsidR="00BE7A7A" w:rsidRPr="00A50751" w:rsidRDefault="00BE7A7A" w:rsidP="00BE7A7A">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83DD4C8" w14:textId="77777777" w:rsidR="00BE7A7A" w:rsidRPr="00A50751" w:rsidRDefault="00BE7A7A" w:rsidP="00BE7A7A">
      <w:pPr>
        <w:pStyle w:val="ChartandTableFootnoteAlpha"/>
        <w:numPr>
          <w:ilvl w:val="0"/>
          <w:numId w:val="0"/>
        </w:numPr>
        <w:ind w:left="283"/>
        <w:rPr>
          <w:lang w:val="en-GB"/>
        </w:rPr>
      </w:pPr>
    </w:p>
    <w:tbl>
      <w:tblPr>
        <w:tblW w:w="9356" w:type="dxa"/>
        <w:jc w:val="center"/>
        <w:tblLayout w:type="fixed"/>
        <w:tblLook w:val="01E0" w:firstRow="1" w:lastRow="1" w:firstColumn="1" w:lastColumn="1" w:noHBand="0" w:noVBand="0"/>
      </w:tblPr>
      <w:tblGrid>
        <w:gridCol w:w="5954"/>
        <w:gridCol w:w="425"/>
        <w:gridCol w:w="2977"/>
      </w:tblGrid>
      <w:tr w:rsidR="00BE7A7A" w:rsidRPr="00A50751" w14:paraId="0A45E12A" w14:textId="77777777" w:rsidTr="00B72F08">
        <w:trPr>
          <w:cantSplit/>
          <w:jc w:val="center"/>
        </w:trPr>
        <w:tc>
          <w:tcPr>
            <w:tcW w:w="5954" w:type="dxa"/>
          </w:tcPr>
          <w:p w14:paraId="0718D453" w14:textId="77777777" w:rsidR="00BE7A7A" w:rsidRPr="004A0AE7" w:rsidRDefault="00BE7A7A" w:rsidP="00B72F08">
            <w:pPr>
              <w:pStyle w:val="Signed"/>
              <w:jc w:val="left"/>
            </w:pPr>
            <w:r w:rsidRPr="00780DC8">
              <w:rPr>
                <w:rStyle w:val="SignedBold"/>
                <w:i/>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E963B8F" w14:textId="77777777" w:rsidR="00BE7A7A" w:rsidRDefault="00BE7A7A" w:rsidP="00CD647E">
            <w:pPr>
              <w:pStyle w:val="LineForSignature"/>
            </w:pPr>
          </w:p>
          <w:p w14:paraId="4477BAC2" w14:textId="77777777" w:rsidR="00BE7A7A" w:rsidRPr="00A50751" w:rsidRDefault="00BE7A7A" w:rsidP="00CD647E">
            <w:pPr>
              <w:pStyle w:val="LineForSignature"/>
            </w:pPr>
            <w:r>
              <w:tab/>
            </w:r>
          </w:p>
          <w:p w14:paraId="40448E33" w14:textId="77777777" w:rsidR="00BE7A7A" w:rsidRDefault="00BE7A7A" w:rsidP="00CD647E">
            <w:pPr>
              <w:pStyle w:val="SingleParagraph"/>
              <w:rPr>
                <w:rStyle w:val="Bold"/>
              </w:rPr>
            </w:pPr>
            <w:r>
              <w:rPr>
                <w:rStyle w:val="Bold"/>
              </w:rPr>
              <w:t xml:space="preserve">The Honourable David </w:t>
            </w:r>
            <w:proofErr w:type="spellStart"/>
            <w:r>
              <w:rPr>
                <w:rStyle w:val="Bold"/>
              </w:rPr>
              <w:t>Littleproud</w:t>
            </w:r>
            <w:proofErr w:type="spellEnd"/>
            <w:r>
              <w:rPr>
                <w:rStyle w:val="Bold"/>
              </w:rPr>
              <w:t xml:space="preserve"> MP</w:t>
            </w:r>
          </w:p>
          <w:p w14:paraId="21101FAF" w14:textId="77777777" w:rsidR="00BE7A7A" w:rsidRDefault="00BE7A7A" w:rsidP="00CD647E">
            <w:pPr>
              <w:pStyle w:val="Position"/>
              <w:rPr>
                <w:lang w:val="en-GB"/>
              </w:rPr>
            </w:pPr>
            <w:r>
              <w:rPr>
                <w:lang w:val="en-GB"/>
              </w:rPr>
              <w:t xml:space="preserve">Minister for Agriculture and Water Resources </w:t>
            </w:r>
          </w:p>
          <w:p w14:paraId="004E3D9A" w14:textId="77777777" w:rsidR="008F1E71" w:rsidRDefault="008F1E71" w:rsidP="00CD647E">
            <w:pPr>
              <w:pStyle w:val="Position"/>
              <w:rPr>
                <w:lang w:val="en-GB"/>
              </w:rPr>
            </w:pPr>
          </w:p>
          <w:p w14:paraId="029C384C" w14:textId="77777777" w:rsidR="00BE7A7A" w:rsidRDefault="00BE7A7A" w:rsidP="00CD647E">
            <w:pPr>
              <w:pStyle w:val="SingleParagraph"/>
              <w:tabs>
                <w:tab w:val="num" w:pos="1134"/>
              </w:tabs>
              <w:spacing w:after="240"/>
              <w:ind w:left="1134" w:hanging="567"/>
              <w:rPr>
                <w:b/>
                <w:lang w:val="en-GB"/>
              </w:rPr>
            </w:pPr>
            <w:r>
              <w:rPr>
                <w:lang w:val="en-GB"/>
              </w:rPr>
              <w:t>[Day]  [Month]  [Year]</w:t>
            </w:r>
          </w:p>
        </w:tc>
        <w:tc>
          <w:tcPr>
            <w:tcW w:w="425" w:type="dxa"/>
            <w:tcMar>
              <w:left w:w="0" w:type="dxa"/>
              <w:right w:w="0" w:type="dxa"/>
            </w:tcMar>
          </w:tcPr>
          <w:p w14:paraId="3E28662B" w14:textId="77777777" w:rsidR="00BE7A7A" w:rsidRPr="00A50751" w:rsidRDefault="00BE7A7A" w:rsidP="00CD647E">
            <w:pPr>
              <w:rPr>
                <w:rFonts w:ascii="Book Antiqua" w:hAnsi="Book Antiqua"/>
                <w:lang w:val="en-GB"/>
              </w:rPr>
            </w:pPr>
          </w:p>
        </w:tc>
        <w:tc>
          <w:tcPr>
            <w:tcW w:w="2977" w:type="dxa"/>
          </w:tcPr>
          <w:p w14:paraId="2EE4600F" w14:textId="77777777" w:rsidR="00BE7A7A" w:rsidRPr="00A50751" w:rsidRDefault="00BE7A7A" w:rsidP="00CD647E">
            <w:pPr>
              <w:rPr>
                <w:rFonts w:ascii="Book Antiqua" w:hAnsi="Book Antiqua"/>
                <w:lang w:val="en-GB"/>
              </w:rPr>
            </w:pPr>
          </w:p>
        </w:tc>
      </w:tr>
      <w:tr w:rsidR="00BE7A7A" w:rsidRPr="00A50751" w14:paraId="62B81731" w14:textId="77777777" w:rsidTr="00B72F08">
        <w:trPr>
          <w:cantSplit/>
          <w:jc w:val="center"/>
        </w:trPr>
        <w:tc>
          <w:tcPr>
            <w:tcW w:w="5954" w:type="dxa"/>
          </w:tcPr>
          <w:p w14:paraId="35DBC733" w14:textId="77777777" w:rsidR="00BE7A7A" w:rsidRDefault="00BE7A7A" w:rsidP="00CD647E">
            <w:pPr>
              <w:pStyle w:val="Signed"/>
              <w:rPr>
                <w:rStyle w:val="SignedBold"/>
              </w:rPr>
            </w:pPr>
          </w:p>
          <w:p w14:paraId="4B75B92E" w14:textId="02E0972E" w:rsidR="00BE7A7A" w:rsidRPr="004A0AE7" w:rsidRDefault="00BE7A7A" w:rsidP="00B72F08">
            <w:pPr>
              <w:pStyle w:val="Signed"/>
              <w:jc w:val="left"/>
            </w:pPr>
            <w:r w:rsidRPr="00B72F08">
              <w:rPr>
                <w:b/>
              </w:rPr>
              <w:t>Signed</w:t>
            </w:r>
            <w:r w:rsidRPr="004A0AE7">
              <w:t xml:space="preserve"> for and on behalf of the</w:t>
            </w:r>
            <w:r w:rsidR="007C2F2B">
              <w:t xml:space="preserve"> </w:t>
            </w:r>
            <w:r w:rsidR="00B72F08" w:rsidRPr="004A0AE7">
              <w:t xml:space="preserve">State of </w:t>
            </w:r>
            <w:r w:rsidR="00057B78">
              <w:t>South Australia</w:t>
            </w:r>
            <w:r w:rsidR="008F1E71">
              <w:t xml:space="preserve"> </w:t>
            </w:r>
            <w:r w:rsidR="00B72F08" w:rsidRPr="004A0AE7">
              <w:t>by</w:t>
            </w:r>
          </w:p>
          <w:p w14:paraId="7E4E08C0" w14:textId="77777777" w:rsidR="00BE7A7A" w:rsidRDefault="00BE7A7A" w:rsidP="00CD647E">
            <w:pPr>
              <w:pStyle w:val="LineForSignature"/>
            </w:pPr>
          </w:p>
          <w:p w14:paraId="12B2B54C" w14:textId="77777777" w:rsidR="00BE7A7A" w:rsidRPr="00A50751" w:rsidRDefault="00BE7A7A" w:rsidP="00CD647E">
            <w:pPr>
              <w:pStyle w:val="LineForSignature"/>
            </w:pPr>
            <w:r w:rsidRPr="00A50751">
              <w:tab/>
            </w:r>
          </w:p>
          <w:p w14:paraId="6CE1EEB6" w14:textId="6EB12B93" w:rsidR="00BE7A7A" w:rsidRDefault="00BE7A7A" w:rsidP="00CD647E">
            <w:pPr>
              <w:pStyle w:val="SingleParagraph"/>
              <w:rPr>
                <w:rStyle w:val="Bold"/>
              </w:rPr>
            </w:pPr>
            <w:r>
              <w:rPr>
                <w:rStyle w:val="Bold"/>
              </w:rPr>
              <w:t xml:space="preserve">The Honourable </w:t>
            </w:r>
            <w:r w:rsidR="00057B78">
              <w:rPr>
                <w:rStyle w:val="Bold"/>
              </w:rPr>
              <w:t>David Speirs MP</w:t>
            </w:r>
          </w:p>
          <w:p w14:paraId="328FAE9C" w14:textId="68192F73" w:rsidR="00BE7A7A" w:rsidRDefault="00BE7A7A" w:rsidP="00CD647E">
            <w:pPr>
              <w:pStyle w:val="Position"/>
              <w:rPr>
                <w:lang w:val="en-GB"/>
              </w:rPr>
            </w:pPr>
            <w:r>
              <w:rPr>
                <w:lang w:val="en-GB"/>
              </w:rPr>
              <w:t xml:space="preserve">Minister for </w:t>
            </w:r>
            <w:r w:rsidR="00057B78">
              <w:rPr>
                <w:lang w:val="en-GB"/>
              </w:rPr>
              <w:t>Environment and Water</w:t>
            </w:r>
          </w:p>
          <w:p w14:paraId="549DEA80" w14:textId="77777777" w:rsidR="008F1E71" w:rsidRDefault="008F1E71" w:rsidP="00CD647E">
            <w:pPr>
              <w:pStyle w:val="Position"/>
              <w:rPr>
                <w:lang w:val="en-GB"/>
              </w:rPr>
            </w:pPr>
          </w:p>
          <w:p w14:paraId="4D2A5F21" w14:textId="77777777" w:rsidR="00BE7A7A" w:rsidRPr="00A50751" w:rsidRDefault="00BE7A7A" w:rsidP="00CD647E">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425" w:type="dxa"/>
            <w:tcMar>
              <w:left w:w="0" w:type="dxa"/>
              <w:right w:w="0" w:type="dxa"/>
            </w:tcMar>
          </w:tcPr>
          <w:p w14:paraId="6D904143" w14:textId="77777777" w:rsidR="00BE7A7A" w:rsidRPr="00A50751" w:rsidRDefault="00BE7A7A" w:rsidP="00CD647E">
            <w:pPr>
              <w:pStyle w:val="SingleParagraph"/>
              <w:rPr>
                <w:rFonts w:ascii="Book Antiqua" w:hAnsi="Book Antiqua"/>
                <w:lang w:val="en-GB"/>
              </w:rPr>
            </w:pPr>
          </w:p>
        </w:tc>
        <w:tc>
          <w:tcPr>
            <w:tcW w:w="2977" w:type="dxa"/>
          </w:tcPr>
          <w:p w14:paraId="5224A418" w14:textId="77777777" w:rsidR="00BE7A7A" w:rsidRPr="00A50751" w:rsidRDefault="00BE7A7A" w:rsidP="00CD647E">
            <w:pPr>
              <w:pStyle w:val="SingleParagraph"/>
              <w:rPr>
                <w:rFonts w:ascii="Book Antiqua" w:hAnsi="Book Antiqua"/>
                <w:lang w:val="en-GB"/>
              </w:rPr>
            </w:pPr>
          </w:p>
        </w:tc>
      </w:tr>
    </w:tbl>
    <w:p w14:paraId="4B5E90E9" w14:textId="77777777" w:rsidR="00777766" w:rsidRDefault="00777766" w:rsidP="00F52972"/>
    <w:p w14:paraId="4B0B7E15" w14:textId="606AF908" w:rsidR="005C1B4D" w:rsidRDefault="005C1B4D"/>
    <w:sectPr w:rsidR="005C1B4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3F3A" w14:textId="77777777" w:rsidR="00B21251" w:rsidRDefault="00B21251" w:rsidP="00F52972">
      <w:pPr>
        <w:spacing w:after="0" w:line="240" w:lineRule="auto"/>
      </w:pPr>
      <w:r>
        <w:separator/>
      </w:r>
    </w:p>
  </w:endnote>
  <w:endnote w:type="continuationSeparator" w:id="0">
    <w:p w14:paraId="15183639" w14:textId="77777777" w:rsidR="00B21251" w:rsidRDefault="00B21251" w:rsidP="00F5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eastAsia="en-US"/>
      </w:rPr>
      <w:id w:val="-1786103928"/>
      <w:docPartObj>
        <w:docPartGallery w:val="Page Numbers (Bottom of Page)"/>
        <w:docPartUnique/>
      </w:docPartObj>
    </w:sdtPr>
    <w:sdtEndPr>
      <w:rPr>
        <w:noProof/>
      </w:rPr>
    </w:sdtEndPr>
    <w:sdtContent>
      <w:p w14:paraId="1FDAEA2C" w14:textId="5D4E6AC2" w:rsidR="00553A4A" w:rsidRPr="001A051C" w:rsidRDefault="00553A4A" w:rsidP="00B608F8">
        <w:pPr>
          <w:pStyle w:val="HeaderOdd"/>
          <w:tabs>
            <w:tab w:val="num" w:pos="1134"/>
          </w:tabs>
          <w:jc w:val="center"/>
        </w:pPr>
      </w:p>
      <w:p w14:paraId="40241248" w14:textId="24A7947B" w:rsidR="00553A4A" w:rsidRPr="00B608F8" w:rsidRDefault="00553A4A" w:rsidP="00B608F8">
        <w:pPr>
          <w:pStyle w:val="Footer"/>
          <w:jc w:val="center"/>
          <w:rPr>
            <w:sz w:val="18"/>
          </w:rPr>
        </w:pPr>
        <w:r w:rsidRPr="001A051C">
          <w:rPr>
            <w:sz w:val="18"/>
          </w:rPr>
          <w:fldChar w:fldCharType="begin"/>
        </w:r>
        <w:r w:rsidRPr="001A051C">
          <w:rPr>
            <w:sz w:val="18"/>
          </w:rPr>
          <w:instrText xml:space="preserve"> PAGE   \* MERGEFORMAT </w:instrText>
        </w:r>
        <w:r w:rsidRPr="001A051C">
          <w:rPr>
            <w:sz w:val="18"/>
          </w:rPr>
          <w:fldChar w:fldCharType="separate"/>
        </w:r>
        <w:r w:rsidR="00B55014">
          <w:rPr>
            <w:noProof/>
            <w:sz w:val="18"/>
          </w:rPr>
          <w:t>1</w:t>
        </w:r>
        <w:r w:rsidRPr="001A051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F721" w14:textId="77777777" w:rsidR="00B21251" w:rsidRDefault="00B21251" w:rsidP="00F52972">
      <w:pPr>
        <w:spacing w:after="0" w:line="240" w:lineRule="auto"/>
      </w:pPr>
      <w:r>
        <w:separator/>
      </w:r>
    </w:p>
  </w:footnote>
  <w:footnote w:type="continuationSeparator" w:id="0">
    <w:p w14:paraId="1C6D0CE5" w14:textId="77777777" w:rsidR="00B21251" w:rsidRDefault="00B21251" w:rsidP="00F5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C691" w14:textId="25CB9C2F" w:rsidR="00553A4A" w:rsidRDefault="009A2A39" w:rsidP="00F52972">
    <w:pPr>
      <w:pStyle w:val="HeaderOdd"/>
      <w:tabs>
        <w:tab w:val="num" w:pos="1134"/>
      </w:tabs>
      <w:rPr>
        <w:color w:val="800000"/>
      </w:rPr>
    </w:pPr>
    <w:r>
      <w:rPr>
        <w:color w:val="800000"/>
      </w:rPr>
      <w:t>Schedule C</w:t>
    </w:r>
    <w:r w:rsidR="00B608F8">
      <w:rPr>
        <w:color w:val="800000"/>
      </w:rPr>
      <w:br/>
      <w:t>P</w:t>
    </w:r>
    <w:r w:rsidR="00553A4A">
      <w:rPr>
        <w:color w:val="800000"/>
      </w:rPr>
      <w:t xml:space="preserve">roject Agreement for Stage 1 Funding </w:t>
    </w:r>
    <w:r w:rsidR="00553A4A" w:rsidRPr="00CE1733">
      <w:rPr>
        <w:color w:val="800000"/>
      </w:rPr>
      <w:t xml:space="preserve">for </w:t>
    </w:r>
    <w:r w:rsidR="00553A4A">
      <w:rPr>
        <w:color w:val="800000"/>
      </w:rPr>
      <w:t xml:space="preserve">SDL Adjustment </w:t>
    </w:r>
    <w:r w:rsidR="00553A4A" w:rsidRPr="00CE1733">
      <w:rPr>
        <w:color w:val="800000"/>
      </w:rPr>
      <w:t xml:space="preserve">Supply </w:t>
    </w:r>
    <w:r w:rsidR="00553A4A">
      <w:rPr>
        <w:color w:val="800000"/>
      </w:rPr>
      <w:t>and Constraints M</w:t>
    </w:r>
    <w:r w:rsidR="00553A4A" w:rsidRPr="00CE1733">
      <w:rPr>
        <w:color w:val="800000"/>
      </w:rPr>
      <w:t xml:space="preserve">easures in the </w:t>
    </w:r>
    <w:r w:rsidR="00553A4A">
      <w:rPr>
        <w:color w:val="800000"/>
      </w:rPr>
      <w:t>M</w:t>
    </w:r>
    <w:r w:rsidR="00553A4A" w:rsidRPr="00CE1733">
      <w:rPr>
        <w:color w:val="800000"/>
      </w:rPr>
      <w:t xml:space="preserve">urray-Darling </w:t>
    </w:r>
    <w:r w:rsidR="00553A4A">
      <w:rPr>
        <w:color w:val="800000"/>
      </w:rPr>
      <w:t>B</w:t>
    </w:r>
    <w:r w:rsidR="00553A4A" w:rsidRPr="00CE1733">
      <w:rPr>
        <w:color w:val="800000"/>
      </w:rPr>
      <w:t>asin</w:t>
    </w:r>
    <w:r w:rsidR="00553A4A">
      <w:rPr>
        <w:color w:val="8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8D04D68"/>
    <w:multiLevelType w:val="hybridMultilevel"/>
    <w:tmpl w:val="D4A69A5A"/>
    <w:lvl w:ilvl="0" w:tplc="D334F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6B5A"/>
    <w:multiLevelType w:val="hybridMultilevel"/>
    <w:tmpl w:val="58F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92B87"/>
    <w:multiLevelType w:val="multilevel"/>
    <w:tmpl w:val="6A0CC6A2"/>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 w15:restartNumberingAfterBreak="0">
    <w:nsid w:val="17EA2D35"/>
    <w:multiLevelType w:val="hybridMultilevel"/>
    <w:tmpl w:val="EF10C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A084A"/>
    <w:multiLevelType w:val="hybridMultilevel"/>
    <w:tmpl w:val="9DD4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53BB4"/>
    <w:multiLevelType w:val="hybridMultilevel"/>
    <w:tmpl w:val="3230C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EA5B86"/>
    <w:multiLevelType w:val="hybridMultilevel"/>
    <w:tmpl w:val="DF520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267029"/>
    <w:multiLevelType w:val="hybridMultilevel"/>
    <w:tmpl w:val="7EC49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916BA0"/>
    <w:multiLevelType w:val="hybridMultilevel"/>
    <w:tmpl w:val="58DC550C"/>
    <w:lvl w:ilvl="0" w:tplc="0C090001">
      <w:start w:val="1"/>
      <w:numFmt w:val="bullet"/>
      <w:lvlText w:val=""/>
      <w:lvlJc w:val="left"/>
      <w:pPr>
        <w:ind w:left="720" w:hanging="360"/>
      </w:pPr>
      <w:rPr>
        <w:rFonts w:ascii="Symbol" w:hAnsi="Symbol" w:hint="default"/>
      </w:rPr>
    </w:lvl>
    <w:lvl w:ilvl="1" w:tplc="0C090003">
      <w:start w:val="1"/>
      <w:numFmt w:val="bullet"/>
      <w:pStyle w:val="ScheduleNumberedPar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A511E"/>
    <w:multiLevelType w:val="hybridMultilevel"/>
    <w:tmpl w:val="5A388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4" w15:restartNumberingAfterBreak="0">
    <w:nsid w:val="4ED15FCB"/>
    <w:multiLevelType w:val="multilevel"/>
    <w:tmpl w:val="784EBC2C"/>
    <w:lvl w:ilvl="0">
      <w:start w:val="1"/>
      <w:numFmt w:val="decimal"/>
      <w:pStyle w:val="Dot"/>
      <w:lvlText w:val="%1."/>
      <w:lvlJc w:val="left"/>
      <w:pPr>
        <w:tabs>
          <w:tab w:val="num" w:pos="6"/>
        </w:tabs>
        <w:ind w:left="6" w:hanging="720"/>
      </w:pPr>
    </w:lvl>
    <w:lvl w:ilvl="1">
      <w:start w:val="1"/>
      <w:numFmt w:val="decimal"/>
      <w:lvlText w:val="%2."/>
      <w:lvlJc w:val="left"/>
      <w:pPr>
        <w:tabs>
          <w:tab w:val="num" w:pos="726"/>
        </w:tabs>
        <w:ind w:left="726" w:hanging="720"/>
      </w:pPr>
    </w:lvl>
    <w:lvl w:ilvl="2">
      <w:start w:val="1"/>
      <w:numFmt w:val="decimal"/>
      <w:lvlText w:val="%3."/>
      <w:lvlJc w:val="left"/>
      <w:pPr>
        <w:tabs>
          <w:tab w:val="num" w:pos="1446"/>
        </w:tabs>
        <w:ind w:left="1446" w:hanging="720"/>
      </w:pPr>
    </w:lvl>
    <w:lvl w:ilvl="3">
      <w:start w:val="1"/>
      <w:numFmt w:val="decimal"/>
      <w:lvlText w:val="%4."/>
      <w:lvlJc w:val="left"/>
      <w:pPr>
        <w:tabs>
          <w:tab w:val="num" w:pos="2166"/>
        </w:tabs>
        <w:ind w:left="2166" w:hanging="720"/>
      </w:pPr>
    </w:lvl>
    <w:lvl w:ilvl="4">
      <w:start w:val="1"/>
      <w:numFmt w:val="decimal"/>
      <w:lvlText w:val="%5."/>
      <w:lvlJc w:val="left"/>
      <w:pPr>
        <w:tabs>
          <w:tab w:val="num" w:pos="2886"/>
        </w:tabs>
        <w:ind w:left="2886" w:hanging="720"/>
      </w:pPr>
    </w:lvl>
    <w:lvl w:ilvl="5">
      <w:start w:val="1"/>
      <w:numFmt w:val="decimal"/>
      <w:lvlText w:val="%6."/>
      <w:lvlJc w:val="left"/>
      <w:pPr>
        <w:tabs>
          <w:tab w:val="num" w:pos="3606"/>
        </w:tabs>
        <w:ind w:left="3606" w:hanging="720"/>
      </w:pPr>
    </w:lvl>
    <w:lvl w:ilvl="6">
      <w:start w:val="1"/>
      <w:numFmt w:val="decimal"/>
      <w:lvlText w:val="%7."/>
      <w:lvlJc w:val="left"/>
      <w:pPr>
        <w:tabs>
          <w:tab w:val="num" w:pos="4326"/>
        </w:tabs>
        <w:ind w:left="4326" w:hanging="720"/>
      </w:pPr>
    </w:lvl>
    <w:lvl w:ilvl="7">
      <w:start w:val="1"/>
      <w:numFmt w:val="decimal"/>
      <w:lvlText w:val="%8."/>
      <w:lvlJc w:val="left"/>
      <w:pPr>
        <w:tabs>
          <w:tab w:val="num" w:pos="5046"/>
        </w:tabs>
        <w:ind w:left="5046" w:hanging="720"/>
      </w:pPr>
    </w:lvl>
    <w:lvl w:ilvl="8">
      <w:start w:val="1"/>
      <w:numFmt w:val="decimal"/>
      <w:lvlText w:val="%9."/>
      <w:lvlJc w:val="left"/>
      <w:pPr>
        <w:tabs>
          <w:tab w:val="num" w:pos="5766"/>
        </w:tabs>
        <w:ind w:left="5766" w:hanging="720"/>
      </w:pPr>
    </w:lvl>
  </w:abstractNum>
  <w:abstractNum w:abstractNumId="15" w15:restartNumberingAfterBreak="0">
    <w:nsid w:val="54101F79"/>
    <w:multiLevelType w:val="hybridMultilevel"/>
    <w:tmpl w:val="13888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A376C9"/>
    <w:multiLevelType w:val="multilevel"/>
    <w:tmpl w:val="C1DE04AC"/>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7BC9222D"/>
    <w:multiLevelType w:val="hybridMultilevel"/>
    <w:tmpl w:val="82C09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14"/>
  </w:num>
  <w:num w:numId="2">
    <w:abstractNumId w:val="11"/>
  </w:num>
  <w:num w:numId="3">
    <w:abstractNumId w:val="1"/>
  </w:num>
  <w:num w:numId="4">
    <w:abstractNumId w:val="0"/>
  </w:num>
  <w:num w:numId="5">
    <w:abstractNumId w:val="2"/>
  </w:num>
  <w:num w:numId="6">
    <w:abstractNumId w:val="13"/>
  </w:num>
  <w:num w:numId="7">
    <w:abstractNumId w:val="16"/>
  </w:num>
  <w:num w:numId="8">
    <w:abstractNumId w:val="7"/>
  </w:num>
  <w:num w:numId="9">
    <w:abstractNumId w:val="19"/>
  </w:num>
  <w:num w:numId="10">
    <w:abstractNumId w:val="8"/>
  </w:num>
  <w:num w:numId="11">
    <w:abstractNumId w:val="9"/>
  </w:num>
  <w:num w:numId="12">
    <w:abstractNumId w:val="4"/>
  </w:num>
  <w:num w:numId="13">
    <w:abstractNumId w:val="12"/>
  </w:num>
  <w:num w:numId="14">
    <w:abstractNumId w:val="6"/>
  </w:num>
  <w:num w:numId="15">
    <w:abstractNumId w:val="1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5"/>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2"/>
    <w:rsid w:val="000057DA"/>
    <w:rsid w:val="000170F0"/>
    <w:rsid w:val="00017DC3"/>
    <w:rsid w:val="00047CFC"/>
    <w:rsid w:val="00057B78"/>
    <w:rsid w:val="00066DDD"/>
    <w:rsid w:val="00074F46"/>
    <w:rsid w:val="00083EA5"/>
    <w:rsid w:val="00084948"/>
    <w:rsid w:val="00086A8A"/>
    <w:rsid w:val="0009039B"/>
    <w:rsid w:val="0009494A"/>
    <w:rsid w:val="000A1B40"/>
    <w:rsid w:val="000A5E99"/>
    <w:rsid w:val="000A6B3D"/>
    <w:rsid w:val="000B4F2C"/>
    <w:rsid w:val="000B5D42"/>
    <w:rsid w:val="000C3625"/>
    <w:rsid w:val="000D05E4"/>
    <w:rsid w:val="000D15D0"/>
    <w:rsid w:val="000F2D71"/>
    <w:rsid w:val="00112F65"/>
    <w:rsid w:val="00120E0F"/>
    <w:rsid w:val="00140C6B"/>
    <w:rsid w:val="00143EC5"/>
    <w:rsid w:val="00153FED"/>
    <w:rsid w:val="00160774"/>
    <w:rsid w:val="001647A0"/>
    <w:rsid w:val="00190692"/>
    <w:rsid w:val="00190B9D"/>
    <w:rsid w:val="001A051C"/>
    <w:rsid w:val="001B0FE2"/>
    <w:rsid w:val="001B790D"/>
    <w:rsid w:val="001D1DC6"/>
    <w:rsid w:val="001F0B58"/>
    <w:rsid w:val="001F0B98"/>
    <w:rsid w:val="001F2CBB"/>
    <w:rsid w:val="001F4028"/>
    <w:rsid w:val="002000E4"/>
    <w:rsid w:val="00202412"/>
    <w:rsid w:val="002028E2"/>
    <w:rsid w:val="00203B6A"/>
    <w:rsid w:val="00242B60"/>
    <w:rsid w:val="002574AE"/>
    <w:rsid w:val="002702FD"/>
    <w:rsid w:val="00275202"/>
    <w:rsid w:val="00276468"/>
    <w:rsid w:val="0028035B"/>
    <w:rsid w:val="002815F3"/>
    <w:rsid w:val="00283683"/>
    <w:rsid w:val="002A5966"/>
    <w:rsid w:val="002B5318"/>
    <w:rsid w:val="002D7172"/>
    <w:rsid w:val="002E3077"/>
    <w:rsid w:val="00304257"/>
    <w:rsid w:val="003114F3"/>
    <w:rsid w:val="00314329"/>
    <w:rsid w:val="00321B4B"/>
    <w:rsid w:val="003263CE"/>
    <w:rsid w:val="00336836"/>
    <w:rsid w:val="003460CF"/>
    <w:rsid w:val="00352B22"/>
    <w:rsid w:val="003608FF"/>
    <w:rsid w:val="00366F38"/>
    <w:rsid w:val="00367426"/>
    <w:rsid w:val="0037068D"/>
    <w:rsid w:val="0038008A"/>
    <w:rsid w:val="0038078F"/>
    <w:rsid w:val="00392586"/>
    <w:rsid w:val="003A3AF8"/>
    <w:rsid w:val="003C246F"/>
    <w:rsid w:val="003D08AC"/>
    <w:rsid w:val="003D4265"/>
    <w:rsid w:val="003D595E"/>
    <w:rsid w:val="003E358A"/>
    <w:rsid w:val="0040564A"/>
    <w:rsid w:val="00415DFC"/>
    <w:rsid w:val="004166F5"/>
    <w:rsid w:val="0044223C"/>
    <w:rsid w:val="00443550"/>
    <w:rsid w:val="004573BC"/>
    <w:rsid w:val="00462974"/>
    <w:rsid w:val="0047106F"/>
    <w:rsid w:val="00481258"/>
    <w:rsid w:val="00482D4E"/>
    <w:rsid w:val="00483B49"/>
    <w:rsid w:val="00496A56"/>
    <w:rsid w:val="004A3824"/>
    <w:rsid w:val="004C3041"/>
    <w:rsid w:val="004C696B"/>
    <w:rsid w:val="004C6F8F"/>
    <w:rsid w:val="004D6DF6"/>
    <w:rsid w:val="004E4379"/>
    <w:rsid w:val="004E4D9E"/>
    <w:rsid w:val="00500505"/>
    <w:rsid w:val="00512E30"/>
    <w:rsid w:val="00513F94"/>
    <w:rsid w:val="0052084B"/>
    <w:rsid w:val="00527F1F"/>
    <w:rsid w:val="00541A3C"/>
    <w:rsid w:val="0054643C"/>
    <w:rsid w:val="00553A4A"/>
    <w:rsid w:val="00555CBC"/>
    <w:rsid w:val="00557347"/>
    <w:rsid w:val="00560015"/>
    <w:rsid w:val="00576481"/>
    <w:rsid w:val="00582551"/>
    <w:rsid w:val="00584963"/>
    <w:rsid w:val="005851E5"/>
    <w:rsid w:val="005957DD"/>
    <w:rsid w:val="00597824"/>
    <w:rsid w:val="005A0A4F"/>
    <w:rsid w:val="005A1C76"/>
    <w:rsid w:val="005B3310"/>
    <w:rsid w:val="005C1B4D"/>
    <w:rsid w:val="005C55D3"/>
    <w:rsid w:val="005D4F94"/>
    <w:rsid w:val="005E600C"/>
    <w:rsid w:val="005F300A"/>
    <w:rsid w:val="005F7997"/>
    <w:rsid w:val="0061348F"/>
    <w:rsid w:val="00631608"/>
    <w:rsid w:val="006358D3"/>
    <w:rsid w:val="00640594"/>
    <w:rsid w:val="006538BC"/>
    <w:rsid w:val="006562B7"/>
    <w:rsid w:val="00660904"/>
    <w:rsid w:val="0067449B"/>
    <w:rsid w:val="0068206E"/>
    <w:rsid w:val="006847F2"/>
    <w:rsid w:val="006862A6"/>
    <w:rsid w:val="006A50A4"/>
    <w:rsid w:val="006B01E5"/>
    <w:rsid w:val="006B1462"/>
    <w:rsid w:val="006C0BE2"/>
    <w:rsid w:val="006C74E6"/>
    <w:rsid w:val="006D2C29"/>
    <w:rsid w:val="006D5C79"/>
    <w:rsid w:val="006E1882"/>
    <w:rsid w:val="0070658E"/>
    <w:rsid w:val="0072544A"/>
    <w:rsid w:val="00753F1C"/>
    <w:rsid w:val="00777766"/>
    <w:rsid w:val="00780DC8"/>
    <w:rsid w:val="00784A0B"/>
    <w:rsid w:val="00785FA0"/>
    <w:rsid w:val="00786173"/>
    <w:rsid w:val="00794336"/>
    <w:rsid w:val="007A59C7"/>
    <w:rsid w:val="007B56B1"/>
    <w:rsid w:val="007C2F2B"/>
    <w:rsid w:val="007C7B5F"/>
    <w:rsid w:val="007D6E07"/>
    <w:rsid w:val="007E6435"/>
    <w:rsid w:val="00822244"/>
    <w:rsid w:val="008629E4"/>
    <w:rsid w:val="00864248"/>
    <w:rsid w:val="00867688"/>
    <w:rsid w:val="00875444"/>
    <w:rsid w:val="008950A1"/>
    <w:rsid w:val="008A1001"/>
    <w:rsid w:val="008A3856"/>
    <w:rsid w:val="008B4528"/>
    <w:rsid w:val="008B7D23"/>
    <w:rsid w:val="008C6E34"/>
    <w:rsid w:val="008D0857"/>
    <w:rsid w:val="008D0EE2"/>
    <w:rsid w:val="008D178A"/>
    <w:rsid w:val="008D1CE9"/>
    <w:rsid w:val="008D7B1F"/>
    <w:rsid w:val="008E0356"/>
    <w:rsid w:val="008F1E71"/>
    <w:rsid w:val="008F3E0C"/>
    <w:rsid w:val="008F4D10"/>
    <w:rsid w:val="009029DA"/>
    <w:rsid w:val="00903847"/>
    <w:rsid w:val="00903894"/>
    <w:rsid w:val="009072A4"/>
    <w:rsid w:val="00924F97"/>
    <w:rsid w:val="0093252A"/>
    <w:rsid w:val="00940E6B"/>
    <w:rsid w:val="009517A4"/>
    <w:rsid w:val="00952DD4"/>
    <w:rsid w:val="00960043"/>
    <w:rsid w:val="00964C12"/>
    <w:rsid w:val="009651FE"/>
    <w:rsid w:val="009672C9"/>
    <w:rsid w:val="00972FF6"/>
    <w:rsid w:val="009A172E"/>
    <w:rsid w:val="009A2A39"/>
    <w:rsid w:val="009A610F"/>
    <w:rsid w:val="009D5488"/>
    <w:rsid w:val="009D711F"/>
    <w:rsid w:val="009D7C95"/>
    <w:rsid w:val="009E45B5"/>
    <w:rsid w:val="00A00D2E"/>
    <w:rsid w:val="00A14109"/>
    <w:rsid w:val="00A16A18"/>
    <w:rsid w:val="00A21731"/>
    <w:rsid w:val="00A219AD"/>
    <w:rsid w:val="00A308D6"/>
    <w:rsid w:val="00A36DA5"/>
    <w:rsid w:val="00A441DD"/>
    <w:rsid w:val="00A57636"/>
    <w:rsid w:val="00A60640"/>
    <w:rsid w:val="00A84029"/>
    <w:rsid w:val="00A85270"/>
    <w:rsid w:val="00A86FDF"/>
    <w:rsid w:val="00A975B1"/>
    <w:rsid w:val="00AB1992"/>
    <w:rsid w:val="00AB229A"/>
    <w:rsid w:val="00AB3648"/>
    <w:rsid w:val="00AE6848"/>
    <w:rsid w:val="00AF1713"/>
    <w:rsid w:val="00B00B57"/>
    <w:rsid w:val="00B11056"/>
    <w:rsid w:val="00B21251"/>
    <w:rsid w:val="00B22A9A"/>
    <w:rsid w:val="00B254F5"/>
    <w:rsid w:val="00B43A40"/>
    <w:rsid w:val="00B5084B"/>
    <w:rsid w:val="00B53285"/>
    <w:rsid w:val="00B5425F"/>
    <w:rsid w:val="00B55014"/>
    <w:rsid w:val="00B578C5"/>
    <w:rsid w:val="00B578E6"/>
    <w:rsid w:val="00B608F8"/>
    <w:rsid w:val="00B72F08"/>
    <w:rsid w:val="00B74BCB"/>
    <w:rsid w:val="00B75710"/>
    <w:rsid w:val="00B90C27"/>
    <w:rsid w:val="00BA6540"/>
    <w:rsid w:val="00BB74B1"/>
    <w:rsid w:val="00BD180B"/>
    <w:rsid w:val="00BD3ADB"/>
    <w:rsid w:val="00BD7B59"/>
    <w:rsid w:val="00BE7A7A"/>
    <w:rsid w:val="00C12166"/>
    <w:rsid w:val="00C13B8E"/>
    <w:rsid w:val="00C15ED1"/>
    <w:rsid w:val="00C3353D"/>
    <w:rsid w:val="00C3562D"/>
    <w:rsid w:val="00C35DB0"/>
    <w:rsid w:val="00C40B9B"/>
    <w:rsid w:val="00C4669A"/>
    <w:rsid w:val="00C67587"/>
    <w:rsid w:val="00C71BA5"/>
    <w:rsid w:val="00C80635"/>
    <w:rsid w:val="00C81788"/>
    <w:rsid w:val="00C95C71"/>
    <w:rsid w:val="00CA5A5E"/>
    <w:rsid w:val="00CB7E0D"/>
    <w:rsid w:val="00CC32EA"/>
    <w:rsid w:val="00CC34A9"/>
    <w:rsid w:val="00CC3EC7"/>
    <w:rsid w:val="00CD351E"/>
    <w:rsid w:val="00CD5B7D"/>
    <w:rsid w:val="00CD647E"/>
    <w:rsid w:val="00CE1733"/>
    <w:rsid w:val="00CE1E09"/>
    <w:rsid w:val="00CE21E1"/>
    <w:rsid w:val="00CF1B45"/>
    <w:rsid w:val="00D03E83"/>
    <w:rsid w:val="00D1232A"/>
    <w:rsid w:val="00D13152"/>
    <w:rsid w:val="00D24DAC"/>
    <w:rsid w:val="00D356A3"/>
    <w:rsid w:val="00D43A9A"/>
    <w:rsid w:val="00D50D10"/>
    <w:rsid w:val="00D51699"/>
    <w:rsid w:val="00D54B7B"/>
    <w:rsid w:val="00D54F06"/>
    <w:rsid w:val="00D62627"/>
    <w:rsid w:val="00DA523E"/>
    <w:rsid w:val="00DC1F4B"/>
    <w:rsid w:val="00DC5C36"/>
    <w:rsid w:val="00DD127D"/>
    <w:rsid w:val="00DD2ABD"/>
    <w:rsid w:val="00DE293B"/>
    <w:rsid w:val="00DE5984"/>
    <w:rsid w:val="00E001D6"/>
    <w:rsid w:val="00E0175D"/>
    <w:rsid w:val="00E0379F"/>
    <w:rsid w:val="00E1180D"/>
    <w:rsid w:val="00E119F6"/>
    <w:rsid w:val="00E17341"/>
    <w:rsid w:val="00E22559"/>
    <w:rsid w:val="00E366BC"/>
    <w:rsid w:val="00E37066"/>
    <w:rsid w:val="00E4331E"/>
    <w:rsid w:val="00E51419"/>
    <w:rsid w:val="00E6109F"/>
    <w:rsid w:val="00E6516A"/>
    <w:rsid w:val="00E67F20"/>
    <w:rsid w:val="00E81FBF"/>
    <w:rsid w:val="00E92FF3"/>
    <w:rsid w:val="00EA36E3"/>
    <w:rsid w:val="00EC0B80"/>
    <w:rsid w:val="00EC1A15"/>
    <w:rsid w:val="00ED344F"/>
    <w:rsid w:val="00ED38DA"/>
    <w:rsid w:val="00F076F1"/>
    <w:rsid w:val="00F11A40"/>
    <w:rsid w:val="00F32E95"/>
    <w:rsid w:val="00F412E7"/>
    <w:rsid w:val="00F42369"/>
    <w:rsid w:val="00F4253F"/>
    <w:rsid w:val="00F44774"/>
    <w:rsid w:val="00F52972"/>
    <w:rsid w:val="00F5397E"/>
    <w:rsid w:val="00F54104"/>
    <w:rsid w:val="00F54B48"/>
    <w:rsid w:val="00F870D1"/>
    <w:rsid w:val="00FA66AB"/>
    <w:rsid w:val="00FE270E"/>
    <w:rsid w:val="00FF4FA8"/>
    <w:rsid w:val="00FF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427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F8"/>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1"/>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2"/>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3"/>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4"/>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5"/>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6"/>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7"/>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7"/>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7"/>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 w:type="paragraph" w:customStyle="1" w:styleId="Tabletextnumbered">
    <w:name w:val="Table text numbered"/>
    <w:basedOn w:val="ScheduleNumberedPara"/>
    <w:link w:val="TabletextnumberedChar"/>
    <w:qFormat/>
    <w:rsid w:val="00FA66AB"/>
    <w:pPr>
      <w:numPr>
        <w:ilvl w:val="0"/>
        <w:numId w:val="0"/>
      </w:numPr>
      <w:tabs>
        <w:tab w:val="num" w:pos="766"/>
      </w:tabs>
      <w:spacing w:after="120"/>
      <w:ind w:left="482" w:hanging="284"/>
      <w:jc w:val="left"/>
    </w:pPr>
    <w:rPr>
      <w:rFonts w:asciiTheme="majorHAnsi" w:hAnsiTheme="majorHAnsi"/>
      <w:lang w:eastAsia="ja-JP"/>
    </w:rPr>
  </w:style>
  <w:style w:type="character" w:customStyle="1" w:styleId="TabletextnumberedChar">
    <w:name w:val="Table text numbered Char"/>
    <w:basedOn w:val="ScheduleNumberedParaChar"/>
    <w:link w:val="Tabletextnumbered"/>
    <w:rsid w:val="00FA66AB"/>
    <w:rPr>
      <w:rFonts w:asciiTheme="majorHAnsi" w:eastAsia="Times New Roman" w:hAnsiTheme="majorHAnsi" w:cs="Times New Roman"/>
      <w:color w:val="000000"/>
      <w:sz w:val="23"/>
      <w:szCs w:val="20"/>
      <w:lang w:eastAsia="ja-JP"/>
    </w:rPr>
  </w:style>
  <w:style w:type="paragraph" w:styleId="Quote">
    <w:name w:val="Quote"/>
    <w:basedOn w:val="Normal"/>
    <w:next w:val="Normal"/>
    <w:link w:val="QuoteChar"/>
    <w:uiPriority w:val="18"/>
    <w:qFormat/>
    <w:rsid w:val="00E51419"/>
    <w:pPr>
      <w:ind w:left="709" w:right="567"/>
    </w:pPr>
    <w:rPr>
      <w:rFonts w:eastAsia="Times New Roman"/>
      <w:iCs/>
      <w:color w:val="000000"/>
      <w:sz w:val="20"/>
      <w:szCs w:val="24"/>
    </w:rPr>
  </w:style>
  <w:style w:type="character" w:customStyle="1" w:styleId="QuoteChar">
    <w:name w:val="Quote Char"/>
    <w:basedOn w:val="DefaultParagraphFont"/>
    <w:link w:val="Quote"/>
    <w:uiPriority w:val="18"/>
    <w:rsid w:val="00E51419"/>
    <w:rPr>
      <w:rFonts w:eastAsia="Times New Roman"/>
      <w:i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2022FG-64-107335</_dlc_DocId>
    <TaxCatchAll xmlns="0f563589-9cf9-4143-b1eb-fb0534803d38">
      <Value>2</Value>
    </TaxCatchAll>
    <_dlc_DocIdUrl xmlns="0f563589-9cf9-4143-b1eb-fb0534803d38">
      <Url>http://tweb/sites/fg/csrd/_layouts/15/DocIdRedir.aspx?ID=2022FG-64-107335</Url>
      <Description>2022FG-64-107335</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824" ma:contentTypeDescription=" " ma:contentTypeScope="" ma:versionID="0c4dfac9e4aa4580259f7bc2505e359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48D78-071D-4FFC-ACCB-DDF196E1BC73}">
  <ds:schemaRefs>
    <ds:schemaRef ds:uri="http://schemas.microsoft.com/sharepoint/events"/>
  </ds:schemaRefs>
</ds:datastoreItem>
</file>

<file path=customXml/itemProps2.xml><?xml version="1.0" encoding="utf-8"?>
<ds:datastoreItem xmlns:ds="http://schemas.openxmlformats.org/officeDocument/2006/customXml" ds:itemID="{15863870-C840-404B-9A64-EA9FDC76673E}">
  <ds:schemaRefs>
    <ds:schemaRef ds:uri="office.server.policy"/>
  </ds:schemaRefs>
</ds:datastoreItem>
</file>

<file path=customXml/itemProps3.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4.xml><?xml version="1.0" encoding="utf-8"?>
<ds:datastoreItem xmlns:ds="http://schemas.openxmlformats.org/officeDocument/2006/customXml" ds:itemID="{8ADBE87F-2E3B-4FC5-941F-18263FD9F3DC}">
  <ds:schemaRefs>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E43F68E-037C-4F0E-8D49-34CEF7AED274}">
  <ds:schemaRefs>
    <ds:schemaRef ds:uri="http://schemas.openxmlformats.org/officeDocument/2006/bibliography"/>
  </ds:schemaRefs>
</ds:datastoreItem>
</file>

<file path=customXml/itemProps6.xml><?xml version="1.0" encoding="utf-8"?>
<ds:datastoreItem xmlns:ds="http://schemas.openxmlformats.org/officeDocument/2006/customXml" ds:itemID="{EA54D212-38B3-4B28-A0C1-E5CF040BBB67}">
  <ds:schemaRefs>
    <ds:schemaRef ds:uri="Microsoft.SharePoint.Taxonomy.ContentTypeSync"/>
  </ds:schemaRefs>
</ds:datastoreItem>
</file>

<file path=customXml/itemProps7.xml><?xml version="1.0" encoding="utf-8"?>
<ds:datastoreItem xmlns:ds="http://schemas.openxmlformats.org/officeDocument/2006/customXml" ds:itemID="{0E3E2EF9-ED57-49EB-98FC-AFD874D4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Council of Australian Governments - SA - Stage 1 Funding for SDL Adjustment Supply and Contraints Measures in the MDB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 SA - Stage 1 Funding for SDL Adjustment Supply and Contraints Measures in the MDB</dc:title>
  <dc:creator/>
  <cp:lastModifiedBy/>
  <cp:revision>1</cp:revision>
  <dcterms:created xsi:type="dcterms:W3CDTF">2022-05-20T12:12:00Z</dcterms:created>
  <dcterms:modified xsi:type="dcterms:W3CDTF">2022-05-20T12:12:00Z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783f4dfb-05d7-4bd9-bd29-0736af652e74</vt:lpwstr>
  </property>
</Properties>
</file>