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9E47" w14:textId="77777777" w:rsidR="00AD354B" w:rsidRDefault="00B4556C"/>
    <w:p w14:paraId="383DC80F" w14:textId="77777777" w:rsidR="00C91B5F" w:rsidRPr="00F208E2" w:rsidRDefault="00C91B5F" w:rsidP="00C91B5F">
      <w:pPr>
        <w:pStyle w:val="Heading9"/>
        <w:rPr>
          <w:i w:val="0"/>
          <w:color w:val="FF0000"/>
        </w:rPr>
      </w:pPr>
    </w:p>
    <w:p w14:paraId="3530BF1E" w14:textId="77777777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2A20A94F" w14:textId="77777777" w:rsidR="00C91B5F" w:rsidRPr="001E20F4" w:rsidRDefault="009861A3" w:rsidP="00C91B5F">
      <w:pPr>
        <w:pStyle w:val="Title"/>
      </w:pPr>
      <w:r>
        <w:t xml:space="preserve">2022 Floods in New South Wales and Queensland – Additional Legal Assistance </w:t>
      </w:r>
    </w:p>
    <w:p w14:paraId="420BF325" w14:textId="77777777" w:rsidR="00C91B5F" w:rsidRPr="00BE249A" w:rsidRDefault="00D54783" w:rsidP="00C91B5F">
      <w:pPr>
        <w:pStyle w:val="Subtitle"/>
      </w:pPr>
      <w:r>
        <w:t xml:space="preserve">FEDERATION FUNDING AGREEMENT – </w:t>
      </w:r>
      <w:r w:rsidR="00A65C44" w:rsidRPr="00A65C44">
        <w:t>Affordable Housing, Community Services and Other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8EE7C6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F7BBC2A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497B5BE4" w14:textId="77777777" w:rsidTr="00317FB3">
        <w:tc>
          <w:tcPr>
            <w:tcW w:w="1691" w:type="dxa"/>
            <w:shd w:val="clear" w:color="auto" w:fill="auto"/>
          </w:tcPr>
          <w:p w14:paraId="6027AA39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6CBA43FE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40CF47B5" w14:textId="77777777" w:rsidR="009861A3" w:rsidRDefault="009861A3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</w:p>
          <w:p w14:paraId="6AFEBBE6" w14:textId="77777777" w:rsidR="00C91B5F" w:rsidRPr="00F00A18" w:rsidRDefault="009861A3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Queensland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761733C4" w14:textId="77777777" w:rsidTr="00317FB3">
        <w:tc>
          <w:tcPr>
            <w:tcW w:w="1691" w:type="dxa"/>
            <w:shd w:val="clear" w:color="auto" w:fill="auto"/>
          </w:tcPr>
          <w:p w14:paraId="1C81250E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21773AC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9861A3">
              <w:rPr>
                <w:color w:val="auto"/>
              </w:rPr>
              <w:t xml:space="preserve">30 </w:t>
            </w:r>
            <w:r w:rsidR="00513E07">
              <w:rPr>
                <w:color w:val="auto"/>
              </w:rPr>
              <w:t>September</w:t>
            </w:r>
            <w:r w:rsidR="009861A3">
              <w:rPr>
                <w:color w:val="auto"/>
              </w:rPr>
              <w:t xml:space="preserve"> 2023</w:t>
            </w:r>
            <w:r w:rsidRPr="00F00A18">
              <w:rPr>
                <w:color w:val="auto"/>
              </w:rPr>
              <w:t>.</w:t>
            </w:r>
          </w:p>
        </w:tc>
      </w:tr>
      <w:tr w:rsidR="00C91B5F" w:rsidRPr="00F00A18" w14:paraId="3293AFA3" w14:textId="77777777" w:rsidTr="00317FB3">
        <w:tc>
          <w:tcPr>
            <w:tcW w:w="1691" w:type="dxa"/>
            <w:shd w:val="clear" w:color="auto" w:fill="auto"/>
          </w:tcPr>
          <w:p w14:paraId="7329E4F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94257E9" w14:textId="1456466F" w:rsidR="00C91B5F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This Schedule will support the delivery of</w:t>
            </w:r>
            <w:r w:rsidR="00823871">
              <w:rPr>
                <w:color w:val="auto"/>
              </w:rPr>
              <w:t xml:space="preserve"> efficient and effective</w:t>
            </w:r>
            <w:r w:rsidRPr="00F00A18">
              <w:rPr>
                <w:color w:val="auto"/>
              </w:rPr>
              <w:t xml:space="preserve"> </w:t>
            </w:r>
            <w:r w:rsidR="00DB3C1B">
              <w:rPr>
                <w:color w:val="auto"/>
              </w:rPr>
              <w:t xml:space="preserve">legal assistance services </w:t>
            </w:r>
            <w:r w:rsidR="000851A9">
              <w:rPr>
                <w:color w:val="auto"/>
              </w:rPr>
              <w:t>to support relief and recovery in communities affected</w:t>
            </w:r>
            <w:r w:rsidR="00DB3C1B">
              <w:rPr>
                <w:color w:val="auto"/>
              </w:rPr>
              <w:t xml:space="preserve"> by the floods </w:t>
            </w:r>
            <w:r w:rsidR="00A74DDF">
              <w:rPr>
                <w:color w:val="auto"/>
              </w:rPr>
              <w:t xml:space="preserve">in New South Wales </w:t>
            </w:r>
            <w:r w:rsidR="000851A9">
              <w:rPr>
                <w:color w:val="auto"/>
              </w:rPr>
              <w:t xml:space="preserve">and Queensland </w:t>
            </w:r>
            <w:r w:rsidR="00A74DDF">
              <w:rPr>
                <w:color w:val="auto"/>
              </w:rPr>
              <w:t xml:space="preserve">in </w:t>
            </w:r>
            <w:r w:rsidR="00DB3C1B">
              <w:rPr>
                <w:color w:val="auto"/>
              </w:rPr>
              <w:t>February and March 2022</w:t>
            </w:r>
            <w:r w:rsidRPr="00F00A18">
              <w:rPr>
                <w:color w:val="auto"/>
              </w:rPr>
              <w:t>.</w:t>
            </w:r>
          </w:p>
          <w:p w14:paraId="713360AE" w14:textId="0C42697F" w:rsidR="00DB3C1B" w:rsidRDefault="00DB3C1B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This Schedule will </w:t>
            </w:r>
            <w:r w:rsidR="00513E07">
              <w:rPr>
                <w:color w:val="auto"/>
              </w:rPr>
              <w:t>provide funding for</w:t>
            </w:r>
            <w:r w:rsidR="00A74DDF">
              <w:rPr>
                <w:color w:val="auto"/>
              </w:rPr>
              <w:t xml:space="preserve"> existing legal assistance services operating in affected communities:</w:t>
            </w:r>
            <w:r w:rsidR="00513E07">
              <w:rPr>
                <w:color w:val="auto"/>
              </w:rPr>
              <w:t xml:space="preserve"> legal aid commissions, community legal </w:t>
            </w:r>
            <w:proofErr w:type="spellStart"/>
            <w:r w:rsidR="00513E07">
              <w:rPr>
                <w:color w:val="auto"/>
              </w:rPr>
              <w:t>centres</w:t>
            </w:r>
            <w:proofErr w:type="spellEnd"/>
            <w:r w:rsidR="00513E07">
              <w:rPr>
                <w:color w:val="auto"/>
              </w:rPr>
              <w:t>, and Aboriginal and Torres Strait Islander Legal Services.</w:t>
            </w:r>
          </w:p>
          <w:p w14:paraId="5B10E7A6" w14:textId="62D99799" w:rsidR="00513E07" w:rsidRPr="00F00A18" w:rsidRDefault="00A74DDF" w:rsidP="00A74DDF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The availability of these legal assistance services will assist</w:t>
            </w:r>
            <w:r w:rsidR="00513E07">
              <w:rPr>
                <w:color w:val="auto"/>
              </w:rPr>
              <w:t xml:space="preserve"> individuals, small businesses, and primary producers</w:t>
            </w:r>
            <w:r>
              <w:rPr>
                <w:color w:val="auto"/>
              </w:rPr>
              <w:t xml:space="preserve"> to navigate through </w:t>
            </w:r>
            <w:r w:rsidR="000851A9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legal issues that arise in the aftermath of the floods</w:t>
            </w:r>
            <w:r w:rsidR="00513E07">
              <w:rPr>
                <w:color w:val="auto"/>
              </w:rPr>
              <w:t>.</w:t>
            </w:r>
          </w:p>
        </w:tc>
      </w:tr>
      <w:tr w:rsidR="00C91B5F" w:rsidRPr="00F00A18" w14:paraId="48EB1086" w14:textId="77777777" w:rsidTr="00C704D2">
        <w:trPr>
          <w:trHeight w:val="5538"/>
        </w:trPr>
        <w:tc>
          <w:tcPr>
            <w:tcW w:w="1691" w:type="dxa"/>
            <w:shd w:val="clear" w:color="auto" w:fill="auto"/>
          </w:tcPr>
          <w:p w14:paraId="66C5BC01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4ACA709E" w14:textId="77777777" w:rsidR="00C91B5F" w:rsidRPr="00F00A18" w:rsidRDefault="0064121C" w:rsidP="005D3905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EB322D" wp14:editId="2A20EB0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638175</wp:posOffset>
                      </wp:positionV>
                      <wp:extent cx="5133340" cy="143827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7"/>
                                    <w:gridCol w:w="942"/>
                                    <w:gridCol w:w="943"/>
                                    <w:gridCol w:w="943"/>
                                  </w:tblGrid>
                                  <w:tr w:rsidR="009861A3" w:rsidRPr="00101AB3" w14:paraId="268D41A4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29FE4E7C" w14:textId="77777777" w:rsidR="009861A3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1C15B5AE" w14:textId="77777777" w:rsidR="009861A3" w:rsidRPr="005D39DD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7E78465" w14:textId="77777777" w:rsidR="009861A3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57CEC24C" w14:textId="77777777" w:rsidR="009861A3" w:rsidRPr="005D39DD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3200D2E0" w14:textId="77777777" w:rsidR="009861A3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4A6991D" w14:textId="77777777" w:rsidR="009861A3" w:rsidRPr="005D39DD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64CE126" w14:textId="77777777" w:rsidR="009861A3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E66530F" w14:textId="77777777" w:rsidR="009861A3" w:rsidRPr="005D39DD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9861A3" w:rsidRPr="00101AB3" w14:paraId="5CD385D4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41BE63B" w14:textId="77777777" w:rsidR="009861A3" w:rsidRPr="005D39DD" w:rsidRDefault="009861A3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D5C1B03" w14:textId="77777777" w:rsidR="009861A3" w:rsidRPr="005D39DD" w:rsidRDefault="00A7380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</w:t>
                                        </w:r>
                                        <w:r w:rsidR="00513E07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Pr="00A93741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2184F0B3" w14:textId="77777777" w:rsidR="009861A3" w:rsidRPr="005D39DD" w:rsidRDefault="00A9374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="009861A3"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8</w:t>
                                        </w:r>
                                        <w:r w:rsidRPr="00A93741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412B5C2" w14:textId="77777777" w:rsidR="009861A3" w:rsidRPr="005D39DD" w:rsidRDefault="009861A3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5.449</w:t>
                                        </w:r>
                                      </w:p>
                                    </w:tc>
                                  </w:tr>
                                  <w:tr w:rsidR="009861A3" w:rsidRPr="00101AB3" w14:paraId="1425294D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</w:tcPr>
                                      <w:p w14:paraId="39C1F241" w14:textId="77777777" w:rsidR="009861A3" w:rsidRPr="008C6B79" w:rsidRDefault="009861A3" w:rsidP="00C704D2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 w:after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New South Wales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60777217" w14:textId="77777777" w:rsidR="009861A3" w:rsidRPr="005D39DD" w:rsidRDefault="00A2041F" w:rsidP="00C704D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0.821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6160CB53" w14:textId="77777777" w:rsidR="009861A3" w:rsidRPr="005D39DD" w:rsidRDefault="00A2041F" w:rsidP="00C704D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2.465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5965095D" w14:textId="77777777" w:rsidR="009861A3" w:rsidRPr="005D39DD" w:rsidRDefault="00A2041F" w:rsidP="00C704D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3.286</w:t>
                                        </w:r>
                                      </w:p>
                                    </w:tc>
                                  </w:tr>
                                  <w:tr w:rsidR="009861A3" w:rsidRPr="00101AB3" w14:paraId="67A373B6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</w:tcPr>
                                      <w:p w14:paraId="70AE33C1" w14:textId="77777777" w:rsidR="009861A3" w:rsidRPr="008C6B79" w:rsidRDefault="009861A3" w:rsidP="00C91B5F">
                                        <w:pPr>
                                          <w:pStyle w:val="ListParagraph"/>
                                          <w:keepNext/>
                                          <w:keepLines/>
                                          <w:widowControl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60" w:after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  <w:t>Queensland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66046993" w14:textId="77777777" w:rsidR="009861A3" w:rsidRPr="005D39DD" w:rsidRDefault="00A2041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0.541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52530CFC" w14:textId="77777777" w:rsidR="009861A3" w:rsidRPr="005D39DD" w:rsidRDefault="00A2041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1.622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5725FE8E" w14:textId="77777777" w:rsidR="009861A3" w:rsidRPr="005D39DD" w:rsidRDefault="00A2041F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2.163</w:t>
                                        </w:r>
                                      </w:p>
                                    </w:tc>
                                  </w:tr>
                                </w:tbl>
                                <w:p w14:paraId="049AFD10" w14:textId="77777777" w:rsidR="00C91B5F" w:rsidRPr="00101AB3" w:rsidRDefault="00C91B5F" w:rsidP="00A2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50.25pt;width:404.2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F3IgIAAB4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942"/>
                              <w:gridCol w:w="943"/>
                              <w:gridCol w:w="943"/>
                            </w:tblGrid>
                            <w:tr w:rsidR="009861A3" w:rsidRPr="00101AB3" w14:paraId="268D41A4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29FE4E7C" w14:textId="77777777" w:rsidR="009861A3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1C15B5AE" w14:textId="77777777" w:rsidR="009861A3" w:rsidRPr="005D39DD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7E78465" w14:textId="77777777" w:rsidR="009861A3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7CEC24C" w14:textId="77777777" w:rsidR="009861A3" w:rsidRPr="005D39DD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3200D2E0" w14:textId="77777777" w:rsidR="009861A3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4A6991D" w14:textId="77777777" w:rsidR="009861A3" w:rsidRPr="005D39DD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64CE126" w14:textId="77777777" w:rsidR="009861A3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66530F" w14:textId="77777777" w:rsidR="009861A3" w:rsidRPr="005D39DD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861A3" w:rsidRPr="00101AB3" w14:paraId="5CD385D4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41BE63B" w14:textId="77777777" w:rsidR="009861A3" w:rsidRPr="005D39DD" w:rsidRDefault="009861A3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D5C1B03" w14:textId="77777777" w:rsidR="009861A3" w:rsidRPr="005D39DD" w:rsidRDefault="00A7380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513E0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A9374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2184F0B3" w14:textId="77777777" w:rsidR="009861A3" w:rsidRPr="005D39DD" w:rsidRDefault="00A9374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9861A3"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Pr="00A93741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412B5C2" w14:textId="77777777" w:rsidR="009861A3" w:rsidRPr="005D39DD" w:rsidRDefault="009861A3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5.449</w:t>
                                  </w:r>
                                </w:p>
                              </w:tc>
                            </w:tr>
                            <w:tr w:rsidR="009861A3" w:rsidRPr="00101AB3" w14:paraId="1425294D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</w:tcPr>
                                <w:p w14:paraId="39C1F241" w14:textId="77777777" w:rsidR="009861A3" w:rsidRPr="008C6B79" w:rsidRDefault="009861A3" w:rsidP="00C704D2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New South Wales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0777217" w14:textId="77777777" w:rsidR="009861A3" w:rsidRPr="005D39DD" w:rsidRDefault="00A2041F" w:rsidP="00C704D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0.821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6160CB53" w14:textId="77777777" w:rsidR="009861A3" w:rsidRPr="005D39DD" w:rsidRDefault="00A2041F" w:rsidP="00C704D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2.465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965095D" w14:textId="77777777" w:rsidR="009861A3" w:rsidRPr="005D39DD" w:rsidRDefault="00A2041F" w:rsidP="00C704D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3.286</w:t>
                                  </w:r>
                                </w:p>
                              </w:tc>
                            </w:tr>
                            <w:tr w:rsidR="009861A3" w:rsidRPr="00101AB3" w14:paraId="67A373B6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</w:tcPr>
                                <w:p w14:paraId="70AE33C1" w14:textId="77777777" w:rsidR="009861A3" w:rsidRPr="008C6B79" w:rsidRDefault="009861A3" w:rsidP="00C91B5F">
                                  <w:pPr>
                                    <w:pStyle w:val="ListParagraph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pacing w:before="60" w:after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  <w:t>Queensland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6046993" w14:textId="77777777" w:rsidR="009861A3" w:rsidRPr="005D39DD" w:rsidRDefault="00A2041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0.541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2530CFC" w14:textId="77777777" w:rsidR="009861A3" w:rsidRPr="005D39DD" w:rsidRDefault="00A2041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1.622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5725FE8E" w14:textId="77777777" w:rsidR="009861A3" w:rsidRPr="005D39DD" w:rsidRDefault="00A2041F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2.163</w:t>
                                  </w:r>
                                </w:p>
                              </w:tc>
                            </w:tr>
                          </w:tbl>
                          <w:p w14:paraId="049AFD10" w14:textId="77777777" w:rsidR="00C91B5F" w:rsidRPr="00101AB3" w:rsidRDefault="00C91B5F" w:rsidP="00A2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>The Commonwealth will provide an estimated total financial contribution to the States of $</w:t>
            </w:r>
            <w:r w:rsidR="00DB3C1B">
              <w:rPr>
                <w:color w:val="auto"/>
              </w:rPr>
              <w:t>5.449</w:t>
            </w:r>
            <w:r w:rsidR="00C91B5F" w:rsidRPr="00F00A18">
              <w:rPr>
                <w:color w:val="auto"/>
              </w:rPr>
              <w:t>m in respect of this Schedule.</w:t>
            </w:r>
          </w:p>
        </w:tc>
      </w:tr>
      <w:tr w:rsidR="00C91B5F" w:rsidRPr="00F00A18" w14:paraId="41C74F19" w14:textId="77777777" w:rsidTr="00317FB3">
        <w:tc>
          <w:tcPr>
            <w:tcW w:w="1691" w:type="dxa"/>
            <w:shd w:val="clear" w:color="auto" w:fill="auto"/>
          </w:tcPr>
          <w:p w14:paraId="7CE5C9F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lastRenderedPageBreak/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16829234" w14:textId="77777777" w:rsidR="00CB094C" w:rsidRDefault="00CB094C" w:rsidP="00513E07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>The Parties will meet biannually on a bilateral basis to</w:t>
            </w:r>
            <w:r w:rsidR="00222BAD">
              <w:rPr>
                <w:color w:val="auto"/>
              </w:rPr>
              <w:t xml:space="preserve"> discuss the operation of th</w:t>
            </w:r>
            <w:r w:rsidR="00B34962">
              <w:rPr>
                <w:color w:val="auto"/>
              </w:rPr>
              <w:t>is</w:t>
            </w:r>
            <w:r w:rsidR="00222BAD">
              <w:rPr>
                <w:color w:val="auto"/>
              </w:rPr>
              <w:t xml:space="preserve"> Schedule</w:t>
            </w:r>
            <w:r w:rsidR="00B34962">
              <w:rPr>
                <w:color w:val="auto"/>
              </w:rPr>
              <w:t>. This can take place in conjunction with existing bilateral meetings under the National Legal Assistance Partnership 2020-25.</w:t>
            </w:r>
          </w:p>
          <w:p w14:paraId="2A2F9DA6" w14:textId="77777777" w:rsidR="00C91B5F" w:rsidRDefault="00513E07" w:rsidP="00513E07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 w:rsidRPr="00513E07">
              <w:rPr>
                <w:color w:val="auto"/>
              </w:rPr>
              <w:t xml:space="preserve">The Parties note that </w:t>
            </w:r>
            <w:r>
              <w:rPr>
                <w:color w:val="auto"/>
              </w:rPr>
              <w:t>some legal assistance services delivered through funding provided under this Schedule may extend beyond the expiration of this Schedule.</w:t>
            </w:r>
          </w:p>
          <w:p w14:paraId="7FBFAB17" w14:textId="77777777" w:rsidR="00513E07" w:rsidRDefault="00513E07" w:rsidP="00513E07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 States will ensure legal assistance service data is collected and reported consistent with the </w:t>
            </w:r>
            <w:r w:rsidRPr="00CB094C">
              <w:rPr>
                <w:i/>
                <w:color w:val="auto"/>
              </w:rPr>
              <w:t>National Legal Assistance Data Standards Manual</w:t>
            </w:r>
            <w:r>
              <w:rPr>
                <w:color w:val="auto"/>
              </w:rPr>
              <w:t>.</w:t>
            </w:r>
          </w:p>
          <w:p w14:paraId="77137DA0" w14:textId="77777777" w:rsidR="00513E07" w:rsidRPr="00513E07" w:rsidRDefault="00513E07" w:rsidP="00513E07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 States will ensure that funding delivered under this Schedule is not claimed as eligible expenditure under the </w:t>
            </w:r>
            <w:r w:rsidRPr="00513E07">
              <w:rPr>
                <w:i/>
                <w:color w:val="auto"/>
              </w:rPr>
              <w:t>Disaster Recovery Funding Arrangements</w:t>
            </w:r>
            <w:r>
              <w:rPr>
                <w:color w:val="auto"/>
              </w:rPr>
              <w:t>.</w:t>
            </w:r>
          </w:p>
        </w:tc>
      </w:tr>
    </w:tbl>
    <w:p w14:paraId="1632422F" w14:textId="77777777" w:rsidR="00C91B5F" w:rsidRPr="00F00A18" w:rsidRDefault="00C91B5F" w:rsidP="00C91B5F"/>
    <w:p w14:paraId="6595E344" w14:textId="77777777" w:rsidR="00C91B5F" w:rsidRPr="00F00A18" w:rsidRDefault="00C91B5F" w:rsidP="00C91B5F">
      <w:pPr>
        <w:sectPr w:rsidR="00C91B5F" w:rsidRPr="00F00A18" w:rsidSect="00FD7C46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324"/>
        <w:gridCol w:w="1853"/>
        <w:gridCol w:w="1633"/>
      </w:tblGrid>
      <w:tr w:rsidR="00C91B5F" w:rsidRPr="00F00A18" w14:paraId="26C6BD39" w14:textId="77777777" w:rsidTr="00DB3C1B">
        <w:tc>
          <w:tcPr>
            <w:tcW w:w="13938" w:type="dxa"/>
            <w:gridSpan w:val="4"/>
            <w:shd w:val="clear" w:color="auto" w:fill="DEEAF6" w:themeFill="accent1" w:themeFillTint="33"/>
          </w:tcPr>
          <w:p w14:paraId="423C84FD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7BEE25EC" w14:textId="77777777" w:rsidTr="00DB3C1B">
        <w:tc>
          <w:tcPr>
            <w:tcW w:w="3128" w:type="dxa"/>
            <w:shd w:val="clear" w:color="auto" w:fill="F2F2F2" w:themeFill="background1" w:themeFillShade="F2"/>
          </w:tcPr>
          <w:p w14:paraId="3155E8FB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324" w:type="dxa"/>
            <w:shd w:val="clear" w:color="auto" w:fill="F2F2F2" w:themeFill="background1" w:themeFillShade="F2"/>
          </w:tcPr>
          <w:p w14:paraId="47D7C4A4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3B9FB127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785BFC62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DB3C1B" w:rsidRPr="00F00A18" w14:paraId="6467DBA5" w14:textId="77777777" w:rsidTr="00CC0777">
        <w:tc>
          <w:tcPr>
            <w:tcW w:w="312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A31C558" w14:textId="77777777" w:rsidR="00DB3C1B" w:rsidRPr="00F00A18" w:rsidRDefault="00DB3C1B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Delivery of</w:t>
            </w:r>
            <w:r w:rsidR="00513E07">
              <w:rPr>
                <w:color w:val="auto"/>
              </w:rPr>
              <w:t xml:space="preserve"> efficient and effective</w:t>
            </w:r>
            <w:r>
              <w:rPr>
                <w:color w:val="auto"/>
              </w:rPr>
              <w:t xml:space="preserve"> legal assistance services to individuals, small businesses, and primary producers impacted by floods in February and March 2022</w:t>
            </w: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6CAF7C" w14:textId="77777777" w:rsidR="00DB3C1B" w:rsidRPr="00F00A18" w:rsidRDefault="00DB3C1B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Identification of Local Government Areas impacted by the floods in which increased legal assistance services may be required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952540" w14:textId="143C6DE4" w:rsidR="00DB3C1B" w:rsidRPr="00F00A18" w:rsidRDefault="00B4556C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Immediately following execution of this Schedule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C2F618" w14:textId="77777777" w:rsidR="00DB3C1B" w:rsidRPr="00F00A18" w:rsidRDefault="00DB3C1B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A73803">
              <w:rPr>
                <w:color w:val="auto"/>
              </w:rPr>
              <w:t>1</w:t>
            </w:r>
            <w:r w:rsidRPr="00F00A18">
              <w:rPr>
                <w:color w:val="auto"/>
              </w:rPr>
              <w:t>.</w:t>
            </w:r>
            <w:r w:rsidR="00A73803">
              <w:rPr>
                <w:color w:val="auto"/>
              </w:rPr>
              <w:t>362</w:t>
            </w:r>
            <w:r w:rsidRPr="00F00A18">
              <w:rPr>
                <w:color w:val="auto"/>
              </w:rPr>
              <w:t>m</w:t>
            </w:r>
          </w:p>
        </w:tc>
      </w:tr>
      <w:tr w:rsidR="00DB3C1B" w:rsidRPr="00F00A18" w14:paraId="683B054E" w14:textId="77777777" w:rsidTr="00CC0777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F623C7A" w14:textId="77777777" w:rsidR="00DB3C1B" w:rsidRPr="00F00A18" w:rsidRDefault="00DB3C1B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B717F7" w14:textId="60B29ED7" w:rsidR="00DB3C1B" w:rsidRPr="00F00A18" w:rsidRDefault="00DB3C1B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Allocation o</w:t>
            </w:r>
            <w:r w:rsidR="00B4556C">
              <w:rPr>
                <w:color w:val="auto"/>
              </w:rPr>
              <w:t>n allocation or proposed allocation of</w:t>
            </w:r>
            <w:r>
              <w:rPr>
                <w:color w:val="auto"/>
              </w:rPr>
              <w:t xml:space="preserve"> funding to individual legal assistance providers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1F647A" w14:textId="77777777" w:rsidR="00DB3C1B" w:rsidRPr="00F00A18" w:rsidRDefault="00DB3C1B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08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E7EFF" w14:textId="77777777" w:rsidR="00DB3C1B" w:rsidRPr="00F00A18" w:rsidRDefault="00DB3C1B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 w:rsidR="00A93741">
              <w:rPr>
                <w:color w:val="auto"/>
              </w:rPr>
              <w:t>4</w:t>
            </w:r>
            <w:r w:rsidRPr="00F00A18">
              <w:rPr>
                <w:color w:val="auto"/>
              </w:rPr>
              <w:t>.</w:t>
            </w:r>
            <w:r w:rsidR="00A93741">
              <w:rPr>
                <w:color w:val="auto"/>
              </w:rPr>
              <w:t>087</w:t>
            </w:r>
            <w:r w:rsidRPr="00F00A18">
              <w:rPr>
                <w:color w:val="auto"/>
              </w:rPr>
              <w:t>m</w:t>
            </w:r>
          </w:p>
        </w:tc>
      </w:tr>
      <w:tr w:rsidR="00DB3C1B" w:rsidRPr="00F00A18" w14:paraId="71399ECB" w14:textId="77777777" w:rsidTr="00CC0777">
        <w:tc>
          <w:tcPr>
            <w:tcW w:w="312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7672A" w14:textId="77777777" w:rsidR="00DB3C1B" w:rsidRPr="00F00A18" w:rsidRDefault="00DB3C1B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D8A54" w14:textId="77777777" w:rsidR="00DB3C1B" w:rsidRDefault="00CB094C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Collation of the following information relating to services delivered with funding under this Schedule from 1 March 2022 to 30 June 2023:</w:t>
            </w:r>
          </w:p>
          <w:p w14:paraId="62C08AB6" w14:textId="77777777" w:rsidR="00CB094C" w:rsidRDefault="00CB094C" w:rsidP="00CB094C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the number of legal assistance services delivered, disaggregated by service type, primary law type, and problem type (where collected);</w:t>
            </w:r>
          </w:p>
          <w:p w14:paraId="0F964BED" w14:textId="77777777" w:rsidR="00CB094C" w:rsidRDefault="00CB094C" w:rsidP="00CB094C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an outline of any collaborative activities undertaken by legal assistance providers to assist flood relief and recovery, within the legal assistance sector </w:t>
            </w:r>
            <w:r w:rsidR="00A93741">
              <w:rPr>
                <w:color w:val="auto"/>
              </w:rPr>
              <w:t>and</w:t>
            </w:r>
            <w:r>
              <w:rPr>
                <w:color w:val="auto"/>
              </w:rPr>
              <w:t xml:space="preserve"> with other support sectors; and</w:t>
            </w:r>
          </w:p>
          <w:p w14:paraId="13EB747A" w14:textId="77777777" w:rsidR="00CB094C" w:rsidRPr="00F00A18" w:rsidRDefault="00CB094C" w:rsidP="00CB094C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a de-identified case study that demonstrates the outcomes achieved by one or more legal assistance providers in supporting flood relief and recovery for an individual, small business, or primary producer.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03AB2" w14:textId="77777777" w:rsidR="00DB3C1B" w:rsidRPr="00F00A18" w:rsidRDefault="00DB3C1B" w:rsidP="005D3905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08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2023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38985B" w14:textId="2FBE2BB9" w:rsidR="00DB3C1B" w:rsidRPr="00F00A18" w:rsidRDefault="00896642" w:rsidP="005D3905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4A8DB361" w14:textId="77777777" w:rsidR="00C91B5F" w:rsidRDefault="00C91B5F" w:rsidP="00C91B5F"/>
    <w:p w14:paraId="39275DCA" w14:textId="77777777" w:rsidR="001E4650" w:rsidRDefault="001E4650" w:rsidP="00C91B5F">
      <w:pPr>
        <w:rPr>
          <w:lang w:val="en-GB"/>
        </w:rPr>
      </w:pPr>
    </w:p>
    <w:p w14:paraId="5D9681CE" w14:textId="77777777" w:rsidR="001E4650" w:rsidRDefault="001E4650" w:rsidP="00C91B5F">
      <w:pPr>
        <w:rPr>
          <w:lang w:val="en-GB"/>
        </w:rPr>
        <w:sectPr w:rsidR="001E4650" w:rsidSect="009861A3">
          <w:headerReference w:type="even" r:id="rId17"/>
          <w:headerReference w:type="default" r:id="rId18"/>
          <w:headerReference w:type="first" r:id="rId1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FEA269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50A98989" w14:textId="77777777" w:rsidR="00C91B5F" w:rsidRDefault="00C91B5F" w:rsidP="00C91B5F">
      <w:pPr>
        <w:rPr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C91B5F" w:rsidRPr="00A50751" w14:paraId="057101FA" w14:textId="77777777" w:rsidTr="001E4650">
        <w:trPr>
          <w:cantSplit/>
          <w:jc w:val="center"/>
        </w:trPr>
        <w:tc>
          <w:tcPr>
            <w:tcW w:w="5103" w:type="dxa"/>
          </w:tcPr>
          <w:p w14:paraId="130E1C1F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1F599274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4A5420AA" w14:textId="77777777" w:rsidR="00C91B5F" w:rsidRDefault="001E4650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Senator t</w:t>
            </w:r>
            <w:r w:rsidR="00C91B5F">
              <w:rPr>
                <w:rStyle w:val="Bold"/>
              </w:rPr>
              <w:t xml:space="preserve">he Honourable </w:t>
            </w:r>
            <w:proofErr w:type="spellStart"/>
            <w:r>
              <w:rPr>
                <w:rStyle w:val="Bold"/>
              </w:rPr>
              <w:t>Michaelia</w:t>
            </w:r>
            <w:proofErr w:type="spellEnd"/>
            <w:r>
              <w:rPr>
                <w:rStyle w:val="Bold"/>
              </w:rPr>
              <w:t xml:space="preserve"> Cash</w:t>
            </w:r>
          </w:p>
          <w:p w14:paraId="18760043" w14:textId="77777777" w:rsidR="00C91B5F" w:rsidRDefault="001E4650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Attorney-General</w:t>
            </w:r>
          </w:p>
          <w:p w14:paraId="01F4D067" w14:textId="77777777" w:rsidR="00C91B5F" w:rsidRDefault="00C91B5F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7EBAC87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5103" w:type="dxa"/>
          </w:tcPr>
          <w:p w14:paraId="174677DC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</w:tr>
      <w:tr w:rsidR="009861A3" w:rsidRPr="00A50751" w14:paraId="3100FC5F" w14:textId="77777777" w:rsidTr="001E4650">
        <w:trPr>
          <w:cantSplit/>
          <w:jc w:val="center"/>
        </w:trPr>
        <w:tc>
          <w:tcPr>
            <w:tcW w:w="5103" w:type="dxa"/>
          </w:tcPr>
          <w:p w14:paraId="5B657922" w14:textId="77777777" w:rsidR="009861A3" w:rsidRPr="00F00A18" w:rsidRDefault="009861A3" w:rsidP="009861A3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00A18">
                  <w:rPr>
                    <w:color w:val="auto"/>
                  </w:rPr>
                  <w:t>New South Wales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5EE4F8B9" w14:textId="77777777" w:rsidR="009861A3" w:rsidRPr="00F00A18" w:rsidRDefault="009861A3" w:rsidP="009861A3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tab/>
            </w:r>
          </w:p>
          <w:p w14:paraId="1126B637" w14:textId="77777777" w:rsidR="009861A3" w:rsidRPr="00F00A18" w:rsidRDefault="009861A3" w:rsidP="009861A3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="00CB094C">
              <w:rPr>
                <w:rStyle w:val="Bold"/>
                <w:color w:val="auto"/>
              </w:rPr>
              <w:t>Mark Speakman SC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152909C4" w14:textId="77777777" w:rsidR="009861A3" w:rsidRPr="00F00A18" w:rsidRDefault="001E4650" w:rsidP="009861A3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Attorney General of New South Wales</w:t>
            </w:r>
            <w:r w:rsidR="009861A3" w:rsidRPr="00F00A18">
              <w:rPr>
                <w:color w:val="auto"/>
                <w:lang w:val="en-GB"/>
              </w:rPr>
              <w:t xml:space="preserve"> </w:t>
            </w:r>
          </w:p>
          <w:p w14:paraId="62685701" w14:textId="77777777" w:rsidR="009861A3" w:rsidRDefault="009861A3" w:rsidP="009861A3">
            <w:pPr>
              <w:pStyle w:val="Signed"/>
              <w:rPr>
                <w:rStyle w:val="SignedBold"/>
              </w:rPr>
            </w:pPr>
            <w:r w:rsidRPr="00F00A18" w:rsidDel="00542A8C">
              <w:rPr>
                <w:color w:val="auto"/>
                <w:lang w:val="en-GB"/>
              </w:rPr>
              <w:t xml:space="preserve"> </w:t>
            </w: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7DEA10C" w14:textId="77777777" w:rsidR="009861A3" w:rsidRPr="00A50751" w:rsidRDefault="009861A3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5103" w:type="dxa"/>
          </w:tcPr>
          <w:p w14:paraId="12D5217A" w14:textId="77777777" w:rsidR="009861A3" w:rsidRPr="004A0AE7" w:rsidRDefault="009861A3" w:rsidP="009861A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A0AE7">
                  <w:t>Queensland</w:t>
                </w:r>
              </w:smartTag>
            </w:smartTag>
            <w:r w:rsidRPr="004A0AE7">
              <w:t xml:space="preserve"> by</w:t>
            </w:r>
          </w:p>
          <w:p w14:paraId="1572102D" w14:textId="77777777" w:rsidR="009861A3" w:rsidRPr="00A50751" w:rsidRDefault="009861A3" w:rsidP="009861A3">
            <w:pPr>
              <w:pStyle w:val="LineForSignature"/>
            </w:pPr>
            <w:r w:rsidRPr="00A50751">
              <w:tab/>
            </w:r>
          </w:p>
          <w:p w14:paraId="53E3536E" w14:textId="77777777" w:rsidR="009861A3" w:rsidRDefault="009861A3" w:rsidP="009861A3">
            <w:pPr>
              <w:pStyle w:val="SingleParagraph"/>
              <w:rPr>
                <w:b/>
              </w:rPr>
            </w:pPr>
            <w:r>
              <w:rPr>
                <w:b/>
              </w:rPr>
              <w:t xml:space="preserve">The Honourable </w:t>
            </w:r>
            <w:r w:rsidR="001E4650">
              <w:rPr>
                <w:rStyle w:val="Bold"/>
              </w:rPr>
              <w:t xml:space="preserve">Shannon </w:t>
            </w:r>
            <w:proofErr w:type="spellStart"/>
            <w:r w:rsidR="001E4650">
              <w:rPr>
                <w:rStyle w:val="Bold"/>
              </w:rPr>
              <w:t>Fentiman</w:t>
            </w:r>
            <w:proofErr w:type="spellEnd"/>
            <w:r>
              <w:rPr>
                <w:rStyle w:val="Bold"/>
              </w:rPr>
              <w:t xml:space="preserve"> </w:t>
            </w:r>
            <w:r>
              <w:rPr>
                <w:b/>
              </w:rPr>
              <w:t>MP</w:t>
            </w:r>
          </w:p>
          <w:p w14:paraId="53048EEF" w14:textId="77777777" w:rsidR="009861A3" w:rsidRDefault="001E4650" w:rsidP="009861A3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Attorney-General of Queensland</w:t>
            </w:r>
            <w:r w:rsidR="009861A3">
              <w:rPr>
                <w:lang w:val="en-GB"/>
              </w:rPr>
              <w:t xml:space="preserve"> </w:t>
            </w:r>
          </w:p>
          <w:p w14:paraId="70EC36D8" w14:textId="77777777" w:rsidR="009861A3" w:rsidRDefault="009861A3" w:rsidP="009861A3">
            <w:pPr>
              <w:pStyle w:val="Signed"/>
              <w:rPr>
                <w:rStyle w:val="SignedBold"/>
              </w:rPr>
            </w:pPr>
            <w:r w:rsidRPr="00B00778" w:rsidDel="00542A8C">
              <w:rPr>
                <w:lang w:val="en-GB"/>
              </w:rPr>
              <w:t xml:space="preserve"> </w:t>
            </w:r>
            <w:r>
              <w:rPr>
                <w:lang w:val="en-GB"/>
              </w:rPr>
              <w:t>[Day]  [Month]  [Year]</w:t>
            </w:r>
          </w:p>
        </w:tc>
      </w:tr>
    </w:tbl>
    <w:p w14:paraId="0DDEA4C0" w14:textId="77777777" w:rsidR="00C91B5F" w:rsidRDefault="00C91B5F" w:rsidP="009861A3"/>
    <w:sectPr w:rsidR="00C91B5F" w:rsidSect="001E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BDD8" w14:textId="77777777" w:rsidR="00237ABC" w:rsidRDefault="00237ABC">
      <w:r>
        <w:separator/>
      </w:r>
    </w:p>
  </w:endnote>
  <w:endnote w:type="continuationSeparator" w:id="0">
    <w:p w14:paraId="42C3FBFB" w14:textId="77777777" w:rsidR="00237ABC" w:rsidRDefault="0023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34A9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B90C" w14:textId="77777777" w:rsidR="00815B50" w:rsidRDefault="00B4556C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F04" w14:textId="77777777" w:rsidR="00815B50" w:rsidRPr="00CA24B0" w:rsidRDefault="00B4556C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243B" w14:textId="77777777" w:rsidR="00237ABC" w:rsidRDefault="00237ABC">
      <w:r>
        <w:separator/>
      </w:r>
    </w:p>
  </w:footnote>
  <w:footnote w:type="continuationSeparator" w:id="0">
    <w:p w14:paraId="4371B40A" w14:textId="77777777" w:rsidR="00237ABC" w:rsidRDefault="0023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34F7" w14:textId="77777777" w:rsidR="00815B50" w:rsidRDefault="00B4556C" w:rsidP="007E44E6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76AC9835" w14:textId="77777777" w:rsidR="00815B50" w:rsidRDefault="00B45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482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FC84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965E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0D90"/>
    <w:multiLevelType w:val="hybridMultilevel"/>
    <w:tmpl w:val="B8A88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7CF50968"/>
    <w:multiLevelType w:val="hybridMultilevel"/>
    <w:tmpl w:val="51DA87F8"/>
    <w:lvl w:ilvl="0" w:tplc="FCEED9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851A9"/>
    <w:rsid w:val="000A5580"/>
    <w:rsid w:val="000B628A"/>
    <w:rsid w:val="00101F13"/>
    <w:rsid w:val="00134D05"/>
    <w:rsid w:val="00152DDA"/>
    <w:rsid w:val="0016409B"/>
    <w:rsid w:val="00190756"/>
    <w:rsid w:val="001E4650"/>
    <w:rsid w:val="00222BAD"/>
    <w:rsid w:val="00237ABC"/>
    <w:rsid w:val="002547D0"/>
    <w:rsid w:val="002B37B9"/>
    <w:rsid w:val="00316DFD"/>
    <w:rsid w:val="00317FB3"/>
    <w:rsid w:val="003D3B87"/>
    <w:rsid w:val="003F7AB4"/>
    <w:rsid w:val="00447D0B"/>
    <w:rsid w:val="004D6C3C"/>
    <w:rsid w:val="00513E07"/>
    <w:rsid w:val="005625F8"/>
    <w:rsid w:val="0064121C"/>
    <w:rsid w:val="006B6E73"/>
    <w:rsid w:val="00736741"/>
    <w:rsid w:val="00744A83"/>
    <w:rsid w:val="00823871"/>
    <w:rsid w:val="00884E8F"/>
    <w:rsid w:val="00896642"/>
    <w:rsid w:val="008B742D"/>
    <w:rsid w:val="008E62E2"/>
    <w:rsid w:val="00932D28"/>
    <w:rsid w:val="009861A3"/>
    <w:rsid w:val="009B6B3F"/>
    <w:rsid w:val="009C3443"/>
    <w:rsid w:val="009D5BA6"/>
    <w:rsid w:val="00A020B2"/>
    <w:rsid w:val="00A2041F"/>
    <w:rsid w:val="00A65C44"/>
    <w:rsid w:val="00A7101C"/>
    <w:rsid w:val="00A73803"/>
    <w:rsid w:val="00A74DDF"/>
    <w:rsid w:val="00A93741"/>
    <w:rsid w:val="00AC4F8A"/>
    <w:rsid w:val="00AE468E"/>
    <w:rsid w:val="00B2472C"/>
    <w:rsid w:val="00B34962"/>
    <w:rsid w:val="00B4556C"/>
    <w:rsid w:val="00B63981"/>
    <w:rsid w:val="00BB0778"/>
    <w:rsid w:val="00BD6E01"/>
    <w:rsid w:val="00C47331"/>
    <w:rsid w:val="00C704D2"/>
    <w:rsid w:val="00C875AA"/>
    <w:rsid w:val="00C91B5F"/>
    <w:rsid w:val="00CA54E0"/>
    <w:rsid w:val="00CB094C"/>
    <w:rsid w:val="00CC7C04"/>
    <w:rsid w:val="00CF0B25"/>
    <w:rsid w:val="00D54783"/>
    <w:rsid w:val="00D72A49"/>
    <w:rsid w:val="00D859A1"/>
    <w:rsid w:val="00D95A3C"/>
    <w:rsid w:val="00DB3C1B"/>
    <w:rsid w:val="00DE0037"/>
    <w:rsid w:val="00E918BA"/>
    <w:rsid w:val="00F13D07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0156E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0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2022FG-64-105692</_dlc_DocId>
    <_dlc_DocIdUrl xmlns="0f563589-9cf9-4143-b1eb-fb0534803d38">
      <Url>http://tweb/sites/fg/csrd/_layouts/15/DocIdRedir.aspx?ID=2022FG-64-105692</Url>
      <Description>2022FG-64-105692</Description>
    </_dlc_DocIdUrl>
  </documentManagement>
</p:propertie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6583" ma:contentTypeDescription=" " ma:contentTypeScope="" ma:versionID="3f5ccbb016772575d152974949b59e5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FD900B8-6070-407E-B433-89E316A15907}">
  <ds:schemaRefs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65ACE-AD7D-4F61-BF0B-28C2AA570E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71649-D103-48E0-9B5F-BAA18E6DBC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B00DAF-017B-4BBE-92EA-610A20C1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47E25A-4A0F-4064-9AA3-BC512B33075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Pennifold, Lauren</cp:lastModifiedBy>
  <cp:revision>2</cp:revision>
  <dcterms:created xsi:type="dcterms:W3CDTF">2022-05-10T05:18:00Z</dcterms:created>
  <dcterms:modified xsi:type="dcterms:W3CDTF">2022-05-10T05:18:00Z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ed715a05-2621-4f36-a004-e536863fc9b8</vt:lpwstr>
  </property>
</Properties>
</file>