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1" w:after="0" w:line="196" w:lineRule="exact"/>
        <w:ind w:right="0" w:left="0" w:firstLine="0"/>
        <w:jc w:val="right"/>
        <w:textAlignment w:val="baseline"/>
        <w:rPr>
          <w:rFonts w:ascii="Corbel" w:hAnsi="Corbel" w:eastAsia="Corbel"/>
          <w:color w:val="7F0000"/>
          <w:spacing w:val="0"/>
          <w:w w:val="100"/>
          <w:sz w:val="18"/>
          <w:vertAlign w:val="baseline"/>
          <w:lang w:val="en-US"/>
        </w:rPr>
      </w:pPr>
      <w:r>
        <w:rPr>
          <w:rFonts w:ascii="Corbel" w:hAnsi="Corbel" w:eastAsia="Corbel"/>
          <w:color w:val="7F0000"/>
          <w:spacing w:val="0"/>
          <w:w w:val="100"/>
          <w:sz w:val="18"/>
          <w:vertAlign w:val="baseline"/>
          <w:lang w:val="en-US"/>
        </w:rPr>
        <w:t xml:space="preserve">Schedule E - Project Agreement for Stage 1 Funding for SDL Adjustment Supply and Constraints Measures in the</w:t>
      </w:r>
    </w:p>
    <w:p>
      <w:pPr>
        <w:pageBreakBefore w:val="false"/>
        <w:spacing w:before="25" w:after="964" w:line="196" w:lineRule="exact"/>
        <w:ind w:right="0" w:left="0" w:firstLine="0"/>
        <w:jc w:val="right"/>
        <w:textAlignment w:val="baseline"/>
        <w:rPr>
          <w:rFonts w:ascii="Corbel" w:hAnsi="Corbel" w:eastAsia="Corbel"/>
          <w:color w:val="7F0000"/>
          <w:spacing w:val="0"/>
          <w:w w:val="100"/>
          <w:sz w:val="18"/>
          <w:vertAlign w:val="baseline"/>
          <w:lang w:val="en-US"/>
        </w:rPr>
      </w:pPr>
      <w:r>
        <w:rPr>
          <w:rFonts w:ascii="Corbel" w:hAnsi="Corbel" w:eastAsia="Corbel"/>
          <w:color w:val="7F0000"/>
          <w:spacing w:val="0"/>
          <w:w w:val="100"/>
          <w:sz w:val="18"/>
          <w:vertAlign w:val="baseline"/>
          <w:lang w:val="en-US"/>
        </w:rPr>
        <w:t xml:space="preserve">Murray-Darling Basin</w:t>
      </w:r>
    </w:p>
    <w:p>
      <w:pPr>
        <w:pageBreakBefore w:val="false"/>
        <w:spacing w:before="29" w:after="0" w:line="381" w:lineRule="exact"/>
        <w:ind w:right="0" w:left="0" w:firstLine="0"/>
        <w:jc w:val="right"/>
        <w:textAlignment w:val="baseline"/>
        <w:rPr>
          <w:rFonts w:ascii="Consolas" w:hAnsi="Consolas" w:eastAsia="Consolas"/>
          <w:color w:val="3C4A67"/>
          <w:spacing w:val="0"/>
          <w:w w:val="100"/>
          <w:sz w:val="35"/>
          <w:vertAlign w:val="baseline"/>
          <w:lang w:val="en-US"/>
        </w:rPr>
      </w:pPr>
      <w:r>
        <w:rPr>
          <w:rFonts w:ascii="Consolas" w:hAnsi="Consolas" w:eastAsia="Consolas"/>
          <w:color w:val="3C4A67"/>
          <w:spacing w:val="0"/>
          <w:w w:val="100"/>
          <w:sz w:val="35"/>
          <w:vertAlign w:val="baseline"/>
          <w:lang w:val="en-US"/>
        </w:rPr>
        <w:t xml:space="preserve">Schedule E</w:t>
      </w:r>
    </w:p>
    <w:p>
      <w:pPr>
        <w:pageBreakBefore w:val="false"/>
        <w:spacing w:before="223" w:after="249" w:line="610" w:lineRule="exact"/>
        <w:ind w:right="0" w:left="0" w:firstLine="0"/>
        <w:jc w:val="left"/>
        <w:textAlignment w:val="baseline"/>
        <w:rPr>
          <w:rFonts w:ascii="Consolas" w:hAnsi="Consolas" w:eastAsia="Consolas"/>
          <w:color w:val="3C4A67"/>
          <w:spacing w:val="0"/>
          <w:w w:val="100"/>
          <w:sz w:val="51"/>
          <w:vertAlign w:val="baseline"/>
          <w:lang w:val="en-US"/>
        </w:rPr>
      </w:pPr>
      <w:r>
        <w:rPr>
          <w:rFonts w:ascii="Consolas" w:hAnsi="Consolas" w:eastAsia="Consolas"/>
          <w:color w:val="3C4A67"/>
          <w:spacing w:val="0"/>
          <w:w w:val="100"/>
          <w:sz w:val="51"/>
          <w:vertAlign w:val="baseline"/>
          <w:lang w:val="en-US"/>
        </w:rPr>
        <w:t xml:space="preserve">Stage 1 Funding for Victorian Constraints Measures Program</w:t>
      </w:r>
    </w:p>
    <w:p>
      <w:pPr>
        <w:pageBreakBefore w:val="false"/>
        <w:spacing w:before="30" w:after="0" w:line="226" w:lineRule="exact"/>
        <w:ind w:right="0" w:left="0" w:firstLine="0"/>
        <w:jc w:val="left"/>
        <w:textAlignment w:val="baseline"/>
        <w:rPr>
          <w:rFonts w:ascii="Consolas" w:hAnsi="Consolas" w:eastAsia="Consolas"/>
          <w:b w:val="true"/>
          <w:color w:val="C6823D"/>
          <w:spacing w:val="47"/>
          <w:w w:val="100"/>
          <w:sz w:val="22"/>
          <w:vertAlign w:val="baseline"/>
          <w:lang w:val="en-US"/>
        </w:rPr>
      </w:pPr>
      <w:r>
        <w:rPr>
          <w:rFonts w:ascii="Consolas" w:hAnsi="Consolas" w:eastAsia="Consolas"/>
          <w:b w:val="true"/>
          <w:color w:val="C6823D"/>
          <w:spacing w:val="47"/>
          <w:w w:val="100"/>
          <w:sz w:val="22"/>
          <w:vertAlign w:val="baseline"/>
          <w:lang w:val="en-US"/>
        </w:rPr>
        <w:t xml:space="preserve">PROJECT AGREEMENT FOR STAGE 1 FUNDING FOR</w:t>
      </w:r>
    </w:p>
    <w:p>
      <w:pPr>
        <w:pageBreakBefore w:val="false"/>
        <w:spacing w:before="1" w:after="0" w:line="256" w:lineRule="exact"/>
        <w:ind w:right="144" w:left="0" w:firstLine="0"/>
        <w:jc w:val="both"/>
        <w:textAlignment w:val="baseline"/>
        <w:rPr>
          <w:rFonts w:ascii="Consolas" w:hAnsi="Consolas" w:eastAsia="Consolas"/>
          <w:b w:val="true"/>
          <w:color w:val="C6823D"/>
          <w:spacing w:val="38"/>
          <w:w w:val="100"/>
          <w:sz w:val="22"/>
          <w:vertAlign w:val="baseline"/>
          <w:lang w:val="en-US"/>
        </w:rPr>
      </w:pPr>
      <w:r>
        <w:rPr>
          <w:rFonts w:ascii="Consolas" w:hAnsi="Consolas" w:eastAsia="Consolas"/>
          <w:b w:val="true"/>
          <w:color w:val="C6823D"/>
          <w:spacing w:val="38"/>
          <w:w w:val="100"/>
          <w:sz w:val="22"/>
          <w:vertAlign w:val="baseline"/>
          <w:lang w:val="en-US"/>
        </w:rPr>
        <w:t xml:space="preserve">SUSTAINABLE DIVERSION LIMITS ( S D L ) ADJUSTMENT SUPPLY AND CONSTRAINTS MEASURES I N THE MURRAY-DARLING BASIN</w:t>
      </w:r>
    </w:p>
    <w:p>
      <w:pPr>
        <w:pageBreakBefore w:val="false"/>
        <w:numPr>
          <w:ilvl w:val="0"/>
          <w:numId w:val="1"/>
        </w:numPr>
        <w:tabs>
          <w:tab w:val="clear" w:pos="576"/>
          <w:tab w:val="left" w:pos="576"/>
        </w:tabs>
        <w:spacing w:before="488" w:after="0" w:line="263" w:lineRule="exact"/>
        <w:ind w:right="0"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This Schedule has been developed in accordance with Clause 18 of the Project Agreement for Stage 1 Funding for Sustainable Diversion Limits (SDL) Adjustment Supply and Constraints Measures in the Murray-Darling Basin [the Agreement].</w:t>
      </w:r>
    </w:p>
    <w:p>
      <w:pPr>
        <w:pageBreakBefore w:val="false"/>
        <w:numPr>
          <w:ilvl w:val="0"/>
          <w:numId w:val="1"/>
        </w:numPr>
        <w:tabs>
          <w:tab w:val="clear" w:pos="576"/>
          <w:tab w:val="left" w:pos="576"/>
        </w:tabs>
        <w:spacing w:before="224" w:after="0" w:line="280" w:lineRule="exact"/>
        <w:ind w:right="0" w:left="576" w:hanging="576"/>
        <w:jc w:val="both"/>
        <w:textAlignment w:val="baseline"/>
        <w:rPr>
          <w:rFonts w:ascii="Corbel" w:hAnsi="Corbel" w:eastAsia="Corbel"/>
          <w:color w:val="000000"/>
          <w:spacing w:val="1"/>
          <w:w w:val="100"/>
          <w:sz w:val="23"/>
          <w:vertAlign w:val="baseline"/>
          <w:lang w:val="en-US"/>
        </w:rPr>
      </w:pPr>
      <w:r>
        <w:rPr>
          <w:rFonts w:ascii="Corbel" w:hAnsi="Corbel" w:eastAsia="Corbel"/>
          <w:color w:val="000000"/>
          <w:spacing w:val="1"/>
          <w:w w:val="100"/>
          <w:sz w:val="23"/>
          <w:vertAlign w:val="baseline"/>
          <w:lang w:val="en-US"/>
        </w:rPr>
        <w:t xml:space="preserve">This Schedule will commence as soon as it is agreed between the Commonwealth and Victoria and will expire on 30 September 2022, or on completion of agreed activities, including final performance reporting and processing of final payments against milestones.</w:t>
      </w:r>
    </w:p>
    <w:p>
      <w:pPr>
        <w:pageBreakBefore w:val="false"/>
        <w:numPr>
          <w:ilvl w:val="0"/>
          <w:numId w:val="1"/>
        </w:numPr>
        <w:tabs>
          <w:tab w:val="clear" w:pos="576"/>
          <w:tab w:val="left" w:pos="576"/>
        </w:tabs>
        <w:spacing w:before="287" w:after="0" w:line="263" w:lineRule="exact"/>
        <w:ind w:right="0"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The Commonwealth will provide an estimated total financial contribution to Victoria of up to $8.255 million in respect of this Schedule as shown in Table 1. All payments are GST exclusive.</w:t>
      </w:r>
    </w:p>
    <w:p>
      <w:pPr>
        <w:pageBreakBefore w:val="false"/>
        <w:spacing w:before="250" w:after="221" w:line="258" w:lineRule="exact"/>
        <w:ind w:right="0" w:left="0" w:firstLine="0"/>
        <w:jc w:val="left"/>
        <w:textAlignment w:val="baseline"/>
        <w:rPr>
          <w:rFonts w:ascii="Corbel" w:hAnsi="Corbel" w:eastAsia="Corbel"/>
          <w:b w:val="true"/>
          <w:color w:val="000000"/>
          <w:spacing w:val="0"/>
          <w:w w:val="100"/>
          <w:sz w:val="23"/>
          <w:vertAlign w:val="baseline"/>
          <w:lang w:val="en-US"/>
        </w:rPr>
      </w:pPr>
      <w:r>
        <w:rPr>
          <w:rFonts w:ascii="Corbel" w:hAnsi="Corbel" w:eastAsia="Corbel"/>
          <w:b w:val="true"/>
          <w:color w:val="000000"/>
          <w:spacing w:val="0"/>
          <w:w w:val="100"/>
          <w:sz w:val="23"/>
          <w:vertAlign w:val="baseline"/>
          <w:lang w:val="en-US"/>
        </w:rPr>
        <w:t xml:space="preserve">Table 1: Estimated financial contributions</w:t>
      </w:r>
    </w:p>
    <w:p>
      <w:pPr>
        <w:rPr>
          <w:sz w:val="2"/>
        </w:rPr>
      </w:pPr>
      <w:r>
        <w:pict>
          <v:line strokeweight="0.7pt" strokecolor="#00007F" from="71.05pt,482.9pt" to="454.35pt,482.9pt" style="position:absolute;mso-position-horizontal-relative:page;mso-position-vertical-relative:page;">
            <v:stroke dashstyle="solid"/>
          </v:line>
        </w:pict>
      </w:r>
      <w:r>
        <w:pict>
          <v:line strokeweight="0.7pt" strokecolor="#00007F" from="71.05pt,591.35pt" to="454.35pt,591.35pt" style="position:absolute;mso-position-horizontal-relative:page;mso-position-vertical-relative:page;">
            <v:stroke dashstyle="solid"/>
          </v:line>
        </w:pict>
      </w:r>
    </w:p>
    <w:tbl>
      <w:tblPr>
        <w:jc w:val="left"/>
        <w:tblLayout w:type="fixed"/>
        <w:tblCellMar>
          <w:left w:w="0" w:type="dxa"/>
          <w:right w:w="0" w:type="dxa"/>
        </w:tblCellMar>
      </w:tblPr>
      <w:tblGrid>
        <w:gridCol w:w="3346"/>
        <w:gridCol w:w="1296"/>
        <w:gridCol w:w="1108"/>
        <w:gridCol w:w="1124"/>
        <w:gridCol w:w="818"/>
      </w:tblGrid>
      <w:tr>
        <w:trPr>
          <w:trHeight w:val="387" w:hRule="exact"/>
        </w:trPr>
        <w:tc>
          <w:tcPr>
            <w:tcW w:w="334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81" w:after="57" w:line="248" w:lineRule="exact"/>
              <w:ind w:right="0" w:left="134" w:firstLine="0"/>
              <w:jc w:val="lef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 million)</w:t>
            </w:r>
          </w:p>
        </w:tc>
        <w:tc>
          <w:tcPr>
            <w:tcW w:w="4642"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81" w:after="76" w:line="229" w:lineRule="exact"/>
              <w:ind w:right="169"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2020-21</w:t>
            </w:r>
          </w:p>
        </w:tc>
        <w:tc>
          <w:tcPr>
            <w:tcW w:w="5750"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81" w:after="76" w:line="229" w:lineRule="exact"/>
              <w:ind w:right="221"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2021-22</w:t>
            </w:r>
          </w:p>
        </w:tc>
        <w:tc>
          <w:tcPr>
            <w:tcW w:w="6874"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81" w:after="76" w:line="229" w:lineRule="exact"/>
              <w:ind w:right="178"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2022-23</w:t>
            </w:r>
          </w:p>
        </w:tc>
        <w:tc>
          <w:tcPr>
            <w:tcW w:w="7692"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81" w:after="76" w:line="229" w:lineRule="exact"/>
              <w:ind w:right="142"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Total</w:t>
            </w:r>
          </w:p>
        </w:tc>
      </w:tr>
      <w:tr>
        <w:trPr>
          <w:trHeight w:val="403" w:hRule="exact"/>
        </w:trPr>
        <w:tc>
          <w:tcPr>
            <w:tcW w:w="334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92" w:after="63" w:line="248" w:lineRule="exact"/>
              <w:ind w:right="0" w:left="134" w:firstLine="0"/>
              <w:jc w:val="lef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Estimated total budget</w:t>
            </w:r>
          </w:p>
        </w:tc>
        <w:tc>
          <w:tcPr>
            <w:tcW w:w="4642"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73" w:after="82" w:line="248" w:lineRule="exact"/>
              <w:ind w:right="169" w:left="0" w:firstLine="0"/>
              <w:jc w:val="righ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0.995</w:t>
            </w:r>
          </w:p>
        </w:tc>
        <w:tc>
          <w:tcPr>
            <w:tcW w:w="5750"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73" w:after="82" w:line="248" w:lineRule="exact"/>
              <w:ind w:right="221" w:left="0" w:firstLine="0"/>
              <w:jc w:val="righ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5.633</w:t>
            </w:r>
          </w:p>
        </w:tc>
        <w:tc>
          <w:tcPr>
            <w:tcW w:w="6874"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73" w:after="82" w:line="248" w:lineRule="exact"/>
              <w:ind w:right="178" w:left="0" w:firstLine="0"/>
              <w:jc w:val="righ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1.627</w:t>
            </w:r>
          </w:p>
        </w:tc>
        <w:tc>
          <w:tcPr>
            <w:tcW w:w="7692"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73" w:after="82" w:line="248" w:lineRule="exact"/>
              <w:ind w:right="142" w:left="0" w:firstLine="0"/>
              <w:jc w:val="righ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8.255</w:t>
            </w:r>
          </w:p>
        </w:tc>
      </w:tr>
      <w:tr>
        <w:trPr>
          <w:trHeight w:val="355" w:hRule="exact"/>
        </w:trPr>
        <w:tc>
          <w:tcPr>
            <w:tcW w:w="334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97" w:after="19" w:line="229" w:lineRule="exact"/>
              <w:ind w:right="0" w:left="13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Less estimated National</w:t>
            </w:r>
          </w:p>
        </w:tc>
        <w:tc>
          <w:tcPr>
            <w:tcW w:w="4642"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78" w:after="38" w:line="229" w:lineRule="exact"/>
              <w:ind w:right="169"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0.995</w:t>
            </w:r>
          </w:p>
        </w:tc>
        <w:tc>
          <w:tcPr>
            <w:tcW w:w="575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78" w:after="38" w:line="229" w:lineRule="exact"/>
              <w:ind w:right="221"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5.633</w:t>
            </w:r>
          </w:p>
        </w:tc>
        <w:tc>
          <w:tcPr>
            <w:tcW w:w="687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78" w:after="38" w:line="229" w:lineRule="exact"/>
              <w:ind w:right="178"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1.627</w:t>
            </w:r>
          </w:p>
        </w:tc>
        <w:tc>
          <w:tcPr>
            <w:tcW w:w="7692"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78" w:after="38" w:line="229" w:lineRule="exact"/>
              <w:ind w:right="142"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8.255</w:t>
            </w:r>
          </w:p>
        </w:tc>
      </w:tr>
      <w:tr>
        <w:trPr>
          <w:trHeight w:val="360" w:hRule="exact"/>
        </w:trPr>
        <w:tc>
          <w:tcPr>
            <w:tcW w:w="3346"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91" w:line="229" w:lineRule="exact"/>
              <w:ind w:right="0" w:left="134"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Partnership Payments</w:t>
            </w:r>
          </w:p>
        </w:tc>
        <w:tc>
          <w:tcPr>
            <w:tcW w:w="4642" w:type="auto"/>
            <w:gridSpan w:val="1"/>
            <w:tcBorders>
              <w:top w:val="none" w:sz="0" w:color="020000"/>
              <w:left w:val="none" w:sz="0" w:color="02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Corbel" w:hAnsi="Corbel" w:eastAsia="Corbel"/>
                <w:color w:val="000000"/>
                <w:w w:val="100"/>
                <w:sz w:val="24"/>
                <w:vertAlign w:val="baseline"/>
                <w:lang w:val="en-US"/>
              </w:rPr>
            </w:pPr>
            <w:r>
              <w:rPr>
                <w:rFonts w:ascii="Corbel" w:hAnsi="Corbel" w:eastAsia="Corbel"/>
                <w:color w:val="000000"/>
                <w:w w:val="100"/>
                <w:sz w:val="24"/>
                <w:vertAlign w:val="baseline"/>
                <w:lang w:val="en-US"/>
              </w:rPr>
              <w:t xml:space="preserve">
</w:t>
            </w:r>
          </w:p>
        </w:tc>
        <w:tc>
          <w:tcPr>
            <w:tcW w:w="5750" w:type="auto"/>
            <w:gridSpan w:val="1"/>
            <w:tcBorders>
              <w:top w:val="none" w:sz="0" w:color="020000"/>
              <w:left w:val="none" w:sz="0" w:color="02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Corbel" w:hAnsi="Corbel" w:eastAsia="Corbel"/>
                <w:color w:val="000000"/>
                <w:w w:val="100"/>
                <w:sz w:val="24"/>
                <w:vertAlign w:val="baseline"/>
                <w:lang w:val="en-US"/>
              </w:rPr>
            </w:pPr>
            <w:r>
              <w:rPr>
                <w:rFonts w:ascii="Corbel" w:hAnsi="Corbel" w:eastAsia="Corbel"/>
                <w:color w:val="000000"/>
                <w:w w:val="100"/>
                <w:sz w:val="24"/>
                <w:vertAlign w:val="baseline"/>
                <w:lang w:val="en-US"/>
              </w:rPr>
              <w:t xml:space="preserve">
</w:t>
            </w:r>
          </w:p>
        </w:tc>
        <w:tc>
          <w:tcPr>
            <w:tcW w:w="6874" w:type="auto"/>
            <w:gridSpan w:val="1"/>
            <w:tcBorders>
              <w:top w:val="none" w:sz="0" w:color="020000"/>
              <w:left w:val="none" w:sz="0" w:color="02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Corbel" w:hAnsi="Corbel" w:eastAsia="Corbel"/>
                <w:color w:val="000000"/>
                <w:w w:val="100"/>
                <w:sz w:val="24"/>
                <w:vertAlign w:val="baseline"/>
                <w:lang w:val="en-US"/>
              </w:rPr>
            </w:pPr>
            <w:r>
              <w:rPr>
                <w:rFonts w:ascii="Corbel" w:hAnsi="Corbel" w:eastAsia="Corbel"/>
                <w:color w:val="000000"/>
                <w:w w:val="100"/>
                <w:sz w:val="24"/>
                <w:vertAlign w:val="baseline"/>
                <w:lang w:val="en-US"/>
              </w:rPr>
              <w:t xml:space="preserve">
</w:t>
            </w:r>
          </w:p>
        </w:tc>
        <w:tc>
          <w:tcPr>
            <w:tcW w:w="7692" w:type="auto"/>
            <w:gridSpan w:val="1"/>
            <w:tcBorders>
              <w:top w:val="none" w:sz="0" w:color="020000"/>
              <w:left w:val="none" w:sz="0" w:color="02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Corbel" w:hAnsi="Corbel" w:eastAsia="Corbel"/>
                <w:color w:val="000000"/>
                <w:w w:val="100"/>
                <w:sz w:val="24"/>
                <w:vertAlign w:val="baseline"/>
                <w:lang w:val="en-US"/>
              </w:rPr>
            </w:pPr>
            <w:r>
              <w:rPr>
                <w:rFonts w:ascii="Corbel" w:hAnsi="Corbel" w:eastAsia="Corbel"/>
                <w:color w:val="000000"/>
                <w:w w:val="100"/>
                <w:sz w:val="24"/>
                <w:vertAlign w:val="baseline"/>
                <w:lang w:val="en-US"/>
              </w:rPr>
              <w:t xml:space="preserve">
</w:t>
            </w:r>
          </w:p>
        </w:tc>
      </w:tr>
      <w:tr>
        <w:trPr>
          <w:trHeight w:val="664" w:hRule="exact"/>
        </w:trPr>
        <w:tc>
          <w:tcPr>
            <w:tcW w:w="3346"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63" w:line="288" w:lineRule="exact"/>
              <w:ind w:right="0" w:left="108" w:firstLine="0"/>
              <w:jc w:val="lef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Balance of non-Commonwealth contributions</w:t>
            </w:r>
          </w:p>
        </w:tc>
        <w:tc>
          <w:tcPr>
            <w:tcW w:w="4642" w:type="auto"/>
            <w:gridSpan w:val="1"/>
            <w:tcBorders>
              <w:top w:val="single" w:sz="5" w:color="000000"/>
              <w:left w:val="none" w:sz="0" w:color="020000"/>
              <w:bottom w:val="none" w:sz="0" w:color="020000"/>
              <w:right w:val="none" w:sz="0" w:color="020000"/>
            </w:tcBorders>
            <w:textDirection w:val="lrTb"/>
            <w:vAlign w:val="top"/>
          </w:tcPr>
          <w:p>
            <w:pPr>
              <w:pageBreakBefore w:val="false"/>
              <w:spacing w:before="73" w:after="351" w:line="229" w:lineRule="exact"/>
              <w:ind w:right="169"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0.0</w:t>
            </w:r>
          </w:p>
        </w:tc>
        <w:tc>
          <w:tcPr>
            <w:tcW w:w="5750" w:type="auto"/>
            <w:gridSpan w:val="1"/>
            <w:tcBorders>
              <w:top w:val="single" w:sz="5" w:color="000000"/>
              <w:left w:val="none" w:sz="0" w:color="020000"/>
              <w:bottom w:val="none" w:sz="0" w:color="020000"/>
              <w:right w:val="none" w:sz="0" w:color="020000"/>
            </w:tcBorders>
            <w:textDirection w:val="lrTb"/>
            <w:vAlign w:val="top"/>
          </w:tcPr>
          <w:p>
            <w:pPr>
              <w:pageBreakBefore w:val="false"/>
              <w:spacing w:before="73" w:after="351" w:line="229" w:lineRule="exact"/>
              <w:ind w:right="221"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0.0</w:t>
            </w:r>
          </w:p>
        </w:tc>
        <w:tc>
          <w:tcPr>
            <w:tcW w:w="6874" w:type="auto"/>
            <w:gridSpan w:val="1"/>
            <w:tcBorders>
              <w:top w:val="single" w:sz="5" w:color="000000"/>
              <w:left w:val="none" w:sz="0" w:color="020000"/>
              <w:bottom w:val="none" w:sz="0" w:color="020000"/>
              <w:right w:val="none" w:sz="0" w:color="020000"/>
            </w:tcBorders>
            <w:textDirection w:val="lrTb"/>
            <w:vAlign w:val="top"/>
          </w:tcPr>
          <w:p>
            <w:pPr>
              <w:pageBreakBefore w:val="false"/>
              <w:spacing w:before="73" w:after="351" w:line="229" w:lineRule="exact"/>
              <w:ind w:right="178"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0.0</w:t>
            </w:r>
          </w:p>
        </w:tc>
        <w:tc>
          <w:tcPr>
            <w:tcW w:w="7692" w:type="auto"/>
            <w:gridSpan w:val="1"/>
            <w:tcBorders>
              <w:top w:val="single" w:sz="5" w:color="000000"/>
              <w:left w:val="none" w:sz="0" w:color="020000"/>
              <w:bottom w:val="none" w:sz="0" w:color="020000"/>
              <w:right w:val="none" w:sz="0" w:color="020000"/>
            </w:tcBorders>
            <w:textDirection w:val="lrTb"/>
            <w:vAlign w:val="top"/>
          </w:tcPr>
          <w:p>
            <w:pPr>
              <w:pageBreakBefore w:val="false"/>
              <w:spacing w:before="73" w:after="351" w:line="229" w:lineRule="exact"/>
              <w:ind w:right="142" w:left="0" w:firstLine="0"/>
              <w:jc w:val="right"/>
              <w:textAlignment w:val="baseline"/>
              <w:rPr>
                <w:rFonts w:ascii="Calibri" w:hAnsi="Calibri" w:eastAsia="Calibri"/>
                <w:color w:val="000000"/>
                <w:spacing w:val="0"/>
                <w:w w:val="100"/>
                <w:sz w:val="23"/>
                <w:vertAlign w:val="baseline"/>
                <w:lang w:val="en-US"/>
              </w:rPr>
            </w:pPr>
            <w:r>
              <w:rPr>
                <w:rFonts w:ascii="Calibri" w:hAnsi="Calibri" w:eastAsia="Calibri"/>
                <w:color w:val="000000"/>
                <w:spacing w:val="0"/>
                <w:w w:val="100"/>
                <w:sz w:val="23"/>
                <w:vertAlign w:val="baseline"/>
                <w:lang w:val="en-US"/>
              </w:rPr>
              <w:t xml:space="preserve">0.0</w:t>
            </w:r>
          </w:p>
        </w:tc>
      </w:tr>
    </w:tbl>
    <w:p>
      <w:pPr>
        <w:pageBreakBefore w:val="false"/>
        <w:numPr>
          <w:ilvl w:val="0"/>
          <w:numId w:val="1"/>
        </w:numPr>
        <w:tabs>
          <w:tab w:val="clear" w:pos="576"/>
          <w:tab w:val="left" w:pos="576"/>
          <w:tab w:val="right" w:leader="none" w:pos="9072"/>
        </w:tabs>
        <w:spacing w:before="258" w:after="0" w:line="263" w:lineRule="exact"/>
        <w:ind w:right="0"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Victoria will deliver Stage 1 activities under the Victorian Constraints Measures Program</w:t>
        <w:br/>
      </w:r>
      <w:r>
        <w:rPr>
          <w:rFonts w:ascii="Corbel" w:hAnsi="Corbel" w:eastAsia="Corbel"/>
          <w:color w:val="000000"/>
          <w:spacing w:val="0"/>
          <w:w w:val="100"/>
          <w:sz w:val="23"/>
          <w:vertAlign w:val="baseline"/>
          <w:lang w:val="en-US"/>
        </w:rPr>
        <w:t xml:space="preserve">(CMP) through three stages: Stage 1A, Stage 1B and Stage 1C. Stage 1A is a community co-design process which will develop the community engagement and negotiation framework; involve Traditional Owner engagement opportunities; consider and guide key technical work and policy to achieve the necessary authorising environment to deliver Stage 1B. If Victoria and the Commonwealth agreed to proceed with further Stages, in Stage 1B the CMP will engage with all affected Victorian landholders, confirm impacts, discuss possible mitigation activities and seek in-principle agreements. Concept work designs and draft regulatory approvals will also be prepared. In Stage 1C, the CMP will finalise detailed work designs and complete the regulatory approvals process.</w:t>
      </w:r>
    </w:p>
    <w:p>
      <w:pPr>
        <w:sectPr>
          <w:type w:val="nextPage"/>
          <w:pgSz w:w="11904" w:h="16843" w:orient="portrait"/>
          <w:pgMar w:bottom="1727" w:top="920" w:right="1423" w:left="1421" w:header="720" w:footer="720"/>
          <w:titlePg w:val="false"/>
          <w:textDirection w:val="lrTb"/>
        </w:sectPr>
      </w:pPr>
    </w:p>
    <w:p>
      <w:pPr>
        <w:pageBreakBefore w:val="false"/>
        <w:spacing w:before="31" w:after="0" w:line="196" w:lineRule="exact"/>
        <w:ind w:right="0" w:left="0" w:firstLine="0"/>
        <w:jc w:val="right"/>
        <w:textAlignment w:val="baseline"/>
        <w:rPr>
          <w:rFonts w:ascii="Corbel" w:hAnsi="Corbel" w:eastAsia="Corbel"/>
          <w:color w:val="7F0000"/>
          <w:spacing w:val="0"/>
          <w:w w:val="100"/>
          <w:sz w:val="18"/>
          <w:vertAlign w:val="baseline"/>
          <w:lang w:val="en-US"/>
        </w:rPr>
      </w:pPr>
      <w:r>
        <w:rPr>
          <w:rFonts w:ascii="Corbel" w:hAnsi="Corbel" w:eastAsia="Corbel"/>
          <w:color w:val="7F0000"/>
          <w:spacing w:val="0"/>
          <w:w w:val="100"/>
          <w:sz w:val="18"/>
          <w:vertAlign w:val="baseline"/>
          <w:lang w:val="en-US"/>
        </w:rPr>
        <w:t xml:space="preserve">Schedule E - Project Agreement for Stage 1 Funding for SDL Adjustment Supply and Constraints Measures in the Murray-</w:t>
      </w:r>
      <w:r>
        <w:rPr>
          <w:rFonts w:ascii="Corbel" w:hAnsi="Corbel" w:eastAsia="Corbel"/>
          <w:color w:val="000000"/>
          <w:w w:val="100"/>
          <w:sz w:val="24"/>
          <w:vertAlign w:val="baseline"/>
          <w:lang w:val="en-US"/>
        </w:rPr>
        <w:t xml:space="preserve">
</w:t>
      </w:r>
    </w:p>
    <w:p>
      <w:pPr>
        <w:pageBreakBefore w:val="false"/>
        <w:spacing w:before="25" w:after="0" w:line="196" w:lineRule="exact"/>
        <w:ind w:right="0" w:left="0" w:firstLine="0"/>
        <w:jc w:val="right"/>
        <w:textAlignment w:val="baseline"/>
        <w:rPr>
          <w:rFonts w:ascii="Corbel" w:hAnsi="Corbel" w:eastAsia="Corbel"/>
          <w:color w:val="7F0000"/>
          <w:spacing w:val="-1"/>
          <w:w w:val="100"/>
          <w:sz w:val="18"/>
          <w:vertAlign w:val="baseline"/>
          <w:lang w:val="en-US"/>
        </w:rPr>
      </w:pPr>
      <w:r>
        <w:rPr>
          <w:rFonts w:ascii="Corbel" w:hAnsi="Corbel" w:eastAsia="Corbel"/>
          <w:color w:val="7F0000"/>
          <w:spacing w:val="-1"/>
          <w:w w:val="100"/>
          <w:sz w:val="18"/>
          <w:vertAlign w:val="baseline"/>
          <w:lang w:val="en-US"/>
        </w:rPr>
        <w:t xml:space="preserve">Darling Basin</w:t>
      </w:r>
    </w:p>
    <w:p>
      <w:pPr>
        <w:pageBreakBefore w:val="false"/>
        <w:tabs>
          <w:tab w:val="left" w:leader="none" w:pos="576"/>
        </w:tabs>
        <w:spacing w:before="278" w:after="0" w:line="260" w:lineRule="exact"/>
        <w:ind w:right="0"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5.	</w:t>
      </w:r>
      <w:r>
        <w:rPr>
          <w:rFonts w:ascii="Corbel" w:hAnsi="Corbel" w:eastAsia="Corbel"/>
          <w:color w:val="000000"/>
          <w:spacing w:val="0"/>
          <w:w w:val="100"/>
          <w:sz w:val="23"/>
          <w:vertAlign w:val="baseline"/>
          <w:lang w:val="en-US"/>
        </w:rPr>
        <w:t xml:space="preserve">The Commonwealth’s total financial contribution includes funding of up to $8.255 million for Stage 1A. The outcomes of stage 1A will inform the costings and delivery for the latter Stages. Funding for Stage 1B and subsequently 1C activities will be made available to Victoria subject to the Commonwealth’s consideration of a report on the outcomes of a formal review to be undertaken by Victoria at the end of Stage 1A and then again at the end of Stage 1B. The formal review will consider progress made under Stage 1A, including the outcomes of a community co-design process, and under Stage 1B.</w:t>
      </w:r>
    </w:p>
    <w:p>
      <w:pPr>
        <w:pageBreakBefore w:val="false"/>
        <w:tabs>
          <w:tab w:val="left" w:leader="none" w:pos="576"/>
        </w:tabs>
        <w:spacing w:before="237" w:after="0" w:line="261" w:lineRule="exact"/>
        <w:ind w:right="0"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6.	</w:t>
      </w:r>
      <w:r>
        <w:rPr>
          <w:rFonts w:ascii="Corbel" w:hAnsi="Corbel" w:eastAsia="Corbel"/>
          <w:color w:val="000000"/>
          <w:spacing w:val="0"/>
          <w:w w:val="100"/>
          <w:sz w:val="23"/>
          <w:vertAlign w:val="baseline"/>
          <w:lang w:val="en-US"/>
        </w:rPr>
        <w:t xml:space="preserve">The Stage 1 activities to be undertaken by Victoria in respect of this schedule will be delivered across three measures: the Goulburn constraints measure, the Victorian component of the Hume to Yarrawonga constraints measure, and the Victorian component of the Yarrawonga to Wakool constraints measure.</w:t>
      </w:r>
    </w:p>
    <w:p>
      <w:pPr>
        <w:pageBreakBefore w:val="false"/>
        <w:tabs>
          <w:tab w:val="left" w:leader="none" w:pos="576"/>
        </w:tabs>
        <w:spacing w:before="246" w:after="0" w:line="253" w:lineRule="exact"/>
        <w:ind w:right="0" w:left="0" w:firstLine="0"/>
        <w:jc w:val="left"/>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7.	</w:t>
      </w:r>
      <w:r>
        <w:rPr>
          <w:rFonts w:ascii="Corbel" w:hAnsi="Corbel" w:eastAsia="Corbel"/>
          <w:color w:val="000000"/>
          <w:spacing w:val="0"/>
          <w:w w:val="100"/>
          <w:sz w:val="23"/>
          <w:vertAlign w:val="baseline"/>
          <w:lang w:val="en-US"/>
        </w:rPr>
        <w:t xml:space="preserve">The Stage 1A activities to be delivered by Victoria include:</w:t>
      </w:r>
    </w:p>
    <w:p>
      <w:pPr>
        <w:pageBreakBefore w:val="false"/>
        <w:numPr>
          <w:ilvl w:val="0"/>
          <w:numId w:val="2"/>
        </w:numPr>
        <w:tabs>
          <w:tab w:val="clear" w:pos="576"/>
          <w:tab w:val="left" w:pos="1152"/>
        </w:tabs>
        <w:spacing w:before="235" w:after="0" w:line="259" w:lineRule="exact"/>
        <w:ind w:right="0" w:left="1152"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Establishment of program management and governance frameworks, including a Consultative Committee;</w:t>
      </w:r>
    </w:p>
    <w:p>
      <w:pPr>
        <w:pageBreakBefore w:val="false"/>
        <w:numPr>
          <w:ilvl w:val="0"/>
          <w:numId w:val="2"/>
        </w:numPr>
        <w:tabs>
          <w:tab w:val="clear" w:pos="576"/>
          <w:tab w:val="left" w:pos="1152"/>
        </w:tabs>
        <w:spacing w:before="251" w:after="0" w:line="254" w:lineRule="exact"/>
        <w:ind w:right="0" w:left="1152"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Completion of a community co-design process;</w:t>
      </w:r>
    </w:p>
    <w:p>
      <w:pPr>
        <w:pageBreakBefore w:val="false"/>
        <w:numPr>
          <w:ilvl w:val="0"/>
          <w:numId w:val="2"/>
        </w:numPr>
        <w:tabs>
          <w:tab w:val="clear" w:pos="576"/>
          <w:tab w:val="left" w:pos="1152"/>
        </w:tabs>
        <w:spacing w:before="250" w:after="0" w:line="254" w:lineRule="exact"/>
        <w:ind w:right="0" w:left="1152"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Undertaking Traditional Owner engagement activities;</w:t>
      </w:r>
    </w:p>
    <w:p>
      <w:pPr>
        <w:pageBreakBefore w:val="false"/>
        <w:numPr>
          <w:ilvl w:val="0"/>
          <w:numId w:val="2"/>
        </w:numPr>
        <w:tabs>
          <w:tab w:val="clear" w:pos="576"/>
          <w:tab w:val="left" w:pos="1152"/>
        </w:tabs>
        <w:spacing w:before="246" w:after="0" w:line="253" w:lineRule="exact"/>
        <w:ind w:right="0" w:left="1152"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Resolving strategic policy, deliverability and operational issues;</w:t>
      </w:r>
    </w:p>
    <w:p>
      <w:pPr>
        <w:pageBreakBefore w:val="false"/>
        <w:numPr>
          <w:ilvl w:val="0"/>
          <w:numId w:val="2"/>
        </w:numPr>
        <w:tabs>
          <w:tab w:val="clear" w:pos="576"/>
          <w:tab w:val="left" w:pos="1152"/>
        </w:tabs>
        <w:spacing w:before="241" w:after="0" w:line="259" w:lineRule="exact"/>
        <w:ind w:right="0" w:left="1152"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Undertaking technical investigations including surveys, hydrological and hydraulic modelling, inundation mapping and environmental benefits assessment;</w:t>
      </w:r>
    </w:p>
    <w:p>
      <w:pPr>
        <w:pageBreakBefore w:val="false"/>
        <w:numPr>
          <w:ilvl w:val="0"/>
          <w:numId w:val="2"/>
        </w:numPr>
        <w:tabs>
          <w:tab w:val="clear" w:pos="576"/>
          <w:tab w:val="left" w:pos="1152"/>
        </w:tabs>
        <w:spacing w:before="240" w:after="0" w:line="259" w:lineRule="exact"/>
        <w:ind w:right="0" w:left="1152"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Development of design standards and specifications for mitigation works, and frameworks for selecting mitigation actions and assessing compensation;</w:t>
      </w:r>
    </w:p>
    <w:p>
      <w:pPr>
        <w:pageBreakBefore w:val="false"/>
        <w:numPr>
          <w:ilvl w:val="0"/>
          <w:numId w:val="2"/>
        </w:numPr>
        <w:tabs>
          <w:tab w:val="clear" w:pos="576"/>
          <w:tab w:val="left" w:pos="1152"/>
        </w:tabs>
        <w:spacing w:before="250" w:after="0" w:line="254" w:lineRule="exact"/>
        <w:ind w:right="0" w:left="1152"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Installation and commissioning of hydrometric equipment; and</w:t>
      </w:r>
    </w:p>
    <w:p>
      <w:pPr>
        <w:pageBreakBefore w:val="false"/>
        <w:numPr>
          <w:ilvl w:val="0"/>
          <w:numId w:val="2"/>
        </w:numPr>
        <w:tabs>
          <w:tab w:val="clear" w:pos="576"/>
          <w:tab w:val="left" w:pos="1152"/>
        </w:tabs>
        <w:spacing w:before="246" w:after="0" w:line="253" w:lineRule="exact"/>
        <w:ind w:right="0" w:left="1152"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Stage 1A formal review report.</w:t>
      </w:r>
    </w:p>
    <w:p>
      <w:pPr>
        <w:pageBreakBefore w:val="false"/>
        <w:tabs>
          <w:tab w:val="left" w:leader="none" w:pos="576"/>
        </w:tabs>
        <w:spacing w:before="235" w:after="0" w:line="260" w:lineRule="exact"/>
        <w:ind w:right="0"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8.	</w:t>
      </w:r>
      <w:r>
        <w:rPr>
          <w:rFonts w:ascii="Corbel" w:hAnsi="Corbel" w:eastAsia="Corbel"/>
          <w:color w:val="000000"/>
          <w:spacing w:val="0"/>
          <w:w w:val="100"/>
          <w:sz w:val="23"/>
          <w:vertAlign w:val="baseline"/>
          <w:lang w:val="en-US"/>
        </w:rPr>
        <w:t xml:space="preserve">In accordance with the Agreement, Victoria will provide reports on the progress of the outputs in accordance with the timing in Table 2. If a report referred to in Table 2 indicates that Victoria has not met the relevant milestone, Victoria may submit a later report demonstrating that the relevant milestone has been met, for the purposes of clause 21 of the Agreement. In addition to the reporting specified in the Agreement, the reports to be provided by Victoria will include:</w:t>
      </w:r>
    </w:p>
    <w:p>
      <w:pPr>
        <w:pageBreakBefore w:val="false"/>
        <w:numPr>
          <w:ilvl w:val="0"/>
          <w:numId w:val="3"/>
        </w:numPr>
        <w:tabs>
          <w:tab w:val="clear" w:pos="576"/>
          <w:tab w:val="left" w:pos="1152"/>
        </w:tabs>
        <w:spacing w:before="240" w:after="0" w:line="259" w:lineRule="exact"/>
        <w:ind w:right="0" w:left="1152"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Stage 1 Activities Status Update outlining activities completed in the current period that progress achievement of subsequent milestones, including details of any costs incurred in completing the activities, consistent with clause 29 of the Agreement; and</w:t>
      </w:r>
    </w:p>
    <w:p>
      <w:pPr>
        <w:pageBreakBefore w:val="false"/>
        <w:numPr>
          <w:ilvl w:val="0"/>
          <w:numId w:val="3"/>
        </w:numPr>
        <w:tabs>
          <w:tab w:val="clear" w:pos="576"/>
          <w:tab w:val="left" w:pos="1152"/>
        </w:tabs>
        <w:spacing w:before="251" w:after="0" w:line="259" w:lineRule="exact"/>
        <w:ind w:right="0" w:left="1152"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Updates on the resolution of issues identified during the assessment of the business cases for the measures listed in clause 5 of this Schedule and reflected in the Post-Phase 2 Issues Register.</w:t>
      </w:r>
    </w:p>
    <w:p>
      <w:pPr>
        <w:pageBreakBefore w:val="false"/>
        <w:tabs>
          <w:tab w:val="left" w:leader="none" w:pos="576"/>
        </w:tabs>
        <w:spacing w:before="236" w:after="470" w:line="259" w:lineRule="exact"/>
        <w:ind w:right="0"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9.	</w:t>
      </w:r>
      <w:r>
        <w:rPr>
          <w:rFonts w:ascii="Corbel" w:hAnsi="Corbel" w:eastAsia="Corbel"/>
          <w:color w:val="000000"/>
          <w:spacing w:val="0"/>
          <w:w w:val="100"/>
          <w:sz w:val="23"/>
          <w:vertAlign w:val="baseline"/>
          <w:lang w:val="en-US"/>
        </w:rPr>
        <w:t xml:space="preserve">In accordance with clause 21 of the Agreement the milestones for activities, their relationship to the outputs, relevant reporting dates and the maximum expected payments to be made are set out in Table 2.</w:t>
      </w:r>
    </w:p>
    <w:p>
      <w:pPr>
        <w:spacing w:before="236" w:after="470" w:line="259" w:lineRule="exact"/>
        <w:sectPr>
          <w:type w:val="nextPage"/>
          <w:pgSz w:w="11904" w:h="16843" w:orient="portrait"/>
          <w:pgMar w:bottom="567" w:top="920" w:right="1415" w:left="1429" w:header="720" w:footer="720"/>
          <w:titlePg w:val="false"/>
          <w:textDirection w:val="lrTb"/>
        </w:sectPr>
      </w:pPr>
    </w:p>
    <w:p>
      <w:pPr>
        <w:pageBreakBefore w:val="false"/>
        <w:spacing w:before="26" w:after="0" w:line="218" w:lineRule="exact"/>
        <w:ind w:right="0" w:left="0" w:firstLine="0"/>
        <w:jc w:val="center"/>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2</w:t>
      </w:r>
    </w:p>
    <w:p>
      <w:pPr>
        <w:sectPr>
          <w:type w:val="continuous"/>
          <w:pgSz w:w="11904" w:h="16843" w:orient="portrait"/>
          <w:pgMar w:bottom="567" w:top="920" w:right="1422" w:left="1422" w:header="720" w:footer="720"/>
          <w:titlePg w:val="false"/>
          <w:textDirection w:val="lrTb"/>
        </w:sectPr>
      </w:pPr>
    </w:p>
    <w:p>
      <w:pPr>
        <w:pageBreakBefore w:val="false"/>
        <w:spacing w:before="31" w:after="0" w:line="196" w:lineRule="exact"/>
        <w:ind w:right="0" w:left="0" w:firstLine="0"/>
        <w:jc w:val="left"/>
        <w:textAlignment w:val="baseline"/>
        <w:rPr>
          <w:rFonts w:ascii="Corbel" w:hAnsi="Corbel" w:eastAsia="Corbel"/>
          <w:color w:val="7F0000"/>
          <w:spacing w:val="0"/>
          <w:w w:val="100"/>
          <w:sz w:val="18"/>
          <w:vertAlign w:val="baseline"/>
          <w:lang w:val="en-US"/>
        </w:rPr>
      </w:pPr>
      <w:r>
        <w:rPr>
          <w:rFonts w:ascii="Corbel" w:hAnsi="Corbel" w:eastAsia="Corbel"/>
          <w:color w:val="7F0000"/>
          <w:spacing w:val="0"/>
          <w:w w:val="100"/>
          <w:sz w:val="18"/>
          <w:vertAlign w:val="baseline"/>
          <w:lang w:val="en-US"/>
        </w:rPr>
        <w:t xml:space="preserve">Schedule E - Project Agreement for Stage 1 Funding for SDL Adjustment Supply and Constraints Measures in the Murray-</w:t>
      </w:r>
      <w:r>
        <w:rPr>
          <w:rFonts w:ascii="Corbel" w:hAnsi="Corbel" w:eastAsia="Corbel"/>
          <w:color w:val="000000"/>
          <w:w w:val="100"/>
          <w:sz w:val="24"/>
          <w:vertAlign w:val="baseline"/>
          <w:lang w:val="en-US"/>
        </w:rPr>
        <w:t xml:space="preserve">
</w:t>
      </w:r>
    </w:p>
    <w:p>
      <w:pPr>
        <w:pageBreakBefore w:val="false"/>
        <w:spacing w:before="25" w:after="0" w:line="196" w:lineRule="exact"/>
        <w:ind w:right="0" w:left="0" w:firstLine="0"/>
        <w:jc w:val="right"/>
        <w:textAlignment w:val="baseline"/>
        <w:rPr>
          <w:rFonts w:ascii="Corbel" w:hAnsi="Corbel" w:eastAsia="Corbel"/>
          <w:color w:val="7F0000"/>
          <w:spacing w:val="-1"/>
          <w:w w:val="100"/>
          <w:sz w:val="18"/>
          <w:vertAlign w:val="baseline"/>
          <w:lang w:val="en-US"/>
        </w:rPr>
      </w:pPr>
      <w:r>
        <w:rPr>
          <w:rFonts w:ascii="Corbel" w:hAnsi="Corbel" w:eastAsia="Corbel"/>
          <w:color w:val="7F0000"/>
          <w:spacing w:val="-1"/>
          <w:w w:val="100"/>
          <w:sz w:val="18"/>
          <w:vertAlign w:val="baseline"/>
          <w:lang w:val="en-US"/>
        </w:rPr>
        <w:t xml:space="preserve">Darling Basin</w:t>
      </w:r>
    </w:p>
    <w:p>
      <w:pPr>
        <w:pageBreakBefore w:val="false"/>
        <w:spacing w:before="284" w:after="196" w:line="254" w:lineRule="exact"/>
        <w:ind w:right="0" w:left="0" w:firstLine="0"/>
        <w:jc w:val="left"/>
        <w:textAlignment w:val="baseline"/>
        <w:rPr>
          <w:rFonts w:ascii="Corbel" w:hAnsi="Corbel" w:eastAsia="Corbel"/>
          <w:b w:val="true"/>
          <w:color w:val="000000"/>
          <w:spacing w:val="0"/>
          <w:w w:val="100"/>
          <w:sz w:val="23"/>
          <w:vertAlign w:val="baseline"/>
          <w:lang w:val="en-US"/>
        </w:rPr>
      </w:pPr>
      <w:r>
        <w:rPr>
          <w:rFonts w:ascii="Corbel" w:hAnsi="Corbel" w:eastAsia="Corbel"/>
          <w:b w:val="true"/>
          <w:color w:val="000000"/>
          <w:spacing w:val="0"/>
          <w:w w:val="100"/>
          <w:sz w:val="23"/>
          <w:vertAlign w:val="baseline"/>
          <w:lang w:val="en-US"/>
        </w:rPr>
        <w:t xml:space="preserve">Table 2: Milestones, reporting and payment summary</w:t>
      </w:r>
    </w:p>
    <w:p>
      <w:pPr>
        <w:spacing w:before="4" w:after="0" w:line="20" w:lineRule="exact"/>
      </w:pPr>
    </w:p>
    <w:tbl>
      <w:tblPr>
        <w:jc w:val="left"/>
        <w:tblInd w:w="11" w:type="dxa"/>
        <w:tblLayout w:type="fixed"/>
        <w:tblCellMar>
          <w:left w:w="0" w:type="dxa"/>
          <w:right w:w="0" w:type="dxa"/>
        </w:tblCellMar>
      </w:tblPr>
      <w:tblGrid>
        <w:gridCol w:w="1766"/>
        <w:gridCol w:w="1138"/>
        <w:gridCol w:w="3744"/>
        <w:gridCol w:w="1205"/>
        <w:gridCol w:w="1229"/>
      </w:tblGrid>
      <w:tr>
        <w:trPr>
          <w:trHeight w:val="1104" w:hRule="exact"/>
        </w:trPr>
        <w:tc>
          <w:tcPr>
            <w:tcW w:w="177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52" w:after="826" w:line="226" w:lineRule="exact"/>
              <w:ind w:right="849"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Outputs</w:t>
            </w:r>
          </w:p>
        </w:tc>
        <w:tc>
          <w:tcPr>
            <w:tcW w:w="291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67" w:lineRule="exact"/>
              <w:ind w:right="0" w:left="144"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Milestone Reporting Period</w:t>
            </w:r>
          </w:p>
          <w:p>
            <w:pPr>
              <w:pageBreakBefore w:val="false"/>
              <w:spacing w:before="44" w:after="25" w:line="225" w:lineRule="exact"/>
              <w:ind w:right="0" w:left="144"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No.</w:t>
            </w:r>
          </w:p>
        </w:tc>
        <w:tc>
          <w:tcPr>
            <w:tcW w:w="66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52" w:after="827" w:line="225" w:lineRule="exact"/>
              <w:ind w:right="0" w:left="110"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Milestones</w:t>
            </w:r>
          </w:p>
        </w:tc>
        <w:tc>
          <w:tcPr>
            <w:tcW w:w="786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93" w:line="267" w:lineRule="exact"/>
              <w:ind w:right="0" w:left="504" w:hanging="288"/>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Reporting Period Ending</w:t>
            </w:r>
          </w:p>
        </w:tc>
        <w:tc>
          <w:tcPr>
            <w:tcW w:w="90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94" w:line="267" w:lineRule="exact"/>
              <w:ind w:right="324" w:left="108" w:firstLine="0"/>
              <w:jc w:val="left"/>
              <w:textAlignment w:val="baseline"/>
              <w:rPr>
                <w:rFonts w:ascii="Calibri" w:hAnsi="Calibri" w:eastAsia="Calibri"/>
                <w:b w:val="true"/>
                <w:color w:val="000000"/>
                <w:spacing w:val="-4"/>
                <w:w w:val="100"/>
                <w:sz w:val="22"/>
                <w:vertAlign w:val="baseline"/>
                <w:lang w:val="en-US"/>
              </w:rPr>
            </w:pPr>
            <w:r>
              <w:rPr>
                <w:rFonts w:ascii="Calibri" w:hAnsi="Calibri" w:eastAsia="Calibri"/>
                <w:b w:val="true"/>
                <w:color w:val="000000"/>
                <w:spacing w:val="-4"/>
                <w:w w:val="100"/>
                <w:sz w:val="22"/>
                <w:vertAlign w:val="baseline"/>
                <w:lang w:val="en-US"/>
              </w:rPr>
              <w:t xml:space="preserve">Payment (up to amount)</w:t>
            </w:r>
          </w:p>
        </w:tc>
      </w:tr>
      <w:tr>
        <w:trPr>
          <w:trHeight w:val="288" w:hRule="exact"/>
        </w:trPr>
        <w:tc>
          <w:tcPr>
            <w:tcW w:w="1777"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38" w:after="24" w:line="226" w:lineRule="exact"/>
              <w:ind w:right="849" w:left="0" w:firstLine="0"/>
              <w:jc w:val="righ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Stage 1A</w:t>
            </w:r>
          </w:p>
        </w:tc>
        <w:tc>
          <w:tcPr>
            <w:tcW w:w="291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Corbel" w:hAnsi="Corbel" w:eastAsia="Corbel"/>
                <w:color w:val="000000"/>
                <w:w w:val="100"/>
                <w:sz w:val="24"/>
                <w:vertAlign w:val="baseline"/>
                <w:lang w:val="en-US"/>
              </w:rPr>
            </w:pPr>
            <w:r>
              <w:rPr>
                <w:rFonts w:ascii="Corbel" w:hAnsi="Corbel" w:eastAsia="Corbel"/>
                <w:color w:val="000000"/>
                <w:w w:val="100"/>
                <w:sz w:val="24"/>
                <w:vertAlign w:val="baseline"/>
                <w:lang w:val="en-US"/>
              </w:rPr>
              <w:t xml:space="preserve">
</w:t>
            </w:r>
          </w:p>
        </w:tc>
        <w:tc>
          <w:tcPr>
            <w:tcW w:w="66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Corbel" w:hAnsi="Corbel" w:eastAsia="Corbel"/>
                <w:color w:val="000000"/>
                <w:w w:val="100"/>
                <w:sz w:val="24"/>
                <w:vertAlign w:val="baseline"/>
                <w:lang w:val="en-US"/>
              </w:rPr>
            </w:pPr>
            <w:r>
              <w:rPr>
                <w:rFonts w:ascii="Corbel" w:hAnsi="Corbel" w:eastAsia="Corbel"/>
                <w:color w:val="000000"/>
                <w:w w:val="100"/>
                <w:sz w:val="24"/>
                <w:vertAlign w:val="baseline"/>
                <w:lang w:val="en-US"/>
              </w:rPr>
              <w:t xml:space="preserve">
</w:t>
            </w:r>
          </w:p>
        </w:tc>
        <w:tc>
          <w:tcPr>
            <w:tcW w:w="786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Corbel" w:hAnsi="Corbel" w:eastAsia="Corbel"/>
                <w:color w:val="000000"/>
                <w:w w:val="100"/>
                <w:sz w:val="24"/>
                <w:vertAlign w:val="baseline"/>
                <w:lang w:val="en-US"/>
              </w:rPr>
            </w:pPr>
            <w:r>
              <w:rPr>
                <w:rFonts w:ascii="Corbel" w:hAnsi="Corbel" w:eastAsia="Corbel"/>
                <w:color w:val="000000"/>
                <w:w w:val="100"/>
                <w:sz w:val="24"/>
                <w:vertAlign w:val="baseline"/>
                <w:lang w:val="en-US"/>
              </w:rPr>
              <w:t xml:space="preserve">
</w:t>
            </w:r>
          </w:p>
        </w:tc>
        <w:tc>
          <w:tcPr>
            <w:tcW w:w="90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Corbel" w:hAnsi="Corbel" w:eastAsia="Corbel"/>
                <w:color w:val="000000"/>
                <w:w w:val="100"/>
                <w:sz w:val="24"/>
                <w:vertAlign w:val="baseline"/>
                <w:lang w:val="en-US"/>
              </w:rPr>
            </w:pPr>
            <w:r>
              <w:rPr>
                <w:rFonts w:ascii="Corbel" w:hAnsi="Corbel" w:eastAsia="Corbel"/>
                <w:color w:val="000000"/>
                <w:w w:val="100"/>
                <w:sz w:val="24"/>
                <w:vertAlign w:val="baseline"/>
                <w:lang w:val="en-US"/>
              </w:rPr>
              <w:t xml:space="preserve">
</w:t>
            </w:r>
          </w:p>
        </w:tc>
      </w:tr>
      <w:tr>
        <w:trPr>
          <w:trHeight w:val="6830" w:hRule="exact"/>
        </w:trPr>
        <w:tc>
          <w:tcPr>
            <w:tcW w:w="177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Corbel" w:hAnsi="Corbel" w:eastAsia="Corbel"/>
                <w:color w:val="000000"/>
                <w:w w:val="100"/>
                <w:sz w:val="24"/>
                <w:vertAlign w:val="baseline"/>
                <w:lang w:val="en-US"/>
              </w:rPr>
            </w:pPr>
            <w:r>
              <w:rPr>
                <w:rFonts w:ascii="Corbel" w:hAnsi="Corbel" w:eastAsia="Corbel"/>
                <w:color w:val="000000"/>
                <w:w w:val="100"/>
                <w:sz w:val="24"/>
                <w:vertAlign w:val="baseline"/>
                <w:lang w:val="en-US"/>
              </w:rPr>
              <w:t xml:space="preserve">
</w:t>
            </w:r>
          </w:p>
        </w:tc>
        <w:tc>
          <w:tcPr>
            <w:tcW w:w="291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43" w:after="6556" w:line="226" w:lineRule="exact"/>
              <w:ind w:right="0" w:left="12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1</w:t>
            </w:r>
          </w:p>
        </w:tc>
        <w:tc>
          <w:tcPr>
            <w:tcW w:w="66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68"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Establishment of Stage 1A program management arrangements</w:t>
            </w:r>
          </w:p>
          <w:p>
            <w:pPr>
              <w:pageBreakBefore w:val="false"/>
              <w:numPr>
                <w:ilvl w:val="0"/>
                <w:numId w:val="4"/>
              </w:numPr>
              <w:tabs>
                <w:tab w:val="clear" w:pos="432"/>
                <w:tab w:val="left" w:pos="792"/>
              </w:tabs>
              <w:spacing w:before="40" w:after="0" w:line="238" w:lineRule="exact"/>
              <w:ind w:right="0" w:left="792" w:hanging="432"/>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project schedule</w:t>
            </w:r>
          </w:p>
          <w:p>
            <w:pPr>
              <w:pageBreakBefore w:val="false"/>
              <w:numPr>
                <w:ilvl w:val="0"/>
                <w:numId w:val="4"/>
              </w:numPr>
              <w:tabs>
                <w:tab w:val="clear" w:pos="432"/>
                <w:tab w:val="left" w:pos="792"/>
              </w:tabs>
              <w:spacing w:before="40" w:after="0" w:line="238" w:lineRule="exact"/>
              <w:ind w:right="0" w:left="792" w:hanging="432"/>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project plan</w:t>
            </w:r>
          </w:p>
          <w:p>
            <w:pPr>
              <w:pageBreakBefore w:val="false"/>
              <w:numPr>
                <w:ilvl w:val="0"/>
                <w:numId w:val="4"/>
              </w:numPr>
              <w:tabs>
                <w:tab w:val="clear" w:pos="432"/>
                <w:tab w:val="left" w:pos="792"/>
              </w:tabs>
              <w:spacing w:before="14" w:after="0" w:line="269" w:lineRule="exact"/>
              <w:ind w:right="900" w:left="792" w:hanging="432"/>
              <w:jc w:val="left"/>
              <w:textAlignment w:val="baseline"/>
              <w:rPr>
                <w:rFonts w:ascii="Calibri" w:hAnsi="Calibri" w:eastAsia="Calibri"/>
                <w:color w:val="000000"/>
                <w:spacing w:val="-3"/>
                <w:w w:val="100"/>
                <w:sz w:val="22"/>
                <w:vertAlign w:val="baseline"/>
                <w:lang w:val="en-US"/>
              </w:rPr>
            </w:pPr>
            <w:r>
              <w:rPr>
                <w:rFonts w:ascii="Calibri" w:hAnsi="Calibri" w:eastAsia="Calibri"/>
                <w:color w:val="000000"/>
                <w:spacing w:val="-3"/>
                <w:w w:val="100"/>
                <w:sz w:val="22"/>
                <w:vertAlign w:val="baseline"/>
                <w:lang w:val="en-US"/>
              </w:rPr>
              <w:t xml:space="preserve">appointment of Project Director and team</w:t>
            </w:r>
          </w:p>
          <w:p>
            <w:pPr>
              <w:pageBreakBefore w:val="false"/>
              <w:spacing w:before="273" w:after="0" w:line="266" w:lineRule="exact"/>
              <w:ind w:right="216" w:left="144" w:firstLine="0"/>
              <w:jc w:val="left"/>
              <w:textAlignment w:val="baseline"/>
              <w:rPr>
                <w:rFonts w:ascii="Calibri" w:hAnsi="Calibri" w:eastAsia="Calibri"/>
                <w:color w:val="000000"/>
                <w:spacing w:val="-2"/>
                <w:w w:val="100"/>
                <w:sz w:val="22"/>
                <w:vertAlign w:val="baseline"/>
                <w:lang w:val="en-US"/>
              </w:rPr>
            </w:pPr>
            <w:r>
              <w:rPr>
                <w:rFonts w:ascii="Calibri" w:hAnsi="Calibri" w:eastAsia="Calibri"/>
                <w:color w:val="000000"/>
                <w:spacing w:val="-2"/>
                <w:w w:val="100"/>
                <w:sz w:val="22"/>
                <w:vertAlign w:val="baseline"/>
                <w:lang w:val="en-US"/>
              </w:rPr>
              <w:t xml:space="preserve">Establishment of Stage 1A governance frameworks, including a community consultative committee</w:t>
            </w:r>
          </w:p>
          <w:p>
            <w:pPr>
              <w:pageBreakBefore w:val="false"/>
              <w:numPr>
                <w:ilvl w:val="0"/>
                <w:numId w:val="4"/>
              </w:numPr>
              <w:tabs>
                <w:tab w:val="clear" w:pos="432"/>
                <w:tab w:val="left" w:pos="792"/>
              </w:tabs>
              <w:spacing w:before="17" w:after="0" w:line="268" w:lineRule="exact"/>
              <w:ind w:right="0" w:left="792" w:hanging="432"/>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master plan and schedule for community consultation and stakeholder engagement</w:t>
            </w:r>
          </w:p>
          <w:p>
            <w:pPr>
              <w:pageBreakBefore w:val="false"/>
              <w:spacing w:before="311"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Program design activities including:</w:t>
            </w:r>
          </w:p>
          <w:p>
            <w:pPr>
              <w:pageBreakBefore w:val="false"/>
              <w:numPr>
                <w:ilvl w:val="0"/>
                <w:numId w:val="4"/>
              </w:numPr>
              <w:tabs>
                <w:tab w:val="clear" w:pos="432"/>
                <w:tab w:val="left" w:pos="792"/>
              </w:tabs>
              <w:spacing w:before="9" w:after="0" w:line="269" w:lineRule="exact"/>
              <w:ind w:right="828" w:left="792" w:hanging="432"/>
              <w:jc w:val="left"/>
              <w:textAlignment w:val="baseline"/>
              <w:rPr>
                <w:rFonts w:ascii="Calibri" w:hAnsi="Calibri" w:eastAsia="Calibri"/>
                <w:color w:val="000000"/>
                <w:spacing w:val="-3"/>
                <w:w w:val="100"/>
                <w:sz w:val="22"/>
                <w:vertAlign w:val="baseline"/>
                <w:lang w:val="en-US"/>
              </w:rPr>
            </w:pPr>
            <w:r>
              <w:rPr>
                <w:rFonts w:ascii="Calibri" w:hAnsi="Calibri" w:eastAsia="Calibri"/>
                <w:color w:val="000000"/>
                <w:spacing w:val="-3"/>
                <w:w w:val="100"/>
                <w:sz w:val="22"/>
                <w:vertAlign w:val="baseline"/>
                <w:lang w:val="en-US"/>
              </w:rPr>
              <w:t xml:space="preserve">a Stage 1 co-design engagement framework</w:t>
            </w:r>
          </w:p>
          <w:p>
            <w:pPr>
              <w:pageBreakBefore w:val="false"/>
              <w:numPr>
                <w:ilvl w:val="0"/>
                <w:numId w:val="4"/>
              </w:numPr>
              <w:tabs>
                <w:tab w:val="clear" w:pos="432"/>
                <w:tab w:val="left" w:pos="792"/>
              </w:tabs>
              <w:spacing w:before="12" w:after="0" w:line="268" w:lineRule="exact"/>
              <w:ind w:right="0" w:left="792" w:hanging="432"/>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preliminary technical review of asset management considerations</w:t>
            </w:r>
          </w:p>
          <w:p>
            <w:pPr>
              <w:pageBreakBefore w:val="false"/>
              <w:numPr>
                <w:ilvl w:val="0"/>
                <w:numId w:val="4"/>
              </w:numPr>
              <w:tabs>
                <w:tab w:val="clear" w:pos="432"/>
                <w:tab w:val="left" w:pos="792"/>
              </w:tabs>
              <w:spacing w:before="14" w:after="0" w:line="269" w:lineRule="exact"/>
              <w:ind w:right="0" w:left="792" w:hanging="432"/>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requirements for a regulatory approvals strategy described</w:t>
            </w:r>
          </w:p>
          <w:p>
            <w:pPr>
              <w:pageBreakBefore w:val="false"/>
              <w:numPr>
                <w:ilvl w:val="0"/>
                <w:numId w:val="4"/>
              </w:numPr>
              <w:tabs>
                <w:tab w:val="clear" w:pos="432"/>
                <w:tab w:val="left" w:pos="792"/>
              </w:tabs>
              <w:spacing w:before="12" w:after="19" w:line="268" w:lineRule="exact"/>
              <w:ind w:right="0" w:left="792" w:hanging="432"/>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Victoria’s preferred climate change modelling specification for future MDBA modelling</w:t>
            </w:r>
          </w:p>
        </w:tc>
        <w:tc>
          <w:tcPr>
            <w:tcW w:w="786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43" w:after="0" w:line="226" w:lineRule="exact"/>
              <w:ind w:right="72"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31 March</w:t>
            </w:r>
          </w:p>
          <w:p>
            <w:pPr>
              <w:pageBreakBefore w:val="false"/>
              <w:spacing w:before="42" w:after="6288" w:line="226" w:lineRule="exact"/>
              <w:ind w:right="72"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2021</w:t>
            </w:r>
          </w:p>
        </w:tc>
        <w:tc>
          <w:tcPr>
            <w:tcW w:w="90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43" w:after="6556" w:line="226"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$622,000</w:t>
            </w:r>
          </w:p>
        </w:tc>
      </w:tr>
      <w:tr>
        <w:trPr>
          <w:trHeight w:val="2708" w:hRule="exact"/>
        </w:trPr>
        <w:tc>
          <w:tcPr>
            <w:tcW w:w="177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Corbel" w:hAnsi="Corbel" w:eastAsia="Corbel"/>
                <w:color w:val="000000"/>
                <w:w w:val="100"/>
                <w:sz w:val="24"/>
                <w:vertAlign w:val="baseline"/>
                <w:lang w:val="en-US"/>
              </w:rPr>
            </w:pPr>
            <w:r>
              <w:rPr>
                <w:rFonts w:ascii="Corbel" w:hAnsi="Corbel" w:eastAsia="Corbel"/>
                <w:color w:val="000000"/>
                <w:w w:val="100"/>
                <w:sz w:val="24"/>
                <w:vertAlign w:val="baseline"/>
                <w:lang w:val="en-US"/>
              </w:rPr>
              <w:t xml:space="preserve">
</w:t>
            </w:r>
          </w:p>
        </w:tc>
        <w:tc>
          <w:tcPr>
            <w:tcW w:w="291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8" w:after="2438" w:line="226" w:lineRule="exact"/>
              <w:ind w:right="0" w:left="12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w:t>
            </w:r>
          </w:p>
        </w:tc>
        <w:tc>
          <w:tcPr>
            <w:tcW w:w="66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6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Development of a community</w:t>
              <w:br/>
            </w:r>
            <w:r>
              <w:rPr>
                <w:rFonts w:ascii="Calibri" w:hAnsi="Calibri" w:eastAsia="Calibri"/>
                <w:color w:val="000000"/>
                <w:spacing w:val="0"/>
                <w:w w:val="100"/>
                <w:sz w:val="22"/>
                <w:vertAlign w:val="baseline"/>
                <w:lang w:val="en-US"/>
              </w:rPr>
              <w:t xml:space="preserve">co-design strategy</w:t>
            </w:r>
          </w:p>
          <w:p>
            <w:pPr>
              <w:pageBreakBefore w:val="false"/>
              <w:spacing w:before="312"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Completion of procurement strategy</w:t>
            </w:r>
          </w:p>
          <w:p>
            <w:pPr>
              <w:pageBreakBefore w:val="false"/>
              <w:spacing w:before="268" w:after="0" w:line="269" w:lineRule="exact"/>
              <w:ind w:right="684" w:left="144" w:firstLine="0"/>
              <w:jc w:val="left"/>
              <w:textAlignment w:val="baseline"/>
              <w:rPr>
                <w:rFonts w:ascii="Calibri" w:hAnsi="Calibri" w:eastAsia="Calibri"/>
                <w:color w:val="000000"/>
                <w:spacing w:val="-2"/>
                <w:w w:val="100"/>
                <w:sz w:val="22"/>
                <w:vertAlign w:val="baseline"/>
                <w:lang w:val="en-US"/>
              </w:rPr>
            </w:pPr>
            <w:r>
              <w:rPr>
                <w:rFonts w:ascii="Calibri" w:hAnsi="Calibri" w:eastAsia="Calibri"/>
                <w:color w:val="000000"/>
                <w:spacing w:val="-2"/>
                <w:w w:val="100"/>
                <w:sz w:val="22"/>
                <w:vertAlign w:val="baseline"/>
                <w:lang w:val="en-US"/>
              </w:rPr>
              <w:t xml:space="preserve">Completion of a cultural benefits report</w:t>
            </w:r>
          </w:p>
          <w:p>
            <w:pPr>
              <w:pageBreakBefore w:val="false"/>
              <w:spacing w:before="271" w:after="18" w:line="268" w:lineRule="exact"/>
              <w:ind w:right="144" w:left="144" w:firstLine="0"/>
              <w:jc w:val="left"/>
              <w:textAlignment w:val="baseline"/>
              <w:rPr>
                <w:rFonts w:ascii="Calibri" w:hAnsi="Calibri" w:eastAsia="Calibri"/>
                <w:color w:val="000000"/>
                <w:spacing w:val="-2"/>
                <w:w w:val="100"/>
                <w:sz w:val="22"/>
                <w:vertAlign w:val="baseline"/>
                <w:lang w:val="en-US"/>
              </w:rPr>
            </w:pPr>
            <w:r>
              <w:rPr>
                <w:rFonts w:ascii="Calibri" w:hAnsi="Calibri" w:eastAsia="Calibri"/>
                <w:color w:val="000000"/>
                <w:spacing w:val="-2"/>
                <w:w w:val="100"/>
                <w:sz w:val="22"/>
                <w:vertAlign w:val="baseline"/>
                <w:lang w:val="en-US"/>
              </w:rPr>
              <w:t xml:space="preserve">Completion of Victorian Constraints Consultative Committee interim report</w:t>
            </w:r>
          </w:p>
        </w:tc>
        <w:tc>
          <w:tcPr>
            <w:tcW w:w="786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8" w:after="0" w:line="226" w:lineRule="exact"/>
              <w:ind w:right="72"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30</w:t>
            </w:r>
          </w:p>
          <w:p>
            <w:pPr>
              <w:pageBreakBefore w:val="false"/>
              <w:spacing w:before="43" w:after="0" w:line="226" w:lineRule="exact"/>
              <w:ind w:right="72"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September</w:t>
            </w:r>
          </w:p>
          <w:p>
            <w:pPr>
              <w:pageBreakBefore w:val="false"/>
              <w:spacing w:before="43" w:after="1900" w:line="226" w:lineRule="exact"/>
              <w:ind w:right="72"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2021</w:t>
            </w:r>
          </w:p>
        </w:tc>
        <w:tc>
          <w:tcPr>
            <w:tcW w:w="90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8" w:after="2438" w:line="226"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$1,490,000</w:t>
            </w:r>
          </w:p>
        </w:tc>
      </w:tr>
      <w:tr>
        <w:trPr>
          <w:trHeight w:val="2193" w:hRule="exact"/>
        </w:trPr>
        <w:tc>
          <w:tcPr>
            <w:tcW w:w="177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Corbel" w:hAnsi="Corbel" w:eastAsia="Corbel"/>
                <w:color w:val="000000"/>
                <w:w w:val="100"/>
                <w:sz w:val="24"/>
                <w:vertAlign w:val="baseline"/>
                <w:lang w:val="en-US"/>
              </w:rPr>
            </w:pPr>
            <w:r>
              <w:rPr>
                <w:rFonts w:ascii="Corbel" w:hAnsi="Corbel" w:eastAsia="Corbel"/>
                <w:color w:val="000000"/>
                <w:w w:val="100"/>
                <w:sz w:val="24"/>
                <w:vertAlign w:val="baseline"/>
                <w:lang w:val="en-US"/>
              </w:rPr>
              <w:t xml:space="preserve">
</w:t>
            </w:r>
          </w:p>
        </w:tc>
        <w:tc>
          <w:tcPr>
            <w:tcW w:w="291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7" w:after="1920" w:line="226" w:lineRule="exact"/>
              <w:ind w:right="0" w:left="12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w:t>
            </w:r>
          </w:p>
        </w:tc>
        <w:tc>
          <w:tcPr>
            <w:tcW w:w="66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6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Hydrometric network installation completed and operational</w:t>
            </w:r>
          </w:p>
          <w:p>
            <w:pPr>
              <w:pageBreakBefore w:val="false"/>
              <w:spacing w:before="274" w:after="0" w:line="264"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Legal, policy and technical implementation advice sought</w:t>
            </w:r>
          </w:p>
          <w:p>
            <w:pPr>
              <w:pageBreakBefore w:val="false"/>
              <w:numPr>
                <w:ilvl w:val="0"/>
                <w:numId w:val="5"/>
              </w:numPr>
              <w:tabs>
                <w:tab w:val="clear" w:pos="360"/>
                <w:tab w:val="left" w:pos="864"/>
              </w:tabs>
              <w:spacing w:before="283" w:after="28" w:line="269"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Mitigation works design</w:t>
              <w:br/>
            </w:r>
            <w:r>
              <w:rPr>
                <w:rFonts w:ascii="Calibri" w:hAnsi="Calibri" w:eastAsia="Calibri"/>
                <w:color w:val="000000"/>
                <w:spacing w:val="0"/>
                <w:w w:val="100"/>
                <w:sz w:val="22"/>
                <w:vertAlign w:val="baseline"/>
                <w:lang w:val="en-US"/>
              </w:rPr>
              <w:t xml:space="preserve">standards completed</w:t>
            </w:r>
          </w:p>
        </w:tc>
        <w:tc>
          <w:tcPr>
            <w:tcW w:w="786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7" w:after="0" w:line="226" w:lineRule="exact"/>
              <w:ind w:right="72"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31 March</w:t>
            </w:r>
          </w:p>
          <w:p>
            <w:pPr>
              <w:pageBreakBefore w:val="false"/>
              <w:spacing w:before="43" w:after="1651" w:line="226" w:lineRule="exact"/>
              <w:ind w:right="72"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2022</w:t>
            </w:r>
          </w:p>
        </w:tc>
        <w:tc>
          <w:tcPr>
            <w:tcW w:w="90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7" w:after="1920" w:line="226"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$2,665,000</w:t>
            </w:r>
          </w:p>
        </w:tc>
      </w:tr>
    </w:tbl>
    <w:p>
      <w:pPr>
        <w:spacing w:before="0" w:after="342" w:line="20" w:lineRule="exact"/>
      </w:pPr>
    </w:p>
    <w:p>
      <w:pPr>
        <w:spacing w:before="0" w:after="342" w:line="20" w:lineRule="exact"/>
        <w:sectPr>
          <w:type w:val="nextPage"/>
          <w:pgSz w:w="11904" w:h="16843" w:orient="portrait"/>
          <w:pgMar w:bottom="567" w:top="920" w:right="1371" w:left="1429" w:header="720" w:footer="720"/>
          <w:titlePg w:val="false"/>
          <w:textDirection w:val="lrTb"/>
        </w:sectPr>
      </w:pPr>
    </w:p>
    <w:p>
      <w:pPr>
        <w:pageBreakBefore w:val="false"/>
        <w:spacing w:before="26" w:after="0" w:line="218" w:lineRule="exact"/>
        <w:ind w:right="0" w:left="0" w:firstLine="0"/>
        <w:jc w:val="center"/>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3</w:t>
      </w:r>
    </w:p>
    <w:p>
      <w:pPr>
        <w:sectPr>
          <w:type w:val="continuous"/>
          <w:pgSz w:w="11904" w:h="16843" w:orient="portrait"/>
          <w:pgMar w:bottom="567" w:top="920" w:right="1422" w:left="1422" w:header="720" w:footer="720"/>
          <w:titlePg w:val="false"/>
          <w:textDirection w:val="lrTb"/>
        </w:sectPr>
      </w:pPr>
    </w:p>
    <w:p>
      <w:pPr>
        <w:pageBreakBefore w:val="false"/>
        <w:spacing w:before="31" w:after="0" w:line="196" w:lineRule="exact"/>
        <w:ind w:right="0" w:left="72" w:firstLine="0"/>
        <w:jc w:val="left"/>
        <w:textAlignment w:val="baseline"/>
        <w:rPr>
          <w:rFonts w:ascii="Corbel" w:hAnsi="Corbel" w:eastAsia="Corbel"/>
          <w:color w:val="7F0000"/>
          <w:spacing w:val="0"/>
          <w:w w:val="100"/>
          <w:sz w:val="18"/>
          <w:vertAlign w:val="baseline"/>
          <w:lang w:val="en-US"/>
        </w:rPr>
      </w:pPr>
      <w:r>
        <w:rPr>
          <w:rFonts w:ascii="Corbel" w:hAnsi="Corbel" w:eastAsia="Corbel"/>
          <w:color w:val="7F0000"/>
          <w:spacing w:val="0"/>
          <w:w w:val="100"/>
          <w:sz w:val="18"/>
          <w:vertAlign w:val="baseline"/>
          <w:lang w:val="en-US"/>
        </w:rPr>
        <w:t xml:space="preserve">Schedule E - Project Agreement for Stage 1 Funding for SDL Adjustment Supply and Constraints Measures in the Murray-</w:t>
      </w:r>
      <w:r>
        <w:rPr>
          <w:rFonts w:ascii="Corbel" w:hAnsi="Corbel" w:eastAsia="Corbel"/>
          <w:color w:val="000000"/>
          <w:w w:val="100"/>
          <w:sz w:val="24"/>
          <w:vertAlign w:val="baseline"/>
          <w:lang w:val="en-US"/>
        </w:rPr>
        <w:t xml:space="preserve">
</w:t>
      </w:r>
    </w:p>
    <w:p>
      <w:pPr>
        <w:pageBreakBefore w:val="false"/>
        <w:spacing w:before="25" w:after="259" w:line="196" w:lineRule="exact"/>
        <w:ind w:right="0" w:left="0" w:firstLine="0"/>
        <w:jc w:val="right"/>
        <w:textAlignment w:val="baseline"/>
        <w:rPr>
          <w:rFonts w:ascii="Corbel" w:hAnsi="Corbel" w:eastAsia="Corbel"/>
          <w:color w:val="7F0000"/>
          <w:spacing w:val="-1"/>
          <w:w w:val="100"/>
          <w:sz w:val="18"/>
          <w:vertAlign w:val="baseline"/>
          <w:lang w:val="en-US"/>
        </w:rPr>
      </w:pPr>
      <w:r>
        <w:rPr>
          <w:rFonts w:ascii="Corbel" w:hAnsi="Corbel" w:eastAsia="Corbel"/>
          <w:color w:val="7F0000"/>
          <w:spacing w:val="-1"/>
          <w:w w:val="100"/>
          <w:sz w:val="18"/>
          <w:vertAlign w:val="baseline"/>
          <w:lang w:val="en-US"/>
        </w:rPr>
        <w:t xml:space="preserve">Darling Basin</w:t>
      </w:r>
    </w:p>
    <w:tbl>
      <w:tblPr>
        <w:jc w:val="left"/>
        <w:tblInd w:w="11" w:type="dxa"/>
        <w:tblLayout w:type="fixed"/>
        <w:tblCellMar>
          <w:left w:w="0" w:type="dxa"/>
          <w:right w:w="0" w:type="dxa"/>
        </w:tblCellMar>
      </w:tblPr>
      <w:tblGrid>
        <w:gridCol w:w="1766"/>
        <w:gridCol w:w="1138"/>
        <w:gridCol w:w="3744"/>
        <w:gridCol w:w="1205"/>
        <w:gridCol w:w="1229"/>
      </w:tblGrid>
      <w:tr>
        <w:trPr>
          <w:trHeight w:val="7085" w:hRule="exact"/>
        </w:trPr>
        <w:tc>
          <w:tcPr>
            <w:tcW w:w="177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Corbel" w:hAnsi="Corbel" w:eastAsia="Corbel"/>
                <w:color w:val="000000"/>
                <w:w w:val="100"/>
                <w:sz w:val="24"/>
                <w:vertAlign w:val="baseline"/>
                <w:lang w:val="en-US"/>
              </w:rPr>
            </w:pPr>
            <w:r>
              <w:rPr>
                <w:rFonts w:ascii="Corbel" w:hAnsi="Corbel" w:eastAsia="Corbel"/>
                <w:color w:val="000000"/>
                <w:w w:val="100"/>
                <w:sz w:val="24"/>
                <w:vertAlign w:val="baseline"/>
                <w:lang w:val="en-US"/>
              </w:rPr>
              <w:t xml:space="preserve">
</w:t>
            </w:r>
          </w:p>
        </w:tc>
        <w:tc>
          <w:tcPr>
            <w:tcW w:w="291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47" w:after="6803" w:line="225" w:lineRule="exact"/>
              <w:ind w:right="590"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4</w:t>
            </w:r>
          </w:p>
        </w:tc>
        <w:tc>
          <w:tcPr>
            <w:tcW w:w="66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69"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Completion of mitigation works and easements compensation framework</w:t>
            </w:r>
          </w:p>
          <w:p>
            <w:pPr>
              <w:pageBreakBefore w:val="false"/>
              <w:numPr>
                <w:ilvl w:val="0"/>
                <w:numId w:val="5"/>
              </w:numPr>
              <w:tabs>
                <w:tab w:val="clear" w:pos="360"/>
                <w:tab w:val="left" w:pos="864"/>
              </w:tabs>
              <w:spacing w:before="8" w:after="0" w:line="269" w:lineRule="exact"/>
              <w:ind w:right="576"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operational guidelines for impacts assessment and determining mitigation measures</w:t>
            </w:r>
          </w:p>
          <w:p>
            <w:pPr>
              <w:pageBreakBefore w:val="false"/>
              <w:numPr>
                <w:ilvl w:val="0"/>
                <w:numId w:val="5"/>
              </w:numPr>
              <w:tabs>
                <w:tab w:val="clear" w:pos="360"/>
                <w:tab w:val="left" w:pos="864"/>
              </w:tabs>
              <w:spacing w:before="14" w:after="0" w:line="269"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easement compensation valuation framework</w:t>
            </w:r>
          </w:p>
          <w:p>
            <w:pPr>
              <w:pageBreakBefore w:val="false"/>
              <w:spacing w:before="269" w:after="0" w:line="269" w:lineRule="exact"/>
              <w:ind w:right="432" w:left="144" w:firstLine="0"/>
              <w:jc w:val="both"/>
              <w:textAlignment w:val="baseline"/>
              <w:rPr>
                <w:rFonts w:ascii="Calibri" w:hAnsi="Calibri" w:eastAsia="Calibri"/>
                <w:color w:val="000000"/>
                <w:spacing w:val="-3"/>
                <w:w w:val="100"/>
                <w:sz w:val="22"/>
                <w:vertAlign w:val="baseline"/>
                <w:lang w:val="en-US"/>
              </w:rPr>
            </w:pPr>
            <w:r>
              <w:rPr>
                <w:rFonts w:ascii="Calibri" w:hAnsi="Calibri" w:eastAsia="Calibri"/>
                <w:color w:val="000000"/>
                <w:spacing w:val="-3"/>
                <w:w w:val="100"/>
                <w:sz w:val="22"/>
                <w:vertAlign w:val="baseline"/>
                <w:lang w:val="en-US"/>
              </w:rPr>
              <w:t xml:space="preserve">Completion of Victorian Constraints Consultative Committee final report</w:t>
            </w:r>
          </w:p>
          <w:p>
            <w:pPr>
              <w:pageBreakBefore w:val="false"/>
              <w:spacing w:before="264" w:after="0" w:line="269" w:lineRule="exact"/>
              <w:ind w:right="252"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Completion of Stage 1A formal review report</w:t>
            </w:r>
          </w:p>
          <w:p>
            <w:pPr>
              <w:pageBreakBefore w:val="false"/>
              <w:numPr>
                <w:ilvl w:val="0"/>
                <w:numId w:val="5"/>
              </w:numPr>
              <w:tabs>
                <w:tab w:val="clear" w:pos="360"/>
                <w:tab w:val="left" w:pos="864"/>
              </w:tabs>
              <w:spacing w:before="14" w:after="0" w:line="269"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outcomes of community co-design process</w:t>
            </w:r>
          </w:p>
          <w:p>
            <w:pPr>
              <w:pageBreakBefore w:val="false"/>
              <w:numPr>
                <w:ilvl w:val="0"/>
                <w:numId w:val="5"/>
              </w:numPr>
              <w:tabs>
                <w:tab w:val="clear" w:pos="360"/>
                <w:tab w:val="left" w:pos="864"/>
              </w:tabs>
              <w:spacing w:before="9" w:after="0" w:line="269"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recommended engagement framework, compensation framework and CMP delivery approach</w:t>
            </w:r>
          </w:p>
          <w:p>
            <w:pPr>
              <w:pageBreakBefore w:val="false"/>
              <w:numPr>
                <w:ilvl w:val="0"/>
                <w:numId w:val="5"/>
              </w:numPr>
              <w:tabs>
                <w:tab w:val="clear" w:pos="360"/>
                <w:tab w:val="left" w:pos="864"/>
              </w:tabs>
              <w:spacing w:before="9" w:after="0" w:line="269"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agreed design standards for on-farm and public works</w:t>
            </w:r>
          </w:p>
          <w:p>
            <w:pPr>
              <w:pageBreakBefore w:val="false"/>
              <w:numPr>
                <w:ilvl w:val="0"/>
                <w:numId w:val="5"/>
              </w:numPr>
              <w:tabs>
                <w:tab w:val="clear" w:pos="360"/>
                <w:tab w:val="left" w:pos="864"/>
              </w:tabs>
              <w:spacing w:before="14" w:after="14" w:line="269" w:lineRule="exact"/>
              <w:ind w:right="144" w:left="360" w:firstLine="144"/>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details of level of community support for Victorian CMP local environmental and social benefits arising from Victorian CMP</w:t>
            </w:r>
          </w:p>
        </w:tc>
        <w:tc>
          <w:tcPr>
            <w:tcW w:w="786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47" w:after="0" w:line="225" w:lineRule="exact"/>
              <w:ind w:right="72"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30</w:t>
            </w:r>
          </w:p>
          <w:p>
            <w:pPr>
              <w:pageBreakBefore w:val="false"/>
              <w:spacing w:before="44" w:after="0" w:line="226" w:lineRule="exact"/>
              <w:ind w:right="72"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September</w:t>
            </w:r>
          </w:p>
          <w:p>
            <w:pPr>
              <w:pageBreakBefore w:val="false"/>
              <w:spacing w:before="43" w:after="6265" w:line="225" w:lineRule="exact"/>
              <w:ind w:right="72"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2022</w:t>
            </w:r>
          </w:p>
        </w:tc>
        <w:tc>
          <w:tcPr>
            <w:tcW w:w="90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47" w:after="6803" w:line="225"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$1,627,000</w:t>
            </w:r>
          </w:p>
        </w:tc>
      </w:tr>
      <w:tr>
        <w:trPr>
          <w:trHeight w:val="1358" w:hRule="exact"/>
        </w:trPr>
        <w:tc>
          <w:tcPr>
            <w:tcW w:w="1777" w:type="auto"/>
            <w:gridSpan w:val="1"/>
            <w:vMerge w:val="restart"/>
            <w:tcBorders>
              <w:top w:val="single" w:sz="9" w:color="000000"/>
              <w:left w:val="single" w:sz="9" w:color="000000"/>
              <w:bottom w:val="single" w:sz="0" w:color="000000"/>
              <w:right w:val="single" w:sz="9" w:color="000000"/>
            </w:tcBorders>
            <w:textDirection w:val="lrTb"/>
            <w:vAlign w:val="top"/>
          </w:tcPr>
          <w:p>
            <w:pPr>
              <w:pageBreakBefore w:val="false"/>
              <w:spacing w:before="0" w:after="5204" w:line="266" w:lineRule="exact"/>
              <w:ind w:right="288" w:left="108" w:firstLine="0"/>
              <w:jc w:val="left"/>
              <w:textAlignment w:val="baseline"/>
              <w:rPr>
                <w:rFonts w:ascii="Calibri" w:hAnsi="Calibri" w:eastAsia="Calibri"/>
                <w:color w:val="000000"/>
                <w:spacing w:val="-1"/>
                <w:w w:val="100"/>
                <w:sz w:val="22"/>
                <w:vertAlign w:val="baseline"/>
                <w:lang w:val="en-US"/>
              </w:rPr>
            </w:pPr>
            <w:r>
              <w:rPr>
                <w:rFonts w:ascii="Calibri" w:hAnsi="Calibri" w:eastAsia="Calibri"/>
                <w:color w:val="000000"/>
                <w:spacing w:val="-1"/>
                <w:w w:val="100"/>
                <w:sz w:val="22"/>
                <w:vertAlign w:val="baseline"/>
                <w:lang w:val="en-US"/>
              </w:rPr>
              <w:t xml:space="preserve">B) Victorian CMP: Goulburn constraints measure</w:t>
            </w:r>
          </w:p>
        </w:tc>
        <w:tc>
          <w:tcPr>
            <w:tcW w:w="291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7" w:after="1096" w:line="225" w:lineRule="exact"/>
              <w:ind w:right="590"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1</w:t>
            </w:r>
          </w:p>
        </w:tc>
        <w:tc>
          <w:tcPr>
            <w:tcW w:w="66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4" w:line="266" w:lineRule="exact"/>
              <w:ind w:right="18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Completion of procurement for: bathymetric, topographic and structure survey; hydrological modelling; and hydraulic modelling for Goulburn Key Focus Area</w:t>
            </w:r>
          </w:p>
        </w:tc>
        <w:tc>
          <w:tcPr>
            <w:tcW w:w="786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7" w:after="0" w:line="225"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31 March</w:t>
            </w:r>
          </w:p>
          <w:p>
            <w:pPr>
              <w:pageBreakBefore w:val="false"/>
              <w:spacing w:before="44" w:after="827" w:line="225"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2021</w:t>
            </w:r>
          </w:p>
        </w:tc>
        <w:tc>
          <w:tcPr>
            <w:tcW w:w="90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7" w:after="1096" w:line="225"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$273,000</w:t>
            </w:r>
          </w:p>
        </w:tc>
      </w:tr>
      <w:tr>
        <w:trPr>
          <w:trHeight w:val="4075" w:hRule="exact"/>
        </w:trPr>
        <w:tc>
          <w:tcPr>
            <w:tcW w:w="1777" w:type="auto"/>
            <w:gridSpan w:val="1"/>
            <w:vMerge w:val="continue"/>
            <w:tcBorders>
              <w:top w:val="single" w:sz="0" w:color="000000"/>
              <w:left w:val="single" w:sz="9" w:color="000000"/>
              <w:bottom w:val="single" w:sz="0" w:color="000000"/>
              <w:right w:val="single" w:sz="9" w:color="000000"/>
            </w:tcBorders>
            <w:textDirection w:val="lrTb"/>
            <w:vAlign w:val="top"/>
          </w:tcPr>
          <w:p/>
        </w:tc>
        <w:tc>
          <w:tcPr>
            <w:tcW w:w="291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43" w:after="3792" w:line="225" w:lineRule="exact"/>
              <w:ind w:right="590"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w:t>
            </w:r>
          </w:p>
        </w:tc>
        <w:tc>
          <w:tcPr>
            <w:tcW w:w="66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67" w:lineRule="exact"/>
              <w:ind w:right="828"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Bathymetric, topographic and structure survey completed for Goulburn Key Focus Area</w:t>
            </w:r>
          </w:p>
          <w:p>
            <w:pPr>
              <w:pageBreakBefore w:val="false"/>
              <w:spacing w:before="267" w:after="0" w:line="269" w:lineRule="exact"/>
              <w:ind w:right="288"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Completion of hydrological and hydraulic modelling for Goulburn Key Focus Area</w:t>
            </w:r>
          </w:p>
          <w:p>
            <w:pPr>
              <w:pageBreakBefore w:val="false"/>
              <w:numPr>
                <w:ilvl w:val="0"/>
                <w:numId w:val="5"/>
              </w:numPr>
              <w:tabs>
                <w:tab w:val="clear" w:pos="360"/>
                <w:tab w:val="left" w:pos="864"/>
              </w:tabs>
              <w:spacing w:before="15" w:after="0" w:line="269"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review reports on adequacy of existing hydrological and hydraulic models</w:t>
            </w:r>
          </w:p>
          <w:p>
            <w:pPr>
              <w:pageBreakBefore w:val="false"/>
              <w:numPr>
                <w:ilvl w:val="0"/>
                <w:numId w:val="5"/>
              </w:numPr>
              <w:tabs>
                <w:tab w:val="clear" w:pos="360"/>
                <w:tab w:val="left" w:pos="864"/>
              </w:tabs>
              <w:spacing w:before="7" w:after="0" w:line="269" w:lineRule="exact"/>
              <w:ind w:right="576" w:left="864" w:hanging="360"/>
              <w:jc w:val="left"/>
              <w:textAlignment w:val="baseline"/>
              <w:rPr>
                <w:rFonts w:ascii="Calibri" w:hAnsi="Calibri" w:eastAsia="Calibri"/>
                <w:color w:val="000000"/>
                <w:spacing w:val="-2"/>
                <w:w w:val="100"/>
                <w:sz w:val="22"/>
                <w:vertAlign w:val="baseline"/>
                <w:lang w:val="en-US"/>
              </w:rPr>
            </w:pPr>
            <w:r>
              <w:rPr>
                <w:rFonts w:ascii="Calibri" w:hAnsi="Calibri" w:eastAsia="Calibri"/>
                <w:color w:val="000000"/>
                <w:spacing w:val="-2"/>
                <w:w w:val="100"/>
                <w:sz w:val="22"/>
                <w:vertAlign w:val="baseline"/>
                <w:lang w:val="en-US"/>
              </w:rPr>
              <w:t xml:space="preserve">reports on updated hydrological and hydraulic models</w:t>
            </w:r>
          </w:p>
          <w:p>
            <w:pPr>
              <w:pageBreakBefore w:val="false"/>
              <w:spacing w:before="1" w:after="9" w:line="269" w:lineRule="exact"/>
              <w:ind w:right="288" w:left="144" w:firstLine="0"/>
              <w:jc w:val="left"/>
              <w:textAlignment w:val="baseline"/>
              <w:rPr>
                <w:rFonts w:ascii="Calibri" w:hAnsi="Calibri" w:eastAsia="Calibri"/>
                <w:color w:val="000000"/>
                <w:spacing w:val="-3"/>
                <w:w w:val="100"/>
                <w:sz w:val="22"/>
                <w:vertAlign w:val="baseline"/>
                <w:lang w:val="en-US"/>
              </w:rPr>
            </w:pPr>
            <w:r>
              <w:rPr>
                <w:rFonts w:ascii="Calibri" w:hAnsi="Calibri" w:eastAsia="Calibri"/>
                <w:color w:val="000000"/>
                <w:spacing w:val="-3"/>
                <w:w w:val="100"/>
                <w:sz w:val="22"/>
                <w:vertAlign w:val="baseline"/>
                <w:lang w:val="en-US"/>
              </w:rPr>
              <w:t xml:space="preserve">Flood inundation mapping completed for Goulburn Key Focus Area</w:t>
            </w:r>
          </w:p>
        </w:tc>
        <w:tc>
          <w:tcPr>
            <w:tcW w:w="786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43" w:after="0" w:line="225"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30</w:t>
            </w:r>
          </w:p>
          <w:p>
            <w:pPr>
              <w:pageBreakBefore w:val="false"/>
              <w:spacing w:before="0" w:after="3260" w:line="26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September 2021</w:t>
            </w:r>
          </w:p>
        </w:tc>
        <w:tc>
          <w:tcPr>
            <w:tcW w:w="90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43" w:after="3792" w:line="225"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$773,000</w:t>
            </w:r>
          </w:p>
        </w:tc>
      </w:tr>
      <w:tr>
        <w:trPr>
          <w:trHeight w:val="840" w:hRule="exact"/>
        </w:trPr>
        <w:tc>
          <w:tcPr>
            <w:tcW w:w="1777" w:type="auto"/>
            <w:gridSpan w:val="1"/>
            <w:vMerge w:val="continue"/>
            <w:tcBorders>
              <w:top w:val="single" w:sz="0" w:color="000000"/>
              <w:left w:val="single" w:sz="9" w:color="000000"/>
              <w:bottom w:val="single" w:sz="9" w:color="000000"/>
              <w:right w:val="single" w:sz="9" w:color="000000"/>
            </w:tcBorders>
            <w:textDirection w:val="lrTb"/>
            <w:vAlign w:val="top"/>
          </w:tcPr>
          <w:p/>
        </w:tc>
        <w:tc>
          <w:tcPr>
            <w:tcW w:w="291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8" w:after="572" w:line="225" w:lineRule="exact"/>
              <w:ind w:right="590"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w:t>
            </w:r>
          </w:p>
        </w:tc>
        <w:tc>
          <w:tcPr>
            <w:tcW w:w="66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33" w:line="267" w:lineRule="exact"/>
              <w:ind w:right="396"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Environmental flow and benefits assessment completed for Goulburn Key Focus Area</w:t>
            </w:r>
          </w:p>
        </w:tc>
        <w:tc>
          <w:tcPr>
            <w:tcW w:w="786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8" w:after="0" w:line="225"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31 March</w:t>
            </w:r>
          </w:p>
          <w:p>
            <w:pPr>
              <w:pageBreakBefore w:val="false"/>
              <w:spacing w:before="44" w:after="303" w:line="225"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2022</w:t>
            </w:r>
          </w:p>
        </w:tc>
        <w:tc>
          <w:tcPr>
            <w:tcW w:w="90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8" w:after="572" w:line="225"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$290,000</w:t>
            </w:r>
          </w:p>
        </w:tc>
      </w:tr>
    </w:tbl>
    <w:p>
      <w:pPr>
        <w:spacing w:before="0" w:after="606" w:line="20" w:lineRule="exact"/>
      </w:pPr>
    </w:p>
    <w:p>
      <w:pPr>
        <w:spacing w:before="0" w:after="606" w:line="20" w:lineRule="exact"/>
        <w:sectPr>
          <w:type w:val="nextPage"/>
          <w:pgSz w:w="11904" w:h="16843" w:orient="portrait"/>
          <w:pgMar w:bottom="567" w:top="920" w:right="1371" w:left="1429" w:header="720" w:footer="720"/>
          <w:titlePg w:val="false"/>
          <w:textDirection w:val="lrTb"/>
        </w:sectPr>
      </w:pPr>
    </w:p>
    <w:p>
      <w:pPr>
        <w:pageBreakBefore w:val="false"/>
        <w:spacing w:before="26" w:after="0" w:line="218" w:lineRule="exact"/>
        <w:ind w:right="0" w:left="0" w:firstLine="0"/>
        <w:jc w:val="center"/>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4</w:t>
      </w:r>
    </w:p>
    <w:p>
      <w:pPr>
        <w:sectPr>
          <w:type w:val="continuous"/>
          <w:pgSz w:w="11904" w:h="16843" w:orient="portrait"/>
          <w:pgMar w:bottom="567" w:top="920" w:right="1424" w:left="1420" w:header="720" w:footer="720"/>
          <w:titlePg w:val="false"/>
          <w:textDirection w:val="lrTb"/>
        </w:sectPr>
      </w:pPr>
    </w:p>
    <w:p>
      <w:pPr>
        <w:pageBreakBefore w:val="false"/>
        <w:spacing w:before="31" w:after="0" w:line="196" w:lineRule="exact"/>
        <w:ind w:right="0" w:left="72" w:firstLine="0"/>
        <w:jc w:val="left"/>
        <w:textAlignment w:val="baseline"/>
        <w:rPr>
          <w:rFonts w:ascii="Corbel" w:hAnsi="Corbel" w:eastAsia="Corbel"/>
          <w:color w:val="7F0000"/>
          <w:spacing w:val="0"/>
          <w:w w:val="100"/>
          <w:sz w:val="18"/>
          <w:vertAlign w:val="baseline"/>
          <w:lang w:val="en-US"/>
        </w:rPr>
      </w:pPr>
      <w:r>
        <w:rPr>
          <w:rFonts w:ascii="Corbel" w:hAnsi="Corbel" w:eastAsia="Corbel"/>
          <w:color w:val="7F0000"/>
          <w:spacing w:val="0"/>
          <w:w w:val="100"/>
          <w:sz w:val="18"/>
          <w:vertAlign w:val="baseline"/>
          <w:lang w:val="en-US"/>
        </w:rPr>
        <w:t xml:space="preserve">Schedule E - Project Agreement for Stage 1 Funding for SDL Adjustment Supply and Constraints Measures in the Murray-</w:t>
      </w:r>
      <w:r>
        <w:rPr>
          <w:rFonts w:ascii="Corbel" w:hAnsi="Corbel" w:eastAsia="Corbel"/>
          <w:color w:val="000000"/>
          <w:w w:val="100"/>
          <w:sz w:val="24"/>
          <w:vertAlign w:val="baseline"/>
          <w:lang w:val="en-US"/>
        </w:rPr>
        <w:t xml:space="preserve">
</w:t>
      </w:r>
    </w:p>
    <w:p>
      <w:pPr>
        <w:pageBreakBefore w:val="false"/>
        <w:spacing w:before="25" w:after="244" w:line="196" w:lineRule="exact"/>
        <w:ind w:right="0" w:left="0" w:firstLine="0"/>
        <w:jc w:val="right"/>
        <w:textAlignment w:val="baseline"/>
        <w:rPr>
          <w:rFonts w:ascii="Corbel" w:hAnsi="Corbel" w:eastAsia="Corbel"/>
          <w:color w:val="7F0000"/>
          <w:spacing w:val="-1"/>
          <w:w w:val="100"/>
          <w:sz w:val="18"/>
          <w:vertAlign w:val="baseline"/>
          <w:lang w:val="en-US"/>
        </w:rPr>
      </w:pPr>
      <w:r>
        <w:rPr>
          <w:rFonts w:ascii="Corbel" w:hAnsi="Corbel" w:eastAsia="Corbel"/>
          <w:color w:val="7F0000"/>
          <w:spacing w:val="-1"/>
          <w:w w:val="100"/>
          <w:sz w:val="18"/>
          <w:vertAlign w:val="baseline"/>
          <w:lang w:val="en-US"/>
        </w:rPr>
        <w:t xml:space="preserve">Darling Basin</w:t>
      </w:r>
    </w:p>
    <w:p>
      <w:pPr>
        <w:spacing w:before="4" w:after="0" w:line="20" w:lineRule="exact"/>
      </w:pPr>
    </w:p>
    <w:tbl>
      <w:tblPr>
        <w:jc w:val="left"/>
        <w:tblInd w:w="11" w:type="dxa"/>
        <w:tblLayout w:type="fixed"/>
        <w:tblCellMar>
          <w:left w:w="0" w:type="dxa"/>
          <w:right w:w="0" w:type="dxa"/>
        </w:tblCellMar>
      </w:tblPr>
      <w:tblGrid>
        <w:gridCol w:w="1766"/>
        <w:gridCol w:w="1138"/>
        <w:gridCol w:w="3744"/>
        <w:gridCol w:w="1205"/>
        <w:gridCol w:w="1229"/>
      </w:tblGrid>
      <w:tr>
        <w:trPr>
          <w:trHeight w:val="1373" w:hRule="exact"/>
        </w:trPr>
        <w:tc>
          <w:tcPr>
            <w:tcW w:w="1777" w:type="auto"/>
            <w:gridSpan w:val="1"/>
            <w:vMerge w:val="restart"/>
            <w:tcBorders>
              <w:top w:val="single" w:sz="9" w:color="000000"/>
              <w:left w:val="single" w:sz="9" w:color="000000"/>
              <w:bottom w:val="single" w:sz="0" w:color="000000"/>
              <w:right w:val="single" w:sz="9" w:color="000000"/>
            </w:tcBorders>
            <w:textDirection w:val="lrTb"/>
            <w:vAlign w:val="top"/>
          </w:tcPr>
          <w:p>
            <w:pPr>
              <w:pageBreakBefore w:val="false"/>
              <w:spacing w:before="0" w:after="5454" w:line="269" w:lineRule="exact"/>
              <w:ind w:right="360" w:left="108" w:firstLine="0"/>
              <w:jc w:val="left"/>
              <w:textAlignment w:val="baseline"/>
              <w:rPr>
                <w:rFonts w:ascii="Calibri" w:hAnsi="Calibri" w:eastAsia="Calibri"/>
                <w:color w:val="000000"/>
                <w:spacing w:val="-2"/>
                <w:w w:val="100"/>
                <w:sz w:val="22"/>
                <w:vertAlign w:val="baseline"/>
                <w:lang w:val="en-US"/>
              </w:rPr>
            </w:pPr>
            <w:r>
              <w:rPr>
                <w:rFonts w:ascii="Calibri" w:hAnsi="Calibri" w:eastAsia="Calibri"/>
                <w:color w:val="000000"/>
                <w:spacing w:val="-2"/>
                <w:w w:val="100"/>
                <w:sz w:val="22"/>
                <w:vertAlign w:val="baseline"/>
                <w:lang w:val="en-US"/>
              </w:rPr>
              <w:t xml:space="preserve">C) Victorian CMP: Hume to Yarrawonga constraints measure</w:t>
            </w:r>
          </w:p>
        </w:tc>
        <w:tc>
          <w:tcPr>
            <w:tcW w:w="291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47" w:after="1100" w:line="225" w:lineRule="exact"/>
              <w:ind w:right="590"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1</w:t>
            </w:r>
          </w:p>
        </w:tc>
        <w:tc>
          <w:tcPr>
            <w:tcW w:w="66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3" w:line="269" w:lineRule="exact"/>
              <w:ind w:right="180" w:left="108" w:firstLine="0"/>
              <w:jc w:val="left"/>
              <w:textAlignment w:val="baseline"/>
              <w:rPr>
                <w:rFonts w:ascii="Calibri" w:hAnsi="Calibri" w:eastAsia="Calibri"/>
                <w:color w:val="000000"/>
                <w:spacing w:val="-1"/>
                <w:w w:val="100"/>
                <w:sz w:val="22"/>
                <w:vertAlign w:val="baseline"/>
                <w:lang w:val="en-US"/>
              </w:rPr>
            </w:pPr>
            <w:r>
              <w:rPr>
                <w:rFonts w:ascii="Calibri" w:hAnsi="Calibri" w:eastAsia="Calibri"/>
                <w:color w:val="000000"/>
                <w:spacing w:val="-1"/>
                <w:w w:val="100"/>
                <w:sz w:val="22"/>
                <w:vertAlign w:val="baseline"/>
                <w:lang w:val="en-US"/>
              </w:rPr>
              <w:t xml:space="preserve">Completion of procurement for bathymetric, topographic and structure survey; hydrological modelling; and hydraulic modelling for Hume to Yarrawonga Key Focus Area</w:t>
            </w:r>
          </w:p>
        </w:tc>
        <w:tc>
          <w:tcPr>
            <w:tcW w:w="786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47" w:after="0" w:line="225"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31 March</w:t>
            </w:r>
          </w:p>
          <w:p>
            <w:pPr>
              <w:pageBreakBefore w:val="false"/>
              <w:spacing w:before="44" w:after="831" w:line="225"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2021</w:t>
            </w:r>
          </w:p>
        </w:tc>
        <w:tc>
          <w:tcPr>
            <w:tcW w:w="90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47" w:after="1100" w:line="225"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$70,000</w:t>
            </w:r>
          </w:p>
        </w:tc>
      </w:tr>
      <w:tr>
        <w:trPr>
          <w:trHeight w:val="4339" w:hRule="exact"/>
        </w:trPr>
        <w:tc>
          <w:tcPr>
            <w:tcW w:w="1777" w:type="auto"/>
            <w:gridSpan w:val="1"/>
            <w:vMerge w:val="continue"/>
            <w:tcBorders>
              <w:top w:val="single" w:sz="0" w:color="000000"/>
              <w:left w:val="single" w:sz="9" w:color="000000"/>
              <w:bottom w:val="single" w:sz="0" w:color="000000"/>
              <w:right w:val="single" w:sz="9" w:color="000000"/>
            </w:tcBorders>
            <w:textDirection w:val="lrTb"/>
            <w:vAlign w:val="top"/>
          </w:tcPr>
          <w:p/>
        </w:tc>
        <w:tc>
          <w:tcPr>
            <w:tcW w:w="291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7" w:after="4072" w:line="225" w:lineRule="exact"/>
              <w:ind w:right="590"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w:t>
            </w:r>
          </w:p>
        </w:tc>
        <w:tc>
          <w:tcPr>
            <w:tcW w:w="66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67" w:lineRule="exact"/>
              <w:ind w:right="252"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Bathymetric, topographic and structure survey completed for Hume to Yarrawonga Key Focus Area</w:t>
            </w:r>
          </w:p>
          <w:p>
            <w:pPr>
              <w:pageBreakBefore w:val="false"/>
              <w:spacing w:before="268" w:after="0" w:line="269" w:lineRule="exact"/>
              <w:ind w:right="72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Completion of hydrological and hydraulic modelling for Hume to Yarrawonga Key Focus Area</w:t>
            </w:r>
          </w:p>
          <w:p>
            <w:pPr>
              <w:pageBreakBefore w:val="false"/>
              <w:numPr>
                <w:ilvl w:val="0"/>
                <w:numId w:val="5"/>
              </w:numPr>
              <w:tabs>
                <w:tab w:val="clear" w:pos="360"/>
                <w:tab w:val="left" w:pos="864"/>
              </w:tabs>
              <w:spacing w:before="9" w:after="0" w:line="269"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review reports on adequacy of existing hydrological and hydraulic models</w:t>
            </w:r>
          </w:p>
          <w:p>
            <w:pPr>
              <w:pageBreakBefore w:val="false"/>
              <w:numPr>
                <w:ilvl w:val="0"/>
                <w:numId w:val="5"/>
              </w:numPr>
              <w:tabs>
                <w:tab w:val="clear" w:pos="360"/>
                <w:tab w:val="left" w:pos="864"/>
              </w:tabs>
              <w:spacing w:before="8" w:after="0" w:line="269" w:lineRule="exact"/>
              <w:ind w:right="576" w:left="864" w:hanging="360"/>
              <w:jc w:val="left"/>
              <w:textAlignment w:val="baseline"/>
              <w:rPr>
                <w:rFonts w:ascii="Calibri" w:hAnsi="Calibri" w:eastAsia="Calibri"/>
                <w:color w:val="000000"/>
                <w:spacing w:val="-2"/>
                <w:w w:val="100"/>
                <w:sz w:val="22"/>
                <w:vertAlign w:val="baseline"/>
                <w:lang w:val="en-US"/>
              </w:rPr>
            </w:pPr>
            <w:r>
              <w:rPr>
                <w:rFonts w:ascii="Calibri" w:hAnsi="Calibri" w:eastAsia="Calibri"/>
                <w:color w:val="000000"/>
                <w:spacing w:val="-2"/>
                <w:w w:val="100"/>
                <w:sz w:val="22"/>
                <w:vertAlign w:val="baseline"/>
                <w:lang w:val="en-US"/>
              </w:rPr>
              <w:t xml:space="preserve">reports on updated hydrological and hydraulic models</w:t>
            </w:r>
          </w:p>
          <w:p>
            <w:pPr>
              <w:pageBreakBefore w:val="false"/>
              <w:spacing w:before="0" w:after="20" w:line="269" w:lineRule="exact"/>
              <w:ind w:right="252" w:left="144" w:firstLine="0"/>
              <w:jc w:val="left"/>
              <w:textAlignment w:val="baseline"/>
              <w:rPr>
                <w:rFonts w:ascii="Calibri" w:hAnsi="Calibri" w:eastAsia="Calibri"/>
                <w:color w:val="000000"/>
                <w:spacing w:val="-3"/>
                <w:w w:val="100"/>
                <w:sz w:val="22"/>
                <w:vertAlign w:val="baseline"/>
                <w:lang w:val="en-US"/>
              </w:rPr>
            </w:pPr>
            <w:r>
              <w:rPr>
                <w:rFonts w:ascii="Calibri" w:hAnsi="Calibri" w:eastAsia="Calibri"/>
                <w:color w:val="000000"/>
                <w:spacing w:val="-3"/>
                <w:w w:val="100"/>
                <w:sz w:val="22"/>
                <w:vertAlign w:val="baseline"/>
                <w:lang w:val="en-US"/>
              </w:rPr>
              <w:t xml:space="preserve">Flood inundation mapping completed for Hume to Yarrawonga Key Focus Area</w:t>
            </w:r>
          </w:p>
        </w:tc>
        <w:tc>
          <w:tcPr>
            <w:tcW w:w="786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7" w:after="0" w:line="225"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30</w:t>
            </w:r>
          </w:p>
          <w:p>
            <w:pPr>
              <w:pageBreakBefore w:val="false"/>
              <w:spacing w:before="0" w:after="3534" w:line="269"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September 2021</w:t>
            </w:r>
          </w:p>
        </w:tc>
        <w:tc>
          <w:tcPr>
            <w:tcW w:w="90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7" w:after="4072" w:line="225"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$220,000</w:t>
            </w:r>
          </w:p>
        </w:tc>
      </w:tr>
      <w:tr>
        <w:trPr>
          <w:trHeight w:val="1094" w:hRule="exact"/>
        </w:trPr>
        <w:tc>
          <w:tcPr>
            <w:tcW w:w="1777" w:type="auto"/>
            <w:gridSpan w:val="1"/>
            <w:vMerge w:val="continue"/>
            <w:tcBorders>
              <w:top w:val="single" w:sz="0" w:color="000000"/>
              <w:left w:val="single" w:sz="9" w:color="000000"/>
              <w:bottom w:val="single" w:sz="9" w:color="000000"/>
              <w:right w:val="single" w:sz="9" w:color="000000"/>
            </w:tcBorders>
            <w:textDirection w:val="lrTb"/>
            <w:vAlign w:val="top"/>
          </w:tcPr>
          <w:p/>
        </w:tc>
        <w:tc>
          <w:tcPr>
            <w:tcW w:w="291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8" w:after="826" w:line="225" w:lineRule="exact"/>
              <w:ind w:right="590"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w:t>
            </w:r>
          </w:p>
        </w:tc>
        <w:tc>
          <w:tcPr>
            <w:tcW w:w="66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88" w:line="267" w:lineRule="exact"/>
              <w:ind w:right="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Environmental flow and benefits assessment completed for Hume to Yarrawonga Key Focus Area</w:t>
            </w:r>
          </w:p>
        </w:tc>
        <w:tc>
          <w:tcPr>
            <w:tcW w:w="786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8" w:after="0" w:line="225"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31 March</w:t>
            </w:r>
          </w:p>
          <w:p>
            <w:pPr>
              <w:pageBreakBefore w:val="false"/>
              <w:spacing w:before="43" w:after="558" w:line="225"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2022</w:t>
            </w:r>
          </w:p>
        </w:tc>
        <w:tc>
          <w:tcPr>
            <w:tcW w:w="90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8" w:after="826" w:line="225"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$71,000</w:t>
            </w:r>
          </w:p>
        </w:tc>
      </w:tr>
      <w:tr>
        <w:trPr>
          <w:trHeight w:val="1364" w:hRule="exact"/>
        </w:trPr>
        <w:tc>
          <w:tcPr>
            <w:tcW w:w="1777" w:type="auto"/>
            <w:gridSpan w:val="1"/>
            <w:vMerge w:val="restart"/>
            <w:tcBorders>
              <w:top w:val="single" w:sz="9" w:color="000000"/>
              <w:left w:val="single" w:sz="9" w:color="000000"/>
              <w:bottom w:val="single" w:sz="0" w:color="000000"/>
              <w:right w:val="single" w:sz="9" w:color="000000"/>
            </w:tcBorders>
            <w:textDirection w:val="lrTb"/>
            <w:vAlign w:val="top"/>
          </w:tcPr>
          <w:p>
            <w:pPr>
              <w:pageBreakBefore w:val="false"/>
              <w:spacing w:before="0" w:after="4090" w:line="267" w:lineRule="exact"/>
              <w:ind w:right="36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 Victorian CMP: Yarrawonga to Wakool constraints measure</w:t>
            </w:r>
          </w:p>
        </w:tc>
        <w:tc>
          <w:tcPr>
            <w:tcW w:w="291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8" w:after="1100" w:line="225" w:lineRule="exact"/>
              <w:ind w:right="590"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1</w:t>
            </w:r>
          </w:p>
        </w:tc>
        <w:tc>
          <w:tcPr>
            <w:tcW w:w="66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4" w:line="267" w:lineRule="exact"/>
              <w:ind w:right="180" w:left="108" w:firstLine="0"/>
              <w:jc w:val="left"/>
              <w:textAlignment w:val="baseline"/>
              <w:rPr>
                <w:rFonts w:ascii="Calibri" w:hAnsi="Calibri" w:eastAsia="Calibri"/>
                <w:color w:val="000000"/>
                <w:spacing w:val="-1"/>
                <w:w w:val="100"/>
                <w:sz w:val="22"/>
                <w:vertAlign w:val="baseline"/>
                <w:lang w:val="en-US"/>
              </w:rPr>
            </w:pPr>
            <w:r>
              <w:rPr>
                <w:rFonts w:ascii="Calibri" w:hAnsi="Calibri" w:eastAsia="Calibri"/>
                <w:color w:val="000000"/>
                <w:spacing w:val="-1"/>
                <w:w w:val="100"/>
                <w:sz w:val="22"/>
                <w:vertAlign w:val="baseline"/>
                <w:lang w:val="en-US"/>
              </w:rPr>
              <w:t xml:space="preserve">Completion of procurement for bathymetric, topographic and structure survey; hydrological modelling; and hydraulic modelling for Yarrawonga to Wakool Key Focus Area</w:t>
            </w:r>
          </w:p>
        </w:tc>
        <w:tc>
          <w:tcPr>
            <w:tcW w:w="786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8" w:after="0" w:line="225"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31 March</w:t>
            </w:r>
          </w:p>
          <w:p>
            <w:pPr>
              <w:pageBreakBefore w:val="false"/>
              <w:spacing w:before="44" w:after="831" w:line="225"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2021</w:t>
            </w:r>
          </w:p>
        </w:tc>
        <w:tc>
          <w:tcPr>
            <w:tcW w:w="90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8" w:after="1100" w:line="225"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$30,000</w:t>
            </w:r>
          </w:p>
        </w:tc>
      </w:tr>
      <w:tr>
        <w:trPr>
          <w:trHeight w:val="4339" w:hRule="exact"/>
        </w:trPr>
        <w:tc>
          <w:tcPr>
            <w:tcW w:w="1777" w:type="auto"/>
            <w:gridSpan w:val="1"/>
            <w:vMerge w:val="continue"/>
            <w:tcBorders>
              <w:top w:val="single" w:sz="0" w:color="000000"/>
              <w:left w:val="single" w:sz="9" w:color="000000"/>
              <w:bottom w:val="single" w:sz="9" w:color="000000"/>
              <w:right w:val="single" w:sz="9" w:color="000000"/>
            </w:tcBorders>
            <w:textDirection w:val="lrTb"/>
            <w:vAlign w:val="top"/>
          </w:tcPr>
          <w:p/>
        </w:tc>
        <w:tc>
          <w:tcPr>
            <w:tcW w:w="291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7" w:after="4071" w:line="225" w:lineRule="exact"/>
              <w:ind w:right="590"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w:t>
            </w:r>
          </w:p>
        </w:tc>
        <w:tc>
          <w:tcPr>
            <w:tcW w:w="66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67" w:lineRule="exact"/>
              <w:ind w:right="180" w:left="144" w:firstLine="0"/>
              <w:jc w:val="left"/>
              <w:textAlignment w:val="baseline"/>
              <w:rPr>
                <w:rFonts w:ascii="Calibri" w:hAnsi="Calibri" w:eastAsia="Calibri"/>
                <w:color w:val="000000"/>
                <w:spacing w:val="-2"/>
                <w:w w:val="100"/>
                <w:sz w:val="22"/>
                <w:vertAlign w:val="baseline"/>
                <w:lang w:val="en-US"/>
              </w:rPr>
            </w:pPr>
            <w:r>
              <w:rPr>
                <w:rFonts w:ascii="Calibri" w:hAnsi="Calibri" w:eastAsia="Calibri"/>
                <w:color w:val="000000"/>
                <w:spacing w:val="-2"/>
                <w:w w:val="100"/>
                <w:sz w:val="22"/>
                <w:vertAlign w:val="baseline"/>
                <w:lang w:val="en-US"/>
              </w:rPr>
              <w:t xml:space="preserve">Bathymetric, topographic and structure survey completed for Yarrawonga to Wakool Key Focus Area</w:t>
            </w:r>
          </w:p>
          <w:p>
            <w:pPr>
              <w:pageBreakBefore w:val="false"/>
              <w:spacing w:before="268" w:after="0" w:line="269" w:lineRule="exact"/>
              <w:ind w:right="18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Completion of hydrological and hydraulic modelling for Yarrawonga to Wakool Key Focus Area</w:t>
            </w:r>
          </w:p>
          <w:p>
            <w:pPr>
              <w:pageBreakBefore w:val="false"/>
              <w:numPr>
                <w:ilvl w:val="0"/>
                <w:numId w:val="5"/>
              </w:numPr>
              <w:tabs>
                <w:tab w:val="clear" w:pos="360"/>
                <w:tab w:val="left" w:pos="864"/>
              </w:tabs>
              <w:spacing w:before="9" w:after="0" w:line="269" w:lineRule="exact"/>
              <w:ind w:right="0" w:left="86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review reports on adequacy of existing hydrological and hydraulic models</w:t>
            </w:r>
          </w:p>
          <w:p>
            <w:pPr>
              <w:pageBreakBefore w:val="false"/>
              <w:numPr>
                <w:ilvl w:val="0"/>
                <w:numId w:val="5"/>
              </w:numPr>
              <w:tabs>
                <w:tab w:val="clear" w:pos="360"/>
                <w:tab w:val="left" w:pos="864"/>
              </w:tabs>
              <w:spacing w:before="8" w:after="0" w:line="269" w:lineRule="exact"/>
              <w:ind w:right="576" w:left="864" w:hanging="360"/>
              <w:jc w:val="left"/>
              <w:textAlignment w:val="baseline"/>
              <w:rPr>
                <w:rFonts w:ascii="Calibri" w:hAnsi="Calibri" w:eastAsia="Calibri"/>
                <w:color w:val="000000"/>
                <w:spacing w:val="-2"/>
                <w:w w:val="100"/>
                <w:sz w:val="22"/>
                <w:vertAlign w:val="baseline"/>
                <w:lang w:val="en-US"/>
              </w:rPr>
            </w:pPr>
            <w:r>
              <w:rPr>
                <w:rFonts w:ascii="Calibri" w:hAnsi="Calibri" w:eastAsia="Calibri"/>
                <w:color w:val="000000"/>
                <w:spacing w:val="-2"/>
                <w:w w:val="100"/>
                <w:sz w:val="22"/>
                <w:vertAlign w:val="baseline"/>
                <w:lang w:val="en-US"/>
              </w:rPr>
              <w:t xml:space="preserve">reports on updated hydrological and hydraulic models</w:t>
            </w:r>
          </w:p>
          <w:p>
            <w:pPr>
              <w:pageBreakBefore w:val="false"/>
              <w:spacing w:before="0" w:after="20" w:line="268" w:lineRule="exact"/>
              <w:ind w:right="288" w:left="144" w:firstLine="0"/>
              <w:jc w:val="left"/>
              <w:textAlignment w:val="baseline"/>
              <w:rPr>
                <w:rFonts w:ascii="Calibri" w:hAnsi="Calibri" w:eastAsia="Calibri"/>
                <w:color w:val="000000"/>
                <w:spacing w:val="-3"/>
                <w:w w:val="100"/>
                <w:sz w:val="22"/>
                <w:vertAlign w:val="baseline"/>
                <w:lang w:val="en-US"/>
              </w:rPr>
            </w:pPr>
            <w:r>
              <w:rPr>
                <w:rFonts w:ascii="Calibri" w:hAnsi="Calibri" w:eastAsia="Calibri"/>
                <w:color w:val="000000"/>
                <w:spacing w:val="-3"/>
                <w:w w:val="100"/>
                <w:sz w:val="22"/>
                <w:vertAlign w:val="baseline"/>
                <w:lang w:val="en-US"/>
              </w:rPr>
              <w:t xml:space="preserve">Flood inundation mapping completed for Yarrawonga to Wakool Key Focus Area</w:t>
            </w:r>
          </w:p>
        </w:tc>
        <w:tc>
          <w:tcPr>
            <w:tcW w:w="786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7" w:after="0" w:line="225"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30</w:t>
            </w:r>
          </w:p>
          <w:p>
            <w:pPr>
              <w:pageBreakBefore w:val="false"/>
              <w:spacing w:before="0" w:after="3533" w:line="269"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September 2021</w:t>
            </w:r>
          </w:p>
        </w:tc>
        <w:tc>
          <w:tcPr>
            <w:tcW w:w="90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7" w:after="4071" w:line="225"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$94,000</w:t>
            </w:r>
          </w:p>
        </w:tc>
      </w:tr>
      <w:tr>
        <w:trPr>
          <w:trHeight w:val="840" w:hRule="exact"/>
        </w:trPr>
        <w:tc>
          <w:tcPr>
            <w:tcW w:w="1777"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0" w:line="240" w:lineRule="auto"/>
              <w:ind w:right="0" w:left="0" w:firstLine="0"/>
              <w:jc w:val="left"/>
              <w:textAlignment w:val="baseline"/>
              <w:rPr>
                <w:rFonts w:ascii="Corbel" w:hAnsi="Corbel" w:eastAsia="Corbel"/>
                <w:color w:val="000000"/>
                <w:w w:val="100"/>
                <w:sz w:val="24"/>
                <w:vertAlign w:val="baseline"/>
                <w:lang w:val="en-US"/>
              </w:rPr>
            </w:pPr>
            <w:r>
              <w:rPr>
                <w:rFonts w:ascii="Corbel" w:hAnsi="Corbel" w:eastAsia="Corbel"/>
                <w:color w:val="000000"/>
                <w:w w:val="100"/>
                <w:sz w:val="24"/>
                <w:vertAlign w:val="baseline"/>
                <w:lang w:val="en-US"/>
              </w:rPr>
              <w:t xml:space="preserve">
</w:t>
            </w:r>
          </w:p>
        </w:tc>
        <w:tc>
          <w:tcPr>
            <w:tcW w:w="2915"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7" w:after="568" w:line="225" w:lineRule="exact"/>
              <w:ind w:right="590"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w:t>
            </w:r>
          </w:p>
        </w:tc>
        <w:tc>
          <w:tcPr>
            <w:tcW w:w="6659"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9" w:line="267" w:lineRule="exact"/>
              <w:ind w:right="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Environmental flow and benefits assessment completed for Yarrawonga to Wakool Key Focus Area</w:t>
            </w:r>
          </w:p>
        </w:tc>
        <w:tc>
          <w:tcPr>
            <w:tcW w:w="786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7" w:after="0" w:line="225"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31 March</w:t>
            </w:r>
          </w:p>
          <w:p>
            <w:pPr>
              <w:pageBreakBefore w:val="false"/>
              <w:spacing w:before="44" w:after="299" w:line="225"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2022</w:t>
            </w:r>
          </w:p>
        </w:tc>
        <w:tc>
          <w:tcPr>
            <w:tcW w:w="90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37" w:after="568" w:line="225"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$30,000</w:t>
            </w:r>
          </w:p>
        </w:tc>
      </w:tr>
    </w:tbl>
    <w:p>
      <w:pPr>
        <w:spacing w:before="0" w:after="615" w:line="20" w:lineRule="exact"/>
      </w:pPr>
    </w:p>
    <w:p>
      <w:pPr>
        <w:spacing w:before="0" w:after="615" w:line="20" w:lineRule="exact"/>
        <w:sectPr>
          <w:type w:val="nextPage"/>
          <w:pgSz w:w="11904" w:h="16843" w:orient="portrait"/>
          <w:pgMar w:bottom="567" w:top="920" w:right="1371" w:left="1429" w:header="720" w:footer="720"/>
          <w:titlePg w:val="false"/>
          <w:textDirection w:val="lrTb"/>
        </w:sectPr>
      </w:pPr>
    </w:p>
    <w:p>
      <w:pPr>
        <w:pageBreakBefore w:val="false"/>
        <w:spacing w:before="26" w:after="0" w:line="218" w:lineRule="exact"/>
        <w:ind w:right="0" w:left="0" w:firstLine="0"/>
        <w:jc w:val="center"/>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5</w:t>
      </w:r>
    </w:p>
    <w:p>
      <w:pPr>
        <w:sectPr>
          <w:type w:val="continuous"/>
          <w:pgSz w:w="11904" w:h="16843" w:orient="portrait"/>
          <w:pgMar w:bottom="567" w:top="920" w:right="1422" w:left="1422" w:header="720" w:footer="720"/>
          <w:titlePg w:val="false"/>
          <w:textDirection w:val="lrTb"/>
        </w:sectPr>
      </w:pPr>
    </w:p>
    <w:p>
      <w:pPr>
        <w:pageBreakBefore w:val="false"/>
        <w:spacing w:before="31" w:after="0" w:line="196" w:lineRule="exact"/>
        <w:ind w:right="0" w:left="0" w:firstLine="0"/>
        <w:jc w:val="right"/>
        <w:textAlignment w:val="baseline"/>
        <w:rPr>
          <w:rFonts w:ascii="Corbel" w:hAnsi="Corbel" w:eastAsia="Corbel"/>
          <w:color w:val="7F0000"/>
          <w:spacing w:val="0"/>
          <w:w w:val="100"/>
          <w:sz w:val="18"/>
          <w:vertAlign w:val="baseline"/>
          <w:lang w:val="en-US"/>
        </w:rPr>
      </w:pPr>
      <w:r>
        <w:rPr>
          <w:rFonts w:ascii="Corbel" w:hAnsi="Corbel" w:eastAsia="Corbel"/>
          <w:color w:val="7F0000"/>
          <w:spacing w:val="0"/>
          <w:w w:val="100"/>
          <w:sz w:val="18"/>
          <w:vertAlign w:val="baseline"/>
          <w:lang w:val="en-US"/>
        </w:rPr>
        <w:t xml:space="preserve">Schedule E - Project Agreement for Stage 1 Funding for SDL Adjustment Supply and Constraints Measures in the Murray-</w:t>
      </w:r>
      <w:r>
        <w:rPr>
          <w:rFonts w:ascii="Corbel" w:hAnsi="Corbel" w:eastAsia="Corbel"/>
          <w:color w:val="000000"/>
          <w:w w:val="100"/>
          <w:sz w:val="24"/>
          <w:vertAlign w:val="baseline"/>
          <w:lang w:val="en-US"/>
        </w:rPr>
        <w:t xml:space="preserve">
</w:t>
      </w:r>
    </w:p>
    <w:p>
      <w:pPr>
        <w:pageBreakBefore w:val="false"/>
        <w:spacing w:before="25" w:after="0" w:line="196" w:lineRule="exact"/>
        <w:ind w:right="0" w:left="0" w:firstLine="0"/>
        <w:jc w:val="right"/>
        <w:textAlignment w:val="baseline"/>
        <w:rPr>
          <w:rFonts w:ascii="Corbel" w:hAnsi="Corbel" w:eastAsia="Corbel"/>
          <w:color w:val="7F0000"/>
          <w:spacing w:val="-1"/>
          <w:w w:val="100"/>
          <w:sz w:val="18"/>
          <w:vertAlign w:val="baseline"/>
          <w:lang w:val="en-US"/>
        </w:rPr>
      </w:pPr>
      <w:r>
        <w:rPr>
          <w:rFonts w:ascii="Corbel" w:hAnsi="Corbel" w:eastAsia="Corbel"/>
          <w:color w:val="7F0000"/>
          <w:spacing w:val="-1"/>
          <w:w w:val="100"/>
          <w:sz w:val="18"/>
          <w:vertAlign w:val="baseline"/>
          <w:lang w:val="en-US"/>
        </w:rPr>
        <w:t xml:space="preserve">Darling Basin</w:t>
      </w:r>
    </w:p>
    <w:p>
      <w:pPr>
        <w:pageBreakBefore w:val="false"/>
        <w:spacing w:before="297" w:after="152" w:line="242"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Table 3: Milestone period payment summary</w:t>
      </w:r>
    </w:p>
    <w:p>
      <w:pPr>
        <w:spacing w:before="4" w:after="0" w:line="20" w:lineRule="exact"/>
      </w:pPr>
    </w:p>
    <w:tbl>
      <w:tblPr>
        <w:jc w:val="left"/>
        <w:tblInd w:w="767" w:type="dxa"/>
        <w:tblLayout w:type="fixed"/>
        <w:tblCellMar>
          <w:left w:w="0" w:type="dxa"/>
          <w:right w:w="0" w:type="dxa"/>
        </w:tblCellMar>
      </w:tblPr>
      <w:tblGrid>
        <w:gridCol w:w="1421"/>
        <w:gridCol w:w="2126"/>
        <w:gridCol w:w="3979"/>
      </w:tblGrid>
      <w:tr>
        <w:trPr>
          <w:trHeight w:val="1109" w:hRule="exact"/>
        </w:trPr>
        <w:tc>
          <w:tcPr>
            <w:tcW w:w="2188"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297" w:line="269" w:lineRule="exact"/>
              <w:ind w:right="0" w:left="0" w:firstLine="0"/>
              <w:jc w:val="center"/>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Milestone</w:t>
              <w:br/>
            </w:r>
            <w:r>
              <w:rPr>
                <w:rFonts w:ascii="Calibri" w:hAnsi="Calibri" w:eastAsia="Calibri"/>
                <w:b w:val="true"/>
                <w:color w:val="000000"/>
                <w:spacing w:val="0"/>
                <w:w w:val="100"/>
                <w:sz w:val="23"/>
                <w:vertAlign w:val="baseline"/>
                <w:lang w:val="en-US"/>
              </w:rPr>
              <w:t xml:space="preserve">Reporting</w:t>
              <w:br/>
            </w:r>
            <w:r>
              <w:rPr>
                <w:rFonts w:ascii="Calibri" w:hAnsi="Calibri" w:eastAsia="Calibri"/>
                <w:b w:val="true"/>
                <w:color w:val="000000"/>
                <w:spacing w:val="0"/>
                <w:w w:val="100"/>
                <w:sz w:val="23"/>
                <w:vertAlign w:val="baseline"/>
                <w:lang w:val="en-US"/>
              </w:rPr>
              <w:t xml:space="preserve">Period No.</w:t>
            </w:r>
          </w:p>
        </w:tc>
        <w:tc>
          <w:tcPr>
            <w:tcW w:w="4314"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0" w:after="566" w:line="269" w:lineRule="exact"/>
              <w:ind w:right="0" w:left="108" w:firstLine="0"/>
              <w:jc w:val="lef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Milestone Reporting Period Due Date</w:t>
            </w:r>
          </w:p>
        </w:tc>
        <w:tc>
          <w:tcPr>
            <w:tcW w:w="8293" w:type="auto"/>
            <w:gridSpan w:val="1"/>
            <w:tcBorders>
              <w:top w:val="single" w:sz="9" w:color="000000"/>
              <w:left w:val="single" w:sz="9" w:color="000000"/>
              <w:bottom w:val="single" w:sz="9" w:color="000000"/>
              <w:right w:val="single" w:sz="9" w:color="000000"/>
            </w:tcBorders>
            <w:textDirection w:val="lrTb"/>
            <w:vAlign w:val="top"/>
          </w:tcPr>
          <w:p>
            <w:pPr>
              <w:pageBreakBefore w:val="false"/>
              <w:spacing w:before="44" w:after="834" w:line="230" w:lineRule="exact"/>
              <w:ind w:right="125" w:left="0" w:firstLine="0"/>
              <w:jc w:val="right"/>
              <w:textAlignment w:val="baseline"/>
              <w:rPr>
                <w:rFonts w:ascii="Calibri" w:hAnsi="Calibri" w:eastAsia="Calibri"/>
                <w:b w:val="true"/>
                <w:color w:val="000000"/>
                <w:spacing w:val="-4"/>
                <w:w w:val="100"/>
                <w:sz w:val="23"/>
                <w:vertAlign w:val="baseline"/>
                <w:lang w:val="en-US"/>
              </w:rPr>
            </w:pPr>
            <w:r>
              <w:rPr>
                <w:rFonts w:ascii="Calibri" w:hAnsi="Calibri" w:eastAsia="Calibri"/>
                <w:b w:val="true"/>
                <w:color w:val="000000"/>
                <w:spacing w:val="-4"/>
                <w:w w:val="100"/>
                <w:sz w:val="23"/>
                <w:vertAlign w:val="baseline"/>
                <w:lang w:val="en-US"/>
              </w:rPr>
              <w:t xml:space="preserve">Total Milestone Period Payment Amount</w:t>
            </w:r>
          </w:p>
        </w:tc>
      </w:tr>
      <w:tr>
        <w:trPr>
          <w:trHeight w:val="293" w:hRule="exact"/>
        </w:trPr>
        <w:tc>
          <w:tcPr>
            <w:tcW w:w="218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39" w:after="19" w:line="229" w:lineRule="exact"/>
              <w:ind w:right="0" w:left="120" w:firstLine="0"/>
              <w:jc w:val="lef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1</w:t>
            </w:r>
          </w:p>
        </w:tc>
        <w:tc>
          <w:tcPr>
            <w:tcW w:w="431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42" w:after="3" w:line="242"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31 March 2021</w:t>
            </w:r>
          </w:p>
        </w:tc>
        <w:tc>
          <w:tcPr>
            <w:tcW w:w="8293"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42" w:after="3" w:line="242" w:lineRule="exact"/>
              <w:ind w:right="125"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$995,000</w:t>
            </w:r>
          </w:p>
        </w:tc>
      </w:tr>
      <w:tr>
        <w:trPr>
          <w:trHeight w:val="288" w:hRule="exact"/>
        </w:trPr>
        <w:tc>
          <w:tcPr>
            <w:tcW w:w="218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34" w:after="19" w:line="229" w:lineRule="exact"/>
              <w:ind w:right="0" w:left="120" w:firstLine="0"/>
              <w:jc w:val="lef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2</w:t>
            </w:r>
          </w:p>
        </w:tc>
        <w:tc>
          <w:tcPr>
            <w:tcW w:w="431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37" w:after="3" w:line="242"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30 September 2021</w:t>
            </w:r>
          </w:p>
        </w:tc>
        <w:tc>
          <w:tcPr>
            <w:tcW w:w="8293"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37" w:after="3" w:line="242" w:lineRule="exact"/>
              <w:ind w:right="125"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$2,577,000</w:t>
            </w:r>
          </w:p>
        </w:tc>
      </w:tr>
      <w:tr>
        <w:trPr>
          <w:trHeight w:val="288" w:hRule="exact"/>
        </w:trPr>
        <w:tc>
          <w:tcPr>
            <w:tcW w:w="218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34" w:after="19" w:line="229" w:lineRule="exact"/>
              <w:ind w:right="0" w:left="120" w:firstLine="0"/>
              <w:jc w:val="lef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3</w:t>
            </w:r>
          </w:p>
        </w:tc>
        <w:tc>
          <w:tcPr>
            <w:tcW w:w="431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37" w:after="3" w:line="242"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31 March 2022</w:t>
            </w:r>
          </w:p>
        </w:tc>
        <w:tc>
          <w:tcPr>
            <w:tcW w:w="8293"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37" w:after="3" w:line="242" w:lineRule="exact"/>
              <w:ind w:right="125"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$3,056,000</w:t>
            </w:r>
          </w:p>
        </w:tc>
      </w:tr>
      <w:tr>
        <w:trPr>
          <w:trHeight w:val="288" w:hRule="exact"/>
        </w:trPr>
        <w:tc>
          <w:tcPr>
            <w:tcW w:w="2188"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34" w:after="19" w:line="229" w:lineRule="exact"/>
              <w:ind w:right="0" w:left="120" w:firstLine="0"/>
              <w:jc w:val="lef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4</w:t>
            </w:r>
          </w:p>
        </w:tc>
        <w:tc>
          <w:tcPr>
            <w:tcW w:w="4314"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37" w:after="3" w:line="242"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30 September 2022</w:t>
            </w:r>
          </w:p>
        </w:tc>
        <w:tc>
          <w:tcPr>
            <w:tcW w:w="8293"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37" w:after="3" w:line="242" w:lineRule="exact"/>
              <w:ind w:right="125"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$1,627,000</w:t>
            </w:r>
          </w:p>
        </w:tc>
      </w:tr>
      <w:tr>
        <w:trPr>
          <w:trHeight w:val="307" w:hRule="exact"/>
        </w:trPr>
        <w:tc>
          <w:tcPr>
            <w:tcW w:w="4314" w:type="auto"/>
            <w:gridSpan w:val="2"/>
            <w:tcBorders>
              <w:top w:val="single" w:sz="9" w:color="000000"/>
              <w:left w:val="single" w:sz="9" w:color="000000"/>
              <w:bottom w:val="single" w:sz="9" w:color="000000"/>
              <w:right w:val="single" w:sz="9" w:color="000000"/>
            </w:tcBorders>
            <w:textDirection w:val="lrTb"/>
            <w:vAlign w:val="center"/>
          </w:tcPr>
          <w:p>
            <w:pPr>
              <w:pageBreakBefore w:val="false"/>
              <w:spacing w:before="39" w:after="29" w:line="229" w:lineRule="exact"/>
              <w:ind w:right="0" w:left="120" w:firstLine="0"/>
              <w:jc w:val="left"/>
              <w:textAlignment w:val="baseline"/>
              <w:rPr>
                <w:rFonts w:ascii="Calibri" w:hAnsi="Calibri" w:eastAsia="Calibri"/>
                <w:b w:val="true"/>
                <w:color w:val="000000"/>
                <w:spacing w:val="0"/>
                <w:w w:val="100"/>
                <w:sz w:val="23"/>
                <w:vertAlign w:val="baseline"/>
                <w:lang w:val="en-US"/>
              </w:rPr>
            </w:pPr>
            <w:r>
              <w:rPr>
                <w:rFonts w:ascii="Calibri" w:hAnsi="Calibri" w:eastAsia="Calibri"/>
                <w:b w:val="true"/>
                <w:color w:val="000000"/>
                <w:spacing w:val="0"/>
                <w:w w:val="100"/>
                <w:sz w:val="23"/>
                <w:vertAlign w:val="baseline"/>
                <w:lang w:val="en-US"/>
              </w:rPr>
              <w:t xml:space="preserve">Total</w:t>
            </w:r>
          </w:p>
        </w:tc>
        <w:tc>
          <w:tcPr>
            <w:tcW w:w="8293" w:type="auto"/>
            <w:gridSpan w:val="1"/>
            <w:tcBorders>
              <w:top w:val="single" w:sz="9" w:color="000000"/>
              <w:left w:val="single" w:sz="9" w:color="000000"/>
              <w:bottom w:val="single" w:sz="9" w:color="000000"/>
              <w:right w:val="single" w:sz="9" w:color="000000"/>
            </w:tcBorders>
            <w:textDirection w:val="lrTb"/>
            <w:vAlign w:val="center"/>
          </w:tcPr>
          <w:p>
            <w:pPr>
              <w:pageBreakBefore w:val="false"/>
              <w:spacing w:before="42" w:after="13" w:line="242" w:lineRule="exact"/>
              <w:ind w:right="125"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$8,255,000</w:t>
            </w:r>
          </w:p>
        </w:tc>
      </w:tr>
    </w:tbl>
    <w:p>
      <w:pPr>
        <w:spacing w:before="0" w:after="217" w:line="20" w:lineRule="exact"/>
      </w:pPr>
    </w:p>
    <w:p>
      <w:pPr>
        <w:pageBreakBefore w:val="false"/>
        <w:numPr>
          <w:ilvl w:val="0"/>
          <w:numId w:val="6"/>
        </w:numPr>
        <w:tabs>
          <w:tab w:val="clear" w:pos="576"/>
          <w:tab w:val="left" w:pos="576"/>
        </w:tabs>
        <w:spacing w:before="0" w:after="0" w:line="279" w:lineRule="exact"/>
        <w:ind w:right="0"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Funds will be paid for actual expenditure incurred for the achievement of project milestones. Payments may also include amounts for costs incurred on activities completed in the current period that progress achievement of subsequent milestones.</w:t>
      </w:r>
    </w:p>
    <w:p>
      <w:pPr>
        <w:pageBreakBefore w:val="false"/>
        <w:numPr>
          <w:ilvl w:val="0"/>
          <w:numId w:val="6"/>
        </w:numPr>
        <w:tabs>
          <w:tab w:val="clear" w:pos="576"/>
          <w:tab w:val="left" w:pos="576"/>
        </w:tabs>
        <w:spacing w:before="275" w:after="0" w:line="281" w:lineRule="exact"/>
        <w:ind w:right="0"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Expenditure on activities under this Schedule incurred by Victoria from 1 January 2019 to the date of the signing of the Schedule and agreed to by the Commonwealth will be eligible for payment under milestone 1 in this Schedule.</w:t>
      </w:r>
    </w:p>
    <w:p>
      <w:pPr>
        <w:pageBreakBefore w:val="false"/>
        <w:numPr>
          <w:ilvl w:val="0"/>
          <w:numId w:val="6"/>
        </w:numPr>
        <w:tabs>
          <w:tab w:val="clear" w:pos="576"/>
          <w:tab w:val="left" w:pos="576"/>
        </w:tabs>
        <w:spacing w:before="299" w:after="0" w:line="259" w:lineRule="exact"/>
        <w:ind w:right="216"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If the actual expenditure for a particular milestone is less than the payment amount for that same milestone, the residual amount (being the difference between the actual expenditure and the payment amount) will remain available under this Schedule as a contingency for meeting any necessary reasonable additional costs for activities under the Schedule subject to clauses 13 to 17 of this Schedule.</w:t>
      </w:r>
    </w:p>
    <w:p>
      <w:pPr>
        <w:pageBreakBefore w:val="false"/>
        <w:numPr>
          <w:ilvl w:val="0"/>
          <w:numId w:val="6"/>
        </w:numPr>
        <w:tabs>
          <w:tab w:val="clear" w:pos="576"/>
          <w:tab w:val="left" w:pos="576"/>
        </w:tabs>
        <w:spacing w:before="230" w:after="0" w:line="264" w:lineRule="exact"/>
        <w:ind w:right="216"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The Commonwealth may agree to requests from Victoria to transfer a residual amount, or part thereof, to a subsequent milestone in this Schedule.</w:t>
      </w:r>
    </w:p>
    <w:p>
      <w:pPr>
        <w:pageBreakBefore w:val="false"/>
        <w:numPr>
          <w:ilvl w:val="0"/>
          <w:numId w:val="6"/>
        </w:numPr>
        <w:tabs>
          <w:tab w:val="clear" w:pos="576"/>
          <w:tab w:val="left" w:pos="576"/>
        </w:tabs>
        <w:spacing w:before="246" w:after="0" w:line="259" w:lineRule="exact"/>
        <w:ind w:right="216"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A request from Victoria to transfer a residual amount to a milestone falling within the same financial year may be agreed to by the Commonwealth portfolio minister. Such transfers may be agreed and take place without a variation to the Schedule.</w:t>
      </w:r>
    </w:p>
    <w:p>
      <w:pPr>
        <w:pageBreakBefore w:val="false"/>
        <w:numPr>
          <w:ilvl w:val="0"/>
          <w:numId w:val="6"/>
        </w:numPr>
        <w:tabs>
          <w:tab w:val="clear" w:pos="576"/>
          <w:tab w:val="left" w:pos="576"/>
        </w:tabs>
        <w:spacing w:before="236" w:after="0" w:line="262" w:lineRule="exact"/>
        <w:ind w:right="216"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The Commonwealth Minister may delegate the agreement of transfers of residual amounts within the same financial year to senior Commonwealth officials, having regard to the financial and policy risks associated with the transfers.</w:t>
      </w:r>
    </w:p>
    <w:p>
      <w:pPr>
        <w:pageBreakBefore w:val="false"/>
        <w:numPr>
          <w:ilvl w:val="0"/>
          <w:numId w:val="6"/>
        </w:numPr>
        <w:tabs>
          <w:tab w:val="clear" w:pos="576"/>
          <w:tab w:val="left" w:pos="576"/>
        </w:tabs>
        <w:spacing w:before="241" w:after="0" w:line="259" w:lineRule="exact"/>
        <w:ind w:right="216"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A request from Victoria to transfer a residual amount to increase a milestone amount in a later financial year may be agreed in writing by the relevant Commonwealth and State portfolio ministers in accordance with clause 35 of the Agreement.</w:t>
      </w:r>
    </w:p>
    <w:p>
      <w:pPr>
        <w:pageBreakBefore w:val="false"/>
        <w:numPr>
          <w:ilvl w:val="0"/>
          <w:numId w:val="6"/>
        </w:numPr>
        <w:tabs>
          <w:tab w:val="clear" w:pos="576"/>
          <w:tab w:val="left" w:pos="576"/>
        </w:tabs>
        <w:spacing w:before="236" w:after="0" w:line="262" w:lineRule="exact"/>
        <w:ind w:right="216"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Victoria will provide a reconciliation of any residual amounts that have been transferred to subsequent milestones as part of reports required in accordance with clause 23 of the Agreement.</w:t>
      </w:r>
    </w:p>
    <w:p>
      <w:pPr>
        <w:pageBreakBefore w:val="false"/>
        <w:numPr>
          <w:ilvl w:val="0"/>
          <w:numId w:val="6"/>
        </w:numPr>
        <w:tabs>
          <w:tab w:val="clear" w:pos="576"/>
          <w:tab w:val="left" w:pos="576"/>
        </w:tabs>
        <w:spacing w:before="241" w:after="1041" w:line="259" w:lineRule="exact"/>
        <w:ind w:right="216" w:left="576" w:hanging="576"/>
        <w:jc w:val="both"/>
        <w:textAlignment w:val="baseline"/>
        <w:rPr>
          <w:rFonts w:ascii="Corbel" w:hAnsi="Corbel" w:eastAsia="Corbel"/>
          <w:color w:val="000000"/>
          <w:spacing w:val="0"/>
          <w:w w:val="100"/>
          <w:sz w:val="23"/>
          <w:vertAlign w:val="baseline"/>
          <w:lang w:val="en-US"/>
        </w:rPr>
      </w:pPr>
      <w:r>
        <w:rPr>
          <w:rFonts w:ascii="Corbel" w:hAnsi="Corbel" w:eastAsia="Corbel"/>
          <w:color w:val="000000"/>
          <w:spacing w:val="0"/>
          <w:w w:val="100"/>
          <w:sz w:val="23"/>
          <w:vertAlign w:val="baseline"/>
          <w:lang w:val="en-US"/>
        </w:rPr>
        <w:t xml:space="preserve">The outputs in Table 2 are independent bodies of work. Milestones and associated payments in one output are independent of milestones and payments in other outputs. The non-completion of a milestone by its reporting date in a particular output will not prevent payment being made for a completed milestone in a different output.</w:t>
      </w:r>
    </w:p>
    <w:p>
      <w:pPr>
        <w:spacing w:before="241" w:after="1041" w:line="259" w:lineRule="exact"/>
        <w:sectPr>
          <w:type w:val="nextPage"/>
          <w:pgSz w:w="11904" w:h="16843" w:orient="portrait"/>
          <w:pgMar w:bottom="567" w:top="920" w:right="1422" w:left="1422" w:header="720" w:footer="720"/>
          <w:titlePg w:val="false"/>
          <w:textDirection w:val="lrTb"/>
        </w:sectPr>
      </w:pPr>
    </w:p>
    <w:p>
      <w:pPr>
        <w:pageBreakBefore w:val="false"/>
        <w:spacing w:before="26" w:after="0" w:line="218" w:lineRule="exact"/>
        <w:ind w:right="0" w:left="0" w:firstLine="0"/>
        <w:jc w:val="center"/>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6</w:t>
      </w:r>
    </w:p>
    <w:p>
      <w:pPr>
        <w:sectPr>
          <w:type w:val="continuous"/>
          <w:pgSz w:w="11904" w:h="16843" w:orient="portrait"/>
          <w:pgMar w:bottom="567" w:top="920" w:right="1419" w:left="1425" w:header="720" w:footer="720"/>
          <w:titlePg w:val="false"/>
          <w:textDirection w:val="lrTb"/>
        </w:sectPr>
      </w:pPr>
    </w:p>
    <w:p>
      <w:pPr>
        <w:pageBreakBefore w:val="false"/>
        <w:spacing w:before="31" w:after="0" w:line="196" w:lineRule="exact"/>
        <w:ind w:right="0" w:left="0" w:firstLine="0"/>
        <w:jc w:val="right"/>
        <w:textAlignment w:val="baseline"/>
        <w:rPr>
          <w:rFonts w:ascii="Corbel" w:hAnsi="Corbel" w:eastAsia="Corbel"/>
          <w:color w:val="7F0000"/>
          <w:spacing w:val="0"/>
          <w:w w:val="100"/>
          <w:sz w:val="18"/>
          <w:vertAlign w:val="baseline"/>
          <w:lang w:val="en-US"/>
        </w:rPr>
      </w:pPr>
      <w:r>
        <w:rPr>
          <w:rFonts w:ascii="Corbel" w:hAnsi="Corbel" w:eastAsia="Corbel"/>
          <w:color w:val="7F0000"/>
          <w:spacing w:val="0"/>
          <w:w w:val="100"/>
          <w:sz w:val="18"/>
          <w:vertAlign w:val="baseline"/>
          <w:lang w:val="en-US"/>
        </w:rPr>
        <w:t xml:space="preserve">Schedule E - Project Agreement for Stage 1 Funding for SDL Adjustment Supply and Constraints Measures in the Murray-</w:t>
      </w:r>
      <w:r>
        <w:rPr>
          <w:rFonts w:ascii="Corbel" w:hAnsi="Corbel" w:eastAsia="Corbel"/>
          <w:color w:val="000000"/>
          <w:w w:val="100"/>
          <w:sz w:val="24"/>
          <w:vertAlign w:val="baseline"/>
          <w:lang w:val="en-US"/>
        </w:rPr>
        <w:t xml:space="preserve">
</w:t>
      </w:r>
    </w:p>
    <w:p>
      <w:pPr>
        <w:pageBreakBefore w:val="false"/>
        <w:spacing w:before="25" w:after="0" w:line="196" w:lineRule="exact"/>
        <w:ind w:right="0" w:left="0" w:firstLine="0"/>
        <w:jc w:val="right"/>
        <w:textAlignment w:val="baseline"/>
        <w:rPr>
          <w:rFonts w:ascii="Corbel" w:hAnsi="Corbel" w:eastAsia="Corbel"/>
          <w:color w:val="7F0000"/>
          <w:spacing w:val="-1"/>
          <w:w w:val="100"/>
          <w:sz w:val="18"/>
          <w:vertAlign w:val="baseline"/>
          <w:lang w:val="en-US"/>
        </w:rPr>
      </w:pPr>
      <w:r>
        <w:rPr>
          <w:rFonts w:ascii="Corbel" w:hAnsi="Corbel" w:eastAsia="Corbel"/>
          <w:color w:val="7F0000"/>
          <w:spacing w:val="-1"/>
          <w:w w:val="100"/>
          <w:sz w:val="18"/>
          <w:vertAlign w:val="baseline"/>
          <w:lang w:val="en-US"/>
        </w:rPr>
        <w:t xml:space="preserve">Darling Basin</w:t>
      </w:r>
    </w:p>
    <w:p>
      <w:pPr>
        <w:pageBreakBefore w:val="false"/>
        <w:spacing w:before="1023" w:after="0" w:line="343" w:lineRule="exact"/>
        <w:ind w:right="0" w:left="0" w:firstLine="0"/>
        <w:jc w:val="left"/>
        <w:textAlignment w:val="baseline"/>
        <w:rPr>
          <w:rFonts w:ascii="Consolas" w:hAnsi="Consolas" w:eastAsia="Consolas"/>
          <w:color w:val="3C4A67"/>
          <w:spacing w:val="-4"/>
          <w:w w:val="100"/>
          <w:sz w:val="32"/>
          <w:vertAlign w:val="baseline"/>
          <w:lang w:val="en-US"/>
        </w:rPr>
      </w:pPr>
      <w:r>
        <w:rPr>
          <w:rFonts w:ascii="Consolas" w:hAnsi="Consolas" w:eastAsia="Consolas"/>
          <w:color w:val="3C4A67"/>
          <w:spacing w:val="-4"/>
          <w:w w:val="100"/>
          <w:sz w:val="32"/>
          <w:vertAlign w:val="baseline"/>
          <w:lang w:val="en-US"/>
        </w:rPr>
        <w:t xml:space="preserve">SIGN OFF</w:t>
      </w:r>
    </w:p>
    <w:p>
      <w:pPr>
        <w:pageBreakBefore w:val="false"/>
        <w:spacing w:before="0" w:after="1187" w:line="559"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w:t>
      </w:r>
      <w:r>
        <w:rPr>
          <w:rFonts w:ascii="Calibri" w:hAnsi="Calibri" w:eastAsia="Calibri"/>
          <w:color w:val="000000"/>
          <w:spacing w:val="0"/>
          <w:w w:val="100"/>
          <w:sz w:val="24"/>
          <w:vertAlign w:val="baseline"/>
          <w:lang w:val="en-US"/>
        </w:rPr>
        <w:t xml:space="preserve">Parties </w:t>
      </w:r>
      <w:r>
        <w:rPr>
          <w:rFonts w:ascii="Calibri" w:hAnsi="Calibri" w:eastAsia="Calibri"/>
          <w:color w:val="000000"/>
          <w:spacing w:val="0"/>
          <w:w w:val="100"/>
          <w:sz w:val="22"/>
          <w:vertAlign w:val="baseline"/>
          <w:lang w:val="en-US"/>
        </w:rPr>
        <w:t xml:space="preserve">have confirmed their commitment to this Schedule as follows:</w:t>
        <w:br/>
      </w:r>
      <w:r>
        <w:rPr>
          <w:rFonts w:ascii="Book Antiqua" w:hAnsi="Book Antiqua" w:eastAsia="Book Antiqua"/>
          <w:b w:val="true"/>
          <w:i w:val="true"/>
          <w:color w:val="000000"/>
          <w:spacing w:val="0"/>
          <w:w w:val="100"/>
          <w:sz w:val="22"/>
          <w:vertAlign w:val="baseline"/>
          <w:lang w:val="en-US"/>
        </w:rPr>
        <w:t xml:space="preserve">Signed </w:t>
      </w:r>
      <w:r>
        <w:rPr>
          <w:rFonts w:ascii="Book Antiqua" w:hAnsi="Book Antiqua" w:eastAsia="Book Antiqua"/>
          <w:i w:val="true"/>
          <w:color w:val="000000"/>
          <w:spacing w:val="0"/>
          <w:w w:val="100"/>
          <w:sz w:val="22"/>
          <w:vertAlign w:val="baseline"/>
          <w:lang w:val="en-US"/>
        </w:rPr>
        <w:t xml:space="preserve">for and on behalf of the Commonwealth of Australia by</w:t>
      </w:r>
    </w:p>
    <w:p>
      <w:pPr>
        <w:pageBreakBefore w:val="false"/>
        <w:spacing w:before="115" w:after="0" w:line="258" w:lineRule="exact"/>
        <w:ind w:right="0" w:left="0" w:firstLine="0"/>
        <w:jc w:val="left"/>
        <w:textAlignment w:val="baseline"/>
        <w:rPr>
          <w:rFonts w:ascii="Corbel" w:hAnsi="Corbel" w:eastAsia="Corbel"/>
          <w:b w:val="true"/>
          <w:color w:val="000000"/>
          <w:spacing w:val="0"/>
          <w:w w:val="100"/>
          <w:sz w:val="23"/>
          <w:vertAlign w:val="baseline"/>
          <w:lang w:val="en-US"/>
        </w:rPr>
      </w:pPr>
      <w:r>
        <w:pict>
          <v:line strokeweight="0.7pt" strokecolor="#000000" from="68.45pt,252.7pt" to="253.75pt,252.7pt" style="position:absolute;mso-position-horizontal-relative:page;mso-position-vertical-relative:page;">
            <v:stroke dashstyle="solid"/>
          </v:line>
        </w:pict>
      </w:r>
      <w:r>
        <w:rPr>
          <w:rFonts w:ascii="Corbel" w:hAnsi="Corbel" w:eastAsia="Corbel"/>
          <w:b w:val="true"/>
          <w:color w:val="000000"/>
          <w:spacing w:val="0"/>
          <w:w w:val="100"/>
          <w:sz w:val="23"/>
          <w:vertAlign w:val="baseline"/>
          <w:lang w:val="en-US"/>
        </w:rPr>
        <w:t xml:space="preserve">The Honourable Keith Pitt MP</w:t>
      </w:r>
    </w:p>
    <w:p>
      <w:pPr>
        <w:pageBreakBefore w:val="false"/>
        <w:spacing w:before="26" w:after="0" w:line="209" w:lineRule="exact"/>
        <w:ind w:right="0" w:left="0" w:firstLine="0"/>
        <w:jc w:val="left"/>
        <w:textAlignment w:val="baseline"/>
        <w:rPr>
          <w:rFonts w:ascii="Corbel" w:hAnsi="Corbel" w:eastAsia="Corbel"/>
          <w:color w:val="000000"/>
          <w:spacing w:val="0"/>
          <w:w w:val="100"/>
          <w:sz w:val="20"/>
          <w:vertAlign w:val="baseline"/>
          <w:lang w:val="en-US"/>
        </w:rPr>
      </w:pPr>
      <w:r>
        <w:rPr>
          <w:rFonts w:ascii="Corbel" w:hAnsi="Corbel" w:eastAsia="Corbel"/>
          <w:color w:val="000000"/>
          <w:spacing w:val="0"/>
          <w:w w:val="100"/>
          <w:sz w:val="20"/>
          <w:vertAlign w:val="baseline"/>
          <w:lang w:val="en-US"/>
        </w:rPr>
        <w:t xml:space="preserve">Minister for Resources, Water and Northern Australia</w:t>
      </w:r>
    </w:p>
    <w:p>
      <w:pPr>
        <w:pageBreakBefore w:val="false"/>
        <w:spacing w:before="524" w:after="0" w:line="249" w:lineRule="exact"/>
        <w:ind w:right="0" w:left="576" w:firstLine="0"/>
        <w:jc w:val="left"/>
        <w:textAlignment w:val="baseline"/>
        <w:rPr>
          <w:rFonts w:ascii="Corbel" w:hAnsi="Corbel" w:eastAsia="Corbel"/>
          <w:color w:val="000000"/>
          <w:spacing w:val="3"/>
          <w:w w:val="100"/>
          <w:sz w:val="23"/>
          <w:vertAlign w:val="baseline"/>
          <w:lang w:val="en-US"/>
        </w:rPr>
      </w:pPr>
      <w:r>
        <w:rPr>
          <w:rFonts w:ascii="Corbel" w:hAnsi="Corbel" w:eastAsia="Corbel"/>
          <w:color w:val="000000"/>
          <w:spacing w:val="3"/>
          <w:w w:val="100"/>
          <w:sz w:val="23"/>
          <w:vertAlign w:val="baseline"/>
          <w:lang w:val="en-US"/>
        </w:rPr>
        <w:t xml:space="preserve">[Day] [Month] [Year]</w:t>
      </w:r>
    </w:p>
    <w:p>
      <w:pPr>
        <w:pageBreakBefore w:val="false"/>
        <w:spacing w:before="634" w:after="1186" w:line="263" w:lineRule="exact"/>
        <w:ind w:right="0" w:left="0" w:firstLine="0"/>
        <w:jc w:val="left"/>
        <w:textAlignment w:val="baseline"/>
        <w:rPr>
          <w:rFonts w:ascii="Book Antiqua" w:hAnsi="Book Antiqua" w:eastAsia="Book Antiqua"/>
          <w:b w:val="true"/>
          <w:i w:val="true"/>
          <w:color w:val="000000"/>
          <w:spacing w:val="0"/>
          <w:w w:val="100"/>
          <w:sz w:val="22"/>
          <w:vertAlign w:val="baseline"/>
          <w:lang w:val="en-US"/>
        </w:rPr>
      </w:pPr>
      <w:r>
        <w:rPr>
          <w:rFonts w:ascii="Book Antiqua" w:hAnsi="Book Antiqua" w:eastAsia="Book Antiqua"/>
          <w:b w:val="true"/>
          <w:i w:val="true"/>
          <w:color w:val="000000"/>
          <w:spacing w:val="0"/>
          <w:w w:val="100"/>
          <w:sz w:val="22"/>
          <w:vertAlign w:val="baseline"/>
          <w:lang w:val="en-US"/>
        </w:rPr>
        <w:t xml:space="preserve">Signed </w:t>
      </w:r>
      <w:r>
        <w:rPr>
          <w:rFonts w:ascii="Book Antiqua" w:hAnsi="Book Antiqua" w:eastAsia="Book Antiqua"/>
          <w:i w:val="true"/>
          <w:color w:val="000000"/>
          <w:spacing w:val="0"/>
          <w:w w:val="100"/>
          <w:sz w:val="22"/>
          <w:vertAlign w:val="baseline"/>
          <w:lang w:val="en-US"/>
        </w:rPr>
        <w:t xml:space="preserve">for and on behalf of the State of Victoria by</w:t>
      </w:r>
    </w:p>
    <w:p>
      <w:pPr>
        <w:pageBreakBefore w:val="false"/>
        <w:spacing w:before="89" w:after="0" w:line="259" w:lineRule="exact"/>
        <w:ind w:right="0" w:left="0" w:firstLine="0"/>
        <w:jc w:val="left"/>
        <w:textAlignment w:val="baseline"/>
        <w:rPr>
          <w:rFonts w:ascii="Corbel" w:hAnsi="Corbel" w:eastAsia="Corbel"/>
          <w:b w:val="true"/>
          <w:color w:val="000000"/>
          <w:spacing w:val="0"/>
          <w:w w:val="100"/>
          <w:sz w:val="23"/>
          <w:vertAlign w:val="baseline"/>
          <w:lang w:val="en-US"/>
        </w:rPr>
      </w:pPr>
      <w:r>
        <w:pict>
          <v:line strokeweight="0.7pt" strokecolor="#000000" from="68.45pt,426.25pt" to="253.75pt,426.25pt" style="position:absolute;mso-position-horizontal-relative:page;mso-position-vertical-relative:page;">
            <v:stroke dashstyle="solid"/>
          </v:line>
        </w:pict>
      </w:r>
      <w:r>
        <w:rPr>
          <w:rFonts w:ascii="Corbel" w:hAnsi="Corbel" w:eastAsia="Corbel"/>
          <w:b w:val="true"/>
          <w:color w:val="000000"/>
          <w:spacing w:val="0"/>
          <w:w w:val="100"/>
          <w:sz w:val="23"/>
          <w:vertAlign w:val="baseline"/>
          <w:lang w:val="en-US"/>
        </w:rPr>
        <w:t xml:space="preserve">The Honourable Lisa Neville MP</w:t>
        <w:br/>
      </w:r>
      <w:r>
        <w:rPr>
          <w:rFonts w:ascii="Corbel" w:hAnsi="Corbel" w:eastAsia="Corbel"/>
          <w:color w:val="000000"/>
          <w:spacing w:val="0"/>
          <w:w w:val="100"/>
          <w:sz w:val="20"/>
          <w:vertAlign w:val="baseline"/>
          <w:lang w:val="en-US"/>
        </w:rPr>
        <w:t xml:space="preserve">Minister for Water</w:t>
      </w:r>
    </w:p>
    <w:p>
      <w:pPr>
        <w:pageBreakBefore w:val="false"/>
        <w:spacing w:before="525" w:after="0" w:line="249" w:lineRule="exact"/>
        <w:ind w:right="0" w:left="648" w:firstLine="0"/>
        <w:jc w:val="left"/>
        <w:textAlignment w:val="baseline"/>
        <w:rPr>
          <w:rFonts w:ascii="Corbel" w:hAnsi="Corbel" w:eastAsia="Corbel"/>
          <w:color w:val="000000"/>
          <w:spacing w:val="2"/>
          <w:w w:val="100"/>
          <w:sz w:val="23"/>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0.9pt;height:12.2pt;z-index:-1000;margin-left:292.15pt;margin-top:781.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6" w:after="0" w:line="207" w:lineRule="exact"/>
                    <w:ind w:right="0" w:left="0" w:firstLine="0"/>
                    <w:jc w:val="center"/>
                    <w:textAlignment w:val="baseline"/>
                    <w:rPr>
                      <w:rFonts w:ascii="Calibri" w:hAnsi="Calibri" w:eastAsia="Calibri"/>
                      <w:color w:val="000000"/>
                      <w:spacing w:val="0"/>
                      <w:w w:val="100"/>
                      <w:sz w:val="20"/>
                      <w:vertAlign w:val="baseline"/>
                      <w:lang w:val="en-US"/>
                    </w:rPr>
                  </w:pPr>
                  <w:r>
                    <w:rPr>
                      <w:rFonts w:ascii="Calibri" w:hAnsi="Calibri" w:eastAsia="Calibri"/>
                      <w:color w:val="000000"/>
                      <w:spacing w:val="0"/>
                      <w:w w:val="100"/>
                      <w:sz w:val="20"/>
                      <w:vertAlign w:val="baseline"/>
                      <w:lang w:val="en-US"/>
                    </w:rPr>
                    <w:t xml:space="preserve">7</w:t>
                  </w:r>
                </w:p>
              </w:txbxContent>
            </v:textbox>
          </v:shape>
        </w:pict>
      </w:r>
      <w:r>
        <w:rPr>
          <w:rFonts w:ascii="Corbel" w:hAnsi="Corbel" w:eastAsia="Corbel"/>
          <w:color w:val="000000"/>
          <w:spacing w:val="2"/>
          <w:w w:val="100"/>
          <w:sz w:val="23"/>
          <w:vertAlign w:val="baseline"/>
          <w:lang w:val="en-US"/>
        </w:rPr>
        <w:t xml:space="preserve">[Day] [Month] [Year]</w:t>
      </w:r>
    </w:p>
    <w:sectPr>
      <w:type w:val="nextPage"/>
      <w:pgSz w:w="11904" w:h="16843" w:orient="portrait"/>
      <w:pgMar w:bottom="826" w:top="920" w:right="1431" w:left="136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 Antiqua">
    <w:charset w:val="00"/>
    <w:pitch w:val="variable"/>
    <w:family w:val="roman"/>
    <w:panose1 w:val="02020603050405020304"/>
  </w:font>
  <w:font w:name="Calibri">
    <w:charset w:val="00"/>
    <w:pitch w:val="variable"/>
    <w:family w:val="swiss"/>
    <w:panose1 w:val="02020603050405020304"/>
  </w:font>
  <w:font w:name="Consolas">
    <w:charset w:val="00"/>
    <w:pitch w:val="fixed"/>
    <w:family w:val="auto"/>
    <w:panose1 w:val="02020603050405020304"/>
  </w:font>
  <w:font w:name="Corbe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576"/>
        </w:tabs>
      </w:pPr>
      <w:rPr>
        <w:rFonts w:ascii="Corbel" w:hAnsi="Corbel" w:eastAsia="Corbel"/>
        <w:color w:val="000000"/>
        <w:spacing w:val="0"/>
        <w:w w:val="100"/>
        <w:sz w:val="23"/>
        <w:vertAlign w:val="baseline"/>
        <w:lang w:val="en-US"/>
      </w:rPr>
    </w:lvl>
  </w:abstractNum>
  <w:abstractNum w:abstractNumId="2">
    <w:lvl w:ilvl="0">
      <w:start w:val="1"/>
      <w:numFmt w:val="lowerLetter"/>
      <w:lvlText w:val="%1)"/>
      <w:pPr>
        <w:tabs>
          <w:tab w:val="left" w:pos="576"/>
        </w:tabs>
      </w:pPr>
      <w:rPr>
        <w:rFonts w:ascii="Corbel" w:hAnsi="Corbel" w:eastAsia="Corbel"/>
        <w:color w:val="000000"/>
        <w:spacing w:val="0"/>
        <w:w w:val="100"/>
        <w:sz w:val="23"/>
        <w:vertAlign w:val="baseline"/>
        <w:lang w:val="en-US"/>
      </w:rPr>
    </w:lvl>
  </w:abstractNum>
  <w:abstractNum w:abstractNumId="3">
    <w:lvl w:ilvl="0">
      <w:start w:val="1"/>
      <w:numFmt w:val="lowerLetter"/>
      <w:lvlText w:val="%1)"/>
      <w:pPr>
        <w:tabs>
          <w:tab w:val="left" w:pos="576"/>
        </w:tabs>
      </w:pPr>
      <w:rPr>
        <w:rFonts w:ascii="Corbel" w:hAnsi="Corbel" w:eastAsia="Corbel"/>
        <w:color w:val="000000"/>
        <w:spacing w:val="0"/>
        <w:w w:val="100"/>
        <w:sz w:val="23"/>
        <w:vertAlign w:val="baseline"/>
        <w:lang w:val="en-US"/>
      </w:rPr>
    </w:lvl>
  </w:abstractNum>
  <w:abstractNum w:abstractNumId="4">
    <w:lvl w:ilvl="0">
      <w:start w:val="0"/>
      <w:numFmt w:val="bullet"/>
      <w:lvlText w:val="·"/>
      <w:pPr>
        <w:tabs>
          <w:tab w:val="left" w:pos="432"/>
        </w:tabs>
      </w:pPr>
      <w:rPr>
        <w:rFonts w:ascii="Symbol" w:hAnsi="Symbol" w:eastAsia="Symbol"/>
        <w:color w:val="000000"/>
        <w:spacing w:val="0"/>
        <w:w w:val="100"/>
        <w:sz w:val="22"/>
        <w:vertAlign w:val="baseline"/>
        <w:lang w:val="en-US"/>
      </w:rPr>
    </w:lvl>
  </w:abstractNum>
  <w:abstractNum w:abstractNumId="5">
    <w:lvl w:ilvl="0">
      <w:start w:val="0"/>
      <w:numFmt w:val="bullet"/>
      <w:lvlText w:val="·"/>
      <w:pPr>
        <w:tabs>
          <w:tab w:val="left" w:pos="360"/>
        </w:tabs>
      </w:pPr>
      <w:rPr>
        <w:rFonts w:ascii="Symbol" w:hAnsi="Symbol" w:eastAsia="Symbol"/>
        <w:color w:val="000000"/>
        <w:spacing w:val="0"/>
        <w:w w:val="100"/>
        <w:sz w:val="22"/>
        <w:vertAlign w:val="baseline"/>
        <w:lang w:val="en-US"/>
      </w:rPr>
    </w:lvl>
  </w:abstractNum>
  <w:abstractNum w:abstractNumId="6">
    <w:lvl w:ilvl="0">
      <w:start w:val="10"/>
      <w:numFmt w:val="decimal"/>
      <w:lvlText w:val="%1."/>
      <w:pPr>
        <w:tabs>
          <w:tab w:val="left" w:pos="576"/>
        </w:tabs>
      </w:pPr>
      <w:rPr>
        <w:rFonts w:ascii="Corbel" w:hAnsi="Corbel" w:eastAsia="Corbel"/>
        <w:color w:val="000000"/>
        <w:spacing w:val="0"/>
        <w:w w:val="100"/>
        <w:sz w:val="23"/>
        <w:vertAlign w:val="baseline"/>
        <w:lang w:val="en-U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xml version="1.0" encoding="UTF-8" standalone="yes"?>
<Relationships xmlns="http://schemas.openxmlformats.org/package/2006/relationships"><Relationship Id="settingId" Type="http://schemas.openxmlformats.org/officeDocument/2006/relationships/settings" Target="settings.xml"/><Relationship Id="rId3" Type="http://schemas.openxmlformats.org/officeDocument/2006/relationships/customXml" Target="../customXml/item3.xml"/><Relationship Id="nId" Type="http://schemas.openxmlformats.org/officeDocument/2006/relationships/numbering" Target="numbering.xml"/><Relationship Id="fId" Type="http://schemas.openxmlformats.org/wordprocessingml/2006/fontTable" Target="fontTable.xml"/><Relationship Id="rId2" Type="http://schemas.openxmlformats.org/officeDocument/2006/relationships/customXml" Target="../customXml/item2.xml"/><Relationship Id="styleId"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5" Type="http://schemas.openxmlformats.org/officeDocument/2006/relationships/customXml" Target="../customXml/item5.xml"/><Relationship Id="rId4"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824" ma:contentTypeDescription=" " ma:contentTypeScope="" ma:versionID="0c4dfac9e4aa4580259f7bc2505e359b">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2022FG-64-107339</_dlc_DocId>
    <TaxCatchAll xmlns="0f563589-9cf9-4143-b1eb-fb0534803d38">
      <Value>2</Value>
    </TaxCatchAll>
    <_dlc_DocIdUrl xmlns="0f563589-9cf9-4143-b1eb-fb0534803d38">
      <Url>http://tweb/sites/fg/csrd/_layouts/15/DocIdRedir.aspx?ID=2022FG-64-107339</Url>
      <Description>2022FG-64-107339</Description>
    </_dlc_DocIdUrl>
    <IconOverlay xmlns="http://schemas.microsoft.com/sharepoint/v4" xsi:nil="true"/>
  </documentManagement>
</p:properties>
</file>

<file path=customXml/itemProps1.xml><?xml version="1.0" encoding="utf-8"?>
<ds:datastoreItem xmlns:ds="http://schemas.openxmlformats.org/officeDocument/2006/customXml" ds:itemID="{C99AA3F1-1458-4CFF-AA8B-8079DB7245F4}"/>
</file>

<file path=customXml/itemProps2.xml><?xml version="1.0" encoding="utf-8"?>
<ds:datastoreItem xmlns:ds="http://schemas.openxmlformats.org/officeDocument/2006/customXml" ds:itemID="{13ECF2B1-3326-4AC0-8FB4-2CAC496E64F9}"/>
</file>

<file path=customXml/itemProps3.xml><?xml version="1.0" encoding="utf-8"?>
<ds:datastoreItem xmlns:ds="http://schemas.openxmlformats.org/officeDocument/2006/customXml" ds:itemID="{8838BDBB-3357-48F7-8EAF-A4696FFEB6D2}"/>
</file>

<file path=customXml/itemProps4.xml><?xml version="1.0" encoding="utf-8"?>
<ds:datastoreItem xmlns:ds="http://schemas.openxmlformats.org/officeDocument/2006/customXml" ds:itemID="{9A6ADCF8-73E7-4EB2-B93E-CA19D5F1E999}"/>
</file>

<file path=customXml/itemProps5.xml><?xml version="1.0" encoding="utf-8"?>
<ds:datastoreItem xmlns:ds="http://schemas.openxmlformats.org/officeDocument/2006/customXml" ds:itemID="{65545830-5942-49BA-8E8A-4245F69BD9D1}"/>
</file>

<file path=customXml/itemProps6.xml><?xml version="1.0" encoding="utf-8"?>
<ds:datastoreItem xmlns:ds="http://schemas.openxmlformats.org/officeDocument/2006/customXml" ds:itemID="{F41603FB-3CB7-4F00-8D84-AA7E3D74A76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af238858-147b-4780-a824-4b88cbbf6226</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ies>
</file>