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814667" w14:paraId="7754C047" w14:textId="77777777">
        <w:tc>
          <w:tcPr>
            <w:tcW w:w="5000" w:type="pct"/>
            <w:gridSpan w:val="2"/>
          </w:tcPr>
          <w:p w14:paraId="5DCC07D1" w14:textId="6829623A" w:rsidR="00814667" w:rsidRDefault="00BA4284" w:rsidP="00171E98">
            <w:pPr>
              <w:pStyle w:val="CoverTitleMain"/>
            </w:pPr>
            <w:r>
              <w:t>Project AGreement</w:t>
            </w:r>
            <w:r w:rsidR="00292587">
              <w:t xml:space="preserve"> FOR </w:t>
            </w:r>
            <w:r w:rsidR="00472678">
              <w:t>tourism icon package -</w:t>
            </w:r>
            <w:r w:rsidR="00171E98">
              <w:t xml:space="preserve"> </w:t>
            </w:r>
            <w:r w:rsidR="00503A54">
              <w:t xml:space="preserve">Upgrade of tourist facilities on </w:t>
            </w:r>
            <w:r w:rsidR="001A0E75">
              <w:t>Rottnest Island</w:t>
            </w:r>
            <w:r w:rsidR="008D1492">
              <w:t xml:space="preserve"> </w:t>
            </w:r>
          </w:p>
        </w:tc>
      </w:tr>
      <w:tr w:rsidR="00814667" w14:paraId="5008970D" w14:textId="77777777">
        <w:tc>
          <w:tcPr>
            <w:tcW w:w="767" w:type="pct"/>
          </w:tcPr>
          <w:p w14:paraId="09615E74" w14:textId="77777777" w:rsidR="00814667" w:rsidRDefault="00814667">
            <w:pPr>
              <w:pStyle w:val="SingleParagraph"/>
              <w:tabs>
                <w:tab w:val="num" w:pos="1134"/>
              </w:tabs>
              <w:spacing w:after="240"/>
              <w:ind w:left="1134" w:hanging="567"/>
            </w:pPr>
          </w:p>
        </w:tc>
        <w:tc>
          <w:tcPr>
            <w:tcW w:w="4233" w:type="pct"/>
          </w:tcPr>
          <w:p w14:paraId="777148F3" w14:textId="77777777" w:rsidR="00814667" w:rsidRDefault="00814667">
            <w:pPr>
              <w:pStyle w:val="SingleParagraph"/>
              <w:tabs>
                <w:tab w:val="num" w:pos="1134"/>
              </w:tabs>
              <w:spacing w:after="240"/>
              <w:ind w:left="1134" w:hanging="567"/>
            </w:pPr>
          </w:p>
        </w:tc>
      </w:tr>
      <w:tr w:rsidR="00814667" w14:paraId="61584C85" w14:textId="77777777">
        <w:tc>
          <w:tcPr>
            <w:tcW w:w="767" w:type="pct"/>
          </w:tcPr>
          <w:p w14:paraId="7497A277" w14:textId="77777777" w:rsidR="00814667" w:rsidRDefault="00814667">
            <w:pPr>
              <w:pStyle w:val="SingleParagraph"/>
              <w:tabs>
                <w:tab w:val="num" w:pos="1134"/>
              </w:tabs>
              <w:spacing w:after="240"/>
              <w:ind w:left="1134" w:hanging="567"/>
            </w:pPr>
          </w:p>
        </w:tc>
        <w:tc>
          <w:tcPr>
            <w:tcW w:w="4233" w:type="pct"/>
          </w:tcPr>
          <w:p w14:paraId="784099C7" w14:textId="77777777" w:rsidR="00814667" w:rsidRPr="001E74D0" w:rsidRDefault="00814667">
            <w:pPr>
              <w:pStyle w:val="SingleParagraph"/>
              <w:tabs>
                <w:tab w:val="num" w:pos="1134"/>
              </w:tabs>
              <w:spacing w:after="240"/>
              <w:ind w:left="1134" w:hanging="567"/>
            </w:pPr>
          </w:p>
        </w:tc>
      </w:tr>
      <w:tr w:rsidR="00814667" w14:paraId="286589D3" w14:textId="77777777">
        <w:tc>
          <w:tcPr>
            <w:tcW w:w="5000" w:type="pct"/>
            <w:gridSpan w:val="2"/>
          </w:tcPr>
          <w:p w14:paraId="137C7372" w14:textId="77777777" w:rsidR="00814667" w:rsidRDefault="00814667">
            <w:pPr>
              <w:pStyle w:val="AgreementHeading"/>
              <w:tabs>
                <w:tab w:val="clear" w:pos="1134"/>
              </w:tabs>
            </w:pPr>
            <w:r>
              <w:t>An agreement between</w:t>
            </w:r>
            <w:r w:rsidR="00697494">
              <w:t>:</w:t>
            </w:r>
          </w:p>
        </w:tc>
      </w:tr>
      <w:tr w:rsidR="00814667" w14:paraId="2DBF5F07" w14:textId="77777777">
        <w:tc>
          <w:tcPr>
            <w:tcW w:w="767" w:type="pct"/>
          </w:tcPr>
          <w:p w14:paraId="5A6519F9" w14:textId="77777777" w:rsidR="00814667" w:rsidRPr="001E74D0" w:rsidRDefault="00814667">
            <w:pPr>
              <w:pStyle w:val="AgreementHeading"/>
              <w:tabs>
                <w:tab w:val="clear" w:pos="1134"/>
              </w:tabs>
              <w:ind w:left="522"/>
            </w:pPr>
          </w:p>
        </w:tc>
        <w:tc>
          <w:tcPr>
            <w:tcW w:w="4233" w:type="pct"/>
          </w:tcPr>
          <w:p w14:paraId="73A259BE" w14:textId="77777777" w:rsidR="00D6391B" w:rsidRDefault="00814667" w:rsidP="00886DC6">
            <w:pPr>
              <w:pStyle w:val="AgreementParties"/>
            </w:pPr>
            <w:r>
              <w:t xml:space="preserve">the </w:t>
            </w:r>
            <w:r>
              <w:rPr>
                <w:rStyle w:val="Bold"/>
              </w:rPr>
              <w:t>Commonwealth of Australia</w:t>
            </w:r>
            <w:r w:rsidR="00697494">
              <w:rPr>
                <w:rStyle w:val="Bold"/>
              </w:rPr>
              <w:t>;</w:t>
            </w:r>
            <w:r>
              <w:t xml:space="preserve"> and</w:t>
            </w:r>
            <w:r w:rsidR="00886DC6">
              <w:t xml:space="preserve"> </w:t>
            </w:r>
          </w:p>
          <w:p w14:paraId="3659CAA1" w14:textId="77777777" w:rsidR="00814667" w:rsidRPr="001E74D0" w:rsidRDefault="00814667" w:rsidP="00886DC6">
            <w:pPr>
              <w:pStyle w:val="AgreementParties"/>
            </w:pPr>
            <w:r>
              <w:t xml:space="preserve">the </w:t>
            </w:r>
            <w:r w:rsidR="001A0E75" w:rsidRPr="00DD37B7">
              <w:rPr>
                <w:rStyle w:val="Bold"/>
                <w:b w:val="0"/>
              </w:rPr>
              <w:t>State</w:t>
            </w:r>
            <w:r w:rsidRPr="00DD37B7">
              <w:rPr>
                <w:rStyle w:val="Bold"/>
                <w:b w:val="0"/>
              </w:rPr>
              <w:t xml:space="preserve"> </w:t>
            </w:r>
            <w:r w:rsidR="00697494" w:rsidRPr="00DD37B7">
              <w:rPr>
                <w:rStyle w:val="Bold"/>
                <w:b w:val="0"/>
              </w:rPr>
              <w:t>of</w:t>
            </w:r>
            <w:r w:rsidR="00886DC6">
              <w:rPr>
                <w:rStyle w:val="Bold"/>
              </w:rPr>
              <w:t xml:space="preserve"> </w:t>
            </w:r>
            <w:r w:rsidR="00886DC6">
              <w:t>Western Australia</w:t>
            </w:r>
          </w:p>
        </w:tc>
      </w:tr>
      <w:tr w:rsidR="00814667" w14:paraId="7AD2C48E" w14:textId="77777777">
        <w:tc>
          <w:tcPr>
            <w:tcW w:w="767" w:type="pct"/>
          </w:tcPr>
          <w:p w14:paraId="21AD4F89" w14:textId="77777777" w:rsidR="00814667" w:rsidRDefault="00814667">
            <w:pPr>
              <w:pStyle w:val="SingleParagraph"/>
              <w:tabs>
                <w:tab w:val="num" w:pos="1134"/>
              </w:tabs>
              <w:spacing w:after="240"/>
              <w:ind w:left="1134" w:hanging="567"/>
            </w:pPr>
          </w:p>
        </w:tc>
        <w:tc>
          <w:tcPr>
            <w:tcW w:w="4233" w:type="pct"/>
            <w:tcBorders>
              <w:left w:val="nil"/>
            </w:tcBorders>
          </w:tcPr>
          <w:p w14:paraId="10D0F2E5" w14:textId="77777777" w:rsidR="00814667" w:rsidRDefault="00814667" w:rsidP="00886DC6">
            <w:pPr>
              <w:pStyle w:val="StatesList"/>
              <w:numPr>
                <w:ilvl w:val="0"/>
                <w:numId w:val="0"/>
              </w:numPr>
              <w:tabs>
                <w:tab w:val="clear" w:pos="1134"/>
              </w:tabs>
            </w:pPr>
          </w:p>
          <w:p w14:paraId="3B02F08A" w14:textId="77777777" w:rsidR="00EB7EDA" w:rsidRPr="00EB7EDA" w:rsidRDefault="00EB7EDA" w:rsidP="001A0E75">
            <w:pPr>
              <w:rPr>
                <w:i/>
              </w:rPr>
            </w:pPr>
          </w:p>
        </w:tc>
      </w:tr>
      <w:tr w:rsidR="00814667" w14:paraId="55165228" w14:textId="77777777">
        <w:tc>
          <w:tcPr>
            <w:tcW w:w="5000" w:type="pct"/>
            <w:gridSpan w:val="2"/>
          </w:tcPr>
          <w:p w14:paraId="02CB8768" w14:textId="77777777" w:rsidR="00814667" w:rsidRDefault="00814667">
            <w:pPr>
              <w:pStyle w:val="SingleParagraph"/>
              <w:tabs>
                <w:tab w:val="num" w:pos="1134"/>
              </w:tabs>
              <w:spacing w:after="240"/>
              <w:ind w:left="1134" w:hanging="567"/>
            </w:pPr>
          </w:p>
        </w:tc>
      </w:tr>
      <w:tr w:rsidR="00814667" w14:paraId="381BF0C2" w14:textId="77777777">
        <w:tc>
          <w:tcPr>
            <w:tcW w:w="5000" w:type="pct"/>
            <w:gridSpan w:val="2"/>
          </w:tcPr>
          <w:p w14:paraId="545ABD45" w14:textId="77777777" w:rsidR="00814667" w:rsidRDefault="00771FFF" w:rsidP="00503A54">
            <w:pPr>
              <w:pStyle w:val="Abstract"/>
            </w:pPr>
            <w:r>
              <w:t>The output of this project will be</w:t>
            </w:r>
            <w:r w:rsidR="00845BCC">
              <w:t xml:space="preserve"> </w:t>
            </w:r>
            <w:r w:rsidR="00503A54">
              <w:t>upgrades to sustainable visitor infrastructure and the museum on Rottnest Island</w:t>
            </w:r>
            <w:r w:rsidR="00C7093C">
              <w:t xml:space="preserve">.  </w:t>
            </w:r>
          </w:p>
        </w:tc>
      </w:tr>
    </w:tbl>
    <w:p w14:paraId="22F02383" w14:textId="17BAE009" w:rsidR="00814667" w:rsidRDefault="00FF5029">
      <w:pPr>
        <w:pStyle w:val="Title"/>
        <w:pageBreakBefore/>
      </w:pPr>
      <w:r>
        <w:lastRenderedPageBreak/>
        <w:t xml:space="preserve">Project </w:t>
      </w:r>
      <w:r w:rsidR="00D7336A">
        <w:t>Agreement</w:t>
      </w:r>
      <w:r>
        <w:t xml:space="preserve"> for</w:t>
      </w:r>
      <w:r w:rsidR="00C7093C">
        <w:t xml:space="preserve"> </w:t>
      </w:r>
      <w:r w:rsidR="00DD37B7">
        <w:t>Tourism I</w:t>
      </w:r>
      <w:r w:rsidR="00510A96">
        <w:t>con packag</w:t>
      </w:r>
      <w:r w:rsidR="00472678">
        <w:t>e -</w:t>
      </w:r>
      <w:r w:rsidR="00C7093C">
        <w:t xml:space="preserve"> </w:t>
      </w:r>
      <w:r w:rsidR="00503A54">
        <w:t>upgrade of tourist facilities on Rottnest Island</w:t>
      </w:r>
      <w:r w:rsidR="00473CB2">
        <w:t xml:space="preserve"> </w:t>
      </w:r>
    </w:p>
    <w:p w14:paraId="718F14AE" w14:textId="77777777" w:rsidR="004B2EF6" w:rsidRPr="004B2EF6" w:rsidRDefault="00804105" w:rsidP="00804105">
      <w:pPr>
        <w:pStyle w:val="Heading1"/>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19194AFA" w14:textId="77777777" w:rsidR="00C960AA" w:rsidRPr="0096732C" w:rsidRDefault="00C960AA" w:rsidP="00242D94">
      <w:pPr>
        <w:pStyle w:val="Normalnumbered"/>
        <w:numPr>
          <w:ilvl w:val="0"/>
          <w:numId w:val="13"/>
        </w:numPr>
        <w:pBdr>
          <w:top w:val="single" w:sz="4" w:space="1"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7A5E24B8" w14:textId="77777777" w:rsidR="0096732C" w:rsidRPr="004B1F38" w:rsidRDefault="0096732C" w:rsidP="00804105">
      <w:pPr>
        <w:pStyle w:val="Heading2"/>
        <w:pBdr>
          <w:top w:val="single" w:sz="4" w:space="1"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08B3A720" w14:textId="71815C1B" w:rsidR="000322A1" w:rsidRDefault="00852ED8" w:rsidP="00242D94">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the delivery of </w:t>
      </w:r>
      <w:r w:rsidR="007E4208">
        <w:t>Commonwealth funding of $</w:t>
      </w:r>
      <w:r w:rsidR="007E4208" w:rsidRPr="005B371A">
        <w:t>1</w:t>
      </w:r>
      <w:r w:rsidR="000322A1">
        <w:t>7</w:t>
      </w:r>
      <w:r w:rsidR="007E4208" w:rsidRPr="005B371A">
        <w:t>.2 million for sustainable visitor infrastructure</w:t>
      </w:r>
      <w:r w:rsidR="00A776DC">
        <w:t xml:space="preserve"> </w:t>
      </w:r>
      <w:r w:rsidR="00AE631D">
        <w:t>that</w:t>
      </w:r>
      <w:r w:rsidR="000322A1">
        <w:t xml:space="preserve"> enhance</w:t>
      </w:r>
      <w:r w:rsidR="00AE631D">
        <w:t>s</w:t>
      </w:r>
      <w:r w:rsidR="000322A1">
        <w:t xml:space="preserve"> </w:t>
      </w:r>
      <w:r w:rsidR="00AE631D">
        <w:t xml:space="preserve">tourism </w:t>
      </w:r>
      <w:r w:rsidR="000322A1">
        <w:t>facilities, amenities and experiences</w:t>
      </w:r>
      <w:r w:rsidR="00B624E1">
        <w:t xml:space="preserve"> at Rottnest Island</w:t>
      </w:r>
      <w:r w:rsidR="000322A1">
        <w:t xml:space="preserve">. This includes </w:t>
      </w:r>
      <w:r w:rsidR="00AE631D">
        <w:t xml:space="preserve">improvements to </w:t>
      </w:r>
      <w:r w:rsidR="000322A1">
        <w:t xml:space="preserve">the network of significant cultural, heritage and environmental sites located across the </w:t>
      </w:r>
      <w:r w:rsidR="00DD37B7">
        <w:t xml:space="preserve">island, </w:t>
      </w:r>
      <w:r w:rsidR="00ED53C6">
        <w:t>and the</w:t>
      </w:r>
      <w:r w:rsidR="000322A1">
        <w:t xml:space="preserve"> facilities</w:t>
      </w:r>
      <w:r w:rsidR="00ED53C6">
        <w:t xml:space="preserve"> and</w:t>
      </w:r>
      <w:r w:rsidR="000322A1">
        <w:t xml:space="preserve"> curation </w:t>
      </w:r>
      <w:r w:rsidR="00ED53C6">
        <w:t>at the</w:t>
      </w:r>
      <w:r w:rsidR="000322A1">
        <w:t xml:space="preserve"> </w:t>
      </w:r>
      <w:r w:rsidR="00DD37B7">
        <w:t xml:space="preserve">Rottnest Island </w:t>
      </w:r>
      <w:r w:rsidR="000322A1">
        <w:t>Museu</w:t>
      </w:r>
      <w:r w:rsidR="00DD37B7">
        <w:t>m at th</w:t>
      </w:r>
      <w:r w:rsidR="000322A1">
        <w:t>e Island Gateway.</w:t>
      </w:r>
    </w:p>
    <w:p w14:paraId="1E612F31" w14:textId="33228226" w:rsidR="00473CB2" w:rsidRDefault="00112F1E" w:rsidP="00DD37B7">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rsidRPr="00112F1E">
        <w:t xml:space="preserve">This project is one of five projects that form the </w:t>
      </w:r>
      <w:r>
        <w:t xml:space="preserve">Australian </w:t>
      </w:r>
      <w:r w:rsidRPr="00112F1E">
        <w:t xml:space="preserve">Tourism Icons Package, a $50 million Australian Government </w:t>
      </w:r>
      <w:r>
        <w:t xml:space="preserve">commitment </w:t>
      </w:r>
      <w:r w:rsidRPr="00112F1E">
        <w:t>to support the development of iconic tourism projects across Australia.</w:t>
      </w:r>
      <w:bookmarkStart w:id="0" w:name="_GoBack"/>
      <w:bookmarkEnd w:id="0"/>
    </w:p>
    <w:p w14:paraId="4DE7C678" w14:textId="16434F08" w:rsidR="00CA54EF" w:rsidRPr="00112F1E" w:rsidRDefault="00CA54EF" w:rsidP="00DD37B7">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tabs>
          <w:tab w:val="left" w:pos="567"/>
        </w:tabs>
      </w:pPr>
      <w:r>
        <w:t xml:space="preserve">The Parties acknowledge the recognition of Whadjuk Noongar as traditional owners of Wadjemup/Rottnest Island, under the </w:t>
      </w:r>
      <w:r>
        <w:rPr>
          <w:i/>
          <w:iCs/>
        </w:rPr>
        <w:t>Noongar Recognition Act 2016</w:t>
      </w:r>
      <w:r w:rsidR="00DB721E">
        <w:rPr>
          <w:i/>
          <w:iCs/>
        </w:rPr>
        <w:t xml:space="preserve"> </w:t>
      </w:r>
      <w:r w:rsidR="00DB721E" w:rsidRPr="00CE2E2F">
        <w:rPr>
          <w:iCs/>
        </w:rPr>
        <w:t>(WA)</w:t>
      </w:r>
      <w:r w:rsidRPr="00CE2E2F">
        <w:rPr>
          <w:iCs/>
        </w:rPr>
        <w:t>,</w:t>
      </w:r>
      <w:r>
        <w:rPr>
          <w:i/>
          <w:iCs/>
        </w:rPr>
        <w:t xml:space="preserve"> </w:t>
      </w:r>
      <w:r>
        <w:rPr>
          <w:iCs/>
        </w:rPr>
        <w:t>and commit to engagement and consultation with Whadjuk Noongar and other key Aboriginal stakeholders in the development and deliv</w:t>
      </w:r>
      <w:r w:rsidR="00DB721E">
        <w:rPr>
          <w:iCs/>
        </w:rPr>
        <w:t xml:space="preserve">ery of projects that form part of this Agreement. </w:t>
      </w:r>
    </w:p>
    <w:p w14:paraId="580178FA" w14:textId="77777777" w:rsidR="0096732C" w:rsidRDefault="0096732C" w:rsidP="007320DE">
      <w:pPr>
        <w:pStyle w:val="Normalnumbered"/>
        <w:keepNext/>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4B8AF10D" w14:textId="77777777" w:rsidR="0096732C" w:rsidRDefault="007E4208" w:rsidP="00242D94">
      <w:pPr>
        <w:pStyle w:val="Normalnumbered"/>
        <w:keepNext/>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 xml:space="preserve">Western Australia </w:t>
      </w:r>
      <w:r w:rsidR="000322A1">
        <w:t xml:space="preserve">will report </w:t>
      </w:r>
      <w:r w:rsidR="0096732C">
        <w:t xml:space="preserve">against the agreed milestones during the operation of this Agreement, as set out in Part 4 – Project Milestones, Reporting and Payments. </w:t>
      </w:r>
    </w:p>
    <w:p w14:paraId="2C4E5E95" w14:textId="77777777" w:rsidR="0096732C" w:rsidRPr="0096732C" w:rsidRDefault="0096732C"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558F5252" w14:textId="63981E23" w:rsidR="0096732C" w:rsidRDefault="0096732C" w:rsidP="00242D94">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000322A1">
        <w:t xml:space="preserve">financial contribution to Western Australia </w:t>
      </w:r>
      <w:r w:rsidR="007E4208">
        <w:t>of $17.2 million</w:t>
      </w:r>
      <w:r w:rsidR="00F234AB">
        <w:t>, exclusive of GST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5DC902D3" w14:textId="367AF46D" w:rsidR="00971F3B" w:rsidRPr="0096732C" w:rsidRDefault="00971F3B" w:rsidP="00242D94">
      <w:pPr>
        <w:pStyle w:val="Normalnumbered"/>
        <w:numPr>
          <w:ilvl w:val="0"/>
          <w:numId w:val="24"/>
        </w:numPr>
        <w:pBdr>
          <w:top w:val="single" w:sz="4" w:space="1" w:color="auto"/>
          <w:left w:val="single" w:sz="4" w:space="4" w:color="auto"/>
          <w:bottom w:val="single" w:sz="4" w:space="1" w:color="auto"/>
          <w:right w:val="single" w:sz="4" w:space="4" w:color="auto"/>
        </w:pBdr>
        <w:shd w:val="clear" w:color="auto" w:fill="DAEEF3" w:themeFill="accent5" w:themeFillTint="33"/>
        <w:jc w:val="left"/>
      </w:pPr>
      <w:r>
        <w:t>The Western Australian Government will provide</w:t>
      </w:r>
      <w:r w:rsidR="006A6835">
        <w:t xml:space="preserve"> an estimated total additional financial contribution of $16.2 million, exclusive of GST in respect of this </w:t>
      </w:r>
      <w:r w:rsidR="007402E1">
        <w:t>Agreement</w:t>
      </w:r>
      <w:r w:rsidR="006A6835">
        <w:t xml:space="preserve"> for the investment in marine infrastructure to </w:t>
      </w:r>
      <w:r w:rsidR="00CE2E2F">
        <w:t>enhance</w:t>
      </w:r>
      <w:r w:rsidR="006A6835" w:rsidRPr="006A6835">
        <w:t xml:space="preserve"> tourism experiences at Rottnest Island</w:t>
      </w:r>
    </w:p>
    <w:p w14:paraId="7655E59C" w14:textId="77777777" w:rsidR="0096732C" w:rsidRPr="004B1F38" w:rsidRDefault="00A25265" w:rsidP="00804105">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585678FF" w14:textId="77777777" w:rsidR="00814667" w:rsidRDefault="00814667">
      <w:pPr>
        <w:pStyle w:val="Heading1"/>
      </w:pPr>
      <w:r>
        <w:t>Part 1 — Formalities</w:t>
      </w:r>
    </w:p>
    <w:p w14:paraId="086CBB10" w14:textId="77777777" w:rsidR="00804105" w:rsidRDefault="00804105" w:rsidP="00242D94">
      <w:pPr>
        <w:pStyle w:val="Normalnumbered"/>
        <w:numPr>
          <w:ilvl w:val="0"/>
          <w:numId w:val="24"/>
        </w:numPr>
      </w:pPr>
      <w:r>
        <w:t>This Agreement constitutes the entire agreement for this project.</w:t>
      </w:r>
    </w:p>
    <w:p w14:paraId="4E5101EB" w14:textId="77777777" w:rsidR="00814667" w:rsidRDefault="00814667">
      <w:pPr>
        <w:pStyle w:val="Heading2"/>
      </w:pPr>
      <w:r>
        <w:t>Parties to this Agreement</w:t>
      </w:r>
    </w:p>
    <w:p w14:paraId="14C37B8D" w14:textId="0AB75925" w:rsidR="007B4B03" w:rsidRPr="007B4B03" w:rsidRDefault="00E7195E" w:rsidP="00242D94">
      <w:pPr>
        <w:pStyle w:val="Normalnumbered"/>
        <w:numPr>
          <w:ilvl w:val="0"/>
          <w:numId w:val="24"/>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7E4208">
        <w:t>Western Australia</w:t>
      </w:r>
      <w:r w:rsidRPr="003012DA">
        <w:t xml:space="preserve">. </w:t>
      </w:r>
    </w:p>
    <w:p w14:paraId="2A678845" w14:textId="77777777" w:rsidR="00814667" w:rsidRDefault="00814667">
      <w:pPr>
        <w:pStyle w:val="Heading2"/>
      </w:pPr>
      <w:r>
        <w:t>Term of the Agreement</w:t>
      </w:r>
    </w:p>
    <w:p w14:paraId="60E393CF" w14:textId="77317DE7" w:rsidR="00814667" w:rsidRPr="00DE36EB" w:rsidRDefault="00814667" w:rsidP="00242D94">
      <w:pPr>
        <w:pStyle w:val="Normalnumbered"/>
        <w:numPr>
          <w:ilvl w:val="0"/>
          <w:numId w:val="24"/>
        </w:numPr>
      </w:pPr>
      <w:r w:rsidRPr="00DE36EB">
        <w:t xml:space="preserve">This Agreement will commence as soon as the Commonwealth and </w:t>
      </w:r>
      <w:r w:rsidR="007E4208">
        <w:t>Western Australia sign</w:t>
      </w:r>
      <w:r w:rsidRPr="00DE36EB">
        <w:t xml:space="preserve"> </w:t>
      </w:r>
      <w:r w:rsidR="0096732C">
        <w:t xml:space="preserve">it </w:t>
      </w:r>
      <w:r w:rsidRPr="00DE36EB">
        <w:t>and will expire on</w:t>
      </w:r>
      <w:r w:rsidR="00C7093C" w:rsidRPr="00DE36EB">
        <w:t xml:space="preserve"> </w:t>
      </w:r>
      <w:r w:rsidR="000322A1">
        <w:t>30</w:t>
      </w:r>
      <w:r w:rsidR="003E761E">
        <w:t xml:space="preserve"> June </w:t>
      </w:r>
      <w:r w:rsidR="000322A1">
        <w:t>2022</w:t>
      </w:r>
      <w:r w:rsidR="00284884" w:rsidRPr="00DE36EB">
        <w:t xml:space="preserve"> or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15AA56C0"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0322A1">
        <w:rPr>
          <w:rFonts w:ascii="Consolas" w:hAnsi="Consolas"/>
          <w:b w:val="0"/>
          <w:iCs w:val="0"/>
          <w:caps/>
          <w:kern w:val="32"/>
          <w:sz w:val="32"/>
          <w:szCs w:val="36"/>
        </w:rPr>
        <w:t xml:space="preserve"> outpuTS</w:t>
      </w:r>
    </w:p>
    <w:p w14:paraId="42CEC277" w14:textId="77777777" w:rsidR="00814667" w:rsidRDefault="00814667">
      <w:pPr>
        <w:pStyle w:val="Heading2"/>
      </w:pPr>
      <w:r>
        <w:t>Outputs</w:t>
      </w:r>
    </w:p>
    <w:p w14:paraId="11072A59" w14:textId="36E3921F" w:rsidR="0085738D" w:rsidRDefault="00814667" w:rsidP="00242D94">
      <w:pPr>
        <w:pStyle w:val="Normalnumbered"/>
        <w:numPr>
          <w:ilvl w:val="0"/>
          <w:numId w:val="24"/>
        </w:numPr>
        <w:jc w:val="left"/>
      </w:pPr>
      <w:r w:rsidRPr="0085738D">
        <w:t>The o</w:t>
      </w:r>
      <w:r w:rsidR="006F79D3">
        <w:t>utputs of this Agreement will be:</w:t>
      </w:r>
    </w:p>
    <w:p w14:paraId="5AF04703" w14:textId="77777777" w:rsidR="00473CB2" w:rsidRDefault="00473CB2" w:rsidP="00242D94">
      <w:pPr>
        <w:pStyle w:val="AlphaParagraph"/>
        <w:numPr>
          <w:ilvl w:val="0"/>
          <w:numId w:val="18"/>
        </w:numPr>
        <w:tabs>
          <w:tab w:val="clear" w:pos="1418"/>
          <w:tab w:val="clear" w:pos="1701"/>
        </w:tabs>
        <w:ind w:left="1134"/>
        <w:rPr>
          <w:szCs w:val="23"/>
        </w:rPr>
      </w:pPr>
      <w:r w:rsidRPr="00473CB2">
        <w:rPr>
          <w:szCs w:val="23"/>
        </w:rPr>
        <w:t>Construct sustainable visitor infrastructure on Rottnest Island, including:</w:t>
      </w:r>
    </w:p>
    <w:p w14:paraId="4EE11E26" w14:textId="65C60A3F" w:rsidR="00473CB2" w:rsidRPr="00473CB2" w:rsidRDefault="00120B26" w:rsidP="00242D94">
      <w:pPr>
        <w:numPr>
          <w:ilvl w:val="0"/>
          <w:numId w:val="28"/>
        </w:numPr>
        <w:tabs>
          <w:tab w:val="left" w:pos="567"/>
        </w:tabs>
        <w:spacing w:after="160" w:line="256" w:lineRule="auto"/>
        <w:contextualSpacing/>
        <w:jc w:val="left"/>
        <w:rPr>
          <w:rFonts w:eastAsia="SimSun"/>
          <w:color w:val="auto"/>
          <w:szCs w:val="23"/>
          <w:lang w:eastAsia="zh-CN"/>
        </w:rPr>
      </w:pPr>
      <w:r>
        <w:rPr>
          <w:rFonts w:eastAsia="SimSun"/>
          <w:color w:val="auto"/>
          <w:szCs w:val="23"/>
          <w:lang w:eastAsia="zh-CN"/>
        </w:rPr>
        <w:t>f</w:t>
      </w:r>
      <w:r w:rsidR="00473CB2" w:rsidRPr="00473CB2">
        <w:rPr>
          <w:rFonts w:eastAsia="SimSun"/>
          <w:color w:val="auto"/>
          <w:szCs w:val="23"/>
          <w:lang w:eastAsia="zh-CN"/>
        </w:rPr>
        <w:t>acilities including shelters, ablutions, accommodation and utilities;</w:t>
      </w:r>
    </w:p>
    <w:p w14:paraId="2D4E6C66" w14:textId="7983F5B7" w:rsidR="00473CB2" w:rsidRPr="00473CB2" w:rsidRDefault="00120B26" w:rsidP="00242D94">
      <w:pPr>
        <w:numPr>
          <w:ilvl w:val="0"/>
          <w:numId w:val="28"/>
        </w:numPr>
        <w:tabs>
          <w:tab w:val="left" w:pos="567"/>
        </w:tabs>
        <w:spacing w:after="160" w:line="256" w:lineRule="auto"/>
        <w:contextualSpacing/>
        <w:jc w:val="left"/>
        <w:rPr>
          <w:rFonts w:eastAsia="SimSun"/>
          <w:color w:val="auto"/>
          <w:szCs w:val="23"/>
          <w:lang w:eastAsia="zh-CN"/>
        </w:rPr>
      </w:pPr>
      <w:r>
        <w:rPr>
          <w:rFonts w:eastAsia="SimSun"/>
          <w:color w:val="auto"/>
          <w:szCs w:val="23"/>
          <w:lang w:eastAsia="zh-CN"/>
        </w:rPr>
        <w:t>t</w:t>
      </w:r>
      <w:r w:rsidR="00473CB2" w:rsidRPr="00473CB2">
        <w:rPr>
          <w:rFonts w:eastAsia="SimSun"/>
          <w:color w:val="auto"/>
          <w:szCs w:val="23"/>
          <w:lang w:eastAsia="zh-CN"/>
        </w:rPr>
        <w:t>ransport networks including hubs, roads, pathways and trails</w:t>
      </w:r>
      <w:r>
        <w:rPr>
          <w:rFonts w:eastAsia="SimSun"/>
          <w:color w:val="auto"/>
          <w:szCs w:val="23"/>
          <w:lang w:eastAsia="zh-CN"/>
        </w:rPr>
        <w:t>; and</w:t>
      </w:r>
    </w:p>
    <w:p w14:paraId="34A161AB" w14:textId="56765DB9" w:rsidR="001518E4" w:rsidRDefault="00120B26" w:rsidP="001518E4">
      <w:pPr>
        <w:numPr>
          <w:ilvl w:val="0"/>
          <w:numId w:val="28"/>
        </w:numPr>
        <w:tabs>
          <w:tab w:val="left" w:pos="567"/>
        </w:tabs>
        <w:spacing w:after="160" w:line="256" w:lineRule="auto"/>
        <w:contextualSpacing/>
        <w:jc w:val="left"/>
        <w:rPr>
          <w:rFonts w:eastAsia="SimSun"/>
          <w:color w:val="auto"/>
          <w:szCs w:val="23"/>
          <w:lang w:eastAsia="zh-CN"/>
        </w:rPr>
      </w:pPr>
      <w:r>
        <w:rPr>
          <w:rFonts w:eastAsia="SimSun"/>
          <w:color w:val="auto"/>
          <w:szCs w:val="23"/>
          <w:lang w:eastAsia="zh-CN"/>
        </w:rPr>
        <w:t>w</w:t>
      </w:r>
      <w:r w:rsidR="00473CB2" w:rsidRPr="00473CB2">
        <w:rPr>
          <w:rFonts w:eastAsia="SimSun"/>
          <w:color w:val="auto"/>
          <w:szCs w:val="23"/>
          <w:lang w:eastAsia="zh-CN"/>
        </w:rPr>
        <w:t>ayfinding signage including walkway trails and interpretation.</w:t>
      </w:r>
    </w:p>
    <w:p w14:paraId="2E2CA414" w14:textId="77777777" w:rsidR="001518E4" w:rsidRPr="00473CB2" w:rsidRDefault="001518E4" w:rsidP="001518E4">
      <w:pPr>
        <w:pStyle w:val="AlphaParagraph"/>
        <w:numPr>
          <w:ilvl w:val="0"/>
          <w:numId w:val="18"/>
        </w:numPr>
        <w:tabs>
          <w:tab w:val="clear" w:pos="1418"/>
          <w:tab w:val="clear" w:pos="1701"/>
        </w:tabs>
        <w:ind w:left="1134"/>
        <w:rPr>
          <w:szCs w:val="23"/>
        </w:rPr>
      </w:pPr>
      <w:r w:rsidRPr="00473CB2">
        <w:t>Develop an improved ‘museum’ experience for the network of significant cultural, heritage and environmental sites located across Rottnest Island, including:</w:t>
      </w:r>
    </w:p>
    <w:p w14:paraId="019F6DA2" w14:textId="4579309C" w:rsidR="00473CB2" w:rsidRPr="00473CB2" w:rsidRDefault="00DD37B7" w:rsidP="00DD37B7">
      <w:pPr>
        <w:numPr>
          <w:ilvl w:val="0"/>
          <w:numId w:val="29"/>
        </w:numPr>
        <w:tabs>
          <w:tab w:val="left" w:pos="567"/>
        </w:tabs>
        <w:spacing w:after="160" w:line="256" w:lineRule="auto"/>
        <w:contextualSpacing/>
        <w:jc w:val="left"/>
        <w:rPr>
          <w:rFonts w:eastAsia="SimSun"/>
          <w:color w:val="auto"/>
          <w:szCs w:val="23"/>
          <w:lang w:eastAsia="zh-CN"/>
        </w:rPr>
      </w:pPr>
      <w:r>
        <w:rPr>
          <w:rFonts w:eastAsia="SimSun"/>
          <w:color w:val="auto"/>
          <w:szCs w:val="23"/>
          <w:lang w:eastAsia="zh-CN"/>
        </w:rPr>
        <w:t>e</w:t>
      </w:r>
      <w:r w:rsidR="00473CB2" w:rsidRPr="00473CB2">
        <w:rPr>
          <w:rFonts w:eastAsia="SimSun"/>
          <w:color w:val="auto"/>
          <w:szCs w:val="23"/>
          <w:lang w:eastAsia="zh-CN"/>
        </w:rPr>
        <w:t>nhanced facilities, curation and interpretation for the primary Museum hub at the Island Gateway;</w:t>
      </w:r>
      <w:r w:rsidR="00120B26">
        <w:rPr>
          <w:rFonts w:eastAsia="SimSun"/>
          <w:color w:val="auto"/>
          <w:szCs w:val="23"/>
          <w:lang w:eastAsia="zh-CN"/>
        </w:rPr>
        <w:t xml:space="preserve"> and</w:t>
      </w:r>
    </w:p>
    <w:p w14:paraId="5C3D9593" w14:textId="27CB834F" w:rsidR="00473CB2" w:rsidRPr="00473CB2" w:rsidRDefault="00120B26" w:rsidP="00DD37B7">
      <w:pPr>
        <w:numPr>
          <w:ilvl w:val="0"/>
          <w:numId w:val="29"/>
        </w:numPr>
        <w:tabs>
          <w:tab w:val="left" w:pos="567"/>
        </w:tabs>
        <w:spacing w:after="160" w:line="256" w:lineRule="auto"/>
        <w:contextualSpacing/>
        <w:jc w:val="left"/>
        <w:rPr>
          <w:rFonts w:eastAsia="SimSun"/>
          <w:color w:val="auto"/>
          <w:szCs w:val="23"/>
          <w:lang w:eastAsia="zh-CN"/>
        </w:rPr>
      </w:pPr>
      <w:r>
        <w:rPr>
          <w:rFonts w:eastAsia="SimSun"/>
          <w:color w:val="auto"/>
          <w:szCs w:val="23"/>
          <w:lang w:eastAsia="zh-CN"/>
        </w:rPr>
        <w:t>e</w:t>
      </w:r>
      <w:r w:rsidR="00473CB2" w:rsidRPr="00473CB2">
        <w:rPr>
          <w:rFonts w:eastAsia="SimSun"/>
          <w:color w:val="auto"/>
          <w:szCs w:val="23"/>
          <w:lang w:eastAsia="zh-CN"/>
        </w:rPr>
        <w:t>nhanced facilities and interpretation of heritage and environmental offerings located across the Island.</w:t>
      </w:r>
    </w:p>
    <w:p w14:paraId="41A00B4F" w14:textId="77777777" w:rsidR="008F44F1" w:rsidRDefault="008F44F1">
      <w:pPr>
        <w:pStyle w:val="Heading1"/>
      </w:pPr>
      <w:r>
        <w:t>Part 3 — roles and responsibilities of each party</w:t>
      </w:r>
    </w:p>
    <w:p w14:paraId="33DEB203" w14:textId="77777777" w:rsidR="008F44F1" w:rsidRDefault="008F44F1" w:rsidP="008F44F1">
      <w:pPr>
        <w:pStyle w:val="Heading2"/>
      </w:pPr>
      <w:r w:rsidRPr="00814590">
        <w:t>Role of the Commonwealth</w:t>
      </w:r>
    </w:p>
    <w:p w14:paraId="015FEE8B" w14:textId="77777777" w:rsidR="008F44F1" w:rsidRDefault="008F44F1" w:rsidP="00242D94">
      <w:pPr>
        <w:pStyle w:val="Normalnumbered"/>
        <w:numPr>
          <w:ilvl w:val="0"/>
          <w:numId w:val="24"/>
        </w:numPr>
        <w:jc w:val="left"/>
      </w:pPr>
      <w:r>
        <w:t>The Commonwealth will be responsible for:</w:t>
      </w:r>
    </w:p>
    <w:p w14:paraId="584EE89E" w14:textId="77777777" w:rsidR="008F44F1" w:rsidRPr="000614F9" w:rsidRDefault="008F44F1" w:rsidP="00242D94">
      <w:pPr>
        <w:pStyle w:val="AlphaParagraph"/>
        <w:numPr>
          <w:ilvl w:val="0"/>
          <w:numId w:val="23"/>
        </w:numPr>
        <w:tabs>
          <w:tab w:val="clear" w:pos="567"/>
          <w:tab w:val="clear" w:pos="1418"/>
          <w:tab w:val="clear" w:pos="1701"/>
        </w:tabs>
        <w:ind w:left="1134" w:hanging="567"/>
      </w:pPr>
      <w:r w:rsidRPr="000614F9">
        <w:rPr>
          <w:color w:val="auto"/>
        </w:rPr>
        <w:t>monitoring</w:t>
      </w:r>
      <w:r w:rsidRPr="004B6083">
        <w:t xml:space="preserve"> and assessing achievement against milestones in the delivery of the </w:t>
      </w:r>
      <w:r w:rsidR="00473CB2">
        <w:t>Rottnest Island Tourism Icon Project</w:t>
      </w:r>
      <w:r w:rsidRPr="000614F9">
        <w:t xml:space="preserve"> </w:t>
      </w:r>
      <w:r w:rsidRPr="000614F9">
        <w:rPr>
          <w:color w:val="auto"/>
        </w:rPr>
        <w:t>under</w:t>
      </w:r>
      <w:r w:rsidRPr="004B6083">
        <w:t xml:space="preserve"> this Agreement to ensure that outputs are delivered within the agreed timeframe; </w:t>
      </w:r>
    </w:p>
    <w:p w14:paraId="663ECFFC" w14:textId="77777777" w:rsidR="008F44F1" w:rsidRPr="000614F9" w:rsidRDefault="008F44F1" w:rsidP="00242D94">
      <w:pPr>
        <w:pStyle w:val="AlphaParagraph"/>
        <w:numPr>
          <w:ilvl w:val="0"/>
          <w:numId w:val="18"/>
        </w:numPr>
        <w:tabs>
          <w:tab w:val="clear" w:pos="567"/>
          <w:tab w:val="clear" w:pos="1418"/>
          <w:tab w:val="clear" w:pos="1701"/>
        </w:tabs>
        <w:ind w:left="1134" w:hanging="567"/>
        <w:rPr>
          <w:color w:val="auto"/>
        </w:rPr>
      </w:pPr>
      <w:r w:rsidRPr="004B6083">
        <w:rPr>
          <w:color w:val="auto"/>
        </w:rPr>
        <w:t xml:space="preserve">providing a consequent financial contribution to </w:t>
      </w:r>
      <w:r w:rsidR="00473CB2">
        <w:rPr>
          <w:color w:val="auto"/>
        </w:rPr>
        <w:t>Western Australia</w:t>
      </w:r>
      <w:r w:rsidRPr="004B6083">
        <w:rPr>
          <w:color w:val="auto"/>
        </w:rPr>
        <w:t xml:space="preserve"> to support the </w:t>
      </w:r>
      <w:r w:rsidRPr="000614F9">
        <w:t>implementation</w:t>
      </w:r>
      <w:r w:rsidRPr="004B6083">
        <w:rPr>
          <w:color w:val="auto"/>
        </w:rPr>
        <w:t xml:space="preserve"> of this Agreement;</w:t>
      </w:r>
    </w:p>
    <w:p w14:paraId="12BDF301" w14:textId="77777777" w:rsidR="004F5DCD" w:rsidRPr="00750F59" w:rsidRDefault="004F5DCD" w:rsidP="00242D94">
      <w:pPr>
        <w:pStyle w:val="AlphaParagraph"/>
        <w:numPr>
          <w:ilvl w:val="0"/>
          <w:numId w:val="18"/>
        </w:numPr>
        <w:tabs>
          <w:tab w:val="clear" w:pos="567"/>
          <w:tab w:val="clear" w:pos="1418"/>
          <w:tab w:val="clear" w:pos="1701"/>
        </w:tabs>
        <w:ind w:left="1134" w:hanging="567"/>
        <w:rPr>
          <w:i/>
          <w:color w:val="auto"/>
        </w:rPr>
      </w:pPr>
      <w:r w:rsidRPr="00750F59">
        <w:rPr>
          <w:color w:val="auto"/>
          <w:szCs w:val="23"/>
        </w:rPr>
        <w:t xml:space="preserve">in accordance with the </w:t>
      </w:r>
      <w:r>
        <w:rPr>
          <w:i/>
          <w:color w:val="auto"/>
          <w:szCs w:val="23"/>
        </w:rPr>
        <w:t>Building and Construction Industry (Improving Productivity) Act 2016</w:t>
      </w:r>
      <w:r w:rsidRPr="00750F59">
        <w:rPr>
          <w:color w:val="auto"/>
        </w:rPr>
        <w:t xml:space="preserve">, </w:t>
      </w:r>
      <w:r w:rsidRPr="00750F59">
        <w:rPr>
          <w:color w:val="auto"/>
          <w:szCs w:val="23"/>
        </w:rPr>
        <w:t xml:space="preserve">ensuring that </w:t>
      </w:r>
      <w:r w:rsidRPr="00750F59">
        <w:rPr>
          <w:color w:val="auto"/>
        </w:rPr>
        <w:t xml:space="preserve">financial contributions to a building project or projects as defined under the </w:t>
      </w:r>
      <w:r w:rsidRPr="00750F59">
        <w:rPr>
          <w:color w:val="auto"/>
          <w:szCs w:val="23"/>
        </w:rPr>
        <w:t xml:space="preserve">Fair Work (Building Industry – Accreditation Scheme) </w:t>
      </w:r>
      <w:r w:rsidRPr="00750F59">
        <w:rPr>
          <w:color w:val="auto"/>
        </w:rPr>
        <w:t xml:space="preserve">Regulations </w:t>
      </w:r>
      <w:r>
        <w:rPr>
          <w:color w:val="auto"/>
        </w:rPr>
        <w:t>2016</w:t>
      </w:r>
      <w:r w:rsidRPr="00750F59">
        <w:rPr>
          <w:color w:val="auto"/>
        </w:rPr>
        <w:t xml:space="preserve"> are only made where a builder or builders accredited under the Australian Government Building and Construction WHS Accreditation Scheme is contracted; and</w:t>
      </w:r>
    </w:p>
    <w:p w14:paraId="1C203BE4" w14:textId="77777777" w:rsidR="004F5DCD" w:rsidRPr="00750F59" w:rsidRDefault="004F5DCD" w:rsidP="00242D94">
      <w:pPr>
        <w:pStyle w:val="AlphaParagraph"/>
        <w:numPr>
          <w:ilvl w:val="0"/>
          <w:numId w:val="18"/>
        </w:numPr>
        <w:tabs>
          <w:tab w:val="clear" w:pos="567"/>
          <w:tab w:val="clear" w:pos="1418"/>
          <w:tab w:val="clear" w:pos="1701"/>
        </w:tabs>
        <w:ind w:left="1134" w:hanging="567"/>
        <w:rPr>
          <w:i/>
          <w:color w:val="auto"/>
        </w:rPr>
      </w:pPr>
      <w:r w:rsidRPr="00750F59">
        <w:rPr>
          <w:color w:val="auto"/>
        </w:rPr>
        <w:t xml:space="preserve">ensuring that compliance with the </w:t>
      </w:r>
      <w:r>
        <w:rPr>
          <w:color w:val="auto"/>
        </w:rPr>
        <w:t>Code for the Tendering and Performance of Building Work 2016 (</w:t>
      </w:r>
      <w:r w:rsidRPr="00750F59">
        <w:rPr>
          <w:color w:val="auto"/>
        </w:rPr>
        <w:t>Building Code 201</w:t>
      </w:r>
      <w:r>
        <w:rPr>
          <w:color w:val="auto"/>
        </w:rPr>
        <w:t>6)</w:t>
      </w:r>
      <w:r w:rsidRPr="00750F59">
        <w:rPr>
          <w:color w:val="auto"/>
        </w:rPr>
        <w:t xml:space="preserve"> is a condition of Australian Government funding.</w:t>
      </w:r>
    </w:p>
    <w:p w14:paraId="1BA65B18" w14:textId="77777777" w:rsidR="008F44F1" w:rsidRPr="00751725" w:rsidRDefault="008F44F1" w:rsidP="008F44F1">
      <w:pPr>
        <w:pStyle w:val="Heading2"/>
      </w:pPr>
      <w:r w:rsidRPr="00751725">
        <w:t xml:space="preserve">Role of the States </w:t>
      </w:r>
      <w:r>
        <w:t>and Territories</w:t>
      </w:r>
    </w:p>
    <w:p w14:paraId="58016336" w14:textId="77777777" w:rsidR="008F44F1" w:rsidRPr="00751725" w:rsidRDefault="007E4208" w:rsidP="00242D94">
      <w:pPr>
        <w:pStyle w:val="Normalnumbered"/>
        <w:numPr>
          <w:ilvl w:val="0"/>
          <w:numId w:val="24"/>
        </w:numPr>
        <w:jc w:val="left"/>
      </w:pPr>
      <w:r>
        <w:t>Western Australia</w:t>
      </w:r>
      <w:r w:rsidR="00545DF7">
        <w:t xml:space="preserve"> </w:t>
      </w:r>
      <w:r w:rsidR="008F44F1">
        <w:t>will be responsible for</w:t>
      </w:r>
      <w:r w:rsidR="00545DF7">
        <w:t>:</w:t>
      </w:r>
    </w:p>
    <w:p w14:paraId="4847F0FF" w14:textId="77777777" w:rsidR="008F44F1" w:rsidRDefault="008F44F1" w:rsidP="00DD37B7">
      <w:pPr>
        <w:pStyle w:val="AlphaParagraph"/>
        <w:numPr>
          <w:ilvl w:val="0"/>
          <w:numId w:val="30"/>
        </w:numPr>
        <w:tabs>
          <w:tab w:val="clear" w:pos="283"/>
          <w:tab w:val="clear" w:pos="567"/>
          <w:tab w:val="clear" w:pos="1134"/>
          <w:tab w:val="clear" w:pos="1701"/>
        </w:tabs>
        <w:ind w:hanging="567"/>
      </w:pPr>
      <w:r w:rsidRPr="00751725">
        <w:t>providing a</w:t>
      </w:r>
      <w:r w:rsidR="00473CB2">
        <w:t xml:space="preserve"> financial </w:t>
      </w:r>
      <w:r w:rsidRPr="00751725">
        <w:t>contribution to support the implementation of this Agreement;</w:t>
      </w:r>
    </w:p>
    <w:p w14:paraId="0AF55370" w14:textId="77777777" w:rsidR="008F44F1" w:rsidRDefault="008F44F1" w:rsidP="00DD37B7">
      <w:pPr>
        <w:pStyle w:val="AlphaParagraph"/>
        <w:numPr>
          <w:ilvl w:val="0"/>
          <w:numId w:val="30"/>
        </w:numPr>
        <w:tabs>
          <w:tab w:val="clear" w:pos="283"/>
          <w:tab w:val="clear" w:pos="567"/>
          <w:tab w:val="clear" w:pos="1701"/>
        </w:tabs>
        <w:ind w:left="1134" w:hanging="567"/>
      </w:pPr>
      <w:r>
        <w:t>all aspects of delivering on the project outputs set out in this Agreement;</w:t>
      </w:r>
    </w:p>
    <w:p w14:paraId="008E9947" w14:textId="77777777" w:rsidR="00A6719E" w:rsidRDefault="00A6719E" w:rsidP="00DD37B7">
      <w:pPr>
        <w:pStyle w:val="AlphaParagraph"/>
        <w:numPr>
          <w:ilvl w:val="0"/>
          <w:numId w:val="30"/>
        </w:numPr>
        <w:tabs>
          <w:tab w:val="clear" w:pos="283"/>
          <w:tab w:val="clear" w:pos="567"/>
          <w:tab w:val="clear" w:pos="1701"/>
        </w:tabs>
        <w:ind w:left="1134" w:hanging="567"/>
      </w:pPr>
      <w:r w:rsidRPr="006B4DF0">
        <w:t xml:space="preserve">reporting on the delivery of </w:t>
      </w:r>
      <w:r>
        <w:t>outputs</w:t>
      </w:r>
      <w:r w:rsidRPr="006B4DF0">
        <w:t xml:space="preserve"> </w:t>
      </w:r>
      <w:r>
        <w:t>as set out in Part 4</w:t>
      </w:r>
      <w:r w:rsidRPr="006B4DF0">
        <w:t xml:space="preserve"> – P</w:t>
      </w:r>
      <w:r>
        <w:t>roject Milestones, Reporting and Payments</w:t>
      </w:r>
      <w:r w:rsidR="006B43AF">
        <w:t>;</w:t>
      </w:r>
    </w:p>
    <w:p w14:paraId="799AE4FF" w14:textId="77777777" w:rsidR="008F44F1" w:rsidRDefault="008F44F1" w:rsidP="00DD37B7">
      <w:pPr>
        <w:pStyle w:val="AlphaParagraph"/>
        <w:numPr>
          <w:ilvl w:val="0"/>
          <w:numId w:val="30"/>
        </w:numPr>
        <w:tabs>
          <w:tab w:val="clear" w:pos="283"/>
          <w:tab w:val="clear" w:pos="567"/>
          <w:tab w:val="clear" w:pos="1701"/>
        </w:tabs>
        <w:ind w:left="1134" w:hanging="567"/>
      </w:pPr>
      <w:r>
        <w:rPr>
          <w:szCs w:val="23"/>
        </w:rPr>
        <w:t>e</w:t>
      </w:r>
      <w:r w:rsidRPr="00772818">
        <w:rPr>
          <w:szCs w:val="23"/>
        </w:rPr>
        <w:t xml:space="preserve">nsuring that </w:t>
      </w:r>
      <w:r w:rsidRPr="00772818">
        <w:t xml:space="preserve">only a builder or builders accredited under the Australian Government Building and Construction </w:t>
      </w:r>
      <w:r w:rsidR="00281874">
        <w:t>WHS</w:t>
      </w:r>
      <w:r w:rsidRPr="00772818">
        <w:t xml:space="preserve"> Accreditation Scheme is </w:t>
      </w:r>
      <w:r>
        <w:t>contracted, and providing the necessary assurances to the Commonwealth;</w:t>
      </w:r>
      <w:r w:rsidR="00A6719E">
        <w:t xml:space="preserve"> and</w:t>
      </w:r>
    </w:p>
    <w:p w14:paraId="46501149" w14:textId="77777777" w:rsidR="004F5DCD" w:rsidRPr="00750F59" w:rsidRDefault="004F5DCD" w:rsidP="00DD37B7">
      <w:pPr>
        <w:pStyle w:val="AlphaParagraph"/>
        <w:numPr>
          <w:ilvl w:val="0"/>
          <w:numId w:val="30"/>
        </w:numPr>
        <w:tabs>
          <w:tab w:val="clear" w:pos="283"/>
          <w:tab w:val="clear" w:pos="567"/>
          <w:tab w:val="clear" w:pos="1701"/>
        </w:tabs>
        <w:ind w:left="1134" w:hanging="567"/>
        <w:rPr>
          <w:color w:val="auto"/>
          <w:szCs w:val="23"/>
        </w:rPr>
      </w:pPr>
      <w:r w:rsidRPr="00750F59">
        <w:rPr>
          <w:color w:val="auto"/>
          <w:szCs w:val="23"/>
        </w:rPr>
        <w:t>ensuring that compliance with the Building Code 201</w:t>
      </w:r>
      <w:r>
        <w:rPr>
          <w:color w:val="auto"/>
          <w:szCs w:val="23"/>
        </w:rPr>
        <w:t>6</w:t>
      </w:r>
      <w:r w:rsidRPr="00750F59">
        <w:rPr>
          <w:color w:val="auto"/>
        </w:rPr>
        <w:t xml:space="preserve"> is made a condition of tender for </w:t>
      </w:r>
      <w:r>
        <w:rPr>
          <w:color w:val="auto"/>
        </w:rPr>
        <w:t xml:space="preserve">and performance of building work by </w:t>
      </w:r>
      <w:r w:rsidRPr="00750F59">
        <w:rPr>
          <w:color w:val="auto"/>
        </w:rPr>
        <w:t>all contractors and subcontractors, and providing</w:t>
      </w:r>
      <w:r w:rsidRPr="00750F59">
        <w:rPr>
          <w:color w:val="auto"/>
          <w:szCs w:val="23"/>
        </w:rPr>
        <w:t xml:space="preserve"> the necessary assurances to the Commonwealth.</w:t>
      </w:r>
    </w:p>
    <w:p w14:paraId="08B3EC46" w14:textId="77777777" w:rsidR="008F44F1" w:rsidRDefault="008F44F1" w:rsidP="004F5DCD">
      <w:pPr>
        <w:pStyle w:val="Heading2"/>
      </w:pPr>
      <w:r>
        <w:t>Shared roles</w:t>
      </w:r>
    </w:p>
    <w:p w14:paraId="797BE93B" w14:textId="77777777" w:rsidR="008F44F1" w:rsidRDefault="008F44F1" w:rsidP="00242D94">
      <w:pPr>
        <w:pStyle w:val="Normalnumbered"/>
        <w:numPr>
          <w:ilvl w:val="0"/>
          <w:numId w:val="24"/>
        </w:numPr>
        <w:spacing w:after="480"/>
      </w:pPr>
      <w:r>
        <w:rPr>
          <w:color w:val="auto"/>
        </w:rPr>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21AF784B"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49C38FA7" w14:textId="11C98657" w:rsidR="004C6C9E" w:rsidRPr="004C6C9E" w:rsidRDefault="00545DF7" w:rsidP="004C6C9E">
      <w:pPr>
        <w:pStyle w:val="Normalnumbered"/>
        <w:numPr>
          <w:ilvl w:val="0"/>
          <w:numId w:val="24"/>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the relevant </w:t>
      </w:r>
      <w:r w:rsidR="00ED2AC4" w:rsidRPr="00EF6486">
        <w:rPr>
          <w:szCs w:val="23"/>
        </w:rPr>
        <w:t xml:space="preserve">milestone </w:t>
      </w:r>
      <w:r w:rsidR="00ED2AC4">
        <w:t>has been met.</w:t>
      </w:r>
    </w:p>
    <w:p w14:paraId="254F40EA" w14:textId="2A74A15F" w:rsidR="00F3245D" w:rsidRDefault="0095223D" w:rsidP="008E0AD6">
      <w:pPr>
        <w:pStyle w:val="Normalnumbered"/>
        <w:keepNext/>
        <w:numPr>
          <w:ilvl w:val="0"/>
          <w:numId w:val="0"/>
        </w:numPr>
        <w:rPr>
          <w:b/>
        </w:rPr>
      </w:pPr>
      <w:r w:rsidRPr="001D3CAD">
        <w:rPr>
          <w:b/>
        </w:rPr>
        <w:t xml:space="preserve">Table </w:t>
      </w:r>
      <w:r w:rsidR="00E204BB">
        <w:rPr>
          <w:b/>
        </w:rPr>
        <w:t>1</w:t>
      </w:r>
      <w:r w:rsidRPr="001D3CAD">
        <w:t xml:space="preserve">: </w:t>
      </w:r>
      <w:r w:rsidR="00806D94">
        <w:rPr>
          <w:b/>
        </w:rPr>
        <w:t>Performance requirements</w:t>
      </w:r>
      <w:r w:rsidRPr="001D3CAD">
        <w:rPr>
          <w:b/>
        </w:rPr>
        <w:t>, reporting and payment summary</w:t>
      </w: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3527AD" w:rsidRPr="00C26C5B" w14:paraId="1FBC2175" w14:textId="77777777" w:rsidTr="002D767A">
        <w:trPr>
          <w:trHeight w:val="1171"/>
        </w:trPr>
        <w:tc>
          <w:tcPr>
            <w:tcW w:w="2518" w:type="dxa"/>
            <w:tcBorders>
              <w:bottom w:val="single" w:sz="18" w:space="0" w:color="4F81BD"/>
            </w:tcBorders>
          </w:tcPr>
          <w:p w14:paraId="3208624F" w14:textId="77777777" w:rsidR="003527AD" w:rsidRPr="00C26C5B" w:rsidRDefault="003527AD" w:rsidP="002D767A">
            <w:pPr>
              <w:pStyle w:val="Heading2"/>
              <w:rPr>
                <w:bCs w:val="0"/>
                <w:sz w:val="24"/>
                <w:szCs w:val="24"/>
              </w:rPr>
            </w:pPr>
            <w:r w:rsidRPr="00C26C5B">
              <w:rPr>
                <w:bCs w:val="0"/>
                <w:sz w:val="24"/>
                <w:szCs w:val="24"/>
              </w:rPr>
              <w:t>Output</w:t>
            </w:r>
            <w:r>
              <w:rPr>
                <w:bCs w:val="0"/>
                <w:sz w:val="24"/>
                <w:szCs w:val="24"/>
              </w:rPr>
              <w:t>s</w:t>
            </w:r>
            <w:r>
              <w:rPr>
                <w:bCs w:val="0"/>
                <w:sz w:val="24"/>
                <w:szCs w:val="24"/>
              </w:rPr>
              <w:br/>
            </w:r>
          </w:p>
        </w:tc>
        <w:tc>
          <w:tcPr>
            <w:tcW w:w="4536" w:type="dxa"/>
            <w:tcBorders>
              <w:bottom w:val="single" w:sz="18" w:space="0" w:color="4F81BD"/>
            </w:tcBorders>
          </w:tcPr>
          <w:p w14:paraId="06B0393C" w14:textId="77777777" w:rsidR="003527AD" w:rsidRPr="00C26C5B" w:rsidRDefault="003527AD" w:rsidP="002D767A">
            <w:pPr>
              <w:pStyle w:val="Heading2"/>
              <w:rPr>
                <w:bCs w:val="0"/>
                <w:sz w:val="24"/>
                <w:szCs w:val="24"/>
              </w:rPr>
            </w:pPr>
            <w:r>
              <w:rPr>
                <w:bCs w:val="0"/>
                <w:sz w:val="24"/>
                <w:szCs w:val="24"/>
              </w:rPr>
              <w:t>Performance m</w:t>
            </w:r>
            <w:r w:rsidRPr="00C26C5B">
              <w:rPr>
                <w:bCs w:val="0"/>
                <w:sz w:val="24"/>
                <w:szCs w:val="24"/>
              </w:rPr>
              <w:t>ilestone</w:t>
            </w:r>
            <w:r>
              <w:rPr>
                <w:bCs w:val="0"/>
                <w:sz w:val="24"/>
                <w:szCs w:val="24"/>
              </w:rPr>
              <w:t>s or benchmarks</w:t>
            </w:r>
          </w:p>
        </w:tc>
        <w:tc>
          <w:tcPr>
            <w:tcW w:w="1473" w:type="dxa"/>
            <w:tcBorders>
              <w:bottom w:val="single" w:sz="18" w:space="0" w:color="4F81BD"/>
            </w:tcBorders>
          </w:tcPr>
          <w:p w14:paraId="31905FAE" w14:textId="77777777" w:rsidR="003527AD" w:rsidRPr="00D0312C" w:rsidRDefault="003527AD" w:rsidP="002D767A">
            <w:pPr>
              <w:pStyle w:val="Heading2"/>
              <w:rPr>
                <w:sz w:val="18"/>
                <w:szCs w:val="18"/>
              </w:rPr>
            </w:pPr>
            <w:r w:rsidRPr="00DE36EB">
              <w:rPr>
                <w:bCs w:val="0"/>
                <w:sz w:val="24"/>
                <w:szCs w:val="24"/>
              </w:rPr>
              <w:t>Report due</w:t>
            </w:r>
            <w:r>
              <w:rPr>
                <w:bCs w:val="0"/>
                <w:sz w:val="24"/>
                <w:szCs w:val="24"/>
              </w:rPr>
              <w:t xml:space="preserve"> </w:t>
            </w:r>
          </w:p>
        </w:tc>
        <w:tc>
          <w:tcPr>
            <w:tcW w:w="1241" w:type="dxa"/>
            <w:tcBorders>
              <w:bottom w:val="single" w:sz="18" w:space="0" w:color="4F81BD"/>
            </w:tcBorders>
          </w:tcPr>
          <w:p w14:paraId="0AB3687C" w14:textId="77777777" w:rsidR="003527AD" w:rsidRPr="00C26C5B" w:rsidRDefault="003527AD" w:rsidP="002D767A">
            <w:pPr>
              <w:pStyle w:val="Heading2"/>
              <w:rPr>
                <w:bCs w:val="0"/>
                <w:sz w:val="24"/>
                <w:szCs w:val="24"/>
              </w:rPr>
            </w:pPr>
            <w:r w:rsidRPr="00C26C5B">
              <w:rPr>
                <w:bCs w:val="0"/>
                <w:sz w:val="24"/>
                <w:szCs w:val="24"/>
              </w:rPr>
              <w:t>Payment</w:t>
            </w:r>
          </w:p>
        </w:tc>
      </w:tr>
      <w:tr w:rsidR="003527AD" w:rsidRPr="00C26C5B" w14:paraId="0BDB1703" w14:textId="77777777" w:rsidTr="002D767A">
        <w:tc>
          <w:tcPr>
            <w:tcW w:w="2518" w:type="dxa"/>
            <w:vMerge w:val="restart"/>
            <w:shd w:val="clear" w:color="auto" w:fill="D3DFEE"/>
          </w:tcPr>
          <w:p w14:paraId="0F5C5921" w14:textId="77777777" w:rsidR="003527AD" w:rsidRPr="00C26C5B" w:rsidRDefault="003527AD" w:rsidP="002D767A">
            <w:pPr>
              <w:pStyle w:val="Heading2"/>
              <w:rPr>
                <w:b w:val="0"/>
                <w:bCs w:val="0"/>
                <w:color w:val="auto"/>
                <w:sz w:val="23"/>
                <w:szCs w:val="23"/>
              </w:rPr>
            </w:pPr>
            <w:r w:rsidRPr="00473CB2">
              <w:rPr>
                <w:b w:val="0"/>
                <w:color w:val="auto"/>
                <w:sz w:val="23"/>
                <w:szCs w:val="23"/>
              </w:rPr>
              <w:t>Construct sustainable visitor infrastructure on Rottnest Island</w:t>
            </w:r>
          </w:p>
        </w:tc>
        <w:tc>
          <w:tcPr>
            <w:tcW w:w="4536" w:type="dxa"/>
            <w:shd w:val="clear" w:color="auto" w:fill="D3DFEE"/>
          </w:tcPr>
          <w:p w14:paraId="64D3EF5F" w14:textId="77777777" w:rsidR="003527AD" w:rsidRPr="00DD37B7" w:rsidRDefault="003527AD" w:rsidP="002D767A">
            <w:pPr>
              <w:keepNext/>
              <w:spacing w:before="180" w:after="120" w:line="240" w:lineRule="auto"/>
              <w:jc w:val="left"/>
              <w:outlineLvl w:val="1"/>
              <w:rPr>
                <w:rFonts w:cs="Arial"/>
                <w:bCs/>
                <w:iCs/>
                <w:color w:val="auto"/>
                <w:szCs w:val="23"/>
              </w:rPr>
            </w:pPr>
            <w:r w:rsidRPr="00DD37B7">
              <w:rPr>
                <w:rFonts w:cs="Arial"/>
                <w:bCs/>
                <w:iCs/>
                <w:color w:val="auto"/>
                <w:szCs w:val="23"/>
              </w:rPr>
              <w:t>Contracts awarde</w:t>
            </w:r>
            <w:r>
              <w:rPr>
                <w:rFonts w:cs="Arial"/>
                <w:bCs/>
                <w:iCs/>
                <w:color w:val="auto"/>
                <w:szCs w:val="23"/>
              </w:rPr>
              <w:t>d and commencement of works for:</w:t>
            </w:r>
          </w:p>
          <w:p w14:paraId="31930C0B" w14:textId="77777777" w:rsidR="003527AD" w:rsidRDefault="003527AD" w:rsidP="002D767A">
            <w:pPr>
              <w:pStyle w:val="Heading2"/>
              <w:numPr>
                <w:ilvl w:val="0"/>
                <w:numId w:val="32"/>
              </w:numPr>
              <w:rPr>
                <w:b w:val="0"/>
                <w:color w:val="auto"/>
                <w:sz w:val="23"/>
                <w:szCs w:val="23"/>
              </w:rPr>
            </w:pPr>
            <w:r w:rsidRPr="00DD37B7">
              <w:rPr>
                <w:b w:val="0"/>
                <w:color w:val="auto"/>
                <w:sz w:val="23"/>
                <w:szCs w:val="23"/>
              </w:rPr>
              <w:t>West End – ablutions, shelters, bus transfer</w:t>
            </w:r>
          </w:p>
          <w:p w14:paraId="7141D77D" w14:textId="77777777" w:rsidR="003527AD" w:rsidRDefault="003527AD" w:rsidP="002D767A">
            <w:pPr>
              <w:pStyle w:val="Heading2"/>
              <w:numPr>
                <w:ilvl w:val="0"/>
                <w:numId w:val="32"/>
              </w:numPr>
              <w:rPr>
                <w:b w:val="0"/>
                <w:color w:val="auto"/>
                <w:sz w:val="23"/>
                <w:szCs w:val="23"/>
              </w:rPr>
            </w:pPr>
            <w:r w:rsidRPr="00DD37B7">
              <w:rPr>
                <w:b w:val="0"/>
                <w:color w:val="auto"/>
                <w:sz w:val="23"/>
                <w:szCs w:val="23"/>
              </w:rPr>
              <w:t>C</w:t>
            </w:r>
            <w:r>
              <w:rPr>
                <w:b w:val="0"/>
                <w:color w:val="auto"/>
                <w:sz w:val="23"/>
                <w:szCs w:val="23"/>
              </w:rPr>
              <w:t>ity of York – ablutions, camping</w:t>
            </w:r>
          </w:p>
          <w:p w14:paraId="05F4B9EB" w14:textId="77777777" w:rsidR="003527AD" w:rsidRPr="00DD37B7" w:rsidRDefault="003527AD" w:rsidP="002D767A">
            <w:pPr>
              <w:pStyle w:val="Heading2"/>
              <w:numPr>
                <w:ilvl w:val="0"/>
                <w:numId w:val="32"/>
              </w:numPr>
              <w:rPr>
                <w:b w:val="0"/>
                <w:color w:val="auto"/>
                <w:sz w:val="23"/>
                <w:szCs w:val="23"/>
              </w:rPr>
            </w:pPr>
            <w:r w:rsidRPr="00DD37B7">
              <w:rPr>
                <w:b w:val="0"/>
                <w:color w:val="auto"/>
                <w:sz w:val="23"/>
                <w:szCs w:val="23"/>
              </w:rPr>
              <w:t>Wadjemup Hill (Military History) – ablutions, bus transfer</w:t>
            </w:r>
          </w:p>
        </w:tc>
        <w:tc>
          <w:tcPr>
            <w:tcW w:w="1473" w:type="dxa"/>
            <w:shd w:val="clear" w:color="auto" w:fill="D3DFEE"/>
          </w:tcPr>
          <w:p w14:paraId="188D283E" w14:textId="77777777" w:rsidR="003527AD" w:rsidRPr="00C26C5B" w:rsidRDefault="003527AD" w:rsidP="002D767A">
            <w:pPr>
              <w:pStyle w:val="Heading2"/>
              <w:rPr>
                <w:b w:val="0"/>
                <w:color w:val="auto"/>
                <w:sz w:val="23"/>
                <w:szCs w:val="23"/>
              </w:rPr>
            </w:pPr>
            <w:r>
              <w:rPr>
                <w:b w:val="0"/>
                <w:color w:val="auto"/>
                <w:sz w:val="23"/>
                <w:szCs w:val="23"/>
              </w:rPr>
              <w:t>1</w:t>
            </w:r>
            <w:r w:rsidRPr="00C26C5B">
              <w:rPr>
                <w:b w:val="0"/>
                <w:color w:val="auto"/>
                <w:sz w:val="23"/>
                <w:szCs w:val="23"/>
              </w:rPr>
              <w:t>/</w:t>
            </w:r>
            <w:r>
              <w:rPr>
                <w:b w:val="0"/>
                <w:color w:val="auto"/>
                <w:sz w:val="23"/>
                <w:szCs w:val="23"/>
              </w:rPr>
              <w:t>04</w:t>
            </w:r>
            <w:r w:rsidRPr="00C26C5B">
              <w:rPr>
                <w:b w:val="0"/>
                <w:color w:val="auto"/>
                <w:sz w:val="23"/>
                <w:szCs w:val="23"/>
              </w:rPr>
              <w:t>/</w:t>
            </w:r>
            <w:r>
              <w:rPr>
                <w:b w:val="0"/>
                <w:color w:val="auto"/>
                <w:sz w:val="23"/>
                <w:szCs w:val="23"/>
              </w:rPr>
              <w:t>2020</w:t>
            </w:r>
          </w:p>
        </w:tc>
        <w:tc>
          <w:tcPr>
            <w:tcW w:w="1241" w:type="dxa"/>
            <w:shd w:val="clear" w:color="auto" w:fill="D3DFEE"/>
          </w:tcPr>
          <w:p w14:paraId="7A4D8B04" w14:textId="77777777" w:rsidR="003527AD" w:rsidRPr="00C26C5B" w:rsidRDefault="003527AD" w:rsidP="002D767A">
            <w:pPr>
              <w:pStyle w:val="Heading2"/>
              <w:rPr>
                <w:b w:val="0"/>
                <w:color w:val="auto"/>
                <w:sz w:val="23"/>
                <w:szCs w:val="23"/>
              </w:rPr>
            </w:pPr>
            <w:r w:rsidRPr="00C26C5B">
              <w:rPr>
                <w:b w:val="0"/>
                <w:color w:val="auto"/>
                <w:sz w:val="23"/>
                <w:szCs w:val="23"/>
              </w:rPr>
              <w:t>$</w:t>
            </w:r>
            <w:r>
              <w:rPr>
                <w:b w:val="0"/>
                <w:color w:val="auto"/>
                <w:sz w:val="23"/>
                <w:szCs w:val="23"/>
              </w:rPr>
              <w:t>2</w:t>
            </w:r>
            <w:r w:rsidRPr="00C26C5B">
              <w:rPr>
                <w:b w:val="0"/>
                <w:color w:val="auto"/>
                <w:sz w:val="23"/>
                <w:szCs w:val="23"/>
              </w:rPr>
              <w:t>.</w:t>
            </w:r>
            <w:r>
              <w:rPr>
                <w:b w:val="0"/>
                <w:color w:val="auto"/>
                <w:sz w:val="23"/>
                <w:szCs w:val="23"/>
              </w:rPr>
              <w:t>82</w:t>
            </w:r>
            <w:r w:rsidRPr="00C26C5B">
              <w:rPr>
                <w:b w:val="0"/>
                <w:color w:val="auto"/>
                <w:sz w:val="23"/>
                <w:szCs w:val="23"/>
              </w:rPr>
              <w:t>m</w:t>
            </w:r>
          </w:p>
        </w:tc>
      </w:tr>
      <w:tr w:rsidR="003527AD" w:rsidRPr="00C26C5B" w14:paraId="3340EF09" w14:textId="77777777" w:rsidTr="002D767A">
        <w:tc>
          <w:tcPr>
            <w:tcW w:w="2518" w:type="dxa"/>
            <w:vMerge/>
          </w:tcPr>
          <w:p w14:paraId="6F0E799F" w14:textId="77777777" w:rsidR="003527AD" w:rsidRPr="00C26C5B" w:rsidRDefault="003527AD" w:rsidP="002D767A">
            <w:pPr>
              <w:pStyle w:val="Heading2"/>
              <w:rPr>
                <w:b w:val="0"/>
                <w:bCs w:val="0"/>
                <w:sz w:val="23"/>
                <w:szCs w:val="23"/>
              </w:rPr>
            </w:pPr>
          </w:p>
        </w:tc>
        <w:tc>
          <w:tcPr>
            <w:tcW w:w="4536" w:type="dxa"/>
          </w:tcPr>
          <w:p w14:paraId="195CB70F" w14:textId="77777777" w:rsidR="003527AD" w:rsidRDefault="003527AD" w:rsidP="002D767A">
            <w:pPr>
              <w:pStyle w:val="Heading2"/>
              <w:rPr>
                <w:b w:val="0"/>
                <w:color w:val="auto"/>
                <w:sz w:val="23"/>
                <w:szCs w:val="23"/>
              </w:rPr>
            </w:pPr>
            <w:r>
              <w:rPr>
                <w:b w:val="0"/>
                <w:color w:val="auto"/>
                <w:sz w:val="23"/>
                <w:szCs w:val="23"/>
              </w:rPr>
              <w:t>Contracts awarded and commencement of works for:</w:t>
            </w:r>
          </w:p>
          <w:p w14:paraId="14E77C50" w14:textId="77777777" w:rsidR="003527AD" w:rsidRDefault="003527AD" w:rsidP="002D767A">
            <w:pPr>
              <w:pStyle w:val="Heading2"/>
              <w:numPr>
                <w:ilvl w:val="0"/>
                <w:numId w:val="37"/>
              </w:numPr>
              <w:rPr>
                <w:b w:val="0"/>
                <w:color w:val="auto"/>
                <w:sz w:val="23"/>
                <w:szCs w:val="23"/>
              </w:rPr>
            </w:pPr>
            <w:r w:rsidRPr="00DD37B7">
              <w:rPr>
                <w:b w:val="0"/>
                <w:color w:val="auto"/>
                <w:sz w:val="23"/>
                <w:szCs w:val="23"/>
              </w:rPr>
              <w:t>The Basin</w:t>
            </w:r>
            <w:r>
              <w:rPr>
                <w:b w:val="0"/>
                <w:color w:val="auto"/>
                <w:sz w:val="23"/>
                <w:szCs w:val="23"/>
              </w:rPr>
              <w:t xml:space="preserve"> – ablutions, landscaping</w:t>
            </w:r>
          </w:p>
          <w:p w14:paraId="0F98D5F1" w14:textId="77777777" w:rsidR="003527AD" w:rsidRPr="00763BD4" w:rsidRDefault="003527AD" w:rsidP="002D767A">
            <w:pPr>
              <w:pStyle w:val="Heading2"/>
              <w:numPr>
                <w:ilvl w:val="0"/>
                <w:numId w:val="37"/>
              </w:numPr>
              <w:rPr>
                <w:b w:val="0"/>
                <w:color w:val="auto"/>
                <w:sz w:val="23"/>
                <w:szCs w:val="23"/>
              </w:rPr>
            </w:pPr>
            <w:r w:rsidRPr="00763BD4">
              <w:rPr>
                <w:b w:val="0"/>
                <w:color w:val="auto"/>
                <w:sz w:val="23"/>
                <w:szCs w:val="23"/>
              </w:rPr>
              <w:t>Visitor Accommodation - refurbish</w:t>
            </w:r>
          </w:p>
        </w:tc>
        <w:tc>
          <w:tcPr>
            <w:tcW w:w="1473" w:type="dxa"/>
          </w:tcPr>
          <w:p w14:paraId="75543FF6" w14:textId="77777777" w:rsidR="003527AD" w:rsidRPr="00C26C5B" w:rsidRDefault="003527AD" w:rsidP="002D767A">
            <w:pPr>
              <w:pStyle w:val="Heading2"/>
              <w:rPr>
                <w:b w:val="0"/>
                <w:color w:val="auto"/>
                <w:sz w:val="23"/>
                <w:szCs w:val="23"/>
              </w:rPr>
            </w:pPr>
            <w:r>
              <w:rPr>
                <w:b w:val="0"/>
                <w:color w:val="auto"/>
                <w:sz w:val="23"/>
                <w:szCs w:val="23"/>
              </w:rPr>
              <w:t>1/04/2021</w:t>
            </w:r>
          </w:p>
        </w:tc>
        <w:tc>
          <w:tcPr>
            <w:tcW w:w="1241" w:type="dxa"/>
          </w:tcPr>
          <w:p w14:paraId="3C26B029" w14:textId="77777777" w:rsidR="003527AD" w:rsidRPr="00C26C5B" w:rsidRDefault="003527AD" w:rsidP="002D767A">
            <w:pPr>
              <w:pStyle w:val="Heading2"/>
              <w:rPr>
                <w:b w:val="0"/>
                <w:color w:val="auto"/>
                <w:sz w:val="23"/>
                <w:szCs w:val="23"/>
              </w:rPr>
            </w:pPr>
            <w:r>
              <w:rPr>
                <w:b w:val="0"/>
                <w:color w:val="auto"/>
                <w:sz w:val="23"/>
                <w:szCs w:val="23"/>
              </w:rPr>
              <w:t>$0.73m</w:t>
            </w:r>
          </w:p>
        </w:tc>
      </w:tr>
      <w:tr w:rsidR="003527AD" w:rsidRPr="00C26C5B" w14:paraId="3E2E7A85" w14:textId="77777777" w:rsidTr="002D767A">
        <w:tc>
          <w:tcPr>
            <w:tcW w:w="2518" w:type="dxa"/>
            <w:vMerge/>
          </w:tcPr>
          <w:p w14:paraId="5D1EF373" w14:textId="77777777" w:rsidR="003527AD" w:rsidRPr="00C26C5B" w:rsidRDefault="003527AD" w:rsidP="002D767A">
            <w:pPr>
              <w:pStyle w:val="Heading2"/>
              <w:rPr>
                <w:b w:val="0"/>
                <w:bCs w:val="0"/>
                <w:sz w:val="23"/>
                <w:szCs w:val="23"/>
              </w:rPr>
            </w:pPr>
          </w:p>
        </w:tc>
        <w:tc>
          <w:tcPr>
            <w:tcW w:w="4536" w:type="dxa"/>
            <w:shd w:val="clear" w:color="auto" w:fill="D3DFEE"/>
          </w:tcPr>
          <w:p w14:paraId="076E720D" w14:textId="77777777" w:rsidR="003527AD" w:rsidRPr="00206F01" w:rsidRDefault="003527AD" w:rsidP="002D767A">
            <w:pPr>
              <w:pStyle w:val="Heading2"/>
              <w:rPr>
                <w:b w:val="0"/>
                <w:color w:val="auto"/>
                <w:sz w:val="23"/>
                <w:szCs w:val="23"/>
              </w:rPr>
            </w:pPr>
            <w:r>
              <w:rPr>
                <w:b w:val="0"/>
                <w:color w:val="auto"/>
                <w:sz w:val="23"/>
                <w:szCs w:val="23"/>
              </w:rPr>
              <w:t>Construction complete for</w:t>
            </w:r>
            <w:r w:rsidRPr="00206F01">
              <w:rPr>
                <w:b w:val="0"/>
                <w:color w:val="auto"/>
                <w:sz w:val="23"/>
                <w:szCs w:val="23"/>
              </w:rPr>
              <w:t xml:space="preserve">: </w:t>
            </w:r>
          </w:p>
          <w:p w14:paraId="331A0616" w14:textId="77777777" w:rsidR="003527AD" w:rsidRDefault="003527AD" w:rsidP="002D767A">
            <w:pPr>
              <w:pStyle w:val="Heading2"/>
              <w:numPr>
                <w:ilvl w:val="0"/>
                <w:numId w:val="39"/>
              </w:numPr>
              <w:rPr>
                <w:b w:val="0"/>
                <w:color w:val="auto"/>
                <w:sz w:val="23"/>
                <w:szCs w:val="23"/>
              </w:rPr>
            </w:pPr>
            <w:r>
              <w:rPr>
                <w:b w:val="0"/>
                <w:color w:val="auto"/>
                <w:sz w:val="23"/>
                <w:szCs w:val="23"/>
              </w:rPr>
              <w:t>West End – ablutions, shelters, bus transfer</w:t>
            </w:r>
          </w:p>
          <w:p w14:paraId="086837A9" w14:textId="77777777" w:rsidR="003527AD" w:rsidRPr="00763BD4" w:rsidRDefault="003527AD" w:rsidP="002D767A">
            <w:pPr>
              <w:pStyle w:val="Heading2"/>
              <w:numPr>
                <w:ilvl w:val="0"/>
                <w:numId w:val="39"/>
              </w:numPr>
              <w:rPr>
                <w:b w:val="0"/>
                <w:color w:val="auto"/>
                <w:sz w:val="23"/>
                <w:szCs w:val="23"/>
              </w:rPr>
            </w:pPr>
            <w:r w:rsidRPr="00763BD4">
              <w:rPr>
                <w:b w:val="0"/>
                <w:color w:val="auto"/>
                <w:sz w:val="23"/>
                <w:szCs w:val="23"/>
              </w:rPr>
              <w:t>City of York - ablutions, camping</w:t>
            </w:r>
          </w:p>
        </w:tc>
        <w:tc>
          <w:tcPr>
            <w:tcW w:w="1473" w:type="dxa"/>
            <w:shd w:val="clear" w:color="auto" w:fill="D3DFEE"/>
          </w:tcPr>
          <w:p w14:paraId="212C14AE" w14:textId="77777777" w:rsidR="003527AD" w:rsidRPr="00C26C5B" w:rsidRDefault="003527AD" w:rsidP="002D767A">
            <w:pPr>
              <w:pStyle w:val="Heading2"/>
              <w:rPr>
                <w:b w:val="0"/>
                <w:color w:val="auto"/>
                <w:sz w:val="23"/>
                <w:szCs w:val="23"/>
              </w:rPr>
            </w:pPr>
            <w:r>
              <w:rPr>
                <w:b w:val="0"/>
                <w:color w:val="auto"/>
                <w:sz w:val="23"/>
                <w:szCs w:val="23"/>
              </w:rPr>
              <w:t>1/04</w:t>
            </w:r>
            <w:r w:rsidRPr="00C26C5B">
              <w:rPr>
                <w:b w:val="0"/>
                <w:color w:val="auto"/>
                <w:sz w:val="23"/>
                <w:szCs w:val="23"/>
              </w:rPr>
              <w:t>/</w:t>
            </w:r>
            <w:r>
              <w:rPr>
                <w:b w:val="0"/>
                <w:color w:val="auto"/>
                <w:sz w:val="23"/>
                <w:szCs w:val="23"/>
              </w:rPr>
              <w:t>2021</w:t>
            </w:r>
          </w:p>
        </w:tc>
        <w:tc>
          <w:tcPr>
            <w:tcW w:w="1241" w:type="dxa"/>
            <w:shd w:val="clear" w:color="auto" w:fill="D3DFEE"/>
          </w:tcPr>
          <w:p w14:paraId="33221939" w14:textId="77777777" w:rsidR="003527AD" w:rsidRPr="00C26C5B" w:rsidRDefault="003527AD" w:rsidP="002D767A">
            <w:pPr>
              <w:pStyle w:val="Heading2"/>
              <w:rPr>
                <w:b w:val="0"/>
                <w:color w:val="auto"/>
                <w:sz w:val="23"/>
                <w:szCs w:val="23"/>
              </w:rPr>
            </w:pPr>
            <w:r w:rsidRPr="00C26C5B">
              <w:rPr>
                <w:b w:val="0"/>
                <w:color w:val="auto"/>
                <w:sz w:val="23"/>
                <w:szCs w:val="23"/>
              </w:rPr>
              <w:t>$</w:t>
            </w:r>
            <w:r>
              <w:rPr>
                <w:b w:val="0"/>
                <w:color w:val="auto"/>
                <w:sz w:val="23"/>
                <w:szCs w:val="23"/>
              </w:rPr>
              <w:t>4.50</w:t>
            </w:r>
            <w:r w:rsidRPr="00C26C5B">
              <w:rPr>
                <w:b w:val="0"/>
                <w:color w:val="auto"/>
                <w:sz w:val="23"/>
                <w:szCs w:val="23"/>
              </w:rPr>
              <w:t>m</w:t>
            </w:r>
          </w:p>
        </w:tc>
      </w:tr>
      <w:tr w:rsidR="003527AD" w14:paraId="38D7D836" w14:textId="77777777" w:rsidTr="002D767A">
        <w:trPr>
          <w:trHeight w:val="5219"/>
        </w:trPr>
        <w:tc>
          <w:tcPr>
            <w:tcW w:w="2518" w:type="dxa"/>
            <w:vMerge/>
          </w:tcPr>
          <w:p w14:paraId="181F1FDA" w14:textId="77777777" w:rsidR="003527AD" w:rsidRPr="00C26C5B" w:rsidRDefault="003527AD" w:rsidP="002D767A">
            <w:pPr>
              <w:pStyle w:val="Heading2"/>
              <w:rPr>
                <w:b w:val="0"/>
                <w:bCs w:val="0"/>
                <w:sz w:val="23"/>
                <w:szCs w:val="23"/>
              </w:rPr>
            </w:pPr>
          </w:p>
        </w:tc>
        <w:tc>
          <w:tcPr>
            <w:tcW w:w="4536" w:type="dxa"/>
          </w:tcPr>
          <w:p w14:paraId="7D15B85F" w14:textId="77777777" w:rsidR="003527AD" w:rsidRDefault="003527AD" w:rsidP="002D767A">
            <w:pPr>
              <w:pStyle w:val="Heading2"/>
              <w:rPr>
                <w:b w:val="0"/>
                <w:color w:val="auto"/>
                <w:sz w:val="23"/>
                <w:szCs w:val="23"/>
              </w:rPr>
            </w:pPr>
            <w:r w:rsidRPr="00206F01">
              <w:rPr>
                <w:b w:val="0"/>
                <w:color w:val="auto"/>
                <w:sz w:val="23"/>
                <w:szCs w:val="23"/>
              </w:rPr>
              <w:t>Construction complete</w:t>
            </w:r>
            <w:r>
              <w:rPr>
                <w:b w:val="0"/>
                <w:color w:val="auto"/>
                <w:sz w:val="23"/>
                <w:szCs w:val="23"/>
              </w:rPr>
              <w:t xml:space="preserve"> for: </w:t>
            </w:r>
          </w:p>
          <w:p w14:paraId="454F0DF8" w14:textId="77777777" w:rsidR="003527AD" w:rsidRDefault="003527AD" w:rsidP="002D767A">
            <w:pPr>
              <w:pStyle w:val="Heading2"/>
              <w:numPr>
                <w:ilvl w:val="0"/>
                <w:numId w:val="40"/>
              </w:numPr>
              <w:rPr>
                <w:b w:val="0"/>
                <w:color w:val="auto"/>
                <w:sz w:val="23"/>
                <w:szCs w:val="23"/>
              </w:rPr>
            </w:pPr>
            <w:r w:rsidRPr="00DD37B7">
              <w:rPr>
                <w:b w:val="0"/>
                <w:color w:val="auto"/>
                <w:sz w:val="23"/>
                <w:szCs w:val="23"/>
              </w:rPr>
              <w:t>The Basin</w:t>
            </w:r>
            <w:r>
              <w:rPr>
                <w:b w:val="0"/>
                <w:color w:val="auto"/>
                <w:sz w:val="23"/>
                <w:szCs w:val="23"/>
              </w:rPr>
              <w:t xml:space="preserve"> – ablutions, landscaping</w:t>
            </w:r>
          </w:p>
          <w:p w14:paraId="04D7CDDF" w14:textId="77777777" w:rsidR="003527AD" w:rsidRDefault="003527AD" w:rsidP="002D767A">
            <w:pPr>
              <w:pStyle w:val="Heading2"/>
              <w:numPr>
                <w:ilvl w:val="0"/>
                <w:numId w:val="40"/>
              </w:numPr>
              <w:rPr>
                <w:b w:val="0"/>
                <w:color w:val="auto"/>
                <w:sz w:val="23"/>
                <w:szCs w:val="23"/>
              </w:rPr>
            </w:pPr>
            <w:r w:rsidRPr="00763BD4">
              <w:rPr>
                <w:b w:val="0"/>
                <w:color w:val="auto"/>
                <w:sz w:val="23"/>
                <w:szCs w:val="23"/>
              </w:rPr>
              <w:t xml:space="preserve"> Visitor Accommodation </w:t>
            </w:r>
            <w:r>
              <w:rPr>
                <w:b w:val="0"/>
                <w:color w:val="auto"/>
                <w:sz w:val="23"/>
                <w:szCs w:val="23"/>
              </w:rPr>
              <w:t>–</w:t>
            </w:r>
            <w:r w:rsidRPr="00763BD4">
              <w:rPr>
                <w:b w:val="0"/>
                <w:color w:val="auto"/>
                <w:sz w:val="23"/>
                <w:szCs w:val="23"/>
              </w:rPr>
              <w:t xml:space="preserve"> refurbish</w:t>
            </w:r>
          </w:p>
          <w:p w14:paraId="66019144" w14:textId="77777777" w:rsidR="003527AD" w:rsidRPr="004C6C9E" w:rsidRDefault="003527AD" w:rsidP="002D767A">
            <w:pPr>
              <w:pStyle w:val="Heading2"/>
              <w:numPr>
                <w:ilvl w:val="0"/>
                <w:numId w:val="40"/>
              </w:numPr>
              <w:rPr>
                <w:b w:val="0"/>
                <w:color w:val="auto"/>
                <w:sz w:val="23"/>
                <w:szCs w:val="23"/>
              </w:rPr>
            </w:pPr>
            <w:r w:rsidRPr="00763BD4">
              <w:rPr>
                <w:b w:val="0"/>
                <w:color w:val="auto"/>
                <w:sz w:val="23"/>
                <w:szCs w:val="23"/>
              </w:rPr>
              <w:t>Wadjemup Hill (Military History) – ablutions, bus transfer</w:t>
            </w:r>
          </w:p>
        </w:tc>
        <w:tc>
          <w:tcPr>
            <w:tcW w:w="1473" w:type="dxa"/>
          </w:tcPr>
          <w:p w14:paraId="652ED2D0" w14:textId="77777777" w:rsidR="003527AD" w:rsidRPr="00E9075C" w:rsidRDefault="003527AD" w:rsidP="002D767A">
            <w:r w:rsidRPr="00E9075C">
              <w:t>1/04/202</w:t>
            </w:r>
            <w:r>
              <w:t>2</w:t>
            </w:r>
          </w:p>
        </w:tc>
        <w:tc>
          <w:tcPr>
            <w:tcW w:w="1241" w:type="dxa"/>
          </w:tcPr>
          <w:p w14:paraId="505A7218" w14:textId="77777777" w:rsidR="003527AD" w:rsidRDefault="003527AD" w:rsidP="002D767A">
            <w:r>
              <w:t>$4.15</w:t>
            </w:r>
            <w:r w:rsidRPr="00E9075C">
              <w:t>m</w:t>
            </w:r>
          </w:p>
        </w:tc>
      </w:tr>
    </w:tbl>
    <w:p w14:paraId="0C241883" w14:textId="77777777" w:rsidR="009F2C68" w:rsidRDefault="009F2C68" w:rsidP="008E0AD6">
      <w:pPr>
        <w:pStyle w:val="Normalnumbered"/>
        <w:keepNext/>
        <w:numPr>
          <w:ilvl w:val="0"/>
          <w:numId w:val="0"/>
        </w:numPr>
        <w:rPr>
          <w:b/>
        </w:rPr>
      </w:pPr>
    </w:p>
    <w:tbl>
      <w:tblPr>
        <w:tblW w:w="97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4C6C9E" w:rsidRPr="00C26C5B" w14:paraId="590499F0" w14:textId="77777777" w:rsidTr="00E93724">
        <w:trPr>
          <w:trHeight w:val="4232"/>
        </w:trPr>
        <w:tc>
          <w:tcPr>
            <w:tcW w:w="2518" w:type="dxa"/>
            <w:vMerge w:val="restart"/>
          </w:tcPr>
          <w:p w14:paraId="0DD5B27C" w14:textId="77777777" w:rsidR="004C6C9E" w:rsidRPr="00033D9B" w:rsidRDefault="004C6C9E" w:rsidP="006C4082">
            <w:pPr>
              <w:pStyle w:val="Heading2"/>
              <w:rPr>
                <w:b w:val="0"/>
                <w:bCs w:val="0"/>
                <w:color w:val="auto"/>
                <w:sz w:val="23"/>
                <w:szCs w:val="23"/>
              </w:rPr>
            </w:pPr>
            <w:r w:rsidRPr="00033D9B">
              <w:rPr>
                <w:b w:val="0"/>
                <w:bCs w:val="0"/>
                <w:color w:val="auto"/>
                <w:sz w:val="23"/>
                <w:szCs w:val="23"/>
              </w:rPr>
              <w:t>Develop an improved ‘museum’ experience for the network of significant cultural, heritage and environmental sites located across Rottnest Island</w:t>
            </w:r>
          </w:p>
        </w:tc>
        <w:tc>
          <w:tcPr>
            <w:tcW w:w="4536" w:type="dxa"/>
            <w:shd w:val="clear" w:color="auto" w:fill="DBE5F1" w:themeFill="accent1" w:themeFillTint="33"/>
          </w:tcPr>
          <w:p w14:paraId="5A2CF6DE" w14:textId="77777777" w:rsidR="004C6C9E" w:rsidRPr="00206F01" w:rsidRDefault="004C6C9E" w:rsidP="006C4082">
            <w:pPr>
              <w:pStyle w:val="Heading2"/>
              <w:rPr>
                <w:b w:val="0"/>
                <w:color w:val="auto"/>
                <w:sz w:val="23"/>
                <w:szCs w:val="23"/>
              </w:rPr>
            </w:pPr>
            <w:r w:rsidRPr="00206F01">
              <w:rPr>
                <w:b w:val="0"/>
                <w:color w:val="auto"/>
                <w:sz w:val="23"/>
                <w:szCs w:val="23"/>
              </w:rPr>
              <w:t>Preliminary design approved for:</w:t>
            </w:r>
          </w:p>
          <w:p w14:paraId="0A0788DB" w14:textId="77777777" w:rsidR="004C6C9E" w:rsidRDefault="004C6C9E" w:rsidP="006C4082">
            <w:pPr>
              <w:pStyle w:val="Heading2"/>
              <w:numPr>
                <w:ilvl w:val="0"/>
                <w:numId w:val="41"/>
              </w:numPr>
              <w:rPr>
                <w:b w:val="0"/>
                <w:color w:val="auto"/>
                <w:sz w:val="23"/>
                <w:szCs w:val="23"/>
              </w:rPr>
            </w:pPr>
            <w:r w:rsidRPr="00606305">
              <w:rPr>
                <w:b w:val="0"/>
                <w:color w:val="auto"/>
                <w:sz w:val="23"/>
                <w:szCs w:val="23"/>
              </w:rPr>
              <w:t>West End</w:t>
            </w:r>
            <w:r>
              <w:rPr>
                <w:b w:val="0"/>
                <w:color w:val="auto"/>
                <w:sz w:val="23"/>
                <w:szCs w:val="23"/>
              </w:rPr>
              <w:t xml:space="preserve"> -</w:t>
            </w:r>
            <w:r w:rsidRPr="00606305">
              <w:rPr>
                <w:b w:val="0"/>
                <w:color w:val="auto"/>
                <w:sz w:val="23"/>
                <w:szCs w:val="23"/>
              </w:rPr>
              <w:t xml:space="preserve"> interpretation and curation elements</w:t>
            </w:r>
          </w:p>
          <w:p w14:paraId="5E19E3BE" w14:textId="77777777" w:rsidR="004C6C9E" w:rsidRDefault="004C6C9E" w:rsidP="006C4082">
            <w:pPr>
              <w:pStyle w:val="Heading2"/>
              <w:numPr>
                <w:ilvl w:val="0"/>
                <w:numId w:val="41"/>
              </w:numPr>
              <w:rPr>
                <w:b w:val="0"/>
                <w:color w:val="auto"/>
                <w:sz w:val="23"/>
                <w:szCs w:val="23"/>
              </w:rPr>
            </w:pPr>
            <w:r w:rsidRPr="00606305">
              <w:rPr>
                <w:b w:val="0"/>
                <w:color w:val="auto"/>
                <w:sz w:val="23"/>
                <w:szCs w:val="23"/>
              </w:rPr>
              <w:t>Oliver Hill (Military History) – ablutions, landscaping, interpretation and curation elements</w:t>
            </w:r>
          </w:p>
          <w:p w14:paraId="2242D3FB" w14:textId="77777777" w:rsidR="004C6C9E" w:rsidRDefault="004C6C9E" w:rsidP="006C4082">
            <w:pPr>
              <w:pStyle w:val="Heading2"/>
              <w:numPr>
                <w:ilvl w:val="0"/>
                <w:numId w:val="41"/>
              </w:numPr>
              <w:rPr>
                <w:b w:val="0"/>
                <w:color w:val="auto"/>
                <w:sz w:val="23"/>
                <w:szCs w:val="23"/>
              </w:rPr>
            </w:pPr>
            <w:r w:rsidRPr="00606305">
              <w:rPr>
                <w:b w:val="0"/>
                <w:color w:val="auto"/>
                <w:sz w:val="23"/>
                <w:szCs w:val="23"/>
              </w:rPr>
              <w:t>Wayfinding Signage - interpretation and curation elements</w:t>
            </w:r>
          </w:p>
          <w:p w14:paraId="78CB037F" w14:textId="77777777" w:rsidR="004C6C9E" w:rsidRPr="00606305" w:rsidRDefault="004C6C9E" w:rsidP="006C4082">
            <w:pPr>
              <w:pStyle w:val="Heading2"/>
              <w:numPr>
                <w:ilvl w:val="0"/>
                <w:numId w:val="41"/>
              </w:numPr>
              <w:rPr>
                <w:b w:val="0"/>
                <w:color w:val="auto"/>
                <w:sz w:val="23"/>
                <w:szCs w:val="23"/>
              </w:rPr>
            </w:pPr>
            <w:r w:rsidRPr="00606305">
              <w:rPr>
                <w:b w:val="0"/>
                <w:color w:val="auto"/>
                <w:sz w:val="23"/>
                <w:szCs w:val="23"/>
              </w:rPr>
              <w:t>Island Gateway - interpretation curation elements, landscaping</w:t>
            </w:r>
          </w:p>
        </w:tc>
        <w:tc>
          <w:tcPr>
            <w:tcW w:w="1473" w:type="dxa"/>
            <w:shd w:val="clear" w:color="auto" w:fill="DBE5F1" w:themeFill="accent1" w:themeFillTint="33"/>
          </w:tcPr>
          <w:p w14:paraId="1F520BA3" w14:textId="77777777" w:rsidR="004C6C9E" w:rsidRDefault="004C6C9E" w:rsidP="006C4082">
            <w:r w:rsidRPr="00606305">
              <w:t>1/04/2020</w:t>
            </w:r>
          </w:p>
        </w:tc>
        <w:tc>
          <w:tcPr>
            <w:tcW w:w="1241" w:type="dxa"/>
            <w:shd w:val="clear" w:color="auto" w:fill="DBE5F1" w:themeFill="accent1" w:themeFillTint="33"/>
          </w:tcPr>
          <w:p w14:paraId="2995204B" w14:textId="77777777" w:rsidR="004C6C9E" w:rsidRPr="00341D6F" w:rsidRDefault="004C6C9E" w:rsidP="006C4082">
            <w:r>
              <w:t>$0.87m</w:t>
            </w:r>
          </w:p>
        </w:tc>
      </w:tr>
      <w:tr w:rsidR="004C6C9E" w:rsidRPr="00C26C5B" w14:paraId="3A470A2A" w14:textId="77777777" w:rsidTr="00E93724">
        <w:tc>
          <w:tcPr>
            <w:tcW w:w="2518" w:type="dxa"/>
            <w:vMerge/>
          </w:tcPr>
          <w:p w14:paraId="20926AF9" w14:textId="77777777" w:rsidR="004C6C9E" w:rsidRPr="00033D9B" w:rsidRDefault="004C6C9E" w:rsidP="004C6C9E">
            <w:pPr>
              <w:pStyle w:val="Heading2"/>
              <w:rPr>
                <w:b w:val="0"/>
                <w:bCs w:val="0"/>
                <w:color w:val="auto"/>
                <w:sz w:val="23"/>
                <w:szCs w:val="23"/>
              </w:rPr>
            </w:pPr>
          </w:p>
        </w:tc>
        <w:tc>
          <w:tcPr>
            <w:tcW w:w="4536" w:type="dxa"/>
            <w:shd w:val="clear" w:color="auto" w:fill="FFFFFF" w:themeFill="background1"/>
          </w:tcPr>
          <w:p w14:paraId="2C1EA3AE" w14:textId="77777777" w:rsidR="004C6C9E" w:rsidRPr="00606305" w:rsidRDefault="004C6C9E" w:rsidP="004C6C9E">
            <w:pPr>
              <w:pStyle w:val="Heading2"/>
              <w:rPr>
                <w:b w:val="0"/>
                <w:color w:val="auto"/>
                <w:sz w:val="23"/>
                <w:szCs w:val="23"/>
              </w:rPr>
            </w:pPr>
            <w:r w:rsidRPr="00606305">
              <w:rPr>
                <w:b w:val="0"/>
                <w:color w:val="auto"/>
                <w:sz w:val="23"/>
                <w:szCs w:val="23"/>
              </w:rPr>
              <w:t>Contracts awarded and commencement of works for</w:t>
            </w:r>
            <w:r>
              <w:rPr>
                <w:b w:val="0"/>
                <w:color w:val="auto"/>
                <w:sz w:val="23"/>
                <w:szCs w:val="23"/>
              </w:rPr>
              <w:t>:</w:t>
            </w:r>
          </w:p>
          <w:p w14:paraId="2E7A2028" w14:textId="77777777" w:rsidR="004C6C9E" w:rsidRDefault="004C6C9E" w:rsidP="004C6C9E">
            <w:pPr>
              <w:pStyle w:val="Heading2"/>
              <w:numPr>
                <w:ilvl w:val="0"/>
                <w:numId w:val="42"/>
              </w:numPr>
              <w:rPr>
                <w:b w:val="0"/>
                <w:color w:val="auto"/>
                <w:sz w:val="23"/>
                <w:szCs w:val="23"/>
              </w:rPr>
            </w:pPr>
            <w:r w:rsidRPr="00606305">
              <w:rPr>
                <w:b w:val="0"/>
                <w:color w:val="auto"/>
                <w:sz w:val="23"/>
                <w:szCs w:val="23"/>
              </w:rPr>
              <w:t>West End - interpretation and curation elements</w:t>
            </w:r>
          </w:p>
          <w:p w14:paraId="1E305F1F" w14:textId="77777777" w:rsidR="004C6C9E" w:rsidRDefault="004C6C9E" w:rsidP="004C6C9E">
            <w:pPr>
              <w:pStyle w:val="Heading2"/>
              <w:numPr>
                <w:ilvl w:val="0"/>
                <w:numId w:val="42"/>
              </w:numPr>
              <w:rPr>
                <w:b w:val="0"/>
                <w:color w:val="auto"/>
                <w:sz w:val="23"/>
                <w:szCs w:val="23"/>
              </w:rPr>
            </w:pPr>
            <w:r w:rsidRPr="00606305">
              <w:rPr>
                <w:b w:val="0"/>
                <w:color w:val="auto"/>
                <w:sz w:val="23"/>
                <w:szCs w:val="23"/>
              </w:rPr>
              <w:t>Oliver Hill (Military History) - ablutions, landscaping, interpretation and curation elements</w:t>
            </w:r>
          </w:p>
          <w:p w14:paraId="40BDF1C4" w14:textId="77777777" w:rsidR="004C6C9E" w:rsidRDefault="004C6C9E" w:rsidP="004C6C9E">
            <w:pPr>
              <w:pStyle w:val="Heading2"/>
              <w:numPr>
                <w:ilvl w:val="0"/>
                <w:numId w:val="42"/>
              </w:numPr>
              <w:rPr>
                <w:b w:val="0"/>
                <w:color w:val="auto"/>
                <w:sz w:val="23"/>
                <w:szCs w:val="23"/>
              </w:rPr>
            </w:pPr>
            <w:r w:rsidRPr="00606305">
              <w:rPr>
                <w:b w:val="0"/>
                <w:color w:val="auto"/>
                <w:sz w:val="23"/>
                <w:szCs w:val="23"/>
              </w:rPr>
              <w:t>Wayfinding Signage - interpretation and curation elements</w:t>
            </w:r>
          </w:p>
          <w:p w14:paraId="51F0CD4F" w14:textId="0F734203" w:rsidR="004C6C9E" w:rsidRPr="00606305" w:rsidRDefault="004C6C9E" w:rsidP="004C6C9E">
            <w:pPr>
              <w:pStyle w:val="Heading2"/>
              <w:numPr>
                <w:ilvl w:val="0"/>
                <w:numId w:val="42"/>
              </w:numPr>
              <w:rPr>
                <w:b w:val="0"/>
                <w:color w:val="auto"/>
                <w:sz w:val="23"/>
                <w:szCs w:val="23"/>
              </w:rPr>
            </w:pPr>
            <w:r w:rsidRPr="00606305">
              <w:rPr>
                <w:b w:val="0"/>
                <w:color w:val="auto"/>
                <w:sz w:val="23"/>
                <w:szCs w:val="23"/>
              </w:rPr>
              <w:t>Island Gateway - interpretation and curation elements</w:t>
            </w:r>
            <w:r w:rsidR="00B624E1">
              <w:rPr>
                <w:b w:val="0"/>
                <w:color w:val="auto"/>
                <w:sz w:val="23"/>
                <w:szCs w:val="23"/>
              </w:rPr>
              <w:t>, landscaping</w:t>
            </w:r>
          </w:p>
        </w:tc>
        <w:tc>
          <w:tcPr>
            <w:tcW w:w="1473" w:type="dxa"/>
            <w:shd w:val="clear" w:color="auto" w:fill="FFFFFF" w:themeFill="background1"/>
          </w:tcPr>
          <w:p w14:paraId="37660579" w14:textId="52595B52" w:rsidR="004C6C9E" w:rsidRPr="004C6C9E" w:rsidRDefault="004C6C9E" w:rsidP="004C6C9E">
            <w:r>
              <w:t>1/10</w:t>
            </w:r>
            <w:r w:rsidRPr="00CA49F3">
              <w:t>/202</w:t>
            </w:r>
            <w:r>
              <w:t>0</w:t>
            </w:r>
          </w:p>
        </w:tc>
        <w:tc>
          <w:tcPr>
            <w:tcW w:w="1241" w:type="dxa"/>
            <w:shd w:val="clear" w:color="auto" w:fill="FFFFFF" w:themeFill="background1"/>
          </w:tcPr>
          <w:p w14:paraId="0796ABBC" w14:textId="356849CC" w:rsidR="004C6C9E" w:rsidRPr="004C6C9E" w:rsidRDefault="004C6C9E" w:rsidP="004C6C9E">
            <w:r>
              <w:t>$1.0</w:t>
            </w:r>
            <w:r w:rsidRPr="00CA49F3">
              <w:t>m</w:t>
            </w:r>
          </w:p>
        </w:tc>
      </w:tr>
      <w:tr w:rsidR="004C6C9E" w:rsidRPr="00C26C5B" w14:paraId="44F2E10F" w14:textId="77777777" w:rsidTr="00E93724">
        <w:tc>
          <w:tcPr>
            <w:tcW w:w="2518" w:type="dxa"/>
            <w:vMerge/>
          </w:tcPr>
          <w:p w14:paraId="525DAFF1" w14:textId="77777777" w:rsidR="004C6C9E" w:rsidRPr="00EE7D29" w:rsidRDefault="004C6C9E" w:rsidP="006C4082">
            <w:pPr>
              <w:pStyle w:val="Heading2"/>
              <w:rPr>
                <w:b w:val="0"/>
                <w:bCs w:val="0"/>
                <w:color w:val="auto"/>
                <w:sz w:val="23"/>
                <w:szCs w:val="23"/>
              </w:rPr>
            </w:pPr>
          </w:p>
        </w:tc>
        <w:tc>
          <w:tcPr>
            <w:tcW w:w="4536" w:type="dxa"/>
            <w:shd w:val="clear" w:color="auto" w:fill="DBE5F1" w:themeFill="accent1" w:themeFillTint="33"/>
          </w:tcPr>
          <w:p w14:paraId="6F33A3B7" w14:textId="77777777" w:rsidR="004C6C9E" w:rsidRDefault="004C6C9E" w:rsidP="006C4082">
            <w:pPr>
              <w:pStyle w:val="Heading2"/>
              <w:rPr>
                <w:b w:val="0"/>
                <w:color w:val="auto"/>
                <w:sz w:val="23"/>
                <w:szCs w:val="23"/>
              </w:rPr>
            </w:pPr>
            <w:r w:rsidRPr="00606305">
              <w:rPr>
                <w:b w:val="0"/>
                <w:color w:val="auto"/>
                <w:sz w:val="23"/>
                <w:szCs w:val="23"/>
              </w:rPr>
              <w:t>Construction complete</w:t>
            </w:r>
            <w:r>
              <w:rPr>
                <w:b w:val="0"/>
                <w:color w:val="auto"/>
                <w:sz w:val="23"/>
                <w:szCs w:val="23"/>
              </w:rPr>
              <w:t xml:space="preserve"> for:</w:t>
            </w:r>
          </w:p>
          <w:p w14:paraId="2B1C844A" w14:textId="77777777" w:rsidR="004C6C9E" w:rsidRPr="00606305" w:rsidRDefault="004C6C9E" w:rsidP="006C4082">
            <w:pPr>
              <w:pStyle w:val="Heading2"/>
              <w:numPr>
                <w:ilvl w:val="0"/>
                <w:numId w:val="44"/>
              </w:numPr>
              <w:rPr>
                <w:b w:val="0"/>
                <w:color w:val="auto"/>
                <w:sz w:val="23"/>
                <w:szCs w:val="23"/>
              </w:rPr>
            </w:pPr>
            <w:r w:rsidRPr="00606305">
              <w:rPr>
                <w:b w:val="0"/>
                <w:color w:val="auto"/>
                <w:sz w:val="23"/>
                <w:szCs w:val="23"/>
              </w:rPr>
              <w:t xml:space="preserve">West End </w:t>
            </w:r>
            <w:r>
              <w:rPr>
                <w:b w:val="0"/>
                <w:color w:val="auto"/>
                <w:sz w:val="23"/>
                <w:szCs w:val="23"/>
              </w:rPr>
              <w:t xml:space="preserve">- </w:t>
            </w:r>
            <w:r w:rsidRPr="00606305">
              <w:rPr>
                <w:b w:val="0"/>
                <w:color w:val="auto"/>
                <w:sz w:val="23"/>
                <w:szCs w:val="23"/>
              </w:rPr>
              <w:t>interpretation and curation elements</w:t>
            </w:r>
          </w:p>
        </w:tc>
        <w:tc>
          <w:tcPr>
            <w:tcW w:w="1473" w:type="dxa"/>
            <w:shd w:val="clear" w:color="auto" w:fill="DBE5F1" w:themeFill="accent1" w:themeFillTint="33"/>
          </w:tcPr>
          <w:p w14:paraId="000BD870" w14:textId="5A640A70" w:rsidR="004C6C9E" w:rsidRPr="00606305" w:rsidRDefault="004C6C9E" w:rsidP="006C4082">
            <w:r>
              <w:t>1/</w:t>
            </w:r>
            <w:r w:rsidR="00C9183B">
              <w:t>0</w:t>
            </w:r>
            <w:r>
              <w:t>4</w:t>
            </w:r>
            <w:r w:rsidRPr="00A44E64">
              <w:t>/202</w:t>
            </w:r>
            <w:r>
              <w:t>1</w:t>
            </w:r>
          </w:p>
        </w:tc>
        <w:tc>
          <w:tcPr>
            <w:tcW w:w="1241" w:type="dxa"/>
            <w:shd w:val="clear" w:color="auto" w:fill="DBE5F1" w:themeFill="accent1" w:themeFillTint="33"/>
          </w:tcPr>
          <w:p w14:paraId="617AF416" w14:textId="77777777" w:rsidR="004C6C9E" w:rsidRPr="00606305" w:rsidRDefault="004C6C9E" w:rsidP="006C4082">
            <w:r w:rsidRPr="00A44E64">
              <w:t>$</w:t>
            </w:r>
            <w:r>
              <w:t>1.4</w:t>
            </w:r>
            <w:r w:rsidRPr="00A44E64">
              <w:t>m</w:t>
            </w:r>
          </w:p>
        </w:tc>
      </w:tr>
      <w:tr w:rsidR="004C6C9E" w:rsidRPr="00C26C5B" w14:paraId="6D3BCEF6" w14:textId="77777777" w:rsidTr="00E93724">
        <w:tc>
          <w:tcPr>
            <w:tcW w:w="2518" w:type="dxa"/>
            <w:vMerge/>
            <w:tcBorders>
              <w:bottom w:val="single" w:sz="8" w:space="0" w:color="4F81BD"/>
            </w:tcBorders>
          </w:tcPr>
          <w:p w14:paraId="34B0E799" w14:textId="77777777" w:rsidR="004C6C9E" w:rsidRPr="00033D9B" w:rsidRDefault="004C6C9E" w:rsidP="006C4082">
            <w:pPr>
              <w:pStyle w:val="Heading2"/>
              <w:rPr>
                <w:b w:val="0"/>
                <w:bCs w:val="0"/>
                <w:color w:val="auto"/>
                <w:sz w:val="23"/>
                <w:szCs w:val="23"/>
              </w:rPr>
            </w:pPr>
          </w:p>
        </w:tc>
        <w:tc>
          <w:tcPr>
            <w:tcW w:w="4536" w:type="dxa"/>
            <w:shd w:val="clear" w:color="auto" w:fill="FFFFFF" w:themeFill="background1"/>
          </w:tcPr>
          <w:p w14:paraId="01B1A8AF" w14:textId="77777777" w:rsidR="004C6C9E" w:rsidRPr="00206F01" w:rsidRDefault="004C6C9E" w:rsidP="006C4082">
            <w:pPr>
              <w:pStyle w:val="Heading2"/>
              <w:rPr>
                <w:b w:val="0"/>
                <w:color w:val="auto"/>
                <w:sz w:val="23"/>
                <w:szCs w:val="23"/>
              </w:rPr>
            </w:pPr>
            <w:r w:rsidRPr="00206F01">
              <w:rPr>
                <w:b w:val="0"/>
                <w:color w:val="auto"/>
                <w:sz w:val="23"/>
                <w:szCs w:val="23"/>
              </w:rPr>
              <w:t>Construction complete for:</w:t>
            </w:r>
          </w:p>
          <w:p w14:paraId="17A0FBB9" w14:textId="77777777" w:rsidR="004C6C9E" w:rsidRPr="004C6C9E" w:rsidRDefault="004C6C9E" w:rsidP="006C4082">
            <w:pPr>
              <w:pStyle w:val="Heading2"/>
              <w:numPr>
                <w:ilvl w:val="0"/>
                <w:numId w:val="45"/>
              </w:numPr>
              <w:rPr>
                <w:b w:val="0"/>
                <w:color w:val="auto"/>
                <w:sz w:val="23"/>
                <w:szCs w:val="23"/>
              </w:rPr>
            </w:pPr>
            <w:r w:rsidRPr="004C6C9E">
              <w:rPr>
                <w:b w:val="0"/>
                <w:color w:val="auto"/>
                <w:sz w:val="23"/>
                <w:szCs w:val="23"/>
              </w:rPr>
              <w:t>Oliver Hill (Military History) - ablutions, landscaping, interpretation and curation elements</w:t>
            </w:r>
          </w:p>
          <w:p w14:paraId="15E599E4" w14:textId="77777777" w:rsidR="004C6C9E" w:rsidRPr="004C6C9E" w:rsidRDefault="004C6C9E" w:rsidP="006C4082">
            <w:pPr>
              <w:pStyle w:val="Heading2"/>
              <w:numPr>
                <w:ilvl w:val="0"/>
                <w:numId w:val="45"/>
              </w:numPr>
              <w:rPr>
                <w:b w:val="0"/>
                <w:color w:val="auto"/>
                <w:sz w:val="23"/>
                <w:szCs w:val="23"/>
              </w:rPr>
            </w:pPr>
            <w:r w:rsidRPr="004C6C9E">
              <w:rPr>
                <w:b w:val="0"/>
                <w:color w:val="auto"/>
                <w:sz w:val="23"/>
                <w:szCs w:val="23"/>
              </w:rPr>
              <w:t>Wayfinding Signage - interpretation and curation elements</w:t>
            </w:r>
          </w:p>
          <w:p w14:paraId="244D745B" w14:textId="53697325" w:rsidR="004C6C9E" w:rsidRPr="00206F01" w:rsidRDefault="004C6C9E" w:rsidP="006C4082">
            <w:pPr>
              <w:pStyle w:val="Heading2"/>
              <w:numPr>
                <w:ilvl w:val="0"/>
                <w:numId w:val="45"/>
              </w:numPr>
              <w:rPr>
                <w:b w:val="0"/>
                <w:color w:val="auto"/>
                <w:sz w:val="23"/>
                <w:szCs w:val="23"/>
              </w:rPr>
            </w:pPr>
            <w:r w:rsidRPr="004C6C9E">
              <w:rPr>
                <w:b w:val="0"/>
                <w:color w:val="auto"/>
                <w:sz w:val="23"/>
                <w:szCs w:val="23"/>
              </w:rPr>
              <w:t>Island Gateway - interpretation and curation elements</w:t>
            </w:r>
            <w:r w:rsidR="00B624E1">
              <w:rPr>
                <w:b w:val="0"/>
                <w:color w:val="auto"/>
                <w:sz w:val="23"/>
                <w:szCs w:val="23"/>
              </w:rPr>
              <w:t>, landscaping</w:t>
            </w:r>
          </w:p>
        </w:tc>
        <w:tc>
          <w:tcPr>
            <w:tcW w:w="1473" w:type="dxa"/>
            <w:shd w:val="clear" w:color="auto" w:fill="FFFFFF" w:themeFill="background1"/>
          </w:tcPr>
          <w:p w14:paraId="4A758732" w14:textId="7416D179" w:rsidR="004C6C9E" w:rsidRPr="00341D6F" w:rsidRDefault="004C6C9E" w:rsidP="006C4082">
            <w:r>
              <w:t>1/04</w:t>
            </w:r>
            <w:r w:rsidRPr="001C5DF7">
              <w:t>/202</w:t>
            </w:r>
            <w:r>
              <w:t>2</w:t>
            </w:r>
          </w:p>
        </w:tc>
        <w:tc>
          <w:tcPr>
            <w:tcW w:w="1241" w:type="dxa"/>
            <w:shd w:val="clear" w:color="auto" w:fill="FFFFFF" w:themeFill="background1"/>
          </w:tcPr>
          <w:p w14:paraId="19D07597" w14:textId="77777777" w:rsidR="004C6C9E" w:rsidRDefault="004C6C9E" w:rsidP="006C4082">
            <w:r>
              <w:t>$1.73</w:t>
            </w:r>
            <w:r w:rsidRPr="001C5DF7">
              <w:t>m</w:t>
            </w:r>
          </w:p>
        </w:tc>
      </w:tr>
    </w:tbl>
    <w:p w14:paraId="7B3381EE" w14:textId="77777777" w:rsidR="004C6C9E" w:rsidRPr="000E2AF6" w:rsidRDefault="004C6C9E" w:rsidP="008E0AD6">
      <w:pPr>
        <w:pStyle w:val="Normalnumbered"/>
        <w:keepNext/>
        <w:numPr>
          <w:ilvl w:val="0"/>
          <w:numId w:val="0"/>
        </w:numPr>
      </w:pPr>
    </w:p>
    <w:p w14:paraId="284C3FEE" w14:textId="77777777" w:rsidR="00172360" w:rsidRDefault="002E144A" w:rsidP="00242D94">
      <w:pPr>
        <w:pStyle w:val="Normalnumbered"/>
        <w:numPr>
          <w:ilvl w:val="0"/>
          <w:numId w:val="24"/>
        </w:numPr>
      </w:pPr>
      <w:r>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103D4E47" w14:textId="77777777" w:rsidR="00F3245D" w:rsidRDefault="00F3245D" w:rsidP="00F3245D">
      <w:pPr>
        <w:pStyle w:val="Heading2"/>
      </w:pPr>
      <w:r>
        <w:t>Reporting arrangements</w:t>
      </w:r>
    </w:p>
    <w:p w14:paraId="1AF0B1D8" w14:textId="77777777" w:rsidR="00ED2AC4" w:rsidRDefault="00CE3847" w:rsidP="00242D94">
      <w:pPr>
        <w:pStyle w:val="Normalnumbered"/>
        <w:numPr>
          <w:ilvl w:val="0"/>
          <w:numId w:val="24"/>
        </w:numPr>
        <w:spacing w:before="120" w:line="240" w:lineRule="auto"/>
        <w:rPr>
          <w:szCs w:val="23"/>
        </w:rPr>
      </w:pPr>
      <w:r>
        <w:t xml:space="preserve">Western Australia </w:t>
      </w:r>
      <w:r w:rsidR="009E151E">
        <w:t xml:space="preserve">will </w:t>
      </w:r>
      <w:r w:rsidR="0095223D">
        <w:t xml:space="preserve">provide performance reports in accordance with </w:t>
      </w:r>
      <w:r w:rsidR="00C2605C">
        <w:t>T</w:t>
      </w:r>
      <w:r w:rsidR="0095223D">
        <w:t xml:space="preserve">able </w:t>
      </w:r>
      <w:r w:rsidR="00C2605C">
        <w:t xml:space="preserve">1 </w:t>
      </w:r>
      <w:r w:rsidR="009E151E">
        <w:t>during</w:t>
      </w:r>
      <w:r w:rsidR="00C42ACA">
        <w:t xml:space="preserve"> </w:t>
      </w:r>
      <w:r w:rsidR="009E151E">
        <w:t>t</w:t>
      </w:r>
      <w:r w:rsidR="00515AF2">
        <w:t xml:space="preserve">he operation of the Agreement.  </w:t>
      </w:r>
      <w:r w:rsidR="0095223D">
        <w:t>Each performance report is to contai</w:t>
      </w:r>
      <w:r w:rsidR="00ED2AC4">
        <w:t>n a description of actual performance in the period to date against the project milestones.</w:t>
      </w:r>
      <w:r w:rsidR="00ED2AC4">
        <w:rPr>
          <w:szCs w:val="23"/>
        </w:rPr>
        <w:t xml:space="preserve"> </w:t>
      </w:r>
    </w:p>
    <w:p w14:paraId="1EE359DA" w14:textId="77777777" w:rsidR="008E7527" w:rsidRDefault="008E7527" w:rsidP="009E093C">
      <w:pPr>
        <w:pStyle w:val="Heading1"/>
      </w:pPr>
      <w:r>
        <w:t>Part 5</w:t>
      </w:r>
      <w:r w:rsidRPr="00751725">
        <w:t xml:space="preserve"> — financial arrangements</w:t>
      </w:r>
    </w:p>
    <w:p w14:paraId="12FAC462" w14:textId="6901939E" w:rsidR="008E7527" w:rsidRDefault="008E7527" w:rsidP="00242D94">
      <w:pPr>
        <w:pStyle w:val="Normalnumbered"/>
        <w:numPr>
          <w:ilvl w:val="0"/>
          <w:numId w:val="24"/>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C877DD">
        <w:t>Western Australia</w:t>
      </w:r>
      <w:r w:rsidR="007E4208">
        <w:t xml:space="preserve"> of </w:t>
      </w:r>
      <w:r w:rsidRPr="00CD526B">
        <w:t>$</w:t>
      </w:r>
      <w:r w:rsidR="007E4208">
        <w:t xml:space="preserve">17.2 </w:t>
      </w:r>
      <w:r>
        <w:t>m</w:t>
      </w:r>
      <w:r w:rsidR="007E4208">
        <w:t>illion</w:t>
      </w:r>
      <w:r>
        <w:t xml:space="preserve"> in respect of this Agreement. </w:t>
      </w:r>
      <w:r w:rsidRPr="000E48C3">
        <w:t xml:space="preserve"> </w:t>
      </w:r>
      <w:r>
        <w:t>All payments are GST exclusive.</w:t>
      </w:r>
    </w:p>
    <w:p w14:paraId="394CA251" w14:textId="7C88F9EC" w:rsidR="008E7527" w:rsidRDefault="005A5E7A" w:rsidP="00242D94">
      <w:pPr>
        <w:pStyle w:val="Normalnumbered"/>
        <w:numPr>
          <w:ilvl w:val="0"/>
          <w:numId w:val="24"/>
        </w:numPr>
      </w:pPr>
      <w:r>
        <w:t>T</w:t>
      </w:r>
      <w:r w:rsidR="008E7527" w:rsidRPr="002B7E1B">
        <w:t xml:space="preserve">he Commonwealth’s funding contribution will not be reduced where the </w:t>
      </w:r>
      <w:r w:rsidR="00C877DD">
        <w:t>Western Australia</w:t>
      </w:r>
      <w:r w:rsidR="00C877DD" w:rsidRPr="002B7E1B">
        <w:t xml:space="preserve"> </w:t>
      </w:r>
      <w:r w:rsidR="008E7527" w:rsidRPr="002B7E1B">
        <w:t>secure funding from other activity partners</w:t>
      </w:r>
      <w:r w:rsidR="002E144A">
        <w:t>.</w:t>
      </w:r>
    </w:p>
    <w:p w14:paraId="4BFBD88A" w14:textId="77777777" w:rsidR="008E7527" w:rsidRPr="00751725" w:rsidRDefault="008E7527" w:rsidP="00242D94">
      <w:pPr>
        <w:pStyle w:val="Normalnumbered"/>
        <w:keepNext/>
        <w:keepLines/>
        <w:numPr>
          <w:ilvl w:val="0"/>
          <w:numId w:val="24"/>
        </w:numPr>
      </w:pPr>
      <w:r w:rsidRPr="00751725">
        <w:t>The Commonwealth</w:t>
      </w:r>
      <w:r>
        <w:t>’s</w:t>
      </w:r>
      <w:r w:rsidRPr="00751725">
        <w:t xml:space="preserve"> and </w:t>
      </w:r>
      <w:r w:rsidR="007E4208">
        <w:t>Western Australia’s</w:t>
      </w:r>
      <w:r w:rsidRPr="00751725">
        <w:t xml:space="preserve"> </w:t>
      </w:r>
      <w:r>
        <w:t xml:space="preserve">estimated </w:t>
      </w:r>
      <w:r w:rsidRPr="00751725">
        <w:t>financial contribution</w:t>
      </w:r>
      <w:r w:rsidR="002E144A">
        <w:t>s</w:t>
      </w:r>
      <w:r w:rsidRPr="00751725">
        <w:t xml:space="preserve"> to the operation of </w:t>
      </w:r>
      <w:r>
        <w:t xml:space="preserve">this Agreement, including through National Partnership payments to the States paid in accordance with </w:t>
      </w:r>
      <w:r w:rsidRPr="002B7E1B">
        <w:rPr>
          <w:i/>
        </w:rPr>
        <w:t>Schedule</w:t>
      </w:r>
      <w:r w:rsidR="007E4208">
        <w:rPr>
          <w:i/>
        </w:rPr>
        <w:t xml:space="preserve"> </w:t>
      </w:r>
      <w:r w:rsidRPr="002B7E1B">
        <w:rPr>
          <w:i/>
        </w:rPr>
        <w:t>D — Payment Arrangements</w:t>
      </w:r>
      <w:r>
        <w:t xml:space="preserve"> of the </w:t>
      </w:r>
      <w:r w:rsidR="00C41265">
        <w:t>IGA FFR</w:t>
      </w:r>
      <w:r w:rsidR="00C2605C">
        <w:t>, are shown in Table 2</w:t>
      </w:r>
      <w:r w:rsidRPr="00751725">
        <w:t>.</w:t>
      </w:r>
    </w:p>
    <w:p w14:paraId="17AEFB2E" w14:textId="5172E9C3" w:rsidR="008E7527" w:rsidRPr="00A05C1E" w:rsidRDefault="00E204BB" w:rsidP="00E204BB">
      <w:pPr>
        <w:pStyle w:val="Normalnumbered"/>
        <w:numPr>
          <w:ilvl w:val="0"/>
          <w:numId w:val="0"/>
        </w:numPr>
        <w:rPr>
          <w:b/>
          <w:i/>
        </w:rPr>
      </w:pPr>
      <w:r>
        <w:rPr>
          <w:b/>
        </w:rPr>
        <w:t>Table 2</w:t>
      </w:r>
      <w:r w:rsidR="008E7527" w:rsidRPr="00E204BB">
        <w:rPr>
          <w:b/>
        </w:rPr>
        <w:t xml:space="preserve">: Estimated financial contributions </w:t>
      </w:r>
    </w:p>
    <w:tbl>
      <w:tblPr>
        <w:tblW w:w="0" w:type="auto"/>
        <w:tblLook w:val="01E0" w:firstRow="1" w:lastRow="1" w:firstColumn="1" w:lastColumn="1" w:noHBand="0" w:noVBand="0"/>
      </w:tblPr>
      <w:tblGrid>
        <w:gridCol w:w="4847"/>
        <w:gridCol w:w="958"/>
        <w:gridCol w:w="959"/>
        <w:gridCol w:w="958"/>
        <w:gridCol w:w="959"/>
        <w:gridCol w:w="957"/>
      </w:tblGrid>
      <w:tr w:rsidR="008E7527" w14:paraId="65DDC8C0" w14:textId="77777777" w:rsidTr="00AB71A5">
        <w:trPr>
          <w:cantSplit/>
        </w:trPr>
        <w:tc>
          <w:tcPr>
            <w:tcW w:w="5008" w:type="dxa"/>
            <w:tcBorders>
              <w:top w:val="single" w:sz="4" w:space="0" w:color="000080"/>
            </w:tcBorders>
          </w:tcPr>
          <w:p w14:paraId="2EE6CD68" w14:textId="77777777" w:rsidR="008E7527" w:rsidRPr="00C2711B" w:rsidRDefault="008E7527" w:rsidP="00AB71A5">
            <w:pPr>
              <w:keepNext/>
              <w:keepLines/>
              <w:spacing w:before="40" w:after="40"/>
              <w:jc w:val="left"/>
              <w:rPr>
                <w:b/>
              </w:rPr>
            </w:pPr>
            <w:r w:rsidRPr="00C2711B">
              <w:rPr>
                <w:b/>
              </w:rPr>
              <w:t>($ million)</w:t>
            </w:r>
          </w:p>
        </w:tc>
        <w:tc>
          <w:tcPr>
            <w:tcW w:w="969" w:type="dxa"/>
            <w:tcBorders>
              <w:top w:val="single" w:sz="4" w:space="0" w:color="000080"/>
              <w:bottom w:val="single" w:sz="4" w:space="0" w:color="000080"/>
            </w:tcBorders>
          </w:tcPr>
          <w:p w14:paraId="6762E360" w14:textId="77777777" w:rsidR="008E7527" w:rsidRDefault="000C71D7" w:rsidP="00AB71A5">
            <w:pPr>
              <w:keepNext/>
              <w:keepLines/>
              <w:spacing w:before="40" w:after="40"/>
              <w:jc w:val="right"/>
            </w:pPr>
            <w:r>
              <w:t>2019-20</w:t>
            </w:r>
          </w:p>
        </w:tc>
        <w:tc>
          <w:tcPr>
            <w:tcW w:w="969" w:type="dxa"/>
            <w:tcBorders>
              <w:top w:val="single" w:sz="4" w:space="0" w:color="000080"/>
              <w:bottom w:val="single" w:sz="4" w:space="0" w:color="000080"/>
            </w:tcBorders>
          </w:tcPr>
          <w:p w14:paraId="57B9B67C" w14:textId="77777777" w:rsidR="008E7527" w:rsidRDefault="000C71D7" w:rsidP="00AB71A5">
            <w:pPr>
              <w:keepNext/>
              <w:keepLines/>
              <w:spacing w:before="40" w:after="40"/>
              <w:jc w:val="right"/>
            </w:pPr>
            <w:r>
              <w:t>2020-21</w:t>
            </w:r>
          </w:p>
        </w:tc>
        <w:tc>
          <w:tcPr>
            <w:tcW w:w="969" w:type="dxa"/>
            <w:tcBorders>
              <w:top w:val="single" w:sz="4" w:space="0" w:color="000080"/>
              <w:bottom w:val="single" w:sz="4" w:space="0" w:color="000080"/>
            </w:tcBorders>
          </w:tcPr>
          <w:p w14:paraId="0A9AA05F" w14:textId="77777777" w:rsidR="008E7527" w:rsidRDefault="000C71D7" w:rsidP="00AB71A5">
            <w:pPr>
              <w:keepNext/>
              <w:keepLines/>
              <w:spacing w:before="40" w:after="40"/>
              <w:jc w:val="right"/>
            </w:pPr>
            <w:r>
              <w:t>2021-22</w:t>
            </w:r>
          </w:p>
        </w:tc>
        <w:tc>
          <w:tcPr>
            <w:tcW w:w="969" w:type="dxa"/>
            <w:tcBorders>
              <w:top w:val="single" w:sz="4" w:space="0" w:color="000080"/>
              <w:bottom w:val="single" w:sz="4" w:space="0" w:color="000080"/>
            </w:tcBorders>
          </w:tcPr>
          <w:p w14:paraId="69071083" w14:textId="77777777" w:rsidR="008E7527" w:rsidRDefault="000C71D7" w:rsidP="00AB71A5">
            <w:pPr>
              <w:keepNext/>
              <w:keepLines/>
              <w:spacing w:before="40" w:after="40"/>
              <w:jc w:val="right"/>
            </w:pPr>
            <w:r>
              <w:t>2022-23</w:t>
            </w:r>
          </w:p>
        </w:tc>
        <w:tc>
          <w:tcPr>
            <w:tcW w:w="970" w:type="dxa"/>
            <w:tcBorders>
              <w:top w:val="single" w:sz="4" w:space="0" w:color="000080"/>
              <w:bottom w:val="single" w:sz="4" w:space="0" w:color="000080"/>
            </w:tcBorders>
          </w:tcPr>
          <w:p w14:paraId="4F114DAD" w14:textId="77777777" w:rsidR="008E7527" w:rsidRDefault="008E7527" w:rsidP="00AB71A5">
            <w:pPr>
              <w:keepNext/>
              <w:keepLines/>
              <w:spacing w:before="40" w:after="40"/>
              <w:jc w:val="right"/>
            </w:pPr>
            <w:r>
              <w:t>Total</w:t>
            </w:r>
          </w:p>
        </w:tc>
      </w:tr>
      <w:tr w:rsidR="008E7527" w14:paraId="25B3D269" w14:textId="77777777" w:rsidTr="00AB71A5">
        <w:trPr>
          <w:cantSplit/>
        </w:trPr>
        <w:tc>
          <w:tcPr>
            <w:tcW w:w="5008" w:type="dxa"/>
          </w:tcPr>
          <w:p w14:paraId="086B64F7" w14:textId="77777777" w:rsidR="008E7527" w:rsidRPr="005B4C1B" w:rsidRDefault="008E7527" w:rsidP="00AB71A5">
            <w:pPr>
              <w:keepNext/>
              <w:keepLines/>
              <w:spacing w:before="60" w:after="60"/>
              <w:rPr>
                <w:b/>
              </w:rPr>
            </w:pPr>
            <w:r w:rsidRPr="005B4C1B">
              <w:rPr>
                <w:b/>
              </w:rPr>
              <w:t>Estimated total budget</w:t>
            </w:r>
          </w:p>
        </w:tc>
        <w:tc>
          <w:tcPr>
            <w:tcW w:w="969" w:type="dxa"/>
            <w:tcBorders>
              <w:top w:val="single" w:sz="4" w:space="0" w:color="000080"/>
            </w:tcBorders>
          </w:tcPr>
          <w:p w14:paraId="1B0D0AD6" w14:textId="77777777" w:rsidR="008E7527" w:rsidRPr="005B4C1B" w:rsidRDefault="000C71D7" w:rsidP="00AB71A5">
            <w:pPr>
              <w:keepNext/>
              <w:keepLines/>
              <w:spacing w:before="40" w:after="40"/>
              <w:jc w:val="right"/>
              <w:rPr>
                <w:b/>
              </w:rPr>
            </w:pPr>
            <w:r>
              <w:rPr>
                <w:b/>
              </w:rPr>
              <w:t>5.2</w:t>
            </w:r>
          </w:p>
        </w:tc>
        <w:tc>
          <w:tcPr>
            <w:tcW w:w="969" w:type="dxa"/>
            <w:tcBorders>
              <w:top w:val="single" w:sz="4" w:space="0" w:color="000080"/>
            </w:tcBorders>
          </w:tcPr>
          <w:p w14:paraId="5E656292" w14:textId="77777777" w:rsidR="008E7527" w:rsidRPr="005B4C1B" w:rsidRDefault="000C71D7" w:rsidP="00AB71A5">
            <w:pPr>
              <w:keepNext/>
              <w:keepLines/>
              <w:spacing w:before="40" w:after="40"/>
              <w:jc w:val="right"/>
              <w:rPr>
                <w:b/>
              </w:rPr>
            </w:pPr>
            <w:r>
              <w:rPr>
                <w:b/>
              </w:rPr>
              <w:t>11.8</w:t>
            </w:r>
          </w:p>
        </w:tc>
        <w:tc>
          <w:tcPr>
            <w:tcW w:w="969" w:type="dxa"/>
            <w:tcBorders>
              <w:top w:val="single" w:sz="4" w:space="0" w:color="000080"/>
            </w:tcBorders>
          </w:tcPr>
          <w:p w14:paraId="72836908" w14:textId="77777777" w:rsidR="008E7527" w:rsidRPr="005B4C1B" w:rsidRDefault="000C71D7" w:rsidP="00AB71A5">
            <w:pPr>
              <w:keepNext/>
              <w:keepLines/>
              <w:spacing w:before="40" w:after="40"/>
              <w:jc w:val="right"/>
              <w:rPr>
                <w:b/>
              </w:rPr>
            </w:pPr>
            <w:r>
              <w:rPr>
                <w:b/>
              </w:rPr>
              <w:t>13.9</w:t>
            </w:r>
          </w:p>
        </w:tc>
        <w:tc>
          <w:tcPr>
            <w:tcW w:w="969" w:type="dxa"/>
            <w:tcBorders>
              <w:top w:val="single" w:sz="4" w:space="0" w:color="000080"/>
            </w:tcBorders>
          </w:tcPr>
          <w:p w14:paraId="36614A9F" w14:textId="77777777" w:rsidR="008E7527" w:rsidRPr="005B4C1B" w:rsidRDefault="000C71D7" w:rsidP="00AB71A5">
            <w:pPr>
              <w:keepNext/>
              <w:keepLines/>
              <w:spacing w:before="40" w:after="40"/>
              <w:jc w:val="right"/>
              <w:rPr>
                <w:b/>
              </w:rPr>
            </w:pPr>
            <w:r>
              <w:rPr>
                <w:b/>
              </w:rPr>
              <w:t>2.5</w:t>
            </w:r>
          </w:p>
        </w:tc>
        <w:tc>
          <w:tcPr>
            <w:tcW w:w="970" w:type="dxa"/>
            <w:tcBorders>
              <w:top w:val="single" w:sz="4" w:space="0" w:color="000080"/>
            </w:tcBorders>
          </w:tcPr>
          <w:p w14:paraId="4D789332" w14:textId="77777777" w:rsidR="008E7527" w:rsidRPr="005B4C1B" w:rsidRDefault="000C71D7" w:rsidP="000C71D7">
            <w:pPr>
              <w:keepNext/>
              <w:keepLines/>
              <w:spacing w:before="40" w:after="40"/>
              <w:jc w:val="right"/>
              <w:rPr>
                <w:b/>
              </w:rPr>
            </w:pPr>
            <w:r>
              <w:rPr>
                <w:b/>
              </w:rPr>
              <w:t>33</w:t>
            </w:r>
            <w:r w:rsidR="008E7527" w:rsidRPr="005B4C1B">
              <w:rPr>
                <w:b/>
              </w:rPr>
              <w:t>.</w:t>
            </w:r>
            <w:r>
              <w:rPr>
                <w:b/>
              </w:rPr>
              <w:t>4</w:t>
            </w:r>
          </w:p>
        </w:tc>
      </w:tr>
      <w:tr w:rsidR="008E7527" w14:paraId="03FC1A93" w14:textId="77777777" w:rsidTr="00AB71A5">
        <w:trPr>
          <w:cantSplit/>
        </w:trPr>
        <w:tc>
          <w:tcPr>
            <w:tcW w:w="5008" w:type="dxa"/>
          </w:tcPr>
          <w:p w14:paraId="7E9BD989" w14:textId="77777777" w:rsidR="008E7527" w:rsidRPr="004A673A" w:rsidRDefault="008E7527" w:rsidP="00AB71A5">
            <w:pPr>
              <w:keepNext/>
              <w:keepLines/>
              <w:spacing w:before="60" w:after="60"/>
            </w:pPr>
            <w:r>
              <w:t>Less estimated National Partnership Payments</w:t>
            </w:r>
          </w:p>
        </w:tc>
        <w:tc>
          <w:tcPr>
            <w:tcW w:w="969" w:type="dxa"/>
            <w:tcBorders>
              <w:bottom w:val="single" w:sz="4" w:space="0" w:color="000080"/>
            </w:tcBorders>
          </w:tcPr>
          <w:p w14:paraId="3BF56357" w14:textId="5C6F6DB2" w:rsidR="008E7527" w:rsidRPr="005B4C1B" w:rsidRDefault="000C71D7" w:rsidP="00B624E1">
            <w:pPr>
              <w:keepNext/>
              <w:keepLines/>
              <w:spacing w:before="40" w:after="40"/>
              <w:jc w:val="right"/>
            </w:pPr>
            <w:r>
              <w:t>3.</w:t>
            </w:r>
            <w:r w:rsidR="00B624E1">
              <w:t>69</w:t>
            </w:r>
          </w:p>
        </w:tc>
        <w:tc>
          <w:tcPr>
            <w:tcW w:w="969" w:type="dxa"/>
            <w:tcBorders>
              <w:bottom w:val="single" w:sz="4" w:space="0" w:color="000080"/>
            </w:tcBorders>
          </w:tcPr>
          <w:p w14:paraId="4FF0E323" w14:textId="0360667E" w:rsidR="008E7527" w:rsidRPr="005B4C1B" w:rsidRDefault="00B624E1" w:rsidP="00AB71A5">
            <w:pPr>
              <w:keepNext/>
              <w:keepLines/>
              <w:spacing w:before="40" w:after="40"/>
              <w:jc w:val="right"/>
            </w:pPr>
            <w:r>
              <w:t>7.63</w:t>
            </w:r>
          </w:p>
        </w:tc>
        <w:tc>
          <w:tcPr>
            <w:tcW w:w="969" w:type="dxa"/>
            <w:tcBorders>
              <w:bottom w:val="single" w:sz="4" w:space="0" w:color="000080"/>
            </w:tcBorders>
          </w:tcPr>
          <w:p w14:paraId="67468A15" w14:textId="10F68813" w:rsidR="008E7527" w:rsidRPr="005B4C1B" w:rsidRDefault="00B624E1" w:rsidP="00AB71A5">
            <w:pPr>
              <w:keepNext/>
              <w:keepLines/>
              <w:spacing w:before="40" w:after="40"/>
              <w:jc w:val="right"/>
            </w:pPr>
            <w:r>
              <w:t>5.88</w:t>
            </w:r>
          </w:p>
        </w:tc>
        <w:tc>
          <w:tcPr>
            <w:tcW w:w="969" w:type="dxa"/>
            <w:tcBorders>
              <w:bottom w:val="single" w:sz="4" w:space="0" w:color="000080"/>
            </w:tcBorders>
          </w:tcPr>
          <w:p w14:paraId="182C35B4" w14:textId="77777777" w:rsidR="008E7527" w:rsidRPr="005B4C1B" w:rsidRDefault="008E7527" w:rsidP="00AB71A5">
            <w:pPr>
              <w:keepNext/>
              <w:keepLines/>
              <w:spacing w:before="40" w:after="40"/>
              <w:jc w:val="right"/>
            </w:pPr>
            <w:r w:rsidRPr="005B4C1B">
              <w:t>0.0</w:t>
            </w:r>
          </w:p>
        </w:tc>
        <w:tc>
          <w:tcPr>
            <w:tcW w:w="970" w:type="dxa"/>
            <w:tcBorders>
              <w:bottom w:val="single" w:sz="4" w:space="0" w:color="000080"/>
            </w:tcBorders>
          </w:tcPr>
          <w:p w14:paraId="7314E758" w14:textId="77777777" w:rsidR="008E7527" w:rsidRPr="005B4C1B" w:rsidRDefault="000C71D7" w:rsidP="00AB71A5">
            <w:pPr>
              <w:keepNext/>
              <w:keepLines/>
              <w:spacing w:before="40" w:after="40"/>
              <w:jc w:val="right"/>
            </w:pPr>
            <w:r>
              <w:t>17.2</w:t>
            </w:r>
          </w:p>
        </w:tc>
      </w:tr>
      <w:tr w:rsidR="008E7527" w14:paraId="4BDA0386" w14:textId="77777777" w:rsidTr="00AB71A5">
        <w:trPr>
          <w:cantSplit/>
        </w:trPr>
        <w:tc>
          <w:tcPr>
            <w:tcW w:w="5008" w:type="dxa"/>
            <w:tcBorders>
              <w:bottom w:val="single" w:sz="4" w:space="0" w:color="000080"/>
            </w:tcBorders>
          </w:tcPr>
          <w:p w14:paraId="799439C3" w14:textId="77777777" w:rsidR="008E7527" w:rsidRPr="006146F2" w:rsidRDefault="008E7527" w:rsidP="00AB71A5">
            <w:pPr>
              <w:keepNext/>
              <w:keepLines/>
              <w:spacing w:before="40" w:after="40"/>
            </w:pPr>
            <w:r w:rsidRPr="006146F2">
              <w:t>Balance of non-Commonwealth contribution</w:t>
            </w:r>
            <w:r>
              <w:t>s</w:t>
            </w:r>
          </w:p>
        </w:tc>
        <w:tc>
          <w:tcPr>
            <w:tcW w:w="969" w:type="dxa"/>
            <w:tcBorders>
              <w:bottom w:val="single" w:sz="4" w:space="0" w:color="000080"/>
            </w:tcBorders>
          </w:tcPr>
          <w:p w14:paraId="4678EF2B" w14:textId="256AC381" w:rsidR="008E7527" w:rsidRDefault="00B624E1" w:rsidP="00AB71A5">
            <w:pPr>
              <w:keepNext/>
              <w:keepLines/>
              <w:spacing w:before="40" w:after="40"/>
              <w:jc w:val="right"/>
            </w:pPr>
            <w:r>
              <w:t>1.51</w:t>
            </w:r>
          </w:p>
        </w:tc>
        <w:tc>
          <w:tcPr>
            <w:tcW w:w="969" w:type="dxa"/>
            <w:tcBorders>
              <w:bottom w:val="single" w:sz="4" w:space="0" w:color="000080"/>
            </w:tcBorders>
          </w:tcPr>
          <w:p w14:paraId="287C0BE1" w14:textId="30D3A026" w:rsidR="008E7527" w:rsidRDefault="00B624E1" w:rsidP="00AB71A5">
            <w:pPr>
              <w:keepNext/>
              <w:keepLines/>
              <w:spacing w:before="40" w:after="40"/>
              <w:jc w:val="right"/>
            </w:pPr>
            <w:r>
              <w:t>4.17</w:t>
            </w:r>
          </w:p>
        </w:tc>
        <w:tc>
          <w:tcPr>
            <w:tcW w:w="969" w:type="dxa"/>
            <w:tcBorders>
              <w:bottom w:val="single" w:sz="4" w:space="0" w:color="000080"/>
            </w:tcBorders>
          </w:tcPr>
          <w:p w14:paraId="39E0869D" w14:textId="091AAF14" w:rsidR="008E7527" w:rsidRDefault="00B624E1" w:rsidP="00AB71A5">
            <w:pPr>
              <w:keepNext/>
              <w:keepLines/>
              <w:spacing w:before="40" w:after="40"/>
              <w:jc w:val="right"/>
            </w:pPr>
            <w:r>
              <w:t>8.02</w:t>
            </w:r>
          </w:p>
        </w:tc>
        <w:tc>
          <w:tcPr>
            <w:tcW w:w="969" w:type="dxa"/>
            <w:tcBorders>
              <w:bottom w:val="single" w:sz="4" w:space="0" w:color="000080"/>
            </w:tcBorders>
          </w:tcPr>
          <w:p w14:paraId="759900A3" w14:textId="77777777" w:rsidR="008E7527" w:rsidRDefault="000C71D7" w:rsidP="00AB71A5">
            <w:pPr>
              <w:keepNext/>
              <w:keepLines/>
              <w:spacing w:before="40" w:after="40"/>
              <w:jc w:val="right"/>
            </w:pPr>
            <w:r>
              <w:t>2.5</w:t>
            </w:r>
          </w:p>
        </w:tc>
        <w:tc>
          <w:tcPr>
            <w:tcW w:w="970" w:type="dxa"/>
            <w:tcBorders>
              <w:bottom w:val="single" w:sz="4" w:space="0" w:color="000080"/>
            </w:tcBorders>
          </w:tcPr>
          <w:p w14:paraId="09BA519F" w14:textId="77777777" w:rsidR="008E7527" w:rsidRDefault="000C71D7" w:rsidP="00AB71A5">
            <w:pPr>
              <w:keepNext/>
              <w:keepLines/>
              <w:spacing w:before="40" w:after="40"/>
              <w:jc w:val="right"/>
            </w:pPr>
            <w:r>
              <w:t>16.2</w:t>
            </w:r>
          </w:p>
        </w:tc>
      </w:tr>
    </w:tbl>
    <w:p w14:paraId="05C5FF74" w14:textId="77777777" w:rsidR="00CE3847" w:rsidRDefault="00CE3847" w:rsidP="00CE3847">
      <w:pPr>
        <w:pStyle w:val="Normalnumbered"/>
        <w:numPr>
          <w:ilvl w:val="0"/>
          <w:numId w:val="0"/>
        </w:numPr>
        <w:ind w:left="567"/>
      </w:pPr>
    </w:p>
    <w:p w14:paraId="17E5BB77" w14:textId="220FE25F" w:rsidR="008E7527" w:rsidRDefault="008E7527" w:rsidP="00242D94">
      <w:pPr>
        <w:pStyle w:val="Normalnumbered"/>
        <w:numPr>
          <w:ilvl w:val="0"/>
          <w:numId w:val="24"/>
        </w:numPr>
      </w:pPr>
      <w:r w:rsidRPr="00C738BD">
        <w:t xml:space="preserve">Having regard to the agreed estimated costs of projects specified in </w:t>
      </w:r>
      <w:r w:rsidR="006B43AF">
        <w:t>this</w:t>
      </w:r>
      <w:r>
        <w:t xml:space="preserve"> Agreement</w:t>
      </w:r>
      <w:r w:rsidRPr="00C738BD">
        <w:t xml:space="preserve">, </w:t>
      </w:r>
      <w:r w:rsidR="00912322">
        <w:t>Western Australia</w:t>
      </w:r>
      <w:r w:rsidRPr="00C738BD">
        <w:t xml:space="preserve"> will not be required to pay a refund to the Commonwealth if the actual cost of the project is less than the agreed</w:t>
      </w:r>
      <w:r w:rsidR="00515AF2">
        <w:t xml:space="preserve"> estimated cost of the project.  </w:t>
      </w:r>
      <w:r w:rsidRPr="00C738BD">
        <w:t xml:space="preserve">Similarly, </w:t>
      </w:r>
      <w:r w:rsidR="00912322">
        <w:t xml:space="preserve">Western Australia </w:t>
      </w:r>
      <w:r w:rsidRPr="00C738BD">
        <w:t>bear</w:t>
      </w:r>
      <w:r w:rsidR="00912322">
        <w:t>s</w:t>
      </w:r>
      <w:r w:rsidRPr="00C738BD">
        <w:t xml:space="preserve"> all risk should the costs of a project exceed the agreed estimated cost</w:t>
      </w:r>
      <w:r>
        <w:t>s.</w:t>
      </w:r>
      <w:r w:rsidRPr="00C738BD">
        <w:t xml:space="preserve"> The Parties acknowledge that this arrangement provides the maximum incentive for </w:t>
      </w:r>
      <w:r w:rsidR="00912322">
        <w:t>Western Australia</w:t>
      </w:r>
      <w:r w:rsidRPr="00C738BD">
        <w:t xml:space="preserve"> to deliver projects cost effectively and efficiently.</w:t>
      </w:r>
    </w:p>
    <w:p w14:paraId="63559227" w14:textId="77777777" w:rsidR="00814667" w:rsidRDefault="003A2157">
      <w:pPr>
        <w:pStyle w:val="Heading1"/>
      </w:pPr>
      <w:bookmarkStart w:id="1" w:name="top"/>
      <w:bookmarkEnd w:id="1"/>
      <w:r>
        <w:t xml:space="preserve">Part </w:t>
      </w:r>
      <w:r w:rsidR="000B4080">
        <w:t>6</w:t>
      </w:r>
      <w:r w:rsidR="00814667">
        <w:t xml:space="preserve"> — governance arrangements</w:t>
      </w:r>
    </w:p>
    <w:p w14:paraId="64D4DEC6" w14:textId="77777777" w:rsidR="00BC4728" w:rsidRDefault="00BC4728" w:rsidP="00BC4728">
      <w:pPr>
        <w:pStyle w:val="Heading2"/>
      </w:pPr>
      <w:r w:rsidRPr="006F096A">
        <w:t>Enforceability of the Agreement</w:t>
      </w:r>
    </w:p>
    <w:p w14:paraId="55732E64" w14:textId="77777777" w:rsidR="00BC4728" w:rsidRPr="00C40EBC" w:rsidRDefault="00BC4728" w:rsidP="00242D94">
      <w:pPr>
        <w:pStyle w:val="Normalnumbered"/>
        <w:numPr>
          <w:ilvl w:val="0"/>
          <w:numId w:val="24"/>
        </w:numPr>
        <w:spacing w:line="240" w:lineRule="auto"/>
      </w:pPr>
      <w:r>
        <w:rPr>
          <w:szCs w:val="23"/>
        </w:rPr>
        <w:t>The Parties do not intend any of the provisions of this Agreement to be legally enforceable. However, that does not lessen the Parties’ commitment to this Agreement.</w:t>
      </w:r>
    </w:p>
    <w:p w14:paraId="3EC791B6" w14:textId="77777777" w:rsidR="00814667" w:rsidRDefault="00814667">
      <w:pPr>
        <w:pStyle w:val="Heading2"/>
      </w:pPr>
      <w:r>
        <w:t>Variation of the Agreement</w:t>
      </w:r>
    </w:p>
    <w:p w14:paraId="092DD5BA" w14:textId="7D991064" w:rsidR="00814667" w:rsidRPr="00DE36EB" w:rsidRDefault="00607B03" w:rsidP="00242D94">
      <w:pPr>
        <w:pStyle w:val="Normalnumbered"/>
        <w:numPr>
          <w:ilvl w:val="0"/>
          <w:numId w:val="24"/>
        </w:numPr>
      </w:pPr>
      <w:r>
        <w:t>The A</w:t>
      </w:r>
      <w:r w:rsidR="00814667">
        <w:t xml:space="preserve">greement may be amended at any time by agreement in writing by </w:t>
      </w:r>
      <w:r w:rsidR="002B1C50" w:rsidRPr="00DE36EB">
        <w:t xml:space="preserve">both </w:t>
      </w:r>
      <w:r w:rsidR="00814667" w:rsidRPr="00DE36EB">
        <w:t>the Parties.</w:t>
      </w:r>
    </w:p>
    <w:p w14:paraId="3E6CF58C" w14:textId="40B7EF71" w:rsidR="00292587" w:rsidRDefault="000C71D7" w:rsidP="00242D94">
      <w:pPr>
        <w:pStyle w:val="Normalnumbered"/>
        <w:numPr>
          <w:ilvl w:val="0"/>
          <w:numId w:val="24"/>
        </w:numPr>
      </w:pPr>
      <w:r>
        <w:t xml:space="preserve">Either </w:t>
      </w:r>
      <w:r w:rsidR="00814667" w:rsidRPr="00DE36EB">
        <w:t>Party to the Agreement may terminate their part</w:t>
      </w:r>
      <w:r w:rsidR="00814667">
        <w:t>icipation in the Agreement at any time by notifying the other Part</w:t>
      </w:r>
      <w:r>
        <w:t>y</w:t>
      </w:r>
      <w:r w:rsidR="00C2605C">
        <w:rPr>
          <w:i/>
        </w:rPr>
        <w:t xml:space="preserve"> </w:t>
      </w:r>
      <w:r w:rsidR="00814667">
        <w:t>in writing.</w:t>
      </w:r>
    </w:p>
    <w:p w14:paraId="7514BF71" w14:textId="77777777" w:rsidR="009526E4" w:rsidRDefault="009526E4" w:rsidP="0036119D">
      <w:pPr>
        <w:pStyle w:val="Heading2"/>
      </w:pPr>
      <w:r>
        <w:t>Delegations</w:t>
      </w:r>
    </w:p>
    <w:p w14:paraId="38014C1C" w14:textId="77777777" w:rsidR="009526E4" w:rsidRDefault="009526E4" w:rsidP="00242D94">
      <w:pPr>
        <w:pStyle w:val="Normalnumbered"/>
        <w:numPr>
          <w:ilvl w:val="0"/>
          <w:numId w:val="24"/>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24D1A3F7" w14:textId="77777777" w:rsidR="0036119D" w:rsidRDefault="0036119D" w:rsidP="0036119D">
      <w:pPr>
        <w:pStyle w:val="Heading2"/>
      </w:pPr>
      <w:r>
        <w:t>Dispute resolution</w:t>
      </w:r>
    </w:p>
    <w:p w14:paraId="198C13BF" w14:textId="77777777" w:rsidR="0036119D" w:rsidRPr="00DE36EB" w:rsidRDefault="000C71D7" w:rsidP="00242D94">
      <w:pPr>
        <w:pStyle w:val="Normalnumbered"/>
        <w:numPr>
          <w:ilvl w:val="0"/>
          <w:numId w:val="24"/>
        </w:numPr>
      </w:pPr>
      <w:r w:rsidRPr="00DE36EB">
        <w:t xml:space="preserve"> </w:t>
      </w:r>
      <w:r w:rsidR="00697494" w:rsidRPr="00DE36EB">
        <w:t>E</w:t>
      </w:r>
      <w:r>
        <w:t xml:space="preserve">ither </w:t>
      </w:r>
      <w:r w:rsidR="0036119D" w:rsidRPr="00DE36EB">
        <w:t xml:space="preserve">Party may give notice to </w:t>
      </w:r>
      <w:r>
        <w:t xml:space="preserve">the </w:t>
      </w:r>
      <w:r w:rsidR="0036119D" w:rsidRPr="00DE36EB">
        <w:t xml:space="preserve">other </w:t>
      </w:r>
      <w:r>
        <w:t>Party</w:t>
      </w:r>
      <w:r w:rsidR="00684EC1" w:rsidRPr="00DE36EB">
        <w:t xml:space="preserve"> </w:t>
      </w:r>
      <w:r w:rsidR="0036119D" w:rsidRPr="00DE36EB">
        <w:t>of a dispute under this Agreement.</w:t>
      </w:r>
    </w:p>
    <w:p w14:paraId="2DDE5823" w14:textId="77777777" w:rsidR="0036119D" w:rsidRPr="00DE36EB" w:rsidRDefault="0036119D" w:rsidP="00242D94">
      <w:pPr>
        <w:pStyle w:val="Normalnumbered"/>
        <w:numPr>
          <w:ilvl w:val="0"/>
          <w:numId w:val="24"/>
        </w:numPr>
      </w:pPr>
      <w:r w:rsidRPr="00DE36EB">
        <w:t xml:space="preserve">Officials of </w:t>
      </w:r>
      <w:r w:rsidR="000C71D7">
        <w:t>both</w:t>
      </w:r>
      <w:r w:rsidR="002B1C50" w:rsidRPr="00DE36EB">
        <w:rPr>
          <w:i/>
        </w:rPr>
        <w:t xml:space="preserve"> </w:t>
      </w:r>
      <w:r w:rsidRPr="00DE36EB">
        <w:t>Parties will attempt to resolve any dispute in the first instance.</w:t>
      </w:r>
    </w:p>
    <w:p w14:paraId="45E7F0B6" w14:textId="77777777" w:rsidR="0036119D" w:rsidRPr="00DE36EB" w:rsidRDefault="0036119D" w:rsidP="00242D94">
      <w:pPr>
        <w:pStyle w:val="Normalnumbered"/>
        <w:numPr>
          <w:ilvl w:val="0"/>
          <w:numId w:val="24"/>
        </w:numPr>
      </w:pPr>
      <w:r w:rsidRPr="00DE36EB">
        <w:t>If a dispute cannot be resolved by officials, it may be escalated to the relevant Ministers.</w:t>
      </w:r>
    </w:p>
    <w:p w14:paraId="6E0A4038" w14:textId="77777777" w:rsidR="00814667" w:rsidRPr="00A50751" w:rsidRDefault="00814667">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814667" w:rsidRPr="00A50751" w14:paraId="50F923D5" w14:textId="77777777">
        <w:trPr>
          <w:cantSplit/>
          <w:jc w:val="center"/>
        </w:trPr>
        <w:tc>
          <w:tcPr>
            <w:tcW w:w="4536" w:type="dxa"/>
          </w:tcPr>
          <w:p w14:paraId="1A4E96D6" w14:textId="77777777" w:rsidR="00814667" w:rsidRPr="004A0AE7" w:rsidRDefault="00814667">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53FD5832" w14:textId="77777777" w:rsidR="00814667" w:rsidRPr="00A50751" w:rsidRDefault="00814667">
            <w:pPr>
              <w:pStyle w:val="LineForSignature"/>
            </w:pPr>
            <w:r>
              <w:tab/>
            </w:r>
          </w:p>
          <w:p w14:paraId="392D68CE" w14:textId="77777777" w:rsidR="00814667" w:rsidRDefault="000C71D7">
            <w:pPr>
              <w:pStyle w:val="SingleParagraph"/>
              <w:rPr>
                <w:rStyle w:val="Bold"/>
              </w:rPr>
            </w:pPr>
            <w:r>
              <w:rPr>
                <w:rStyle w:val="Bold"/>
              </w:rPr>
              <w:t xml:space="preserve">Senator </w:t>
            </w:r>
            <w:r w:rsidR="00814667">
              <w:rPr>
                <w:rStyle w:val="Bold"/>
              </w:rPr>
              <w:t xml:space="preserve">The Honourable </w:t>
            </w:r>
            <w:r>
              <w:rPr>
                <w:rStyle w:val="Bold"/>
              </w:rPr>
              <w:t>Jonathon Duniam</w:t>
            </w:r>
          </w:p>
          <w:p w14:paraId="1E1A7D3B" w14:textId="77777777" w:rsidR="00814667" w:rsidRDefault="000C71D7">
            <w:pPr>
              <w:pStyle w:val="Position"/>
              <w:rPr>
                <w:lang w:val="en-GB"/>
              </w:rPr>
            </w:pPr>
            <w:r>
              <w:rPr>
                <w:lang w:val="en-GB"/>
              </w:rPr>
              <w:t>Assistant Minister for Regional Tourism</w:t>
            </w:r>
            <w:r w:rsidR="0099742A">
              <w:rPr>
                <w:lang w:val="en-GB"/>
              </w:rPr>
              <w:t xml:space="preserve"> </w:t>
            </w:r>
          </w:p>
          <w:p w14:paraId="79430477" w14:textId="77777777" w:rsidR="00814667" w:rsidRDefault="006679C0">
            <w:pPr>
              <w:pStyle w:val="SingleParagraph"/>
              <w:tabs>
                <w:tab w:val="num" w:pos="1134"/>
              </w:tabs>
              <w:spacing w:after="240"/>
              <w:ind w:left="1134" w:hanging="567"/>
              <w:rPr>
                <w:b/>
                <w:lang w:val="en-GB"/>
              </w:rPr>
            </w:pPr>
            <w:r>
              <w:rPr>
                <w:lang w:val="en-GB"/>
              </w:rPr>
              <w:t>[Day]  [</w:t>
            </w:r>
            <w:r w:rsidR="001B1CA3">
              <w:rPr>
                <w:lang w:val="en-GB"/>
              </w:rPr>
              <w:t>Month</w:t>
            </w:r>
            <w:r>
              <w:rPr>
                <w:lang w:val="en-GB"/>
              </w:rPr>
              <w:t>]</w:t>
            </w:r>
            <w:r w:rsidR="001B1CA3">
              <w:rPr>
                <w:lang w:val="en-GB"/>
              </w:rPr>
              <w:t xml:space="preserve"> </w:t>
            </w:r>
            <w:r>
              <w:rPr>
                <w:lang w:val="en-GB"/>
              </w:rPr>
              <w:t xml:space="preserve"> [Year]</w:t>
            </w:r>
          </w:p>
        </w:tc>
        <w:tc>
          <w:tcPr>
            <w:tcW w:w="284" w:type="dxa"/>
            <w:tcMar>
              <w:left w:w="0" w:type="dxa"/>
              <w:right w:w="0" w:type="dxa"/>
            </w:tcMar>
          </w:tcPr>
          <w:p w14:paraId="1B0F46BD" w14:textId="77777777" w:rsidR="00814667" w:rsidRPr="00A50751" w:rsidRDefault="00814667">
            <w:pPr>
              <w:rPr>
                <w:rFonts w:ascii="Book Antiqua" w:hAnsi="Book Antiqua"/>
                <w:lang w:val="en-GB"/>
              </w:rPr>
            </w:pPr>
          </w:p>
        </w:tc>
        <w:tc>
          <w:tcPr>
            <w:tcW w:w="4536" w:type="dxa"/>
          </w:tcPr>
          <w:p w14:paraId="34197DBA" w14:textId="77777777" w:rsidR="00814667" w:rsidRPr="00A50751" w:rsidRDefault="00814667">
            <w:pPr>
              <w:rPr>
                <w:rFonts w:ascii="Book Antiqua" w:hAnsi="Book Antiqua"/>
                <w:lang w:val="en-GB"/>
              </w:rPr>
            </w:pPr>
          </w:p>
        </w:tc>
      </w:tr>
      <w:tr w:rsidR="00814667" w:rsidRPr="00A50751" w14:paraId="5021ACE5" w14:textId="77777777">
        <w:trPr>
          <w:cantSplit/>
          <w:jc w:val="center"/>
        </w:trPr>
        <w:tc>
          <w:tcPr>
            <w:tcW w:w="4536" w:type="dxa"/>
          </w:tcPr>
          <w:p w14:paraId="00E0855D" w14:textId="77777777" w:rsidR="00814667" w:rsidRPr="00A50751" w:rsidRDefault="00814667">
            <w:pPr>
              <w:pStyle w:val="SingleParagraph"/>
              <w:rPr>
                <w:rFonts w:ascii="Book Antiqua" w:hAnsi="Book Antiqua"/>
                <w:lang w:val="en-GB"/>
              </w:rPr>
            </w:pPr>
          </w:p>
        </w:tc>
        <w:tc>
          <w:tcPr>
            <w:tcW w:w="284" w:type="dxa"/>
            <w:tcMar>
              <w:left w:w="0" w:type="dxa"/>
              <w:right w:w="0" w:type="dxa"/>
            </w:tcMar>
          </w:tcPr>
          <w:p w14:paraId="4068F23D" w14:textId="77777777" w:rsidR="00814667" w:rsidRPr="00A50751" w:rsidRDefault="00814667">
            <w:pPr>
              <w:pStyle w:val="SingleParagraph"/>
              <w:rPr>
                <w:rFonts w:ascii="Book Antiqua" w:hAnsi="Book Antiqua"/>
                <w:lang w:val="en-GB"/>
              </w:rPr>
            </w:pPr>
          </w:p>
        </w:tc>
        <w:tc>
          <w:tcPr>
            <w:tcW w:w="4536" w:type="dxa"/>
          </w:tcPr>
          <w:p w14:paraId="1521E382" w14:textId="77777777" w:rsidR="00814667" w:rsidRPr="00A50751" w:rsidRDefault="00814667">
            <w:pPr>
              <w:pStyle w:val="SingleParagraph"/>
              <w:rPr>
                <w:rFonts w:ascii="Book Antiqua" w:hAnsi="Book Antiqua"/>
                <w:lang w:val="en-GB"/>
              </w:rPr>
            </w:pPr>
          </w:p>
        </w:tc>
      </w:tr>
      <w:tr w:rsidR="00814667" w:rsidRPr="00A50751" w14:paraId="482CCFB8" w14:textId="77777777">
        <w:trPr>
          <w:cantSplit/>
          <w:jc w:val="center"/>
        </w:trPr>
        <w:tc>
          <w:tcPr>
            <w:tcW w:w="4536" w:type="dxa"/>
          </w:tcPr>
          <w:p w14:paraId="36F2AFA6" w14:textId="77777777" w:rsidR="00503A54" w:rsidRPr="004A0AE7" w:rsidRDefault="00503A54" w:rsidP="00503A54">
            <w:pPr>
              <w:pStyle w:val="Signed"/>
            </w:pPr>
            <w:r>
              <w:rPr>
                <w:rStyle w:val="SignedBold"/>
              </w:rPr>
              <w:t>Signed</w:t>
            </w:r>
            <w:r w:rsidRPr="004A0AE7">
              <w:t xml:space="preserve"> for and on behalf of the</w:t>
            </w:r>
            <w:r w:rsidRPr="004A0AE7">
              <w:br/>
              <w:t xml:space="preserve">State of </w:t>
            </w:r>
            <w:r w:rsidR="007E4208">
              <w:t>Western Australia</w:t>
            </w:r>
            <w:r w:rsidRPr="004A0AE7">
              <w:t xml:space="preserve"> by</w:t>
            </w:r>
          </w:p>
          <w:p w14:paraId="174940B5" w14:textId="77777777" w:rsidR="00503A54" w:rsidRPr="00A50751" w:rsidRDefault="00503A54" w:rsidP="00503A54">
            <w:pPr>
              <w:pStyle w:val="LineForSignature"/>
            </w:pPr>
            <w:r w:rsidRPr="00A50751">
              <w:tab/>
            </w:r>
          </w:p>
          <w:p w14:paraId="70442B94" w14:textId="77777777" w:rsidR="00503A54" w:rsidRDefault="00503A54" w:rsidP="00503A54">
            <w:pPr>
              <w:pStyle w:val="SingleParagraph"/>
              <w:rPr>
                <w:rStyle w:val="Bold"/>
              </w:rPr>
            </w:pPr>
            <w:r>
              <w:rPr>
                <w:rStyle w:val="Bold"/>
              </w:rPr>
              <w:t xml:space="preserve">The Honourable </w:t>
            </w:r>
            <w:r w:rsidR="000C71D7">
              <w:rPr>
                <w:rStyle w:val="Bold"/>
              </w:rPr>
              <w:t xml:space="preserve">Paul Papalia </w:t>
            </w:r>
            <w:r>
              <w:rPr>
                <w:rStyle w:val="Bold"/>
              </w:rPr>
              <w:t>M</w:t>
            </w:r>
            <w:r w:rsidR="000C71D7">
              <w:rPr>
                <w:rStyle w:val="Bold"/>
              </w:rPr>
              <w:t>LA</w:t>
            </w:r>
          </w:p>
          <w:p w14:paraId="0248C614" w14:textId="77777777" w:rsidR="00503A54" w:rsidRDefault="00503A54" w:rsidP="00503A54">
            <w:pPr>
              <w:pStyle w:val="Position"/>
              <w:rPr>
                <w:lang w:val="en-GB"/>
              </w:rPr>
            </w:pPr>
            <w:r>
              <w:rPr>
                <w:lang w:val="en-GB"/>
              </w:rPr>
              <w:t xml:space="preserve">Minister for </w:t>
            </w:r>
            <w:r w:rsidR="000C71D7">
              <w:rPr>
                <w:lang w:val="en-GB"/>
              </w:rPr>
              <w:t>Tourism</w:t>
            </w:r>
          </w:p>
          <w:p w14:paraId="3CE3A3BD" w14:textId="77777777" w:rsidR="00814667" w:rsidRPr="00A50751" w:rsidRDefault="00503A54" w:rsidP="00503A54">
            <w:pPr>
              <w:pStyle w:val="SingleParagraph"/>
              <w:tabs>
                <w:tab w:val="num" w:pos="1134"/>
              </w:tabs>
              <w:spacing w:after="240"/>
              <w:ind w:left="1134" w:hanging="567"/>
              <w:rPr>
                <w:szCs w:val="22"/>
                <w:lang w:val="en-GB"/>
              </w:rPr>
            </w:pPr>
            <w:r w:rsidDel="00542A8C">
              <w:rPr>
                <w:lang w:val="en-GB"/>
              </w:rPr>
              <w:t xml:space="preserve"> </w:t>
            </w:r>
            <w:r>
              <w:rPr>
                <w:lang w:val="en-GB"/>
              </w:rPr>
              <w:t>[Day]  [Month]  [Year]</w:t>
            </w:r>
          </w:p>
        </w:tc>
        <w:tc>
          <w:tcPr>
            <w:tcW w:w="284" w:type="dxa"/>
            <w:tcMar>
              <w:left w:w="0" w:type="dxa"/>
              <w:right w:w="0" w:type="dxa"/>
            </w:tcMar>
          </w:tcPr>
          <w:p w14:paraId="040D6587" w14:textId="77777777" w:rsidR="00814667" w:rsidRPr="00A50751" w:rsidRDefault="00814667">
            <w:pPr>
              <w:rPr>
                <w:rFonts w:ascii="Book Antiqua" w:hAnsi="Book Antiqua"/>
                <w:lang w:val="en-GB"/>
              </w:rPr>
            </w:pPr>
          </w:p>
        </w:tc>
        <w:tc>
          <w:tcPr>
            <w:tcW w:w="4536" w:type="dxa"/>
          </w:tcPr>
          <w:p w14:paraId="10FCAAB0" w14:textId="77777777" w:rsidR="00814667" w:rsidRPr="00A50751" w:rsidRDefault="00814667">
            <w:pPr>
              <w:pStyle w:val="SingleParagraph"/>
              <w:tabs>
                <w:tab w:val="num" w:pos="1134"/>
              </w:tabs>
              <w:spacing w:after="240"/>
              <w:ind w:left="1134" w:hanging="567"/>
              <w:rPr>
                <w:lang w:val="en-GB"/>
              </w:rPr>
            </w:pPr>
          </w:p>
        </w:tc>
      </w:tr>
    </w:tbl>
    <w:p w14:paraId="7A299F01" w14:textId="77777777" w:rsidR="008843EE" w:rsidRDefault="008843EE" w:rsidP="0020144E"/>
    <w:sectPr w:rsidR="008843EE" w:rsidSect="00C606F6">
      <w:headerReference w:type="default" r:id="rId14"/>
      <w:footerReference w:type="default" r:id="rId15"/>
      <w:headerReference w:type="first" r:id="rId16"/>
      <w:footerReference w:type="first" r:id="rId17"/>
      <w:type w:val="oddPage"/>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DA304" w14:textId="77777777" w:rsidR="007F0314" w:rsidRDefault="007F0314">
      <w:r>
        <w:separator/>
      </w:r>
    </w:p>
  </w:endnote>
  <w:endnote w:type="continuationSeparator" w:id="0">
    <w:p w14:paraId="53A96400" w14:textId="77777777" w:rsidR="007F0314" w:rsidRDefault="007F0314">
      <w:r>
        <w:continuationSeparator/>
      </w:r>
    </w:p>
  </w:endnote>
  <w:endnote w:type="continuationNotice" w:id="1">
    <w:p w14:paraId="344B66F9" w14:textId="77777777" w:rsidR="007F0314" w:rsidRDefault="007F0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8FCA2" w14:textId="10DE2878" w:rsidR="00B8044F" w:rsidRDefault="00B8044F" w:rsidP="00DD37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E2E2F">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6A42B" w14:textId="7230DCE7" w:rsidR="00C9102C" w:rsidRDefault="00C9102C" w:rsidP="00751725">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F031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0F644" w14:textId="77777777" w:rsidR="007F0314" w:rsidRDefault="007F0314">
      <w:r>
        <w:separator/>
      </w:r>
    </w:p>
  </w:footnote>
  <w:footnote w:type="continuationSeparator" w:id="0">
    <w:p w14:paraId="1BAF6834" w14:textId="77777777" w:rsidR="007F0314" w:rsidRDefault="007F0314">
      <w:r>
        <w:continuationSeparator/>
      </w:r>
    </w:p>
  </w:footnote>
  <w:footnote w:type="continuationNotice" w:id="1">
    <w:p w14:paraId="54B8082B" w14:textId="77777777" w:rsidR="007F0314" w:rsidRDefault="007F03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02F21" w14:textId="4FCD31A2" w:rsidR="00A01F01" w:rsidRDefault="00A01F01" w:rsidP="00DD37B7">
    <w:pPr>
      <w:pStyle w:val="Header"/>
      <w:jc w:val="right"/>
    </w:pPr>
    <w:r>
      <w:rPr>
        <w:color w:val="800000"/>
      </w:rPr>
      <w:t xml:space="preserve">Project Agreement for </w:t>
    </w:r>
    <w:r w:rsidR="009F2C68">
      <w:rPr>
        <w:color w:val="800000"/>
      </w:rPr>
      <w:t>T</w:t>
    </w:r>
    <w:r w:rsidRPr="00A01F01">
      <w:rPr>
        <w:color w:val="800000"/>
      </w:rPr>
      <w:t xml:space="preserve">ourism </w:t>
    </w:r>
    <w:r w:rsidR="009F2C68">
      <w:rPr>
        <w:color w:val="800000"/>
      </w:rPr>
      <w:t>I</w:t>
    </w:r>
    <w:r w:rsidRPr="00A01F01">
      <w:rPr>
        <w:color w:val="800000"/>
      </w:rPr>
      <w:t>con package - upgrade of tourist facilities on Rottnest Island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A0695" w14:textId="10F7122F" w:rsidR="00C9102C" w:rsidRPr="00751725" w:rsidRDefault="00C9102C" w:rsidP="00A01F01">
    <w:pPr>
      <w:pStyle w:val="HeaderOdd"/>
      <w:tabs>
        <w:tab w:val="num" w:pos="1134"/>
      </w:tabs>
    </w:pPr>
    <w:r>
      <w:rPr>
        <w:color w:val="800000"/>
      </w:rPr>
      <w:t xml:space="preserve">Project Agreement for </w:t>
    </w:r>
    <w:r w:rsidR="00A01F01" w:rsidRPr="00A01F01">
      <w:rPr>
        <w:color w:val="800000"/>
      </w:rPr>
      <w:t>tourism icon package - upgrade of tourist facilities on Rottnest Island</w:t>
    </w:r>
    <w:r w:rsidR="00A01F01" w:rsidRPr="00A01F01" w:rsidDel="00A01F01">
      <w:rPr>
        <w:color w:val="8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1747632"/>
    <w:multiLevelType w:val="hybridMultilevel"/>
    <w:tmpl w:val="1FBCD710"/>
    <w:lvl w:ilvl="0" w:tplc="82D23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0CF843C9"/>
    <w:multiLevelType w:val="hybridMultilevel"/>
    <w:tmpl w:val="4FB2CC5A"/>
    <w:lvl w:ilvl="0" w:tplc="B54222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5F6BB8"/>
    <w:multiLevelType w:val="multilevel"/>
    <w:tmpl w:val="73ECACC0"/>
    <w:lvl w:ilvl="0">
      <w:start w:val="1"/>
      <w:numFmt w:val="lowerLetter"/>
      <w:lvlRestart w:val="0"/>
      <w:lvlText w:val="(%1)"/>
      <w:lvlJc w:val="left"/>
      <w:pPr>
        <w:tabs>
          <w:tab w:val="num" w:pos="1418"/>
        </w:tabs>
        <w:ind w:left="851"/>
      </w:pPr>
      <w:rPr>
        <w:rFonts w:cs="Times New Roman" w:hint="default"/>
        <w:b w:val="0"/>
        <w:i w:val="0"/>
        <w:color w:val="000000"/>
      </w:rPr>
    </w:lvl>
    <w:lvl w:ilvl="1">
      <w:start w:val="1"/>
      <w:numFmt w:val="decimal"/>
      <w:lvlText w:val="%2"/>
      <w:lvlJc w:val="left"/>
      <w:pPr>
        <w:tabs>
          <w:tab w:val="num" w:pos="1985"/>
        </w:tabs>
        <w:ind w:left="1985" w:hanging="567"/>
      </w:pPr>
      <w:rPr>
        <w:rFonts w:cs="Times New Roman" w:hint="default"/>
        <w:b w:val="0"/>
        <w:i w:val="0"/>
        <w:color w:val="000000"/>
      </w:rPr>
    </w:lvl>
    <w:lvl w:ilvl="2">
      <w:start w:val="1"/>
      <w:numFmt w:val="decimal"/>
      <w:lvlText w:val="%3"/>
      <w:lvlJc w:val="left"/>
      <w:pPr>
        <w:tabs>
          <w:tab w:val="num" w:pos="2552"/>
        </w:tabs>
        <w:ind w:left="2552" w:hanging="567"/>
      </w:pPr>
      <w:rPr>
        <w:rFonts w:cs="Times New Roman" w:hint="default"/>
        <w:b w:val="0"/>
        <w:i w:val="0"/>
        <w:color w:val="000000"/>
      </w:rPr>
    </w:lvl>
    <w:lvl w:ilvl="3">
      <w:start w:val="1"/>
      <w:numFmt w:val="decimal"/>
      <w:lvlText w:val="%4"/>
      <w:lvlJc w:val="left"/>
      <w:pPr>
        <w:tabs>
          <w:tab w:val="num" w:pos="3119"/>
        </w:tabs>
        <w:ind w:left="3119" w:hanging="567"/>
      </w:pPr>
      <w:rPr>
        <w:rFonts w:cs="Times New Roman" w:hint="default"/>
        <w:b w:val="0"/>
        <w:i w:val="0"/>
        <w:color w:val="000000"/>
      </w:rPr>
    </w:lvl>
    <w:lvl w:ilvl="4">
      <w:start w:val="1"/>
      <w:numFmt w:val="decimal"/>
      <w:lvlText w:val="%5"/>
      <w:lvlJc w:val="left"/>
      <w:pPr>
        <w:tabs>
          <w:tab w:val="num" w:pos="3686"/>
        </w:tabs>
        <w:ind w:left="3686" w:hanging="567"/>
      </w:pPr>
      <w:rPr>
        <w:rFonts w:cs="Times New Roman" w:hint="default"/>
        <w:b w:val="0"/>
        <w:i w:val="0"/>
        <w:color w:val="000000"/>
      </w:rPr>
    </w:lvl>
    <w:lvl w:ilvl="5">
      <w:start w:val="1"/>
      <w:numFmt w:val="decimal"/>
      <w:lvlText w:val="%6"/>
      <w:lvlJc w:val="left"/>
      <w:pPr>
        <w:tabs>
          <w:tab w:val="num" w:pos="4253"/>
        </w:tabs>
        <w:ind w:left="4253" w:hanging="567"/>
      </w:pPr>
      <w:rPr>
        <w:rFonts w:cs="Times New Roman" w:hint="default"/>
        <w:b w:val="0"/>
        <w:i w:val="0"/>
        <w:color w:val="000000"/>
      </w:rPr>
    </w:lvl>
    <w:lvl w:ilvl="6">
      <w:start w:val="1"/>
      <w:numFmt w:val="decimal"/>
      <w:lvlText w:val="%7"/>
      <w:lvlJc w:val="left"/>
      <w:pPr>
        <w:tabs>
          <w:tab w:val="num" w:pos="4820"/>
        </w:tabs>
        <w:ind w:left="4820" w:hanging="567"/>
      </w:pPr>
      <w:rPr>
        <w:rFonts w:cs="Times New Roman" w:hint="default"/>
        <w:b w:val="0"/>
        <w:i w:val="0"/>
        <w:color w:val="000000"/>
      </w:rPr>
    </w:lvl>
    <w:lvl w:ilvl="7">
      <w:start w:val="1"/>
      <w:numFmt w:val="decimal"/>
      <w:lvlText w:val="%8"/>
      <w:lvlJc w:val="left"/>
      <w:pPr>
        <w:tabs>
          <w:tab w:val="num" w:pos="5387"/>
        </w:tabs>
        <w:ind w:left="5387" w:hanging="567"/>
      </w:pPr>
      <w:rPr>
        <w:rFonts w:cs="Times New Roman" w:hint="default"/>
        <w:b w:val="0"/>
        <w:i w:val="0"/>
        <w:color w:val="000000"/>
      </w:rPr>
    </w:lvl>
    <w:lvl w:ilvl="8">
      <w:start w:val="1"/>
      <w:numFmt w:val="decimal"/>
      <w:lvlText w:val="%9"/>
      <w:lvlJc w:val="left"/>
      <w:pPr>
        <w:tabs>
          <w:tab w:val="num" w:pos="5954"/>
        </w:tabs>
        <w:ind w:left="5954" w:hanging="567"/>
      </w:pPr>
      <w:rPr>
        <w:rFonts w:cs="Times New Roman" w:hint="default"/>
        <w:b w:val="0"/>
        <w:i w:val="0"/>
        <w:color w:val="000000"/>
      </w:rPr>
    </w:lvl>
  </w:abstractNum>
  <w:abstractNum w:abstractNumId="5" w15:restartNumberingAfterBreak="0">
    <w:nsid w:val="171659B6"/>
    <w:multiLevelType w:val="hybridMultilevel"/>
    <w:tmpl w:val="BA7EFB90"/>
    <w:lvl w:ilvl="0" w:tplc="309E6D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841AC2"/>
    <w:multiLevelType w:val="hybridMultilevel"/>
    <w:tmpl w:val="B9A68486"/>
    <w:lvl w:ilvl="0" w:tplc="AEE64800">
      <w:start w:val="1"/>
      <w:numFmt w:val="lowerLetter"/>
      <w:lvlText w:val="(%1)"/>
      <w:lvlJc w:val="left"/>
      <w:pPr>
        <w:ind w:left="1440" w:hanging="720"/>
      </w:pPr>
      <w:rPr>
        <w:rFonts w:hint="default"/>
        <w:b w:val="0"/>
        <w:color w:val="auto"/>
        <w:sz w:val="23"/>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A945CFE"/>
    <w:multiLevelType w:val="hybridMultilevel"/>
    <w:tmpl w:val="744889AE"/>
    <w:lvl w:ilvl="0" w:tplc="ABA0B17C">
      <w:start w:val="1"/>
      <w:numFmt w:val="lowerLetter"/>
      <w:lvlText w:val="(%1)"/>
      <w:lvlJc w:val="left"/>
      <w:pPr>
        <w:ind w:left="1440" w:hanging="720"/>
      </w:pPr>
      <w:rPr>
        <w:rFonts w:hint="default"/>
        <w:b w:val="0"/>
        <w:color w:val="auto"/>
        <w:sz w:val="23"/>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E9744CE"/>
    <w:multiLevelType w:val="hybridMultilevel"/>
    <w:tmpl w:val="BA7EFB90"/>
    <w:lvl w:ilvl="0" w:tplc="309E6D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2"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3" w15:restartNumberingAfterBreak="0">
    <w:nsid w:val="26647E05"/>
    <w:multiLevelType w:val="hybridMultilevel"/>
    <w:tmpl w:val="1FBCD710"/>
    <w:lvl w:ilvl="0" w:tplc="82D23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5"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6" w15:restartNumberingAfterBreak="0">
    <w:nsid w:val="337255E3"/>
    <w:multiLevelType w:val="hybridMultilevel"/>
    <w:tmpl w:val="77465246"/>
    <w:lvl w:ilvl="0" w:tplc="309E6D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122536"/>
    <w:multiLevelType w:val="hybridMultilevel"/>
    <w:tmpl w:val="F2B0E14E"/>
    <w:lvl w:ilvl="0" w:tplc="2B0CC0BE">
      <w:start w:val="1"/>
      <w:numFmt w:val="lowerLetter"/>
      <w:lvlText w:val="(%1)"/>
      <w:lvlJc w:val="left"/>
      <w:pPr>
        <w:ind w:left="1080" w:hanging="720"/>
      </w:pPr>
      <w:rPr>
        <w:rFonts w:hint="default"/>
        <w:b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954455"/>
    <w:multiLevelType w:val="hybridMultilevel"/>
    <w:tmpl w:val="28D04010"/>
    <w:lvl w:ilvl="0" w:tplc="82D23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502CDE"/>
    <w:multiLevelType w:val="hybridMultilevel"/>
    <w:tmpl w:val="BF72E9FA"/>
    <w:lvl w:ilvl="0" w:tplc="0C09001B">
      <w:start w:val="1"/>
      <w:numFmt w:val="lowerRoman"/>
      <w:lvlText w:val="%1."/>
      <w:lvlJc w:val="right"/>
      <w:pPr>
        <w:ind w:left="1644" w:hanging="360"/>
      </w:pPr>
      <w:rPr>
        <w:rFonts w:cs="Times New Roman"/>
      </w:rPr>
    </w:lvl>
    <w:lvl w:ilvl="1" w:tplc="0C090019">
      <w:start w:val="1"/>
      <w:numFmt w:val="lowerLetter"/>
      <w:lvlText w:val="%2."/>
      <w:lvlJc w:val="left"/>
      <w:pPr>
        <w:ind w:left="2364" w:hanging="360"/>
      </w:pPr>
      <w:rPr>
        <w:rFonts w:cs="Times New Roman"/>
      </w:rPr>
    </w:lvl>
    <w:lvl w:ilvl="2" w:tplc="0C09001B">
      <w:start w:val="1"/>
      <w:numFmt w:val="lowerRoman"/>
      <w:lvlText w:val="%3."/>
      <w:lvlJc w:val="right"/>
      <w:pPr>
        <w:ind w:left="3084" w:hanging="180"/>
      </w:pPr>
      <w:rPr>
        <w:rFonts w:cs="Times New Roman"/>
      </w:rPr>
    </w:lvl>
    <w:lvl w:ilvl="3" w:tplc="0C09000F">
      <w:start w:val="1"/>
      <w:numFmt w:val="decimal"/>
      <w:lvlText w:val="%4."/>
      <w:lvlJc w:val="left"/>
      <w:pPr>
        <w:ind w:left="3804" w:hanging="360"/>
      </w:pPr>
      <w:rPr>
        <w:rFonts w:cs="Times New Roman"/>
      </w:rPr>
    </w:lvl>
    <w:lvl w:ilvl="4" w:tplc="0C090019">
      <w:start w:val="1"/>
      <w:numFmt w:val="lowerLetter"/>
      <w:lvlText w:val="%5."/>
      <w:lvlJc w:val="left"/>
      <w:pPr>
        <w:ind w:left="4524" w:hanging="360"/>
      </w:pPr>
      <w:rPr>
        <w:rFonts w:cs="Times New Roman"/>
      </w:rPr>
    </w:lvl>
    <w:lvl w:ilvl="5" w:tplc="0C09001B">
      <w:start w:val="1"/>
      <w:numFmt w:val="lowerRoman"/>
      <w:lvlText w:val="%6."/>
      <w:lvlJc w:val="right"/>
      <w:pPr>
        <w:ind w:left="5244" w:hanging="180"/>
      </w:pPr>
      <w:rPr>
        <w:rFonts w:cs="Times New Roman"/>
      </w:rPr>
    </w:lvl>
    <w:lvl w:ilvl="6" w:tplc="0C09000F">
      <w:start w:val="1"/>
      <w:numFmt w:val="decimal"/>
      <w:lvlText w:val="%7."/>
      <w:lvlJc w:val="left"/>
      <w:pPr>
        <w:ind w:left="5964" w:hanging="360"/>
      </w:pPr>
      <w:rPr>
        <w:rFonts w:cs="Times New Roman"/>
      </w:rPr>
    </w:lvl>
    <w:lvl w:ilvl="7" w:tplc="0C090019">
      <w:start w:val="1"/>
      <w:numFmt w:val="lowerLetter"/>
      <w:lvlText w:val="%8."/>
      <w:lvlJc w:val="left"/>
      <w:pPr>
        <w:ind w:left="6684" w:hanging="360"/>
      </w:pPr>
      <w:rPr>
        <w:rFonts w:cs="Times New Roman"/>
      </w:rPr>
    </w:lvl>
    <w:lvl w:ilvl="8" w:tplc="0C09001B">
      <w:start w:val="1"/>
      <w:numFmt w:val="lowerRoman"/>
      <w:lvlText w:val="%9."/>
      <w:lvlJc w:val="right"/>
      <w:pPr>
        <w:ind w:left="7404" w:hanging="180"/>
      </w:pPr>
      <w:rPr>
        <w:rFonts w:cs="Times New Roman"/>
      </w:rPr>
    </w:lvl>
  </w:abstractNum>
  <w:abstractNum w:abstractNumId="20" w15:restartNumberingAfterBreak="0">
    <w:nsid w:val="44CD23EC"/>
    <w:multiLevelType w:val="hybridMultilevel"/>
    <w:tmpl w:val="B024DCD4"/>
    <w:lvl w:ilvl="0" w:tplc="397CCE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3"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15:restartNumberingAfterBreak="0">
    <w:nsid w:val="58254050"/>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B70749"/>
    <w:multiLevelType w:val="multilevel"/>
    <w:tmpl w:val="73ECACC0"/>
    <w:lvl w:ilvl="0">
      <w:start w:val="1"/>
      <w:numFmt w:val="lowerLetter"/>
      <w:lvlRestart w:val="0"/>
      <w:lvlText w:val="(%1)"/>
      <w:lvlJc w:val="left"/>
      <w:pPr>
        <w:tabs>
          <w:tab w:val="num" w:pos="1418"/>
        </w:tabs>
        <w:ind w:left="851"/>
      </w:pPr>
      <w:rPr>
        <w:rFonts w:cs="Times New Roman" w:hint="default"/>
        <w:b w:val="0"/>
        <w:i w:val="0"/>
        <w:color w:val="000000"/>
      </w:rPr>
    </w:lvl>
    <w:lvl w:ilvl="1">
      <w:start w:val="1"/>
      <w:numFmt w:val="decimal"/>
      <w:lvlText w:val="%2"/>
      <w:lvlJc w:val="left"/>
      <w:pPr>
        <w:tabs>
          <w:tab w:val="num" w:pos="1985"/>
        </w:tabs>
        <w:ind w:left="1985" w:hanging="567"/>
      </w:pPr>
      <w:rPr>
        <w:rFonts w:cs="Times New Roman" w:hint="default"/>
        <w:b w:val="0"/>
        <w:i w:val="0"/>
        <w:color w:val="000000"/>
      </w:rPr>
    </w:lvl>
    <w:lvl w:ilvl="2">
      <w:start w:val="1"/>
      <w:numFmt w:val="decimal"/>
      <w:lvlText w:val="%3"/>
      <w:lvlJc w:val="left"/>
      <w:pPr>
        <w:tabs>
          <w:tab w:val="num" w:pos="2552"/>
        </w:tabs>
        <w:ind w:left="2552" w:hanging="567"/>
      </w:pPr>
      <w:rPr>
        <w:rFonts w:cs="Times New Roman" w:hint="default"/>
        <w:b w:val="0"/>
        <w:i w:val="0"/>
        <w:color w:val="000000"/>
      </w:rPr>
    </w:lvl>
    <w:lvl w:ilvl="3">
      <w:start w:val="1"/>
      <w:numFmt w:val="decimal"/>
      <w:lvlText w:val="%4"/>
      <w:lvlJc w:val="left"/>
      <w:pPr>
        <w:tabs>
          <w:tab w:val="num" w:pos="3119"/>
        </w:tabs>
        <w:ind w:left="3119" w:hanging="567"/>
      </w:pPr>
      <w:rPr>
        <w:rFonts w:cs="Times New Roman" w:hint="default"/>
        <w:b w:val="0"/>
        <w:i w:val="0"/>
        <w:color w:val="000000"/>
      </w:rPr>
    </w:lvl>
    <w:lvl w:ilvl="4">
      <w:start w:val="1"/>
      <w:numFmt w:val="decimal"/>
      <w:lvlText w:val="%5"/>
      <w:lvlJc w:val="left"/>
      <w:pPr>
        <w:tabs>
          <w:tab w:val="num" w:pos="3686"/>
        </w:tabs>
        <w:ind w:left="3686" w:hanging="567"/>
      </w:pPr>
      <w:rPr>
        <w:rFonts w:cs="Times New Roman" w:hint="default"/>
        <w:b w:val="0"/>
        <w:i w:val="0"/>
        <w:color w:val="000000"/>
      </w:rPr>
    </w:lvl>
    <w:lvl w:ilvl="5">
      <w:start w:val="1"/>
      <w:numFmt w:val="decimal"/>
      <w:lvlText w:val="%6"/>
      <w:lvlJc w:val="left"/>
      <w:pPr>
        <w:tabs>
          <w:tab w:val="num" w:pos="4253"/>
        </w:tabs>
        <w:ind w:left="4253" w:hanging="567"/>
      </w:pPr>
      <w:rPr>
        <w:rFonts w:cs="Times New Roman" w:hint="default"/>
        <w:b w:val="0"/>
        <w:i w:val="0"/>
        <w:color w:val="000000"/>
      </w:rPr>
    </w:lvl>
    <w:lvl w:ilvl="6">
      <w:start w:val="1"/>
      <w:numFmt w:val="decimal"/>
      <w:lvlText w:val="%7"/>
      <w:lvlJc w:val="left"/>
      <w:pPr>
        <w:tabs>
          <w:tab w:val="num" w:pos="4820"/>
        </w:tabs>
        <w:ind w:left="4820" w:hanging="567"/>
      </w:pPr>
      <w:rPr>
        <w:rFonts w:cs="Times New Roman" w:hint="default"/>
        <w:b w:val="0"/>
        <w:i w:val="0"/>
        <w:color w:val="000000"/>
      </w:rPr>
    </w:lvl>
    <w:lvl w:ilvl="7">
      <w:start w:val="1"/>
      <w:numFmt w:val="decimal"/>
      <w:lvlText w:val="%8"/>
      <w:lvlJc w:val="left"/>
      <w:pPr>
        <w:tabs>
          <w:tab w:val="num" w:pos="5387"/>
        </w:tabs>
        <w:ind w:left="5387" w:hanging="567"/>
      </w:pPr>
      <w:rPr>
        <w:rFonts w:cs="Times New Roman" w:hint="default"/>
        <w:b w:val="0"/>
        <w:i w:val="0"/>
        <w:color w:val="000000"/>
      </w:rPr>
    </w:lvl>
    <w:lvl w:ilvl="8">
      <w:start w:val="1"/>
      <w:numFmt w:val="decimal"/>
      <w:lvlText w:val="%9"/>
      <w:lvlJc w:val="left"/>
      <w:pPr>
        <w:tabs>
          <w:tab w:val="num" w:pos="5954"/>
        </w:tabs>
        <w:ind w:left="5954" w:hanging="567"/>
      </w:pPr>
      <w:rPr>
        <w:rFonts w:cs="Times New Roman" w:hint="default"/>
        <w:b w:val="0"/>
        <w:i w:val="0"/>
        <w:color w:val="000000"/>
      </w:rPr>
    </w:lvl>
  </w:abstractNum>
  <w:abstractNum w:abstractNumId="2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8" w15:restartNumberingAfterBreak="0">
    <w:nsid w:val="619A28C5"/>
    <w:multiLevelType w:val="hybridMultilevel"/>
    <w:tmpl w:val="BF72E9FA"/>
    <w:lvl w:ilvl="0" w:tplc="0C09001B">
      <w:start w:val="1"/>
      <w:numFmt w:val="lowerRoman"/>
      <w:lvlText w:val="%1."/>
      <w:lvlJc w:val="right"/>
      <w:pPr>
        <w:ind w:left="1644" w:hanging="360"/>
      </w:pPr>
      <w:rPr>
        <w:rFonts w:cs="Times New Roman"/>
      </w:rPr>
    </w:lvl>
    <w:lvl w:ilvl="1" w:tplc="0C090019">
      <w:start w:val="1"/>
      <w:numFmt w:val="lowerLetter"/>
      <w:lvlText w:val="%2."/>
      <w:lvlJc w:val="left"/>
      <w:pPr>
        <w:ind w:left="2364" w:hanging="360"/>
      </w:pPr>
      <w:rPr>
        <w:rFonts w:cs="Times New Roman"/>
      </w:rPr>
    </w:lvl>
    <w:lvl w:ilvl="2" w:tplc="0C09001B">
      <w:start w:val="1"/>
      <w:numFmt w:val="lowerRoman"/>
      <w:lvlText w:val="%3."/>
      <w:lvlJc w:val="right"/>
      <w:pPr>
        <w:ind w:left="3084" w:hanging="180"/>
      </w:pPr>
      <w:rPr>
        <w:rFonts w:cs="Times New Roman"/>
      </w:rPr>
    </w:lvl>
    <w:lvl w:ilvl="3" w:tplc="0C09000F">
      <w:start w:val="1"/>
      <w:numFmt w:val="decimal"/>
      <w:lvlText w:val="%4."/>
      <w:lvlJc w:val="left"/>
      <w:pPr>
        <w:ind w:left="3804" w:hanging="360"/>
      </w:pPr>
      <w:rPr>
        <w:rFonts w:cs="Times New Roman"/>
      </w:rPr>
    </w:lvl>
    <w:lvl w:ilvl="4" w:tplc="0C090019">
      <w:start w:val="1"/>
      <w:numFmt w:val="lowerLetter"/>
      <w:lvlText w:val="%5."/>
      <w:lvlJc w:val="left"/>
      <w:pPr>
        <w:ind w:left="4524" w:hanging="360"/>
      </w:pPr>
      <w:rPr>
        <w:rFonts w:cs="Times New Roman"/>
      </w:rPr>
    </w:lvl>
    <w:lvl w:ilvl="5" w:tplc="0C09001B">
      <w:start w:val="1"/>
      <w:numFmt w:val="lowerRoman"/>
      <w:lvlText w:val="%6."/>
      <w:lvlJc w:val="right"/>
      <w:pPr>
        <w:ind w:left="5244" w:hanging="180"/>
      </w:pPr>
      <w:rPr>
        <w:rFonts w:cs="Times New Roman"/>
      </w:rPr>
    </w:lvl>
    <w:lvl w:ilvl="6" w:tplc="0C09000F">
      <w:start w:val="1"/>
      <w:numFmt w:val="decimal"/>
      <w:lvlText w:val="%7."/>
      <w:lvlJc w:val="left"/>
      <w:pPr>
        <w:ind w:left="5964" w:hanging="360"/>
      </w:pPr>
      <w:rPr>
        <w:rFonts w:cs="Times New Roman"/>
      </w:rPr>
    </w:lvl>
    <w:lvl w:ilvl="7" w:tplc="0C090019">
      <w:start w:val="1"/>
      <w:numFmt w:val="lowerLetter"/>
      <w:lvlText w:val="%8."/>
      <w:lvlJc w:val="left"/>
      <w:pPr>
        <w:ind w:left="6684" w:hanging="360"/>
      </w:pPr>
      <w:rPr>
        <w:rFonts w:cs="Times New Roman"/>
      </w:rPr>
    </w:lvl>
    <w:lvl w:ilvl="8" w:tplc="0C09001B">
      <w:start w:val="1"/>
      <w:numFmt w:val="lowerRoman"/>
      <w:lvlText w:val="%9."/>
      <w:lvlJc w:val="right"/>
      <w:pPr>
        <w:ind w:left="7404" w:hanging="180"/>
      </w:pPr>
      <w:rPr>
        <w:rFonts w:cs="Times New Roman"/>
      </w:rPr>
    </w:lvl>
  </w:abstractNum>
  <w:abstractNum w:abstractNumId="29" w15:restartNumberingAfterBreak="0">
    <w:nsid w:val="65D26F92"/>
    <w:multiLevelType w:val="hybridMultilevel"/>
    <w:tmpl w:val="29D4FD5A"/>
    <w:lvl w:ilvl="0" w:tplc="95205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37480E"/>
    <w:multiLevelType w:val="hybridMultilevel"/>
    <w:tmpl w:val="BF72E9FA"/>
    <w:lvl w:ilvl="0" w:tplc="0C09001B">
      <w:start w:val="1"/>
      <w:numFmt w:val="lowerRoman"/>
      <w:lvlText w:val="%1."/>
      <w:lvlJc w:val="right"/>
      <w:pPr>
        <w:ind w:left="1644" w:hanging="360"/>
      </w:pPr>
      <w:rPr>
        <w:rFonts w:cs="Times New Roman"/>
      </w:rPr>
    </w:lvl>
    <w:lvl w:ilvl="1" w:tplc="0C090019">
      <w:start w:val="1"/>
      <w:numFmt w:val="lowerLetter"/>
      <w:lvlText w:val="%2."/>
      <w:lvlJc w:val="left"/>
      <w:pPr>
        <w:ind w:left="2364" w:hanging="360"/>
      </w:pPr>
      <w:rPr>
        <w:rFonts w:cs="Times New Roman"/>
      </w:rPr>
    </w:lvl>
    <w:lvl w:ilvl="2" w:tplc="0C09001B">
      <w:start w:val="1"/>
      <w:numFmt w:val="lowerRoman"/>
      <w:lvlText w:val="%3."/>
      <w:lvlJc w:val="right"/>
      <w:pPr>
        <w:ind w:left="3084" w:hanging="180"/>
      </w:pPr>
      <w:rPr>
        <w:rFonts w:cs="Times New Roman"/>
      </w:rPr>
    </w:lvl>
    <w:lvl w:ilvl="3" w:tplc="0C09000F">
      <w:start w:val="1"/>
      <w:numFmt w:val="decimal"/>
      <w:lvlText w:val="%4."/>
      <w:lvlJc w:val="left"/>
      <w:pPr>
        <w:ind w:left="3804" w:hanging="360"/>
      </w:pPr>
      <w:rPr>
        <w:rFonts w:cs="Times New Roman"/>
      </w:rPr>
    </w:lvl>
    <w:lvl w:ilvl="4" w:tplc="0C090019">
      <w:start w:val="1"/>
      <w:numFmt w:val="lowerLetter"/>
      <w:lvlText w:val="%5."/>
      <w:lvlJc w:val="left"/>
      <w:pPr>
        <w:ind w:left="4524" w:hanging="360"/>
      </w:pPr>
      <w:rPr>
        <w:rFonts w:cs="Times New Roman"/>
      </w:rPr>
    </w:lvl>
    <w:lvl w:ilvl="5" w:tplc="0C09001B">
      <w:start w:val="1"/>
      <w:numFmt w:val="lowerRoman"/>
      <w:lvlText w:val="%6."/>
      <w:lvlJc w:val="right"/>
      <w:pPr>
        <w:ind w:left="5244" w:hanging="180"/>
      </w:pPr>
      <w:rPr>
        <w:rFonts w:cs="Times New Roman"/>
      </w:rPr>
    </w:lvl>
    <w:lvl w:ilvl="6" w:tplc="0C09000F">
      <w:start w:val="1"/>
      <w:numFmt w:val="decimal"/>
      <w:lvlText w:val="%7."/>
      <w:lvlJc w:val="left"/>
      <w:pPr>
        <w:ind w:left="5964" w:hanging="360"/>
      </w:pPr>
      <w:rPr>
        <w:rFonts w:cs="Times New Roman"/>
      </w:rPr>
    </w:lvl>
    <w:lvl w:ilvl="7" w:tplc="0C090019">
      <w:start w:val="1"/>
      <w:numFmt w:val="lowerLetter"/>
      <w:lvlText w:val="%8."/>
      <w:lvlJc w:val="left"/>
      <w:pPr>
        <w:ind w:left="6684" w:hanging="360"/>
      </w:pPr>
      <w:rPr>
        <w:rFonts w:cs="Times New Roman"/>
      </w:rPr>
    </w:lvl>
    <w:lvl w:ilvl="8" w:tplc="0C09001B">
      <w:start w:val="1"/>
      <w:numFmt w:val="lowerRoman"/>
      <w:lvlText w:val="%9."/>
      <w:lvlJc w:val="right"/>
      <w:pPr>
        <w:ind w:left="7404" w:hanging="180"/>
      </w:pPr>
      <w:rPr>
        <w:rFonts w:cs="Times New Roman"/>
      </w:rPr>
    </w:lvl>
  </w:abstractNum>
  <w:abstractNum w:abstractNumId="31"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2" w15:restartNumberingAfterBreak="0">
    <w:nsid w:val="710647D0"/>
    <w:multiLevelType w:val="hybridMultilevel"/>
    <w:tmpl w:val="28D04010"/>
    <w:lvl w:ilvl="0" w:tplc="82D23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4"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2B3127"/>
    <w:multiLevelType w:val="hybridMultilevel"/>
    <w:tmpl w:val="E4E24268"/>
    <w:lvl w:ilvl="0" w:tplc="461AC5E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A70084"/>
    <w:multiLevelType w:val="hybridMultilevel"/>
    <w:tmpl w:val="EE246C1A"/>
    <w:lvl w:ilvl="0" w:tplc="D8D87E3C">
      <w:start w:val="1"/>
      <w:numFmt w:val="lowerLetter"/>
      <w:lvlText w:val="(%1)"/>
      <w:lvlJc w:val="left"/>
      <w:pPr>
        <w:ind w:left="924" w:hanging="360"/>
      </w:pPr>
    </w:lvl>
    <w:lvl w:ilvl="1" w:tplc="0C09001B">
      <w:start w:val="1"/>
      <w:numFmt w:val="lowerRoman"/>
      <w:lvlText w:val="%2."/>
      <w:lvlJc w:val="right"/>
      <w:pPr>
        <w:ind w:left="1644" w:hanging="360"/>
      </w:pPr>
    </w:lvl>
    <w:lvl w:ilvl="2" w:tplc="B9EAFA08">
      <w:numFmt w:val="bullet"/>
      <w:lvlText w:val="-"/>
      <w:lvlJc w:val="left"/>
      <w:pPr>
        <w:ind w:left="2544" w:hanging="360"/>
      </w:pPr>
      <w:rPr>
        <w:rFonts w:ascii="Calibri" w:eastAsia="SimSun" w:hAnsi="Calibri" w:cs="Calibri" w:hint="default"/>
      </w:rPr>
    </w:lvl>
    <w:lvl w:ilvl="3" w:tplc="0C09000F">
      <w:start w:val="1"/>
      <w:numFmt w:val="decimal"/>
      <w:lvlText w:val="%4."/>
      <w:lvlJc w:val="left"/>
      <w:pPr>
        <w:ind w:left="3084" w:hanging="360"/>
      </w:pPr>
    </w:lvl>
    <w:lvl w:ilvl="4" w:tplc="0C090019">
      <w:start w:val="1"/>
      <w:numFmt w:val="lowerLetter"/>
      <w:lvlText w:val="%5."/>
      <w:lvlJc w:val="left"/>
      <w:pPr>
        <w:ind w:left="3804" w:hanging="360"/>
      </w:pPr>
    </w:lvl>
    <w:lvl w:ilvl="5" w:tplc="0C09001B">
      <w:start w:val="1"/>
      <w:numFmt w:val="lowerRoman"/>
      <w:lvlText w:val="%6."/>
      <w:lvlJc w:val="right"/>
      <w:pPr>
        <w:ind w:left="4524" w:hanging="180"/>
      </w:pPr>
    </w:lvl>
    <w:lvl w:ilvl="6" w:tplc="0C09000F">
      <w:start w:val="1"/>
      <w:numFmt w:val="decimal"/>
      <w:lvlText w:val="%7."/>
      <w:lvlJc w:val="left"/>
      <w:pPr>
        <w:ind w:left="5244" w:hanging="360"/>
      </w:pPr>
    </w:lvl>
    <w:lvl w:ilvl="7" w:tplc="0C090019">
      <w:start w:val="1"/>
      <w:numFmt w:val="lowerLetter"/>
      <w:lvlText w:val="%8."/>
      <w:lvlJc w:val="left"/>
      <w:pPr>
        <w:ind w:left="5964" w:hanging="360"/>
      </w:pPr>
    </w:lvl>
    <w:lvl w:ilvl="8" w:tplc="0C09001B">
      <w:start w:val="1"/>
      <w:numFmt w:val="lowerRoman"/>
      <w:lvlText w:val="%9."/>
      <w:lvlJc w:val="right"/>
      <w:pPr>
        <w:ind w:left="6684" w:hanging="180"/>
      </w:p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22"/>
  </w:num>
  <w:num w:numId="8">
    <w:abstractNumId w:val="24"/>
  </w:num>
  <w:num w:numId="9">
    <w:abstractNumId w:val="7"/>
  </w:num>
  <w:num w:numId="10">
    <w:abstractNumId w:val="27"/>
  </w:num>
  <w:num w:numId="11">
    <w:abstractNumId w:val="9"/>
  </w:num>
  <w:num w:numId="12">
    <w:abstractNumId w:val="14"/>
  </w:num>
  <w:num w:numId="13">
    <w:abstractNumId w:val="34"/>
  </w:num>
  <w:num w:numId="14">
    <w:abstractNumId w:val="2"/>
  </w:num>
  <w:num w:numId="15">
    <w:abstractNumId w:val="23"/>
  </w:num>
  <w:num w:numId="16">
    <w:abstractNumId w:val="31"/>
  </w:num>
  <w:num w:numId="17">
    <w:abstractNumId w:val="21"/>
  </w:num>
  <w:num w:numId="18">
    <w:abstractNumId w:val="26"/>
  </w:num>
  <w:num w:numId="19">
    <w:abstractNumId w:val="33"/>
  </w:num>
  <w:num w:numId="20">
    <w:abstractNumId w:val="11"/>
  </w:num>
  <w:num w:numId="21">
    <w:abstractNumId w:val="1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8"/>
  </w:num>
  <w:num w:numId="26">
    <w:abstractNumId w:val="28"/>
  </w:num>
  <w:num w:numId="27">
    <w:abstractNumId w:val="1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
  </w:num>
  <w:num w:numId="31">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5"/>
  </w:num>
  <w:num w:numId="34">
    <w:abstractNumId w:val="8"/>
  </w:num>
  <w:num w:numId="35">
    <w:abstractNumId w:val="6"/>
  </w:num>
  <w:num w:numId="36">
    <w:abstractNumId w:val="17"/>
  </w:num>
  <w:num w:numId="37">
    <w:abstractNumId w:val="18"/>
  </w:num>
  <w:num w:numId="38">
    <w:abstractNumId w:val="1"/>
  </w:num>
  <w:num w:numId="39">
    <w:abstractNumId w:val="20"/>
  </w:num>
  <w:num w:numId="40">
    <w:abstractNumId w:val="32"/>
  </w:num>
  <w:num w:numId="41">
    <w:abstractNumId w:val="3"/>
  </w:num>
  <w:num w:numId="42">
    <w:abstractNumId w:val="10"/>
  </w:num>
  <w:num w:numId="43">
    <w:abstractNumId w:val="5"/>
  </w:num>
  <w:num w:numId="44">
    <w:abstractNumId w:val="16"/>
  </w:num>
  <w:num w:numId="45">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5A5D"/>
    <w:rsid w:val="000076D9"/>
    <w:rsid w:val="00021708"/>
    <w:rsid w:val="00030CB2"/>
    <w:rsid w:val="000322A1"/>
    <w:rsid w:val="00033AE4"/>
    <w:rsid w:val="00033D9B"/>
    <w:rsid w:val="000343F1"/>
    <w:rsid w:val="00044700"/>
    <w:rsid w:val="0006051B"/>
    <w:rsid w:val="000614F9"/>
    <w:rsid w:val="0006451A"/>
    <w:rsid w:val="0006551D"/>
    <w:rsid w:val="00065679"/>
    <w:rsid w:val="0007004C"/>
    <w:rsid w:val="000720BC"/>
    <w:rsid w:val="000724F6"/>
    <w:rsid w:val="00074611"/>
    <w:rsid w:val="00074A62"/>
    <w:rsid w:val="00086712"/>
    <w:rsid w:val="00091A89"/>
    <w:rsid w:val="00091DF8"/>
    <w:rsid w:val="00093CB6"/>
    <w:rsid w:val="00093DD8"/>
    <w:rsid w:val="00097794"/>
    <w:rsid w:val="000A0C9E"/>
    <w:rsid w:val="000A5191"/>
    <w:rsid w:val="000B4080"/>
    <w:rsid w:val="000B7685"/>
    <w:rsid w:val="000C714F"/>
    <w:rsid w:val="000C71D7"/>
    <w:rsid w:val="000D067C"/>
    <w:rsid w:val="000D19D8"/>
    <w:rsid w:val="000D1C37"/>
    <w:rsid w:val="000D4377"/>
    <w:rsid w:val="000E075D"/>
    <w:rsid w:val="000E2AF6"/>
    <w:rsid w:val="000E36B7"/>
    <w:rsid w:val="000E3C70"/>
    <w:rsid w:val="000E48C3"/>
    <w:rsid w:val="000F0880"/>
    <w:rsid w:val="000F25D5"/>
    <w:rsid w:val="000F6CF6"/>
    <w:rsid w:val="00103FD6"/>
    <w:rsid w:val="001065EE"/>
    <w:rsid w:val="00110F5D"/>
    <w:rsid w:val="00112F1E"/>
    <w:rsid w:val="001134AC"/>
    <w:rsid w:val="00115099"/>
    <w:rsid w:val="00115166"/>
    <w:rsid w:val="00115A97"/>
    <w:rsid w:val="00120B26"/>
    <w:rsid w:val="00122DBA"/>
    <w:rsid w:val="001262B5"/>
    <w:rsid w:val="00132587"/>
    <w:rsid w:val="001404A9"/>
    <w:rsid w:val="00140F43"/>
    <w:rsid w:val="00145D5C"/>
    <w:rsid w:val="00151133"/>
    <w:rsid w:val="001518E4"/>
    <w:rsid w:val="00160506"/>
    <w:rsid w:val="0016131F"/>
    <w:rsid w:val="001629FA"/>
    <w:rsid w:val="00165CAB"/>
    <w:rsid w:val="00166312"/>
    <w:rsid w:val="00167BB8"/>
    <w:rsid w:val="00171E98"/>
    <w:rsid w:val="00172360"/>
    <w:rsid w:val="00172E3A"/>
    <w:rsid w:val="00173F81"/>
    <w:rsid w:val="00174C2A"/>
    <w:rsid w:val="00175FB9"/>
    <w:rsid w:val="00177A0A"/>
    <w:rsid w:val="00180F76"/>
    <w:rsid w:val="00183EAB"/>
    <w:rsid w:val="001853C9"/>
    <w:rsid w:val="00185CC1"/>
    <w:rsid w:val="00187BEB"/>
    <w:rsid w:val="001931E8"/>
    <w:rsid w:val="00194232"/>
    <w:rsid w:val="00194587"/>
    <w:rsid w:val="001A0E75"/>
    <w:rsid w:val="001A1422"/>
    <w:rsid w:val="001A14C1"/>
    <w:rsid w:val="001A3A9A"/>
    <w:rsid w:val="001A3F52"/>
    <w:rsid w:val="001A4093"/>
    <w:rsid w:val="001A79C1"/>
    <w:rsid w:val="001A7A15"/>
    <w:rsid w:val="001B19A0"/>
    <w:rsid w:val="001B1CA3"/>
    <w:rsid w:val="001B447F"/>
    <w:rsid w:val="001B580E"/>
    <w:rsid w:val="001B7933"/>
    <w:rsid w:val="001C346E"/>
    <w:rsid w:val="001C3717"/>
    <w:rsid w:val="001C5CC5"/>
    <w:rsid w:val="001C5DF7"/>
    <w:rsid w:val="001D2C27"/>
    <w:rsid w:val="001D3CAD"/>
    <w:rsid w:val="001D6E9A"/>
    <w:rsid w:val="001E20EC"/>
    <w:rsid w:val="001E4479"/>
    <w:rsid w:val="001E7173"/>
    <w:rsid w:val="001E74D0"/>
    <w:rsid w:val="001E7803"/>
    <w:rsid w:val="001F1D48"/>
    <w:rsid w:val="001F5703"/>
    <w:rsid w:val="001F6F39"/>
    <w:rsid w:val="001F6FE8"/>
    <w:rsid w:val="0020144E"/>
    <w:rsid w:val="00205E18"/>
    <w:rsid w:val="00206773"/>
    <w:rsid w:val="002069F9"/>
    <w:rsid w:val="00206F01"/>
    <w:rsid w:val="00212869"/>
    <w:rsid w:val="00221308"/>
    <w:rsid w:val="00222C97"/>
    <w:rsid w:val="00225761"/>
    <w:rsid w:val="002267F0"/>
    <w:rsid w:val="00233835"/>
    <w:rsid w:val="002350A3"/>
    <w:rsid w:val="00241EE9"/>
    <w:rsid w:val="00242D94"/>
    <w:rsid w:val="00244500"/>
    <w:rsid w:val="00247D45"/>
    <w:rsid w:val="00252551"/>
    <w:rsid w:val="00261ABA"/>
    <w:rsid w:val="00262E18"/>
    <w:rsid w:val="0026571E"/>
    <w:rsid w:val="00281874"/>
    <w:rsid w:val="00282C25"/>
    <w:rsid w:val="00283581"/>
    <w:rsid w:val="00284884"/>
    <w:rsid w:val="00285003"/>
    <w:rsid w:val="002869F5"/>
    <w:rsid w:val="00287DCC"/>
    <w:rsid w:val="00291CF1"/>
    <w:rsid w:val="00292110"/>
    <w:rsid w:val="00292587"/>
    <w:rsid w:val="002A143D"/>
    <w:rsid w:val="002A3DE9"/>
    <w:rsid w:val="002A493A"/>
    <w:rsid w:val="002A530A"/>
    <w:rsid w:val="002A5884"/>
    <w:rsid w:val="002A6981"/>
    <w:rsid w:val="002B1C50"/>
    <w:rsid w:val="002B207C"/>
    <w:rsid w:val="002B7922"/>
    <w:rsid w:val="002B7E1B"/>
    <w:rsid w:val="002C2529"/>
    <w:rsid w:val="002C2A03"/>
    <w:rsid w:val="002C62B3"/>
    <w:rsid w:val="002C7620"/>
    <w:rsid w:val="002D122C"/>
    <w:rsid w:val="002D7CF9"/>
    <w:rsid w:val="002E144A"/>
    <w:rsid w:val="002E2DE2"/>
    <w:rsid w:val="002E4B66"/>
    <w:rsid w:val="002F576E"/>
    <w:rsid w:val="002F5B29"/>
    <w:rsid w:val="002F5B54"/>
    <w:rsid w:val="002F5C6C"/>
    <w:rsid w:val="002F7E40"/>
    <w:rsid w:val="003012DA"/>
    <w:rsid w:val="00307C5C"/>
    <w:rsid w:val="00312CFE"/>
    <w:rsid w:val="00313480"/>
    <w:rsid w:val="00313C98"/>
    <w:rsid w:val="00313FD9"/>
    <w:rsid w:val="003155BD"/>
    <w:rsid w:val="003165EF"/>
    <w:rsid w:val="003177B9"/>
    <w:rsid w:val="00321E0A"/>
    <w:rsid w:val="00333506"/>
    <w:rsid w:val="00340987"/>
    <w:rsid w:val="003410AA"/>
    <w:rsid w:val="00341D6F"/>
    <w:rsid w:val="0034465F"/>
    <w:rsid w:val="003527AD"/>
    <w:rsid w:val="00352A6B"/>
    <w:rsid w:val="00352EC1"/>
    <w:rsid w:val="00361054"/>
    <w:rsid w:val="0036119D"/>
    <w:rsid w:val="003637A0"/>
    <w:rsid w:val="0036474E"/>
    <w:rsid w:val="00364CF3"/>
    <w:rsid w:val="00365CAA"/>
    <w:rsid w:val="00367EAB"/>
    <w:rsid w:val="00372573"/>
    <w:rsid w:val="00377AB2"/>
    <w:rsid w:val="003877C3"/>
    <w:rsid w:val="0039283B"/>
    <w:rsid w:val="00396EA4"/>
    <w:rsid w:val="003A2157"/>
    <w:rsid w:val="003A3363"/>
    <w:rsid w:val="003A3905"/>
    <w:rsid w:val="003A3CC1"/>
    <w:rsid w:val="003A6635"/>
    <w:rsid w:val="003A6B0E"/>
    <w:rsid w:val="003A78C6"/>
    <w:rsid w:val="003B5562"/>
    <w:rsid w:val="003B6363"/>
    <w:rsid w:val="003B737F"/>
    <w:rsid w:val="003C0CF7"/>
    <w:rsid w:val="003C2E5D"/>
    <w:rsid w:val="003C539E"/>
    <w:rsid w:val="003C59E0"/>
    <w:rsid w:val="003C6F2A"/>
    <w:rsid w:val="003D743C"/>
    <w:rsid w:val="003E33BA"/>
    <w:rsid w:val="003E6BA0"/>
    <w:rsid w:val="003E73DB"/>
    <w:rsid w:val="003E761E"/>
    <w:rsid w:val="003F0ADC"/>
    <w:rsid w:val="003F5256"/>
    <w:rsid w:val="003F59E6"/>
    <w:rsid w:val="003F5BE6"/>
    <w:rsid w:val="003F6C00"/>
    <w:rsid w:val="004120B1"/>
    <w:rsid w:val="00413E74"/>
    <w:rsid w:val="0041421D"/>
    <w:rsid w:val="0041490D"/>
    <w:rsid w:val="00414A5C"/>
    <w:rsid w:val="004156B4"/>
    <w:rsid w:val="0041697F"/>
    <w:rsid w:val="00420235"/>
    <w:rsid w:val="004223AA"/>
    <w:rsid w:val="00423104"/>
    <w:rsid w:val="004267D3"/>
    <w:rsid w:val="00427E2A"/>
    <w:rsid w:val="00433E65"/>
    <w:rsid w:val="004374B2"/>
    <w:rsid w:val="00442AB8"/>
    <w:rsid w:val="004436EA"/>
    <w:rsid w:val="0044456C"/>
    <w:rsid w:val="004471D3"/>
    <w:rsid w:val="00450B39"/>
    <w:rsid w:val="00453BC6"/>
    <w:rsid w:val="00454498"/>
    <w:rsid w:val="00456C59"/>
    <w:rsid w:val="00472678"/>
    <w:rsid w:val="00473CB2"/>
    <w:rsid w:val="00477931"/>
    <w:rsid w:val="00490198"/>
    <w:rsid w:val="00490E28"/>
    <w:rsid w:val="00497362"/>
    <w:rsid w:val="00497C77"/>
    <w:rsid w:val="004A0AE7"/>
    <w:rsid w:val="004A3BF3"/>
    <w:rsid w:val="004A523F"/>
    <w:rsid w:val="004A6062"/>
    <w:rsid w:val="004A673A"/>
    <w:rsid w:val="004A770F"/>
    <w:rsid w:val="004B0813"/>
    <w:rsid w:val="004B136A"/>
    <w:rsid w:val="004B1F38"/>
    <w:rsid w:val="004B21C5"/>
    <w:rsid w:val="004B2EF6"/>
    <w:rsid w:val="004B34A6"/>
    <w:rsid w:val="004B5612"/>
    <w:rsid w:val="004B5AA7"/>
    <w:rsid w:val="004B6083"/>
    <w:rsid w:val="004B6927"/>
    <w:rsid w:val="004B7E5C"/>
    <w:rsid w:val="004C3CC4"/>
    <w:rsid w:val="004C4D5E"/>
    <w:rsid w:val="004C6C9E"/>
    <w:rsid w:val="004D11ED"/>
    <w:rsid w:val="004D310E"/>
    <w:rsid w:val="004D37D8"/>
    <w:rsid w:val="004D4B81"/>
    <w:rsid w:val="004F5DCD"/>
    <w:rsid w:val="004F6B2B"/>
    <w:rsid w:val="005005DF"/>
    <w:rsid w:val="00503A54"/>
    <w:rsid w:val="00505045"/>
    <w:rsid w:val="00510A96"/>
    <w:rsid w:val="00510B96"/>
    <w:rsid w:val="00511501"/>
    <w:rsid w:val="00511B5B"/>
    <w:rsid w:val="0051510B"/>
    <w:rsid w:val="00515AF2"/>
    <w:rsid w:val="0051640E"/>
    <w:rsid w:val="00516741"/>
    <w:rsid w:val="0051684E"/>
    <w:rsid w:val="00527ABC"/>
    <w:rsid w:val="0054193D"/>
    <w:rsid w:val="00542A8C"/>
    <w:rsid w:val="00542D59"/>
    <w:rsid w:val="00543637"/>
    <w:rsid w:val="00545DF7"/>
    <w:rsid w:val="00546CA2"/>
    <w:rsid w:val="005539F5"/>
    <w:rsid w:val="0055415C"/>
    <w:rsid w:val="00554AAC"/>
    <w:rsid w:val="0055503F"/>
    <w:rsid w:val="005572D7"/>
    <w:rsid w:val="00563797"/>
    <w:rsid w:val="005651B5"/>
    <w:rsid w:val="00566234"/>
    <w:rsid w:val="0057262B"/>
    <w:rsid w:val="005815B3"/>
    <w:rsid w:val="00582A03"/>
    <w:rsid w:val="005871ED"/>
    <w:rsid w:val="00587E37"/>
    <w:rsid w:val="00593821"/>
    <w:rsid w:val="00596E88"/>
    <w:rsid w:val="00597CBD"/>
    <w:rsid w:val="005A0969"/>
    <w:rsid w:val="005A5E7A"/>
    <w:rsid w:val="005B0DEF"/>
    <w:rsid w:val="005B2A03"/>
    <w:rsid w:val="005B371A"/>
    <w:rsid w:val="005B4C1B"/>
    <w:rsid w:val="005C2684"/>
    <w:rsid w:val="005C2DDC"/>
    <w:rsid w:val="005C5620"/>
    <w:rsid w:val="005C578C"/>
    <w:rsid w:val="005D02A0"/>
    <w:rsid w:val="005D1F0F"/>
    <w:rsid w:val="005D29DB"/>
    <w:rsid w:val="005D41F9"/>
    <w:rsid w:val="005E4143"/>
    <w:rsid w:val="005E724B"/>
    <w:rsid w:val="00601F7C"/>
    <w:rsid w:val="00602A48"/>
    <w:rsid w:val="00602EF7"/>
    <w:rsid w:val="00606305"/>
    <w:rsid w:val="00606F11"/>
    <w:rsid w:val="00607B03"/>
    <w:rsid w:val="0061059D"/>
    <w:rsid w:val="00610E88"/>
    <w:rsid w:val="0061326F"/>
    <w:rsid w:val="00614393"/>
    <w:rsid w:val="006146F2"/>
    <w:rsid w:val="00614C00"/>
    <w:rsid w:val="00623567"/>
    <w:rsid w:val="006412B5"/>
    <w:rsid w:val="00641932"/>
    <w:rsid w:val="00644083"/>
    <w:rsid w:val="0064429B"/>
    <w:rsid w:val="0064477C"/>
    <w:rsid w:val="00650903"/>
    <w:rsid w:val="006650A8"/>
    <w:rsid w:val="006679C0"/>
    <w:rsid w:val="00680ED5"/>
    <w:rsid w:val="00681956"/>
    <w:rsid w:val="00682FBA"/>
    <w:rsid w:val="00683370"/>
    <w:rsid w:val="00684EC1"/>
    <w:rsid w:val="006903F9"/>
    <w:rsid w:val="006923C8"/>
    <w:rsid w:val="00696AB4"/>
    <w:rsid w:val="00697494"/>
    <w:rsid w:val="006976BF"/>
    <w:rsid w:val="006A05D7"/>
    <w:rsid w:val="006A4628"/>
    <w:rsid w:val="006A6835"/>
    <w:rsid w:val="006B1B63"/>
    <w:rsid w:val="006B3F39"/>
    <w:rsid w:val="006B4213"/>
    <w:rsid w:val="006B43AF"/>
    <w:rsid w:val="006B4DF0"/>
    <w:rsid w:val="006C1013"/>
    <w:rsid w:val="006C163A"/>
    <w:rsid w:val="006C228B"/>
    <w:rsid w:val="006C2931"/>
    <w:rsid w:val="006D466E"/>
    <w:rsid w:val="006D4B70"/>
    <w:rsid w:val="006D4C35"/>
    <w:rsid w:val="006D7A92"/>
    <w:rsid w:val="006E3B48"/>
    <w:rsid w:val="006E6184"/>
    <w:rsid w:val="006E631B"/>
    <w:rsid w:val="006F096A"/>
    <w:rsid w:val="006F22E3"/>
    <w:rsid w:val="006F3095"/>
    <w:rsid w:val="006F5455"/>
    <w:rsid w:val="006F5CB6"/>
    <w:rsid w:val="006F79D3"/>
    <w:rsid w:val="00703194"/>
    <w:rsid w:val="007069A5"/>
    <w:rsid w:val="00706E50"/>
    <w:rsid w:val="0070737C"/>
    <w:rsid w:val="00711229"/>
    <w:rsid w:val="00715018"/>
    <w:rsid w:val="007179FE"/>
    <w:rsid w:val="00717F25"/>
    <w:rsid w:val="007201B1"/>
    <w:rsid w:val="007201D7"/>
    <w:rsid w:val="00724E14"/>
    <w:rsid w:val="00725AD5"/>
    <w:rsid w:val="00726DB5"/>
    <w:rsid w:val="00726EB4"/>
    <w:rsid w:val="00731945"/>
    <w:rsid w:val="007320DE"/>
    <w:rsid w:val="007363DE"/>
    <w:rsid w:val="0073698D"/>
    <w:rsid w:val="00736C0B"/>
    <w:rsid w:val="007402E1"/>
    <w:rsid w:val="00744D93"/>
    <w:rsid w:val="00746531"/>
    <w:rsid w:val="00750F59"/>
    <w:rsid w:val="00751725"/>
    <w:rsid w:val="00752028"/>
    <w:rsid w:val="0075450A"/>
    <w:rsid w:val="0075717D"/>
    <w:rsid w:val="00757FD2"/>
    <w:rsid w:val="0076017E"/>
    <w:rsid w:val="00760DB6"/>
    <w:rsid w:val="0076361C"/>
    <w:rsid w:val="00763BD4"/>
    <w:rsid w:val="007661AE"/>
    <w:rsid w:val="00766A51"/>
    <w:rsid w:val="00771FFF"/>
    <w:rsid w:val="00772818"/>
    <w:rsid w:val="0077685D"/>
    <w:rsid w:val="0077788E"/>
    <w:rsid w:val="00784439"/>
    <w:rsid w:val="00785663"/>
    <w:rsid w:val="00787E75"/>
    <w:rsid w:val="00797257"/>
    <w:rsid w:val="007A3157"/>
    <w:rsid w:val="007A6E20"/>
    <w:rsid w:val="007B10ED"/>
    <w:rsid w:val="007B2B2E"/>
    <w:rsid w:val="007B3BFC"/>
    <w:rsid w:val="007B4B03"/>
    <w:rsid w:val="007C4F31"/>
    <w:rsid w:val="007E4208"/>
    <w:rsid w:val="007E5257"/>
    <w:rsid w:val="007E5391"/>
    <w:rsid w:val="007F0314"/>
    <w:rsid w:val="007F40BE"/>
    <w:rsid w:val="007F4EF5"/>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5C7D"/>
    <w:rsid w:val="0085738D"/>
    <w:rsid w:val="00862395"/>
    <w:rsid w:val="00864B60"/>
    <w:rsid w:val="00864DD3"/>
    <w:rsid w:val="00866AD0"/>
    <w:rsid w:val="008708D6"/>
    <w:rsid w:val="00874608"/>
    <w:rsid w:val="008760D0"/>
    <w:rsid w:val="00881317"/>
    <w:rsid w:val="008843EE"/>
    <w:rsid w:val="00886DC6"/>
    <w:rsid w:val="00892CA4"/>
    <w:rsid w:val="00896477"/>
    <w:rsid w:val="00896BD6"/>
    <w:rsid w:val="00896F5A"/>
    <w:rsid w:val="008A3C37"/>
    <w:rsid w:val="008B1840"/>
    <w:rsid w:val="008B70D3"/>
    <w:rsid w:val="008B73A2"/>
    <w:rsid w:val="008B7FE2"/>
    <w:rsid w:val="008C0BBA"/>
    <w:rsid w:val="008C2450"/>
    <w:rsid w:val="008C7817"/>
    <w:rsid w:val="008C7F5B"/>
    <w:rsid w:val="008D079A"/>
    <w:rsid w:val="008D1492"/>
    <w:rsid w:val="008D2F40"/>
    <w:rsid w:val="008D49DE"/>
    <w:rsid w:val="008D5B52"/>
    <w:rsid w:val="008D5C3A"/>
    <w:rsid w:val="008D6553"/>
    <w:rsid w:val="008E0AD6"/>
    <w:rsid w:val="008E4209"/>
    <w:rsid w:val="008E48FC"/>
    <w:rsid w:val="008E55BD"/>
    <w:rsid w:val="008E7527"/>
    <w:rsid w:val="008F2AD6"/>
    <w:rsid w:val="008F44F1"/>
    <w:rsid w:val="008F4BA8"/>
    <w:rsid w:val="008F5C07"/>
    <w:rsid w:val="008F696D"/>
    <w:rsid w:val="008F7777"/>
    <w:rsid w:val="00901CF5"/>
    <w:rsid w:val="00901F53"/>
    <w:rsid w:val="00906431"/>
    <w:rsid w:val="009115AF"/>
    <w:rsid w:val="00912322"/>
    <w:rsid w:val="00913276"/>
    <w:rsid w:val="009221DF"/>
    <w:rsid w:val="009224FD"/>
    <w:rsid w:val="0093296C"/>
    <w:rsid w:val="00935CC7"/>
    <w:rsid w:val="0094002F"/>
    <w:rsid w:val="0094129D"/>
    <w:rsid w:val="00941BB7"/>
    <w:rsid w:val="00944760"/>
    <w:rsid w:val="00946A91"/>
    <w:rsid w:val="00946AE5"/>
    <w:rsid w:val="00950865"/>
    <w:rsid w:val="00951BAD"/>
    <w:rsid w:val="0095223D"/>
    <w:rsid w:val="009526E4"/>
    <w:rsid w:val="00953AA1"/>
    <w:rsid w:val="00954B44"/>
    <w:rsid w:val="009644B8"/>
    <w:rsid w:val="0096732C"/>
    <w:rsid w:val="009703B6"/>
    <w:rsid w:val="00971A4C"/>
    <w:rsid w:val="00971F3B"/>
    <w:rsid w:val="00975EB5"/>
    <w:rsid w:val="00983979"/>
    <w:rsid w:val="00983DC2"/>
    <w:rsid w:val="00983DF0"/>
    <w:rsid w:val="0099349A"/>
    <w:rsid w:val="0099742A"/>
    <w:rsid w:val="009A0446"/>
    <w:rsid w:val="009A062C"/>
    <w:rsid w:val="009A48AF"/>
    <w:rsid w:val="009A522D"/>
    <w:rsid w:val="009B0C68"/>
    <w:rsid w:val="009B3F77"/>
    <w:rsid w:val="009B5132"/>
    <w:rsid w:val="009C1486"/>
    <w:rsid w:val="009C166A"/>
    <w:rsid w:val="009C2059"/>
    <w:rsid w:val="009C6FFB"/>
    <w:rsid w:val="009C7EF5"/>
    <w:rsid w:val="009D0C93"/>
    <w:rsid w:val="009D2FAC"/>
    <w:rsid w:val="009E093C"/>
    <w:rsid w:val="009E1311"/>
    <w:rsid w:val="009E151E"/>
    <w:rsid w:val="009E3ACF"/>
    <w:rsid w:val="009E5DB6"/>
    <w:rsid w:val="009F2C68"/>
    <w:rsid w:val="009F777E"/>
    <w:rsid w:val="009F7F52"/>
    <w:rsid w:val="00A01F01"/>
    <w:rsid w:val="00A0202C"/>
    <w:rsid w:val="00A0227E"/>
    <w:rsid w:val="00A05C1E"/>
    <w:rsid w:val="00A0603F"/>
    <w:rsid w:val="00A112E6"/>
    <w:rsid w:val="00A14966"/>
    <w:rsid w:val="00A15CAB"/>
    <w:rsid w:val="00A16E8F"/>
    <w:rsid w:val="00A17CCB"/>
    <w:rsid w:val="00A201DE"/>
    <w:rsid w:val="00A211A9"/>
    <w:rsid w:val="00A2422A"/>
    <w:rsid w:val="00A25265"/>
    <w:rsid w:val="00A26FC8"/>
    <w:rsid w:val="00A303A1"/>
    <w:rsid w:val="00A42386"/>
    <w:rsid w:val="00A50719"/>
    <w:rsid w:val="00A50751"/>
    <w:rsid w:val="00A50E72"/>
    <w:rsid w:val="00A54B81"/>
    <w:rsid w:val="00A54BE7"/>
    <w:rsid w:val="00A564EB"/>
    <w:rsid w:val="00A6500A"/>
    <w:rsid w:val="00A65333"/>
    <w:rsid w:val="00A6719E"/>
    <w:rsid w:val="00A70B30"/>
    <w:rsid w:val="00A739F1"/>
    <w:rsid w:val="00A758DE"/>
    <w:rsid w:val="00A776DC"/>
    <w:rsid w:val="00A8189A"/>
    <w:rsid w:val="00A81C2E"/>
    <w:rsid w:val="00A81EC4"/>
    <w:rsid w:val="00A83B8E"/>
    <w:rsid w:val="00A8478F"/>
    <w:rsid w:val="00A858C4"/>
    <w:rsid w:val="00A9141E"/>
    <w:rsid w:val="00A9341B"/>
    <w:rsid w:val="00A974CA"/>
    <w:rsid w:val="00A97E12"/>
    <w:rsid w:val="00AA2CD5"/>
    <w:rsid w:val="00AA4F6C"/>
    <w:rsid w:val="00AB16AE"/>
    <w:rsid w:val="00AB392A"/>
    <w:rsid w:val="00AB5801"/>
    <w:rsid w:val="00AB5A64"/>
    <w:rsid w:val="00AB71A5"/>
    <w:rsid w:val="00AB76C6"/>
    <w:rsid w:val="00AB79E9"/>
    <w:rsid w:val="00AC5567"/>
    <w:rsid w:val="00AD04F4"/>
    <w:rsid w:val="00AD34CE"/>
    <w:rsid w:val="00AD576C"/>
    <w:rsid w:val="00AD670F"/>
    <w:rsid w:val="00AD6C71"/>
    <w:rsid w:val="00AE1E4B"/>
    <w:rsid w:val="00AE1E54"/>
    <w:rsid w:val="00AE2AFD"/>
    <w:rsid w:val="00AE4372"/>
    <w:rsid w:val="00AE478A"/>
    <w:rsid w:val="00AE631D"/>
    <w:rsid w:val="00AF0C8D"/>
    <w:rsid w:val="00B00778"/>
    <w:rsid w:val="00B04E8C"/>
    <w:rsid w:val="00B050C0"/>
    <w:rsid w:val="00B05642"/>
    <w:rsid w:val="00B06097"/>
    <w:rsid w:val="00B10045"/>
    <w:rsid w:val="00B100DF"/>
    <w:rsid w:val="00B10CAE"/>
    <w:rsid w:val="00B12190"/>
    <w:rsid w:val="00B1294B"/>
    <w:rsid w:val="00B137C3"/>
    <w:rsid w:val="00B171BB"/>
    <w:rsid w:val="00B2247A"/>
    <w:rsid w:val="00B273FA"/>
    <w:rsid w:val="00B36551"/>
    <w:rsid w:val="00B36E9E"/>
    <w:rsid w:val="00B40E38"/>
    <w:rsid w:val="00B45C9E"/>
    <w:rsid w:val="00B51ACE"/>
    <w:rsid w:val="00B619AA"/>
    <w:rsid w:val="00B623D7"/>
    <w:rsid w:val="00B624E1"/>
    <w:rsid w:val="00B66E7A"/>
    <w:rsid w:val="00B73977"/>
    <w:rsid w:val="00B8044F"/>
    <w:rsid w:val="00B8096A"/>
    <w:rsid w:val="00B81BEE"/>
    <w:rsid w:val="00B91564"/>
    <w:rsid w:val="00B9206A"/>
    <w:rsid w:val="00B9279E"/>
    <w:rsid w:val="00BA1CFA"/>
    <w:rsid w:val="00BA3873"/>
    <w:rsid w:val="00BA4284"/>
    <w:rsid w:val="00BC1029"/>
    <w:rsid w:val="00BC2720"/>
    <w:rsid w:val="00BC425F"/>
    <w:rsid w:val="00BC4728"/>
    <w:rsid w:val="00BC4BF4"/>
    <w:rsid w:val="00BC60B3"/>
    <w:rsid w:val="00BD2253"/>
    <w:rsid w:val="00BD3C0D"/>
    <w:rsid w:val="00BD7496"/>
    <w:rsid w:val="00BE042D"/>
    <w:rsid w:val="00BE2CED"/>
    <w:rsid w:val="00BE4802"/>
    <w:rsid w:val="00BE7212"/>
    <w:rsid w:val="00BF0D7C"/>
    <w:rsid w:val="00BF331F"/>
    <w:rsid w:val="00C053A4"/>
    <w:rsid w:val="00C05CC6"/>
    <w:rsid w:val="00C063FE"/>
    <w:rsid w:val="00C068C7"/>
    <w:rsid w:val="00C073C2"/>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5D40"/>
    <w:rsid w:val="00C83627"/>
    <w:rsid w:val="00C85E44"/>
    <w:rsid w:val="00C877DD"/>
    <w:rsid w:val="00C9102C"/>
    <w:rsid w:val="00C9183B"/>
    <w:rsid w:val="00C92F94"/>
    <w:rsid w:val="00C95D81"/>
    <w:rsid w:val="00C960AA"/>
    <w:rsid w:val="00C965FC"/>
    <w:rsid w:val="00CA121E"/>
    <w:rsid w:val="00CA501D"/>
    <w:rsid w:val="00CA54EF"/>
    <w:rsid w:val="00CA55C4"/>
    <w:rsid w:val="00CB1789"/>
    <w:rsid w:val="00CB1CB2"/>
    <w:rsid w:val="00CB2557"/>
    <w:rsid w:val="00CB3FE0"/>
    <w:rsid w:val="00CB44C4"/>
    <w:rsid w:val="00CB47FE"/>
    <w:rsid w:val="00CB4D35"/>
    <w:rsid w:val="00CB6703"/>
    <w:rsid w:val="00CC39B1"/>
    <w:rsid w:val="00CC3D90"/>
    <w:rsid w:val="00CD526B"/>
    <w:rsid w:val="00CD5B93"/>
    <w:rsid w:val="00CD7039"/>
    <w:rsid w:val="00CE2E2F"/>
    <w:rsid w:val="00CE3847"/>
    <w:rsid w:val="00CE3B32"/>
    <w:rsid w:val="00CE4A24"/>
    <w:rsid w:val="00CE613B"/>
    <w:rsid w:val="00CE7403"/>
    <w:rsid w:val="00CF0826"/>
    <w:rsid w:val="00CF0D8A"/>
    <w:rsid w:val="00CF267F"/>
    <w:rsid w:val="00CF7DA0"/>
    <w:rsid w:val="00D0312C"/>
    <w:rsid w:val="00D03CE5"/>
    <w:rsid w:val="00D04614"/>
    <w:rsid w:val="00D06C76"/>
    <w:rsid w:val="00D1723F"/>
    <w:rsid w:val="00D26B64"/>
    <w:rsid w:val="00D30AA4"/>
    <w:rsid w:val="00D30CE5"/>
    <w:rsid w:val="00D3674A"/>
    <w:rsid w:val="00D40383"/>
    <w:rsid w:val="00D4085D"/>
    <w:rsid w:val="00D428F4"/>
    <w:rsid w:val="00D434F3"/>
    <w:rsid w:val="00D4438C"/>
    <w:rsid w:val="00D46E83"/>
    <w:rsid w:val="00D51386"/>
    <w:rsid w:val="00D52914"/>
    <w:rsid w:val="00D5485B"/>
    <w:rsid w:val="00D57346"/>
    <w:rsid w:val="00D61911"/>
    <w:rsid w:val="00D62258"/>
    <w:rsid w:val="00D625A7"/>
    <w:rsid w:val="00D6391B"/>
    <w:rsid w:val="00D677F9"/>
    <w:rsid w:val="00D702F1"/>
    <w:rsid w:val="00D729FA"/>
    <w:rsid w:val="00D7336A"/>
    <w:rsid w:val="00D73591"/>
    <w:rsid w:val="00D802FC"/>
    <w:rsid w:val="00D8532B"/>
    <w:rsid w:val="00D85463"/>
    <w:rsid w:val="00D973A5"/>
    <w:rsid w:val="00DA205D"/>
    <w:rsid w:val="00DA7233"/>
    <w:rsid w:val="00DB721E"/>
    <w:rsid w:val="00DC4D62"/>
    <w:rsid w:val="00DC50E5"/>
    <w:rsid w:val="00DC76C7"/>
    <w:rsid w:val="00DD37B7"/>
    <w:rsid w:val="00DE311A"/>
    <w:rsid w:val="00DE36EB"/>
    <w:rsid w:val="00DE4A6C"/>
    <w:rsid w:val="00DE64C1"/>
    <w:rsid w:val="00DF5BAB"/>
    <w:rsid w:val="00E10555"/>
    <w:rsid w:val="00E11087"/>
    <w:rsid w:val="00E16E0A"/>
    <w:rsid w:val="00E204BB"/>
    <w:rsid w:val="00E220BC"/>
    <w:rsid w:val="00E27384"/>
    <w:rsid w:val="00E31096"/>
    <w:rsid w:val="00E33938"/>
    <w:rsid w:val="00E33F03"/>
    <w:rsid w:val="00E354D8"/>
    <w:rsid w:val="00E3658A"/>
    <w:rsid w:val="00E3706A"/>
    <w:rsid w:val="00E3738B"/>
    <w:rsid w:val="00E37446"/>
    <w:rsid w:val="00E37730"/>
    <w:rsid w:val="00E4099E"/>
    <w:rsid w:val="00E456AA"/>
    <w:rsid w:val="00E51483"/>
    <w:rsid w:val="00E5201F"/>
    <w:rsid w:val="00E579FF"/>
    <w:rsid w:val="00E6698B"/>
    <w:rsid w:val="00E7195E"/>
    <w:rsid w:val="00E72F4A"/>
    <w:rsid w:val="00E7467D"/>
    <w:rsid w:val="00E82115"/>
    <w:rsid w:val="00E832FF"/>
    <w:rsid w:val="00E83448"/>
    <w:rsid w:val="00E838D3"/>
    <w:rsid w:val="00E9075C"/>
    <w:rsid w:val="00E90BF8"/>
    <w:rsid w:val="00E92C8A"/>
    <w:rsid w:val="00E9346D"/>
    <w:rsid w:val="00E93724"/>
    <w:rsid w:val="00EA21BF"/>
    <w:rsid w:val="00EA594C"/>
    <w:rsid w:val="00EA7329"/>
    <w:rsid w:val="00EA7A1C"/>
    <w:rsid w:val="00EB5170"/>
    <w:rsid w:val="00EB67BE"/>
    <w:rsid w:val="00EB7EDA"/>
    <w:rsid w:val="00EC3E78"/>
    <w:rsid w:val="00EC5206"/>
    <w:rsid w:val="00EC5D22"/>
    <w:rsid w:val="00ED0175"/>
    <w:rsid w:val="00ED0AC8"/>
    <w:rsid w:val="00ED2AC4"/>
    <w:rsid w:val="00ED4036"/>
    <w:rsid w:val="00ED53C6"/>
    <w:rsid w:val="00EE041B"/>
    <w:rsid w:val="00EE57AC"/>
    <w:rsid w:val="00EE74C4"/>
    <w:rsid w:val="00EE7D29"/>
    <w:rsid w:val="00EF33DE"/>
    <w:rsid w:val="00EF6486"/>
    <w:rsid w:val="00EF72D4"/>
    <w:rsid w:val="00F11A23"/>
    <w:rsid w:val="00F11DDE"/>
    <w:rsid w:val="00F120E6"/>
    <w:rsid w:val="00F12ACD"/>
    <w:rsid w:val="00F16589"/>
    <w:rsid w:val="00F2068C"/>
    <w:rsid w:val="00F234AB"/>
    <w:rsid w:val="00F24478"/>
    <w:rsid w:val="00F31DE0"/>
    <w:rsid w:val="00F3245D"/>
    <w:rsid w:val="00F34E70"/>
    <w:rsid w:val="00F4377A"/>
    <w:rsid w:val="00F46237"/>
    <w:rsid w:val="00F47765"/>
    <w:rsid w:val="00F501C6"/>
    <w:rsid w:val="00F630DB"/>
    <w:rsid w:val="00F630EF"/>
    <w:rsid w:val="00F6403E"/>
    <w:rsid w:val="00F71346"/>
    <w:rsid w:val="00F715F2"/>
    <w:rsid w:val="00F730C7"/>
    <w:rsid w:val="00F76C87"/>
    <w:rsid w:val="00F8684A"/>
    <w:rsid w:val="00F94C3D"/>
    <w:rsid w:val="00F95D26"/>
    <w:rsid w:val="00F97627"/>
    <w:rsid w:val="00F979C5"/>
    <w:rsid w:val="00FA0CBF"/>
    <w:rsid w:val="00FA0E45"/>
    <w:rsid w:val="00FA2EC0"/>
    <w:rsid w:val="00FA4E87"/>
    <w:rsid w:val="00FA64FD"/>
    <w:rsid w:val="00FB4200"/>
    <w:rsid w:val="00FB5750"/>
    <w:rsid w:val="00FB6A2E"/>
    <w:rsid w:val="00FC055C"/>
    <w:rsid w:val="00FD4437"/>
    <w:rsid w:val="00FE26A5"/>
    <w:rsid w:val="00FE347C"/>
    <w:rsid w:val="00FE4A16"/>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B098DD4"/>
  <w14:defaultImageDpi w14:val="0"/>
  <w15:docId w15:val="{E4F48CF7-1BD3-4C74-9D45-A47504B9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qFormat="1"/>
    <w:lsdException w:name="Document Map" w:uiPriority="99"/>
    <w:lsdException w:name="HTML Definition"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16"/>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9"/>
      </w:numPr>
      <w:tabs>
        <w:tab w:val="num" w:pos="567"/>
        <w:tab w:val="num" w:pos="850"/>
      </w:tabs>
      <w:ind w:left="850" w:hanging="284"/>
    </w:pPr>
  </w:style>
  <w:style w:type="paragraph" w:customStyle="1" w:styleId="DoubleDot">
    <w:name w:val="Double Dot"/>
    <w:basedOn w:val="Normal"/>
    <w:rsid w:val="00D51386"/>
    <w:pPr>
      <w:numPr>
        <w:ilvl w:val="2"/>
        <w:numId w:val="9"/>
      </w:numPr>
      <w:tabs>
        <w:tab w:val="num" w:pos="850"/>
        <w:tab w:val="num" w:pos="1133"/>
      </w:tabs>
      <w:ind w:left="1133" w:hanging="283"/>
    </w:pPr>
  </w:style>
  <w:style w:type="paragraph" w:customStyle="1" w:styleId="OutlineNumbered1">
    <w:name w:val="Outline Numbered 1"/>
    <w:basedOn w:val="Normal"/>
    <w:rsid w:val="00D51386"/>
    <w:pPr>
      <w:numPr>
        <w:numId w:val="6"/>
      </w:numPr>
    </w:pPr>
  </w:style>
  <w:style w:type="paragraph" w:customStyle="1" w:styleId="OutlineNumbered2">
    <w:name w:val="Outline Numbered 2"/>
    <w:basedOn w:val="Normal"/>
    <w:rsid w:val="00D51386"/>
    <w:pPr>
      <w:numPr>
        <w:ilvl w:val="1"/>
        <w:numId w:val="6"/>
      </w:numPr>
    </w:pPr>
  </w:style>
  <w:style w:type="paragraph" w:customStyle="1" w:styleId="OutlineNumbered3">
    <w:name w:val="Outline Numbered 3"/>
    <w:basedOn w:val="Normal"/>
    <w:rsid w:val="00D51386"/>
    <w:pPr>
      <w:numPr>
        <w:ilvl w:val="2"/>
        <w:numId w:val="6"/>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7"/>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9"/>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8"/>
      </w:numPr>
    </w:pPr>
  </w:style>
  <w:style w:type="paragraph" w:customStyle="1" w:styleId="BoxDash">
    <w:name w:val="Box Dash"/>
    <w:basedOn w:val="Normal"/>
    <w:uiPriority w:val="99"/>
    <w:rsid w:val="00D51386"/>
    <w:pPr>
      <w:numPr>
        <w:ilvl w:val="1"/>
        <w:numId w:val="8"/>
      </w:numPr>
    </w:pPr>
  </w:style>
  <w:style w:type="paragraph" w:customStyle="1" w:styleId="BoxDoubleDot">
    <w:name w:val="Box Double Dot"/>
    <w:basedOn w:val="BoxTextBase"/>
    <w:uiPriority w:val="99"/>
    <w:rsid w:val="00D51386"/>
    <w:pPr>
      <w:numPr>
        <w:ilvl w:val="2"/>
        <w:numId w:val="8"/>
      </w:numPr>
    </w:pPr>
  </w:style>
  <w:style w:type="paragraph" w:customStyle="1" w:styleId="RecommendationBullet">
    <w:name w:val="Recommendation Bullet"/>
    <w:basedOn w:val="RecommendationTextBase"/>
    <w:rsid w:val="00D51386"/>
    <w:pPr>
      <w:numPr>
        <w:numId w:val="10"/>
      </w:numPr>
    </w:pPr>
  </w:style>
  <w:style w:type="paragraph" w:customStyle="1" w:styleId="RecommendationDash">
    <w:name w:val="Recommendation Dash"/>
    <w:basedOn w:val="RecommendationTextBase"/>
    <w:rsid w:val="00D51386"/>
    <w:pPr>
      <w:numPr>
        <w:ilvl w:val="1"/>
        <w:numId w:val="10"/>
      </w:numPr>
    </w:pPr>
  </w:style>
  <w:style w:type="paragraph" w:customStyle="1" w:styleId="RecommendationDoubleDot">
    <w:name w:val="Recommendation Double Dot"/>
    <w:basedOn w:val="RecommendationTextBase"/>
    <w:rsid w:val="00D51386"/>
    <w:pPr>
      <w:numPr>
        <w:ilvl w:val="2"/>
        <w:numId w:val="10"/>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2"/>
      </w:numPr>
    </w:pPr>
  </w:style>
  <w:style w:type="paragraph" w:customStyle="1" w:styleId="Romannumeral">
    <w:name w:val="Roman numeral"/>
    <w:basedOn w:val="Normal"/>
    <w:rsid w:val="00D51386"/>
    <w:pPr>
      <w:numPr>
        <w:numId w:val="14"/>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17"/>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11"/>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17"/>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12"/>
      </w:numPr>
    </w:pPr>
  </w:style>
  <w:style w:type="paragraph" w:customStyle="1" w:styleId="AgreementParties">
    <w:name w:val="AgreementParties"/>
    <w:rsid w:val="00D51386"/>
    <w:pPr>
      <w:numPr>
        <w:numId w:val="15"/>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9"/>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0"/>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21"/>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1"/>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1"/>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1"/>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1"/>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1"/>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1"/>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1"/>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1"/>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866AD0"/>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649748">
      <w:marLeft w:val="0"/>
      <w:marRight w:val="0"/>
      <w:marTop w:val="0"/>
      <w:marBottom w:val="0"/>
      <w:divBdr>
        <w:top w:val="none" w:sz="0" w:space="0" w:color="auto"/>
        <w:left w:val="none" w:sz="0" w:space="0" w:color="auto"/>
        <w:bottom w:val="none" w:sz="0" w:space="0" w:color="auto"/>
        <w:right w:val="none" w:sz="0" w:space="0" w:color="auto"/>
      </w:divBdr>
    </w:div>
    <w:div w:id="1067649749">
      <w:marLeft w:val="0"/>
      <w:marRight w:val="0"/>
      <w:marTop w:val="0"/>
      <w:marBottom w:val="0"/>
      <w:divBdr>
        <w:top w:val="none" w:sz="0" w:space="0" w:color="auto"/>
        <w:left w:val="none" w:sz="0" w:space="0" w:color="auto"/>
        <w:bottom w:val="none" w:sz="0" w:space="0" w:color="auto"/>
        <w:right w:val="none" w:sz="0" w:space="0" w:color="auto"/>
      </w:divBdr>
    </w:div>
    <w:div w:id="1067649750">
      <w:marLeft w:val="0"/>
      <w:marRight w:val="0"/>
      <w:marTop w:val="0"/>
      <w:marBottom w:val="0"/>
      <w:divBdr>
        <w:top w:val="none" w:sz="0" w:space="0" w:color="auto"/>
        <w:left w:val="none" w:sz="0" w:space="0" w:color="auto"/>
        <w:bottom w:val="none" w:sz="0" w:space="0" w:color="auto"/>
        <w:right w:val="none" w:sz="0" w:space="0" w:color="auto"/>
      </w:divBdr>
    </w:div>
    <w:div w:id="1067649751">
      <w:marLeft w:val="0"/>
      <w:marRight w:val="0"/>
      <w:marTop w:val="0"/>
      <w:marBottom w:val="0"/>
      <w:divBdr>
        <w:top w:val="none" w:sz="0" w:space="0" w:color="auto"/>
        <w:left w:val="none" w:sz="0" w:space="0" w:color="auto"/>
        <w:bottom w:val="none" w:sz="0" w:space="0" w:color="auto"/>
        <w:right w:val="none" w:sz="0" w:space="0" w:color="auto"/>
      </w:divBdr>
    </w:div>
    <w:div w:id="1067649752">
      <w:marLeft w:val="0"/>
      <w:marRight w:val="0"/>
      <w:marTop w:val="0"/>
      <w:marBottom w:val="0"/>
      <w:divBdr>
        <w:top w:val="none" w:sz="0" w:space="0" w:color="auto"/>
        <w:left w:val="none" w:sz="0" w:space="0" w:color="auto"/>
        <w:bottom w:val="none" w:sz="0" w:space="0" w:color="auto"/>
        <w:right w:val="none" w:sz="0" w:space="0" w:color="auto"/>
      </w:divBdr>
    </w:div>
    <w:div w:id="1067649753">
      <w:marLeft w:val="0"/>
      <w:marRight w:val="0"/>
      <w:marTop w:val="0"/>
      <w:marBottom w:val="0"/>
      <w:divBdr>
        <w:top w:val="none" w:sz="0" w:space="0" w:color="auto"/>
        <w:left w:val="none" w:sz="0" w:space="0" w:color="auto"/>
        <w:bottom w:val="none" w:sz="0" w:space="0" w:color="auto"/>
        <w:right w:val="none" w:sz="0" w:space="0" w:color="auto"/>
      </w:divBdr>
    </w:div>
    <w:div w:id="1067649754">
      <w:marLeft w:val="0"/>
      <w:marRight w:val="0"/>
      <w:marTop w:val="0"/>
      <w:marBottom w:val="0"/>
      <w:divBdr>
        <w:top w:val="none" w:sz="0" w:space="0" w:color="auto"/>
        <w:left w:val="none" w:sz="0" w:space="0" w:color="auto"/>
        <w:bottom w:val="none" w:sz="0" w:space="0" w:color="auto"/>
        <w:right w:val="none" w:sz="0" w:space="0" w:color="auto"/>
      </w:divBdr>
    </w:div>
    <w:div w:id="1414277579">
      <w:bodyDiv w:val="1"/>
      <w:marLeft w:val="0"/>
      <w:marRight w:val="0"/>
      <w:marTop w:val="0"/>
      <w:marBottom w:val="0"/>
      <w:divBdr>
        <w:top w:val="none" w:sz="0" w:space="0" w:color="auto"/>
        <w:left w:val="none" w:sz="0" w:space="0" w:color="auto"/>
        <w:bottom w:val="none" w:sz="0" w:space="0" w:color="auto"/>
        <w:right w:val="none" w:sz="0" w:space="0" w:color="auto"/>
      </w:divBdr>
    </w:div>
    <w:div w:id="1610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691" ma:contentTypeDescription=" " ma:contentTypeScope="" ma:versionID="7ff2a88635ec0d0e81fba8cbce85635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_dlc_DocId xmlns="0f563589-9cf9-4143-b1eb-fb0534803d38">2020FG-64-85748</_dlc_DocId>
    <_dlc_DocIdUrl xmlns="0f563589-9cf9-4143-b1eb-fb0534803d38">
      <Url>http://tweb/sites/fg/csrd/_layouts/15/DocIdRedir.aspx?ID=2020FG-64-85748</Url>
      <Description>2020FG-64-85748</Description>
    </_dlc_DocIdUr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9C8D4025-3DC7-4E75-81AA-EFAF9625B1FF}"/>
</file>

<file path=customXml/itemProps2.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3.xml><?xml version="1.0" encoding="utf-8"?>
<ds:datastoreItem xmlns:ds="http://schemas.openxmlformats.org/officeDocument/2006/customXml" ds:itemID="{28C9556F-2879-48F0-887E-EF05797A9EFB}"/>
</file>

<file path=customXml/itemProps4.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5.xml><?xml version="1.0" encoding="utf-8"?>
<ds:datastoreItem xmlns:ds="http://schemas.openxmlformats.org/officeDocument/2006/customXml" ds:itemID="{D6C7DD5B-C900-45A3-878C-92520346A662}">
  <ds:schemaRefs>
    <ds:schemaRef ds:uri="http://schemas.microsoft.com/office/2006/metadata/properties"/>
    <ds:schemaRef ds:uri="http://schemas.microsoft.com/office/infopath/2007/PartnerControls"/>
    <ds:schemaRef ds:uri="http://schemas.microsoft.com/sharepoint/v4"/>
    <ds:schemaRef ds:uri="e544e5cc-ab70-42e1-849e-1a0f8bb1f4ef"/>
    <ds:schemaRef ds:uri="0f563589-9cf9-4143-b1eb-fb0534803d38"/>
  </ds:schemaRefs>
</ds:datastoreItem>
</file>

<file path=customXml/itemProps6.xml><?xml version="1.0" encoding="utf-8"?>
<ds:datastoreItem xmlns:ds="http://schemas.openxmlformats.org/officeDocument/2006/customXml" ds:itemID="{3A8EF14F-A3A0-4DA1-BC21-3A7DA306D0AA}"/>
</file>

<file path=customXml/itemProps7.xml><?xml version="1.0" encoding="utf-8"?>
<ds:datastoreItem xmlns:ds="http://schemas.openxmlformats.org/officeDocument/2006/customXml" ds:itemID="{7E5C6A46-8F65-40D3-9683-C1D8CBA129CC}">
  <ds:schemaRefs>
    <ds:schemaRef ds:uri="http://schemas.openxmlformats.org/officeDocument/2006/bibliography"/>
  </ds:schemaRefs>
</ds:datastoreItem>
</file>

<file path=customXml/itemProps8.xml><?xml version="1.0" encoding="utf-8"?>
<ds:datastoreItem xmlns:ds="http://schemas.openxmlformats.org/officeDocument/2006/customXml" ds:itemID="{519E9115-99CE-4B12-A677-F3859984E029}"/>
</file>

<file path=docProps/app.xml><?xml version="1.0" encoding="utf-8"?>
<Properties xmlns="http://schemas.openxmlformats.org/officeDocument/2006/extended-properties" xmlns:vt="http://schemas.openxmlformats.org/officeDocument/2006/docPropsVTypes">
  <Template>COAG</Template>
  <TotalTime>0</TotalTime>
  <Pages>8</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Project Agreement Template</vt:lpstr>
    </vt:vector>
  </TitlesOfParts>
  <Company>Australian Government - The Treasury</Company>
  <LinksUpToDate>false</LinksUpToDate>
  <CharactersWithSpaces>11507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Angela-Robinson (Canberra)</cp:lastModifiedBy>
  <cp:revision>2</cp:revision>
  <cp:lastPrinted>2015-08-13T02:13:00Z</cp:lastPrinted>
  <dcterms:created xsi:type="dcterms:W3CDTF">2019-11-05T03:18:00Z</dcterms:created>
  <dcterms:modified xsi:type="dcterms:W3CDTF">2019-11-05T03:18:00Z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RecordPoint_WorkflowType">
    <vt:lpwstr>ActiveSubmitStub</vt:lpwstr>
  </property>
  <property fmtid="{D5CDD505-2E9C-101B-9397-08002B2CF9AE}" pid="4" name="RecordPoint_ActiveItemListId">
    <vt:lpwstr>{4435c73b-6585-4bc2-a76a-5d21b1a02e06}</vt:lpwstr>
  </property>
  <property fmtid="{D5CDD505-2E9C-101B-9397-08002B2CF9AE}" pid="5" name="RecordPoint_ActiveItemUniqueId">
    <vt:lpwstr>{af2f1e2c-e6f3-45f0-87ae-19fbe9a65d3f}</vt:lpwstr>
  </property>
  <property fmtid="{D5CDD505-2E9C-101B-9397-08002B2CF9AE}" pid="6" name="RecordPoint_ActiveItemWebId">
    <vt:lpwstr>{a4589788-615f-4b8b-8296-7f9f6dfbab44}</vt:lpwstr>
  </property>
  <property fmtid="{D5CDD505-2E9C-101B-9397-08002B2CF9AE}" pid="7" name="RecordPoint_ActiveItemSiteId">
    <vt:lpwstr>{a3a280d1-e8f1-4ce7-94f0-aaa2322da0dd}</vt:lpwstr>
  </property>
  <property fmtid="{D5CDD505-2E9C-101B-9397-08002B2CF9AE}" pid="8" name="RecordPoint_SubmissionCompleted">
    <vt:lpwstr/>
  </property>
  <property fmtid="{D5CDD505-2E9C-101B-9397-08002B2CF9AE}" pid="9" name="TSYRecordClass">
    <vt:lpwstr>2;#TSY RA-8748 - Retain as national archives|243f2231-dbfc-4282-b24a-c9b768286bd0</vt:lpwstr>
  </property>
  <property fmtid="{D5CDD505-2E9C-101B-9397-08002B2CF9AE}" pid="10" name="_dlc_DocIdItemGuid">
    <vt:lpwstr>af2f1e2c-e6f3-45f0-87ae-19fbe9a65d3f</vt:lpwstr>
  </property>
  <property fmtid="{D5CDD505-2E9C-101B-9397-08002B2CF9AE}" pid="11" name="RecordPoint_RecordNumberSubmit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NewReviewCycle">
    <vt:lpwstr/>
  </property>
  <property fmtid="{D5CDD505-2E9C-101B-9397-08002B2CF9AE}" pid="16" name="Protective Markings">
    <vt:lpwstr/>
  </property>
</Properties>
</file>