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2B52" w14:textId="77777777" w:rsidR="00AD354B" w:rsidRDefault="00420286"/>
    <w:p w14:paraId="7D0562AE" w14:textId="6FA4DE79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</w:t>
      </w:r>
      <w:r w:rsidRPr="00021083">
        <w:rPr>
          <w:i w:val="0"/>
          <w:color w:val="auto"/>
          <w:sz w:val="28"/>
          <w:szCs w:val="28"/>
        </w:rPr>
        <w:t>le</w:t>
      </w:r>
    </w:p>
    <w:p w14:paraId="52A7986F" w14:textId="3545AB57" w:rsidR="00C91B5F" w:rsidRPr="001E20F4" w:rsidRDefault="00FF5B82" w:rsidP="00C91B5F">
      <w:pPr>
        <w:pStyle w:val="Title"/>
      </w:pPr>
      <w:r>
        <w:t xml:space="preserve">National </w:t>
      </w:r>
      <w:r w:rsidR="00026C65">
        <w:t>Tourism Icon</w:t>
      </w:r>
      <w:r>
        <w:t>s</w:t>
      </w:r>
      <w:r w:rsidR="00026C65">
        <w:t xml:space="preserve"> </w:t>
      </w:r>
      <w:r>
        <w:t>Program</w:t>
      </w:r>
      <w:r w:rsidR="00026C65">
        <w:t xml:space="preserve"> – </w:t>
      </w:r>
      <w:r w:rsidR="00145CA1" w:rsidRPr="00AE7475">
        <w:t>Construction of the Wangetti Trail</w:t>
      </w:r>
    </w:p>
    <w:p w14:paraId="028FB178" w14:textId="39070460" w:rsidR="00C91B5F" w:rsidRPr="00BE249A" w:rsidRDefault="000F0CEB" w:rsidP="00C91B5F">
      <w:pPr>
        <w:pStyle w:val="Subtitle"/>
      </w:pPr>
      <w:r>
        <w:t xml:space="preserve">FEDERATION FUNDING AGREEMENT </w:t>
      </w:r>
      <w:r w:rsidR="00D54783">
        <w:t xml:space="preserve">– </w:t>
      </w:r>
      <w:r w:rsidR="00026C65" w:rsidRPr="00026C65">
        <w:t>Affordable Housing, Community Services and Other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512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E8432A">
        <w:tc>
          <w:tcPr>
            <w:tcW w:w="2117" w:type="dxa"/>
            <w:shd w:val="clear" w:color="auto" w:fill="auto"/>
          </w:tcPr>
          <w:p w14:paraId="279F6020" w14:textId="77777777" w:rsidR="00C91B5F" w:rsidRPr="00E8432A" w:rsidRDefault="00C91B5F" w:rsidP="005D3905">
            <w:pPr>
              <w:pStyle w:val="Tableformat"/>
              <w:rPr>
                <w:color w:val="auto"/>
              </w:rPr>
            </w:pPr>
            <w:r w:rsidRPr="00E8432A">
              <w:rPr>
                <w:color w:val="auto"/>
              </w:rPr>
              <w:t>Parties</w:t>
            </w:r>
          </w:p>
        </w:tc>
        <w:tc>
          <w:tcPr>
            <w:tcW w:w="7512" w:type="dxa"/>
            <w:shd w:val="clear" w:color="auto" w:fill="auto"/>
          </w:tcPr>
          <w:p w14:paraId="28377A00" w14:textId="43C5BFA8" w:rsidR="00FF5B82" w:rsidRPr="00FE3867" w:rsidRDefault="00031456" w:rsidP="00FF5B82">
            <w:pPr>
              <w:pStyle w:val="Tableformat"/>
              <w:rPr>
                <w:color w:val="auto"/>
              </w:rPr>
            </w:pPr>
            <w:r w:rsidRPr="00FE3867">
              <w:rPr>
                <w:color w:val="auto"/>
              </w:rPr>
              <w:t xml:space="preserve">The Commonwealth </w:t>
            </w:r>
            <w:r w:rsidR="009564D8" w:rsidRPr="00FE3867">
              <w:rPr>
                <w:color w:val="auto"/>
              </w:rPr>
              <w:t>and</w:t>
            </w:r>
            <w:r w:rsidR="00FF5B82">
              <w:rPr>
                <w:color w:val="auto"/>
              </w:rPr>
              <w:t xml:space="preserve"> </w:t>
            </w:r>
            <w:r w:rsidRPr="00FF5B82">
              <w:rPr>
                <w:color w:val="auto"/>
              </w:rPr>
              <w:t>Queensland</w:t>
            </w:r>
            <w:r w:rsidRPr="00FF5B82">
              <w:t xml:space="preserve"> </w:t>
            </w:r>
          </w:p>
          <w:p w14:paraId="73502BB0" w14:textId="344F3718" w:rsidR="00C91B5F" w:rsidRPr="00FE3867" w:rsidRDefault="00C91B5F" w:rsidP="005D3905">
            <w:pPr>
              <w:pStyle w:val="Tableformat"/>
              <w:rPr>
                <w:color w:val="auto"/>
              </w:rPr>
            </w:pPr>
          </w:p>
        </w:tc>
      </w:tr>
      <w:tr w:rsidR="00C91B5F" w:rsidRPr="00F00A18" w14:paraId="0789EB7E" w14:textId="77777777" w:rsidTr="00E8432A">
        <w:tc>
          <w:tcPr>
            <w:tcW w:w="2117" w:type="dxa"/>
            <w:shd w:val="clear" w:color="auto" w:fill="auto"/>
          </w:tcPr>
          <w:p w14:paraId="1C00DFE7" w14:textId="77777777" w:rsidR="00C91B5F" w:rsidRPr="00E8432A" w:rsidRDefault="00C91B5F" w:rsidP="005D3905">
            <w:pPr>
              <w:pStyle w:val="Tableformat"/>
              <w:rPr>
                <w:color w:val="auto"/>
              </w:rPr>
            </w:pPr>
            <w:r w:rsidRPr="00E8432A">
              <w:rPr>
                <w:color w:val="auto"/>
              </w:rPr>
              <w:t>Duration</w:t>
            </w:r>
          </w:p>
        </w:tc>
        <w:tc>
          <w:tcPr>
            <w:tcW w:w="7512" w:type="dxa"/>
            <w:shd w:val="clear" w:color="auto" w:fill="auto"/>
          </w:tcPr>
          <w:p w14:paraId="689A6E64" w14:textId="2545ABF8" w:rsidR="00C91B5F" w:rsidRPr="00FE3867" w:rsidRDefault="00C91B5F" w:rsidP="005D3905">
            <w:pPr>
              <w:pStyle w:val="Tableformat"/>
              <w:rPr>
                <w:color w:val="auto"/>
              </w:rPr>
            </w:pPr>
            <w:r w:rsidRPr="00FE3867">
              <w:rPr>
                <w:color w:val="auto"/>
              </w:rPr>
              <w:t xml:space="preserve">This Schedule is expected to expire on </w:t>
            </w:r>
            <w:r w:rsidR="00F57978" w:rsidRPr="00FE3867">
              <w:rPr>
                <w:color w:val="auto"/>
              </w:rPr>
              <w:t>31 December 2022</w:t>
            </w:r>
            <w:r w:rsidR="006136B3" w:rsidRPr="00FE3867">
              <w:rPr>
                <w:color w:val="auto"/>
              </w:rPr>
              <w:t>, or on completion of the project, including final performance reporting and processing of final payments against milestones, unless terminated earlier or extended as agreed in writing by the Parties.</w:t>
            </w:r>
          </w:p>
        </w:tc>
      </w:tr>
      <w:tr w:rsidR="00C91B5F" w:rsidRPr="00F00A18" w14:paraId="516BC532" w14:textId="77777777" w:rsidTr="00E8432A">
        <w:tc>
          <w:tcPr>
            <w:tcW w:w="2117" w:type="dxa"/>
            <w:shd w:val="clear" w:color="auto" w:fill="auto"/>
          </w:tcPr>
          <w:p w14:paraId="511BE93C" w14:textId="77777777" w:rsidR="00C91B5F" w:rsidRPr="00E8432A" w:rsidRDefault="00C91B5F" w:rsidP="005D3905">
            <w:pPr>
              <w:pStyle w:val="Tableformat"/>
              <w:rPr>
                <w:color w:val="auto"/>
              </w:rPr>
            </w:pPr>
            <w:r w:rsidRPr="00E8432A">
              <w:rPr>
                <w:color w:val="auto"/>
              </w:rPr>
              <w:t>Purpose</w:t>
            </w:r>
          </w:p>
        </w:tc>
        <w:tc>
          <w:tcPr>
            <w:tcW w:w="7512" w:type="dxa"/>
            <w:shd w:val="clear" w:color="auto" w:fill="auto"/>
          </w:tcPr>
          <w:p w14:paraId="367D6B8B" w14:textId="59A9423D" w:rsidR="00A4621A" w:rsidRPr="00E8432A" w:rsidRDefault="00C91B5F" w:rsidP="00A4621A">
            <w:pPr>
              <w:pStyle w:val="Tableformat"/>
              <w:spacing w:after="0"/>
              <w:rPr>
                <w:color w:val="auto"/>
              </w:rPr>
            </w:pPr>
            <w:r w:rsidRPr="00E8432A">
              <w:rPr>
                <w:color w:val="auto"/>
              </w:rPr>
              <w:t xml:space="preserve">This Schedule will support the delivery of </w:t>
            </w:r>
            <w:r w:rsidR="00A4621A" w:rsidRPr="00E8432A">
              <w:rPr>
                <w:color w:val="auto"/>
              </w:rPr>
              <w:t>Commonwealth funding of $8</w:t>
            </w:r>
            <w:r w:rsidR="000F0CEB" w:rsidRPr="00E8432A">
              <w:rPr>
                <w:color w:val="auto"/>
              </w:rPr>
              <w:t>.0</w:t>
            </w:r>
            <w:r w:rsidR="00A4621A" w:rsidRPr="00E8432A">
              <w:rPr>
                <w:color w:val="auto"/>
              </w:rPr>
              <w:t xml:space="preserve"> million towards the development of the Wangetti Trail in Queensland, including infrastructure construction and the advancement of Indigenous tourism partnerships.</w:t>
            </w:r>
            <w:r w:rsidR="00A4621A" w:rsidRPr="00E8432A">
              <w:rPr>
                <w:color w:val="auto"/>
              </w:rPr>
              <w:br/>
            </w:r>
          </w:p>
          <w:p w14:paraId="1990626E" w14:textId="77777777" w:rsidR="00C91B5F" w:rsidRDefault="00A4621A" w:rsidP="00A4621A">
            <w:pPr>
              <w:pStyle w:val="Tableformat"/>
              <w:rPr>
                <w:color w:val="auto"/>
              </w:rPr>
            </w:pPr>
            <w:r w:rsidRPr="00E8432A">
              <w:rPr>
                <w:color w:val="auto"/>
              </w:rPr>
              <w:t>This project is one of five projects that form the Australian Tourism Icons Package, a $50 million Australian Government commitment to support the development of iconic tourism projects across Australia</w:t>
            </w:r>
            <w:r w:rsidR="00026C65">
              <w:rPr>
                <w:color w:val="auto"/>
              </w:rPr>
              <w:t>.</w:t>
            </w:r>
          </w:p>
          <w:p w14:paraId="36CF7FEF" w14:textId="3ECBD121" w:rsidR="00FF5B82" w:rsidRPr="00E8432A" w:rsidRDefault="00FF5B82" w:rsidP="00A4621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This agreement has previously been named Tourism Icon Package.</w:t>
            </w:r>
          </w:p>
        </w:tc>
      </w:tr>
      <w:tr w:rsidR="00C91B5F" w:rsidRPr="00F00A18" w14:paraId="2C63A902" w14:textId="77777777" w:rsidTr="00E8432A">
        <w:trPr>
          <w:trHeight w:val="5538"/>
        </w:trPr>
        <w:tc>
          <w:tcPr>
            <w:tcW w:w="2117" w:type="dxa"/>
            <w:shd w:val="clear" w:color="auto" w:fill="auto"/>
          </w:tcPr>
          <w:p w14:paraId="2E78F30B" w14:textId="77777777" w:rsidR="00C91B5F" w:rsidRPr="007F186B" w:rsidRDefault="00C91B5F" w:rsidP="005D3905">
            <w:pPr>
              <w:pStyle w:val="Tableformat"/>
              <w:rPr>
                <w:color w:val="auto"/>
              </w:rPr>
            </w:pPr>
            <w:r w:rsidRPr="00E8432A">
              <w:rPr>
                <w:color w:val="auto"/>
              </w:rPr>
              <w:t>Estimated financial contributions</w:t>
            </w:r>
          </w:p>
        </w:tc>
        <w:tc>
          <w:tcPr>
            <w:tcW w:w="7512" w:type="dxa"/>
            <w:shd w:val="clear" w:color="auto" w:fill="auto"/>
          </w:tcPr>
          <w:p w14:paraId="7110CBB4" w14:textId="5AE01B23" w:rsidR="00C91B5F" w:rsidRPr="00B939D9" w:rsidRDefault="00026C65" w:rsidP="005D3905">
            <w:pPr>
              <w:pStyle w:val="Tableformat"/>
              <w:rPr>
                <w:color w:val="auto"/>
              </w:rPr>
            </w:pPr>
            <w:r w:rsidRPr="000B4FE9">
              <w:rPr>
                <w:noProof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8EB322D" wp14:editId="4549382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820420</wp:posOffset>
                      </wp:positionV>
                      <wp:extent cx="4495800" cy="247650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02"/>
                                    <w:gridCol w:w="960"/>
                                    <w:gridCol w:w="960"/>
                                    <w:gridCol w:w="960"/>
                                    <w:gridCol w:w="960"/>
                                    <w:gridCol w:w="951"/>
                                  </w:tblGrid>
                                  <w:tr w:rsidR="00EA3E25" w:rsidRPr="00101AB3" w14:paraId="533FE7BA" w14:textId="77777777" w:rsidTr="00363CF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9C865BD" w14:textId="4FDE1C9C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430D4A7" w14:textId="64CC398B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B65C7BA" w14:textId="77777777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05AF358" w14:textId="226CD26A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2019-20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642EA18" w14:textId="77777777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C36474A" w14:textId="00F6581F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</w:t>
                                        </w:r>
                                        <w:r w:rsidR="00EC2042" w:rsidRPr="00116C08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116C08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F50A6EE" w14:textId="77777777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959D74C" w14:textId="272D1A3D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653D223" w14:textId="77777777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16A54A5D" w14:textId="746F1C15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1B4A7A" w14:textId="77777777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10B22B8" w14:textId="13BB93A1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EA3E25" w:rsidRPr="00101AB3" w14:paraId="54AEFD11" w14:textId="77777777" w:rsidTr="00363CF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49ACE150" w:rsidR="00CC6168" w:rsidRPr="001272D5" w:rsidRDefault="0051682C" w:rsidP="007D2570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</w:t>
                                        </w:r>
                                        <w:r w:rsidR="00CC6168" w:rsidRPr="001272D5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57FE70" w14:textId="34055EC9" w:rsidR="00CC6168" w:rsidRPr="00BD3B7E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15.</w:t>
                                        </w:r>
                                        <w:r w:rsidR="00BD3B7E"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0C8EE4C" w14:textId="46D99CA8" w:rsidR="00CC6168" w:rsidRPr="00BD3B7E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  <w:r w:rsidR="003E3211"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3E3211"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  <w:r w:rsidR="007F4673"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76AAAC1" w14:textId="2EA09C03" w:rsidR="00CC6168" w:rsidRPr="00BD3B7E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B841FC"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4C43FAC6" w:rsidR="00CC6168" w:rsidRPr="00BD3B7E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46.9</w:t>
                                        </w:r>
                                      </w:p>
                                    </w:tc>
                                  </w:tr>
                                  <w:tr w:rsidR="00EA3E25" w:rsidRPr="00101AB3" w14:paraId="4D48DC1E" w14:textId="77777777" w:rsidTr="00363CF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582F5190" w14:textId="77777777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</w:tcPr>
                                      <w:p w14:paraId="2A58D9BB" w14:textId="5C2C7B18" w:rsidR="00CC6168" w:rsidRPr="001272D5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</w:t>
                                        </w:r>
                                        <w:r w:rsidR="00B16798">
                                          <w:rPr>
                                            <w:sz w:val="21"/>
                                            <w:szCs w:val="21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</w:tcPr>
                                      <w:p w14:paraId="2DA59B4C" w14:textId="62DA561E" w:rsidR="00CC6168" w:rsidRPr="00BD3B7E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5.</w:t>
                                        </w:r>
                                        <w:r w:rsidR="00B16798" w:rsidRPr="00BD3B7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</w:tcPr>
                                      <w:p w14:paraId="45438D93" w14:textId="025DFAE7" w:rsidR="00CC6168" w:rsidRPr="00BD3B7E" w:rsidRDefault="003306F1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</w:tcPr>
                                      <w:p w14:paraId="4B9B0782" w14:textId="08D06941" w:rsidR="00CC6168" w:rsidRPr="00BD3B7E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D3B7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B841FC" w:rsidRPr="00BD3B7E">
                                          <w:rPr>
                                            <w:sz w:val="21"/>
                                            <w:szCs w:val="21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</w:tcPr>
                                      <w:p w14:paraId="4E7A84E3" w14:textId="642009BE" w:rsidR="00CC6168" w:rsidRPr="001272D5" w:rsidRDefault="007D257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8</w:t>
                                        </w:r>
                                        <w:r w:rsidR="00CC6168" w:rsidRPr="001272D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EA3E25" w:rsidRPr="00101AB3" w14:paraId="406CC52C" w14:textId="77777777" w:rsidTr="00363CF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CC6168" w:rsidRPr="001272D5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272D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51F95A6" w:rsidR="00CC6168" w:rsidRPr="00116C08" w:rsidRDefault="0051682C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CD6870F" w14:textId="69C1AA6D" w:rsidR="00CC6168" w:rsidRPr="00116C08" w:rsidRDefault="007D257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9.85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D084961" w14:textId="0D3E3942" w:rsidR="00CC6168" w:rsidRPr="00116C08" w:rsidRDefault="007D257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  <w:r w:rsidR="003E3211"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6</w:t>
                                        </w:r>
                                        <w:r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="003E3211"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F3DCB0" w14:textId="0E51FF9D" w:rsidR="00CC6168" w:rsidRPr="00116C08" w:rsidRDefault="00CC6168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0.</w:t>
                                        </w:r>
                                        <w:r w:rsidR="00220EC0" w:rsidRPr="00116C08">
                                          <w:rPr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0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63D62AE8" w:rsidR="00CC6168" w:rsidRPr="001272D5" w:rsidRDefault="007D2570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CC47C1">
                                          <w:rPr>
                                            <w:sz w:val="21"/>
                                            <w:szCs w:val="21"/>
                                          </w:rPr>
                                          <w:t>38</w:t>
                                        </w:r>
                                        <w:r w:rsidR="00CC6168" w:rsidRPr="00CC47C1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</w:t>
                                        </w:r>
                                        <w:r w:rsidRPr="00CC47C1">
                                          <w:rPr>
                                            <w:sz w:val="21"/>
                                            <w:szCs w:val="21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368117E6" w:rsidR="00C91B5F" w:rsidRPr="00407C3A" w:rsidRDefault="00C91B5F" w:rsidP="00C91B5F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3A" w:rsidRPr="00A702A7">
                                    <w:rPr>
                                      <w:sz w:val="18"/>
                                      <w:szCs w:val="18"/>
                                    </w:rPr>
                                    <w:t>Queensland’s contribution commenced in 2018</w:t>
                                  </w:r>
                                  <w:r w:rsidR="002254B8" w:rsidRPr="00A702A7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407C3A" w:rsidRPr="00A702A7">
                                    <w:rPr>
                                      <w:sz w:val="18"/>
                                      <w:szCs w:val="18"/>
                                    </w:rPr>
                                    <w:t xml:space="preserve">19 ($0.3 million) and will extend to </w:t>
                                  </w:r>
                                  <w:r w:rsidR="00407C3A" w:rsidRPr="00CC47C1">
                                    <w:rPr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  <w:r w:rsidR="002254B8" w:rsidRPr="00CC47C1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407C3A" w:rsidRPr="00CC47C1">
                                    <w:rPr>
                                      <w:sz w:val="18"/>
                                      <w:szCs w:val="18"/>
                                    </w:rPr>
                                    <w:t>23 ($2.1 million) making a total contribution of $41.4 million toward the project.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64.6pt;width:354pt;height:1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960"/>
                              <w:gridCol w:w="960"/>
                              <w:gridCol w:w="960"/>
                              <w:gridCol w:w="960"/>
                              <w:gridCol w:w="951"/>
                            </w:tblGrid>
                            <w:tr w:rsidR="00EA3E25" w:rsidRPr="00101AB3" w14:paraId="533FE7BA" w14:textId="77777777" w:rsidTr="00363CF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9C865BD" w14:textId="4FDE1C9C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430D4A7" w14:textId="64CC398B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B65C7BA" w14:textId="77777777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05AF358" w14:textId="226CD26A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2019-20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642EA18" w14:textId="77777777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C36474A" w14:textId="00F6581F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EC2042" w:rsidRPr="00116C0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116C0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-21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F50A6EE" w14:textId="77777777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959D74C" w14:textId="272D1A3D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653D223" w14:textId="77777777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6A54A5D" w14:textId="746F1C15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1B4A7A" w14:textId="77777777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10B22B8" w14:textId="13BB93A1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A3E25" w:rsidRPr="00101AB3" w14:paraId="54AEFD11" w14:textId="77777777" w:rsidTr="00363CF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49ACE150" w:rsidR="00CC6168" w:rsidRPr="001272D5" w:rsidRDefault="0051682C" w:rsidP="007D2570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CC6168" w:rsidRPr="001272D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57FE70" w14:textId="34055EC9" w:rsidR="00CC6168" w:rsidRPr="00BD3B7E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15.</w:t>
                                  </w:r>
                                  <w:r w:rsidR="00BD3B7E"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0C8EE4C" w14:textId="46D99CA8" w:rsidR="00CC6168" w:rsidRPr="00BD3B7E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3E3211"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3E3211"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7F4673"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76AAAC1" w14:textId="2EA09C03" w:rsidR="00CC6168" w:rsidRPr="00BD3B7E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B841FC"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4C43FAC6" w:rsidR="00CC6168" w:rsidRPr="00BD3B7E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46.9</w:t>
                                  </w:r>
                                </w:p>
                              </w:tc>
                            </w:tr>
                            <w:tr w:rsidR="00EA3E25" w:rsidRPr="00101AB3" w14:paraId="4D48DC1E" w14:textId="77777777" w:rsidTr="00363CF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582F5190" w14:textId="77777777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A58D9BB" w14:textId="5C2C7B18" w:rsidR="00CC6168" w:rsidRPr="001272D5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 w:rsidR="00B16798">
                                    <w:rPr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DA59B4C" w14:textId="62DA561E" w:rsidR="00CC6168" w:rsidRPr="00BD3B7E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sz w:val="21"/>
                                      <w:szCs w:val="21"/>
                                    </w:rPr>
                                    <w:t>5.</w:t>
                                  </w:r>
                                  <w:r w:rsidR="00B16798" w:rsidRPr="00BD3B7E">
                                    <w:rPr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45438D93" w14:textId="025DFAE7" w:rsidR="00CC6168" w:rsidRPr="00BD3B7E" w:rsidRDefault="003306F1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sz w:val="21"/>
                                      <w:szCs w:val="21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4B9B0782" w14:textId="08D06941" w:rsidR="00CC6168" w:rsidRPr="00BD3B7E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D3B7E">
                                    <w:rPr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B841FC" w:rsidRPr="00BD3B7E">
                                    <w:rPr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4E7A84E3" w14:textId="642009BE" w:rsidR="00CC6168" w:rsidRPr="001272D5" w:rsidRDefault="007D257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="00CC6168" w:rsidRPr="001272D5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EA3E25" w:rsidRPr="00101AB3" w14:paraId="406CC52C" w14:textId="77777777" w:rsidTr="00363CF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CC6168" w:rsidRPr="001272D5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272D5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51F95A6" w:rsidR="00CC6168" w:rsidRPr="00116C08" w:rsidRDefault="0051682C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3.05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CD6870F" w14:textId="69C1AA6D" w:rsidR="00CC6168" w:rsidRPr="00116C08" w:rsidRDefault="007D257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9.85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D084961" w14:textId="0D3E3942" w:rsidR="00CC6168" w:rsidRPr="00116C08" w:rsidRDefault="007D257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3E3211"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="003E3211"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F3DCB0" w14:textId="0E51FF9D" w:rsidR="00CC6168" w:rsidRPr="00116C08" w:rsidRDefault="00CC6168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0.</w:t>
                                  </w:r>
                                  <w:r w:rsidR="00220EC0" w:rsidRPr="00116C08"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63D62AE8" w:rsidR="00CC6168" w:rsidRPr="001272D5" w:rsidRDefault="007D2570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C47C1">
                                    <w:rPr>
                                      <w:sz w:val="21"/>
                                      <w:szCs w:val="21"/>
                                    </w:rPr>
                                    <w:t>38</w:t>
                                  </w:r>
                                  <w:r w:rsidR="00CC6168" w:rsidRPr="00CC47C1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Pr="00CC47C1">
                                    <w:rPr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7D4F2F1" w14:textId="368117E6" w:rsidR="00C91B5F" w:rsidRPr="00407C3A" w:rsidRDefault="00C91B5F" w:rsidP="00C91B5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3A" w:rsidRPr="00A702A7">
                              <w:rPr>
                                <w:sz w:val="18"/>
                                <w:szCs w:val="18"/>
                              </w:rPr>
                              <w:t>Queensland’s contribution commenced in 2018</w:t>
                            </w:r>
                            <w:r w:rsidR="002254B8" w:rsidRPr="00A702A7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407C3A" w:rsidRPr="00A702A7">
                              <w:rPr>
                                <w:sz w:val="18"/>
                                <w:szCs w:val="18"/>
                              </w:rPr>
                              <w:t xml:space="preserve">19 ($0.3 million) and will extend to </w:t>
                            </w:r>
                            <w:r w:rsidR="00407C3A" w:rsidRPr="00CC47C1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  <w:r w:rsidR="002254B8" w:rsidRPr="00CC47C1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407C3A" w:rsidRPr="00CC47C1">
                              <w:rPr>
                                <w:sz w:val="18"/>
                                <w:szCs w:val="18"/>
                              </w:rPr>
                              <w:t>23 ($2.1 million) making a total contribution of $41.4 million toward the project.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0B4FE9">
              <w:rPr>
                <w:iCs w:val="0"/>
                <w:color w:val="auto"/>
              </w:rPr>
              <w:t xml:space="preserve">The Commonwealth will provide an estimated total financial contribution to </w:t>
            </w:r>
            <w:r w:rsidR="002F5B8D" w:rsidRPr="000B4FE9">
              <w:rPr>
                <w:iCs w:val="0"/>
                <w:color w:val="auto"/>
              </w:rPr>
              <w:t>Queensland</w:t>
            </w:r>
            <w:r w:rsidR="00C91B5F" w:rsidRPr="000B4FE9">
              <w:rPr>
                <w:iCs w:val="0"/>
                <w:color w:val="auto"/>
              </w:rPr>
              <w:t xml:space="preserve"> of </w:t>
            </w:r>
            <w:r w:rsidR="00B40E83" w:rsidRPr="000B4FE9">
              <w:rPr>
                <w:iCs w:val="0"/>
                <w:color w:val="auto"/>
              </w:rPr>
              <w:t>$8.0m</w:t>
            </w:r>
            <w:r w:rsidR="006A4D8B" w:rsidRPr="00026C65">
              <w:rPr>
                <w:color w:val="auto"/>
              </w:rPr>
              <w:t xml:space="preserve"> (GST exclusive)</w:t>
            </w:r>
            <w:r w:rsidR="00C91B5F" w:rsidRPr="000B4FE9">
              <w:rPr>
                <w:iCs w:val="0"/>
                <w:color w:val="auto"/>
              </w:rPr>
              <w:t xml:space="preserve"> in respect of this </w:t>
            </w:r>
            <w:r w:rsidR="00BA26A8" w:rsidRPr="00026C65">
              <w:rPr>
                <w:color w:val="auto"/>
              </w:rPr>
              <w:t>Schedule.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FD7C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324"/>
        <w:gridCol w:w="1853"/>
        <w:gridCol w:w="1633"/>
      </w:tblGrid>
      <w:tr w:rsidR="00C91B5F" w:rsidRPr="00F00A18" w14:paraId="666D7A2C" w14:textId="77777777" w:rsidTr="004B572F">
        <w:trPr>
          <w:tblHeader/>
        </w:trPr>
        <w:tc>
          <w:tcPr>
            <w:tcW w:w="13938" w:type="dxa"/>
            <w:gridSpan w:val="4"/>
            <w:shd w:val="clear" w:color="auto" w:fill="DEEAF6" w:themeFill="accent1" w:themeFillTint="33"/>
          </w:tcPr>
          <w:p w14:paraId="560DB1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45D97D64" w14:textId="77777777" w:rsidTr="004B572F">
        <w:trPr>
          <w:tblHeader/>
        </w:trPr>
        <w:tc>
          <w:tcPr>
            <w:tcW w:w="3128" w:type="dxa"/>
            <w:shd w:val="clear" w:color="auto" w:fill="F2F2F2" w:themeFill="background1" w:themeFillShade="F2"/>
          </w:tcPr>
          <w:p w14:paraId="10F4D2BD" w14:textId="6E02B694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7324" w:type="dxa"/>
            <w:shd w:val="clear" w:color="auto" w:fill="F2F2F2" w:themeFill="background1" w:themeFillShade="F2"/>
          </w:tcPr>
          <w:p w14:paraId="1B454D97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4CBE64C9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3F2D3F12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BC6DE6" w:rsidRPr="00F00A18" w14:paraId="6D142D4F" w14:textId="77777777" w:rsidTr="00DA1BA4">
        <w:trPr>
          <w:trHeight w:val="850"/>
        </w:trPr>
        <w:tc>
          <w:tcPr>
            <w:tcW w:w="312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9DEAE62" w14:textId="77777777" w:rsidR="00BC6DE6" w:rsidRPr="009B79C4" w:rsidRDefault="00BC6DE6" w:rsidP="00D73FF4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Construction of the Mowbray River pedestrian bridge and trail works (Mowbray River to Port Douglas) – Stage 1</w:t>
            </w:r>
          </w:p>
          <w:p w14:paraId="43AC35BA" w14:textId="5FE39D53" w:rsidR="001C4A0A" w:rsidRPr="004B572F" w:rsidRDefault="001C4A0A" w:rsidP="00D73FF4">
            <w:pPr>
              <w:pStyle w:val="Milestonetable"/>
              <w:rPr>
                <w:color w:val="auto"/>
                <w:highlight w:val="yellow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4095F697" w14:textId="05A2548F" w:rsidR="00BC6DE6" w:rsidRPr="009B79C4" w:rsidRDefault="00BC6DE6" w:rsidP="00D73FF4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Site Investigations, Design, Environmental Planning and Approvals commenced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5421C669" w14:textId="763A8B47" w:rsidR="00BC6DE6" w:rsidRPr="009B79C4" w:rsidRDefault="00BC6DE6" w:rsidP="00D73FF4">
            <w:pPr>
              <w:pStyle w:val="Milestonetable"/>
              <w:rPr>
                <w:color w:val="auto"/>
              </w:rPr>
            </w:pPr>
            <w:r w:rsidRPr="009B79C4">
              <w:rPr>
                <w:color w:val="auto"/>
                <w:sz w:val="23"/>
                <w:szCs w:val="23"/>
              </w:rPr>
              <w:t>30/11/2019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64BB638D" w14:textId="77777777" w:rsidR="00BC6DE6" w:rsidRDefault="00BC6DE6" w:rsidP="00D73FF4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$1.1m</w:t>
            </w:r>
          </w:p>
          <w:p w14:paraId="2EC595E5" w14:textId="6E694765" w:rsidR="00DA1BA4" w:rsidRPr="009B79C4" w:rsidRDefault="00DA1BA4" w:rsidP="00D73FF4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(Complete)</w:t>
            </w:r>
          </w:p>
        </w:tc>
      </w:tr>
      <w:tr w:rsidR="00BC6DE6" w:rsidRPr="00F00A18" w14:paraId="02A510C6" w14:textId="77777777" w:rsidTr="00DA1BA4">
        <w:trPr>
          <w:trHeight w:val="850"/>
        </w:trPr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A1B159A" w14:textId="77777777" w:rsidR="00BC6DE6" w:rsidRPr="004B572F" w:rsidRDefault="00BC6DE6" w:rsidP="00D73FF4">
            <w:pPr>
              <w:pStyle w:val="Milestonetable"/>
              <w:rPr>
                <w:color w:val="auto"/>
                <w:highlight w:val="yellow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3C188FFC" w14:textId="6652B24E" w:rsidR="00BC6DE6" w:rsidRPr="002D622D" w:rsidRDefault="00BB1876" w:rsidP="00D73FF4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0E586C">
              <w:rPr>
                <w:rFonts w:cstheme="minorHAnsi"/>
                <w:i/>
                <w:color w:val="000000"/>
                <w:sz w:val="23"/>
                <w:szCs w:val="23"/>
              </w:rPr>
              <w:t>Contracts awarded, and construction commenced of the Mowbray River pedestrian bridge and associated works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155884A0" w14:textId="6DADD3C0" w:rsidR="00BC6DE6" w:rsidRPr="009B79C4" w:rsidRDefault="00BC6DE6" w:rsidP="00D73FF4">
            <w:pPr>
              <w:pStyle w:val="Milestonetable"/>
              <w:rPr>
                <w:color w:val="auto"/>
              </w:rPr>
            </w:pPr>
            <w:r w:rsidRPr="009B79C4">
              <w:rPr>
                <w:color w:val="auto"/>
                <w:sz w:val="23"/>
                <w:szCs w:val="23"/>
              </w:rPr>
              <w:t>30/</w:t>
            </w:r>
            <w:r w:rsidR="00BB1876" w:rsidRPr="009B79C4">
              <w:rPr>
                <w:color w:val="auto"/>
                <w:sz w:val="23"/>
                <w:szCs w:val="23"/>
              </w:rPr>
              <w:t>0</w:t>
            </w:r>
            <w:r w:rsidR="00BB1876">
              <w:rPr>
                <w:color w:val="auto"/>
                <w:sz w:val="23"/>
                <w:szCs w:val="23"/>
              </w:rPr>
              <w:t>7</w:t>
            </w:r>
            <w:r w:rsidRPr="009B79C4">
              <w:rPr>
                <w:color w:val="auto"/>
                <w:sz w:val="23"/>
                <w:szCs w:val="23"/>
              </w:rPr>
              <w:t>/2020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0DB2A7BC" w14:textId="40A1544D" w:rsidR="00DA1BA4" w:rsidRDefault="00BC6DE6" w:rsidP="00D73FF4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$</w:t>
            </w:r>
            <w:r w:rsidR="00BB1876">
              <w:rPr>
                <w:color w:val="auto"/>
                <w:sz w:val="23"/>
                <w:szCs w:val="23"/>
              </w:rPr>
              <w:t>2.7</w:t>
            </w:r>
            <w:r w:rsidRPr="009B79C4">
              <w:rPr>
                <w:color w:val="auto"/>
                <w:sz w:val="23"/>
                <w:szCs w:val="23"/>
              </w:rPr>
              <w:t>m</w:t>
            </w:r>
          </w:p>
          <w:p w14:paraId="7FE4ABF0" w14:textId="6E2B4994" w:rsidR="00BC6DE6" w:rsidRPr="009B79C4" w:rsidRDefault="00DA1BA4" w:rsidP="00D73FF4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(Complete)</w:t>
            </w:r>
          </w:p>
        </w:tc>
      </w:tr>
      <w:tr w:rsidR="00BC6DE6" w:rsidRPr="00F00A18" w14:paraId="75BBB1EE" w14:textId="77777777" w:rsidTr="00AF6D9F">
        <w:trPr>
          <w:trHeight w:val="850"/>
        </w:trPr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7875AAD" w14:textId="77777777" w:rsidR="00BC6DE6" w:rsidRPr="004B572F" w:rsidRDefault="00BC6DE6" w:rsidP="00D73FF4">
            <w:pPr>
              <w:pStyle w:val="Milestonetable"/>
              <w:rPr>
                <w:color w:val="auto"/>
                <w:highlight w:val="yellow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E7CA9" w14:textId="1EAF0A6E" w:rsidR="00BC6DE6" w:rsidRPr="00743E61" w:rsidRDefault="00BC6DE6" w:rsidP="00D73FF4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743E61">
              <w:rPr>
                <w:color w:val="auto"/>
                <w:sz w:val="23"/>
                <w:szCs w:val="23"/>
              </w:rPr>
              <w:t>Contracts awarded and construction commenced of the trail from Mowbray River north to Port Douglas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122C1" w14:textId="3687512C" w:rsidR="00C93149" w:rsidRPr="00CB055B" w:rsidRDefault="00902E4D" w:rsidP="00D73FF4">
            <w:pPr>
              <w:pStyle w:val="Milestonetable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  <w:r w:rsidR="00556BE6" w:rsidRPr="00DA1BA4">
              <w:rPr>
                <w:color w:val="auto"/>
                <w:sz w:val="23"/>
                <w:szCs w:val="23"/>
              </w:rPr>
              <w:t>/05/2022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F2B45" w14:textId="57C87896" w:rsidR="00BC6DE6" w:rsidRPr="00CB055B" w:rsidRDefault="00BC6DE6" w:rsidP="00D73FF4">
            <w:pPr>
              <w:pStyle w:val="Milestonetable"/>
              <w:jc w:val="right"/>
              <w:rPr>
                <w:color w:val="auto"/>
              </w:rPr>
            </w:pPr>
            <w:r w:rsidRPr="00CB055B">
              <w:rPr>
                <w:color w:val="auto"/>
                <w:sz w:val="23"/>
                <w:szCs w:val="23"/>
              </w:rPr>
              <w:t>$</w:t>
            </w:r>
            <w:r w:rsidR="00C93149" w:rsidRPr="00CB055B">
              <w:rPr>
                <w:color w:val="auto"/>
                <w:sz w:val="23"/>
                <w:szCs w:val="23"/>
              </w:rPr>
              <w:t>0.25</w:t>
            </w:r>
            <w:r w:rsidRPr="00CB055B">
              <w:rPr>
                <w:color w:val="auto"/>
                <w:sz w:val="23"/>
                <w:szCs w:val="23"/>
              </w:rPr>
              <w:t>m</w:t>
            </w:r>
          </w:p>
        </w:tc>
      </w:tr>
      <w:tr w:rsidR="00BC6DE6" w:rsidRPr="00F00A18" w14:paraId="4C9DADD2" w14:textId="77777777" w:rsidTr="00AF6D9F">
        <w:trPr>
          <w:trHeight w:val="850"/>
        </w:trPr>
        <w:tc>
          <w:tcPr>
            <w:tcW w:w="312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486DCB" w14:textId="77777777" w:rsidR="00BC6DE6" w:rsidRPr="004B572F" w:rsidRDefault="00BC6DE6" w:rsidP="00D73FF4">
            <w:pPr>
              <w:pStyle w:val="Milestonetable"/>
              <w:rPr>
                <w:color w:val="auto"/>
                <w:highlight w:val="yellow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8D631" w14:textId="3765B41A" w:rsidR="00BC6DE6" w:rsidRPr="00743E61" w:rsidRDefault="00BC6DE6" w:rsidP="00823041">
            <w:pPr>
              <w:pStyle w:val="Default"/>
              <w:rPr>
                <w:rFonts w:ascii="Corbel" w:eastAsia="Times New Roman" w:hAnsi="Corbel" w:cs="Arial"/>
                <w:iCs/>
                <w:color w:val="auto"/>
                <w:sz w:val="23"/>
                <w:szCs w:val="23"/>
                <w:lang w:val="en-US" w:eastAsia="en-AU"/>
              </w:rPr>
            </w:pPr>
            <w:r w:rsidRPr="00743E61">
              <w:rPr>
                <w:rFonts w:ascii="Corbel" w:eastAsia="Times New Roman" w:hAnsi="Corbel" w:cs="Arial"/>
                <w:iCs/>
                <w:color w:val="auto"/>
                <w:sz w:val="23"/>
                <w:szCs w:val="23"/>
                <w:lang w:val="en-US" w:eastAsia="en-AU"/>
              </w:rPr>
              <w:t xml:space="preserve">Construction completed for the trail from Mowbray River </w:t>
            </w:r>
            <w:r w:rsidR="00DD6EC1" w:rsidRPr="00165D4A">
              <w:rPr>
                <w:rFonts w:ascii="Corbel" w:eastAsia="Times New Roman" w:hAnsi="Corbel" w:cs="Arial"/>
                <w:iCs/>
                <w:color w:val="auto"/>
                <w:sz w:val="23"/>
                <w:szCs w:val="23"/>
                <w:lang w:val="en-US" w:eastAsia="en-AU"/>
              </w:rPr>
              <w:t>north</w:t>
            </w:r>
            <w:r w:rsidR="00DD6EC1">
              <w:rPr>
                <w:rFonts w:ascii="Corbel" w:eastAsia="Times New Roman" w:hAnsi="Corbel" w:cs="Arial"/>
                <w:iCs/>
                <w:color w:val="auto"/>
                <w:sz w:val="23"/>
                <w:szCs w:val="23"/>
                <w:lang w:val="en-US" w:eastAsia="en-AU"/>
              </w:rPr>
              <w:t xml:space="preserve"> </w:t>
            </w:r>
            <w:r w:rsidRPr="00743E61">
              <w:rPr>
                <w:rFonts w:ascii="Corbel" w:eastAsia="Times New Roman" w:hAnsi="Corbel" w:cs="Arial"/>
                <w:iCs/>
                <w:color w:val="auto"/>
                <w:sz w:val="23"/>
                <w:szCs w:val="23"/>
                <w:lang w:val="en-US" w:eastAsia="en-AU"/>
              </w:rPr>
              <w:t>to Port Douglas and the pedestrian bridge and associated works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2E00A7" w14:textId="6F18277E" w:rsidR="00C93149" w:rsidRPr="00556BE6" w:rsidRDefault="00556BE6" w:rsidP="00556BE6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556BE6">
              <w:rPr>
                <w:color w:val="auto"/>
                <w:sz w:val="23"/>
                <w:szCs w:val="23"/>
              </w:rPr>
              <w:t>31/12/2022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DBBAE5" w14:textId="0B705E88" w:rsidR="00BC6DE6" w:rsidRPr="00743E61" w:rsidRDefault="00BC6DE6" w:rsidP="00D73FF4">
            <w:pPr>
              <w:pStyle w:val="Milestonetable"/>
              <w:jc w:val="right"/>
              <w:rPr>
                <w:color w:val="auto"/>
                <w:sz w:val="23"/>
                <w:szCs w:val="23"/>
                <w:highlight w:val="yellow"/>
              </w:rPr>
            </w:pPr>
            <w:r w:rsidRPr="00556BE6">
              <w:rPr>
                <w:color w:val="auto"/>
                <w:sz w:val="23"/>
                <w:szCs w:val="23"/>
              </w:rPr>
              <w:t>$0.</w:t>
            </w:r>
            <w:r w:rsidR="009D6EF3" w:rsidRPr="00556BE6">
              <w:rPr>
                <w:color w:val="auto"/>
                <w:sz w:val="23"/>
                <w:szCs w:val="23"/>
              </w:rPr>
              <w:t>25</w:t>
            </w:r>
            <w:r w:rsidRPr="00556BE6">
              <w:rPr>
                <w:color w:val="auto"/>
                <w:sz w:val="23"/>
                <w:szCs w:val="23"/>
              </w:rPr>
              <w:t>m</w:t>
            </w:r>
          </w:p>
        </w:tc>
      </w:tr>
      <w:tr w:rsidR="00272507" w:rsidRPr="00F00A18" w14:paraId="42B10863" w14:textId="77777777" w:rsidTr="00165D4A">
        <w:trPr>
          <w:trHeight w:val="850"/>
        </w:trPr>
        <w:tc>
          <w:tcPr>
            <w:tcW w:w="312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C1A0584" w14:textId="5B88B37F" w:rsidR="00272507" w:rsidRPr="009B79C4" w:rsidRDefault="00272507" w:rsidP="00272507">
            <w:pPr>
              <w:pStyle w:val="Milestonetable"/>
              <w:rPr>
                <w:color w:val="auto"/>
              </w:rPr>
            </w:pPr>
            <w:r w:rsidRPr="009B79C4">
              <w:rPr>
                <w:color w:val="auto"/>
                <w:sz w:val="23"/>
                <w:szCs w:val="23"/>
              </w:rPr>
              <w:t>Construction of part of the remaining trail (Mowbray River south to Palm Cove, via Wangetti) – Stage 2</w:t>
            </w: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7D526F7E" w14:textId="669D17DA" w:rsidR="00272507" w:rsidRPr="009B79C4" w:rsidRDefault="00272507" w:rsidP="00272507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Contract awarded and construction commenced for the trail (Mowbray River south to Palm Cove)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5E8C2D1B" w14:textId="7DEB2E09" w:rsidR="00272507" w:rsidRPr="009B79C4" w:rsidRDefault="00850C57" w:rsidP="00272507">
            <w:pPr>
              <w:pStyle w:val="Milestonetable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01/03/2021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47C9FE20" w14:textId="77777777" w:rsidR="00272507" w:rsidRDefault="00272507" w:rsidP="00272507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$</w:t>
            </w:r>
            <w:r w:rsidR="00850C57">
              <w:rPr>
                <w:color w:val="auto"/>
                <w:sz w:val="23"/>
                <w:szCs w:val="23"/>
              </w:rPr>
              <w:t>2</w:t>
            </w:r>
            <w:r w:rsidRPr="009B79C4">
              <w:rPr>
                <w:color w:val="auto"/>
                <w:sz w:val="23"/>
                <w:szCs w:val="23"/>
              </w:rPr>
              <w:t>.</w:t>
            </w:r>
            <w:r w:rsidR="00850C57">
              <w:rPr>
                <w:color w:val="auto"/>
                <w:sz w:val="23"/>
                <w:szCs w:val="23"/>
              </w:rPr>
              <w:t>75</w:t>
            </w:r>
            <w:r w:rsidRPr="009B79C4">
              <w:rPr>
                <w:color w:val="auto"/>
                <w:sz w:val="23"/>
                <w:szCs w:val="23"/>
              </w:rPr>
              <w:t>m</w:t>
            </w:r>
          </w:p>
          <w:p w14:paraId="42AB5A39" w14:textId="1651B5FB" w:rsidR="00165D4A" w:rsidRPr="009B79C4" w:rsidRDefault="00165D4A" w:rsidP="00272507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(Complete)</w:t>
            </w:r>
          </w:p>
        </w:tc>
      </w:tr>
      <w:tr w:rsidR="00272507" w:rsidRPr="00F00A18" w14:paraId="77BA610D" w14:textId="77777777" w:rsidTr="00B93EE2">
        <w:trPr>
          <w:trHeight w:val="794"/>
        </w:trPr>
        <w:tc>
          <w:tcPr>
            <w:tcW w:w="312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853F4D" w14:textId="77777777" w:rsidR="00272507" w:rsidRPr="009B79C4" w:rsidRDefault="00272507" w:rsidP="00272507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A1EB9" w14:textId="74794DD9" w:rsidR="00835A93" w:rsidRPr="009B79C4" w:rsidRDefault="00272507" w:rsidP="00B93EE2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Construction completed for part of the trail (Mowbray River south to Palm Cove</w:t>
            </w:r>
            <w:r w:rsidR="00BD0C15">
              <w:rPr>
                <w:color w:val="auto"/>
                <w:sz w:val="23"/>
                <w:szCs w:val="23"/>
              </w:rPr>
              <w:t>, via Wangetti</w:t>
            </w:r>
            <w:r w:rsidRPr="009B79C4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D9906D" w14:textId="1C92F750" w:rsidR="007015AE" w:rsidRPr="003A48DE" w:rsidRDefault="003A48DE" w:rsidP="00272507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3A48DE">
              <w:rPr>
                <w:color w:val="auto"/>
                <w:sz w:val="23"/>
                <w:szCs w:val="23"/>
              </w:rPr>
              <w:t>31/12/2022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66AC2" w14:textId="1E29256A" w:rsidR="00272507" w:rsidRPr="003A48DE" w:rsidRDefault="00272507" w:rsidP="00272507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3A48DE">
              <w:rPr>
                <w:color w:val="auto"/>
                <w:sz w:val="23"/>
                <w:szCs w:val="23"/>
              </w:rPr>
              <w:t>$0.</w:t>
            </w:r>
            <w:r w:rsidR="007015AE" w:rsidRPr="003A48DE">
              <w:rPr>
                <w:color w:val="auto"/>
                <w:sz w:val="23"/>
                <w:szCs w:val="23"/>
              </w:rPr>
              <w:t>4</w:t>
            </w:r>
            <w:r w:rsidRPr="003A48DE">
              <w:rPr>
                <w:color w:val="auto"/>
                <w:sz w:val="23"/>
                <w:szCs w:val="23"/>
              </w:rPr>
              <w:t>m</w:t>
            </w:r>
          </w:p>
        </w:tc>
      </w:tr>
      <w:tr w:rsidR="0051725F" w:rsidRPr="00F00A18" w14:paraId="58F89700" w14:textId="77777777" w:rsidTr="00165D4A">
        <w:trPr>
          <w:trHeight w:val="680"/>
        </w:trPr>
        <w:tc>
          <w:tcPr>
            <w:tcW w:w="312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059E551A" w14:textId="77777777" w:rsidR="0051725F" w:rsidRDefault="0051725F" w:rsidP="005E32D8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Advancement of Indigenous participation on the Wangetti Trail</w:t>
            </w:r>
          </w:p>
          <w:p w14:paraId="1E9D9FC2" w14:textId="3A176DF7" w:rsidR="00AF6D9F" w:rsidRPr="009B79C4" w:rsidRDefault="00AF6D9F" w:rsidP="005E32D8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31EAA24B" w14:textId="77777777" w:rsidR="0051725F" w:rsidRPr="009B79C4" w:rsidRDefault="0051725F" w:rsidP="00835A93">
            <w:pPr>
              <w:pStyle w:val="Heading2"/>
              <w:rPr>
                <w:rFonts w:ascii="Corbel" w:hAnsi="Corbel"/>
                <w:b/>
                <w:color w:val="auto"/>
                <w:sz w:val="23"/>
                <w:szCs w:val="23"/>
              </w:rPr>
            </w:pPr>
            <w:r w:rsidRPr="009B79C4">
              <w:rPr>
                <w:rFonts w:ascii="Corbel" w:hAnsi="Corbel"/>
                <w:color w:val="auto"/>
                <w:sz w:val="23"/>
                <w:szCs w:val="23"/>
              </w:rPr>
              <w:t>Mowbray River Pedestrian Bridge and associated works - Stage 1:</w:t>
            </w:r>
          </w:p>
          <w:p w14:paraId="20069A30" w14:textId="1160F595" w:rsidR="0051725F" w:rsidRPr="009B79C4" w:rsidRDefault="0051725F" w:rsidP="00835A93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Cultural Heritage Protocol in place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3855EC91" w14:textId="4FBA22E7" w:rsidR="0051725F" w:rsidRPr="009B79C4" w:rsidRDefault="0051725F" w:rsidP="005E32D8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30/11/2019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5A37797E" w14:textId="77777777" w:rsidR="0051725F" w:rsidRDefault="0051725F" w:rsidP="005E32D8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9B79C4">
              <w:rPr>
                <w:color w:val="auto"/>
                <w:sz w:val="23"/>
                <w:szCs w:val="23"/>
              </w:rPr>
              <w:t>$0.05m</w:t>
            </w:r>
          </w:p>
          <w:p w14:paraId="53615B4E" w14:textId="13289FEB" w:rsidR="00165D4A" w:rsidRPr="009B79C4" w:rsidRDefault="00165D4A" w:rsidP="005E32D8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(Complete)</w:t>
            </w:r>
          </w:p>
        </w:tc>
      </w:tr>
      <w:tr w:rsidR="0051725F" w:rsidRPr="00F00A18" w14:paraId="2988FE11" w14:textId="77777777" w:rsidTr="00983D60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1FF3B61" w14:textId="77777777" w:rsidR="0051725F" w:rsidRPr="009B79C4" w:rsidRDefault="0051725F" w:rsidP="005E32D8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9B3B48" w14:textId="77777777" w:rsidR="00816AEF" w:rsidRPr="00AF6D9F" w:rsidRDefault="00816AEF" w:rsidP="00AF6D9F">
            <w:pPr>
              <w:spacing w:after="60"/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</w:pPr>
            <w:r w:rsidRPr="00AF6D9F"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  <w:t>For Stage 1 (Mowbray River north to Port Douglas):</w:t>
            </w:r>
          </w:p>
          <w:p w14:paraId="07BCBCBB" w14:textId="77777777" w:rsidR="00816AEF" w:rsidRPr="00AF6D9F" w:rsidRDefault="00816AEF" w:rsidP="00816AEF">
            <w:pPr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</w:pPr>
            <w:r w:rsidRPr="00AF6D9F"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  <w:t>- Workshops and meetings</w:t>
            </w:r>
          </w:p>
          <w:p w14:paraId="33A6CFD1" w14:textId="77777777" w:rsidR="00816AEF" w:rsidRPr="00AF6D9F" w:rsidRDefault="00816AEF" w:rsidP="00816AEF">
            <w:pPr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</w:pPr>
            <w:r w:rsidRPr="00AF6D9F">
              <w:rPr>
                <w:rFonts w:ascii="Corbel" w:eastAsia="Times New Roman" w:hAnsi="Corbel" w:cstheme="minorHAnsi"/>
                <w:iCs/>
                <w:color w:val="000000"/>
                <w:sz w:val="23"/>
                <w:szCs w:val="23"/>
                <w:lang w:eastAsia="en-AU"/>
              </w:rPr>
              <w:t>- Cultural Heritage Agreements signed and lodged</w:t>
            </w:r>
          </w:p>
          <w:p w14:paraId="5795C93C" w14:textId="2BB175EA" w:rsidR="0051725F" w:rsidRPr="00AF6D9F" w:rsidRDefault="00816AEF" w:rsidP="00816AEF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AF6D9F">
              <w:rPr>
                <w:rFonts w:cstheme="minorHAnsi"/>
                <w:color w:val="000000"/>
                <w:sz w:val="23"/>
                <w:szCs w:val="23"/>
              </w:rPr>
              <w:t>- Indigenous Land Use Agreements signed and lodged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55EA33" w14:textId="06C3DA4C" w:rsidR="0051725F" w:rsidRPr="00C43DAB" w:rsidRDefault="007B6ABD" w:rsidP="005E32D8">
            <w:pPr>
              <w:pStyle w:val="Milestonetable"/>
              <w:rPr>
                <w:color w:val="auto"/>
                <w:sz w:val="23"/>
                <w:szCs w:val="23"/>
                <w:highlight w:val="yellow"/>
              </w:rPr>
            </w:pPr>
            <w:r>
              <w:rPr>
                <w:color w:val="auto"/>
                <w:sz w:val="23"/>
                <w:szCs w:val="23"/>
              </w:rPr>
              <w:t>13/05/2022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06737C" w14:textId="3AAC40F4" w:rsidR="0051725F" w:rsidRPr="00C43DAB" w:rsidRDefault="0051725F" w:rsidP="005E32D8">
            <w:pPr>
              <w:pStyle w:val="Milestonetable"/>
              <w:jc w:val="right"/>
              <w:rPr>
                <w:color w:val="auto"/>
                <w:sz w:val="23"/>
                <w:szCs w:val="23"/>
                <w:highlight w:val="yellow"/>
              </w:rPr>
            </w:pPr>
            <w:r w:rsidRPr="007B6ABD">
              <w:rPr>
                <w:color w:val="auto"/>
                <w:sz w:val="23"/>
                <w:szCs w:val="23"/>
              </w:rPr>
              <w:t>$0.</w:t>
            </w:r>
            <w:r w:rsidR="00C022B5" w:rsidRPr="007B6ABD">
              <w:rPr>
                <w:color w:val="auto"/>
                <w:sz w:val="23"/>
                <w:szCs w:val="23"/>
              </w:rPr>
              <w:t>1</w:t>
            </w:r>
            <w:r w:rsidRPr="007B6ABD">
              <w:rPr>
                <w:color w:val="auto"/>
                <w:sz w:val="23"/>
                <w:szCs w:val="23"/>
              </w:rPr>
              <w:t>m</w:t>
            </w:r>
          </w:p>
        </w:tc>
      </w:tr>
      <w:tr w:rsidR="00C022B5" w:rsidRPr="00F00A18" w14:paraId="26F1A443" w14:textId="77777777" w:rsidTr="00983D60">
        <w:tc>
          <w:tcPr>
            <w:tcW w:w="312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9820B00" w14:textId="77777777" w:rsidR="00C022B5" w:rsidRPr="009B79C4" w:rsidRDefault="00C022B5" w:rsidP="00C022B5">
            <w:pPr>
              <w:pStyle w:val="Milestonetable"/>
              <w:rPr>
                <w:color w:val="auto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DFBA0" w14:textId="77777777" w:rsidR="00C022B5" w:rsidRPr="00AF6D9F" w:rsidRDefault="00C022B5" w:rsidP="00AF6D9F">
            <w:pPr>
              <w:pStyle w:val="Default"/>
              <w:spacing w:after="60"/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</w:pPr>
            <w:r w:rsidRPr="00AF6D9F"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  <w:t xml:space="preserve">For Stage 2 (Wangetti South section): </w:t>
            </w:r>
          </w:p>
          <w:p w14:paraId="5E5B429D" w14:textId="77777777" w:rsidR="00C022B5" w:rsidRPr="00AF6D9F" w:rsidRDefault="00C022B5" w:rsidP="00C022B5">
            <w:pPr>
              <w:pStyle w:val="Default"/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</w:pPr>
            <w:r w:rsidRPr="00AF6D9F"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  <w:t xml:space="preserve">- Workshops and meetings </w:t>
            </w:r>
          </w:p>
          <w:p w14:paraId="1413F1E0" w14:textId="77777777" w:rsidR="00C022B5" w:rsidRPr="00AF6D9F" w:rsidRDefault="00C022B5" w:rsidP="00C022B5">
            <w:pPr>
              <w:pStyle w:val="Default"/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</w:pPr>
            <w:r w:rsidRPr="00AF6D9F"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  <w:lastRenderedPageBreak/>
              <w:t xml:space="preserve">- Cultural Heritage Agreements signed and lodged </w:t>
            </w:r>
          </w:p>
          <w:p w14:paraId="6CECEC51" w14:textId="235BF8DF" w:rsidR="00C022B5" w:rsidRPr="00AF6D9F" w:rsidRDefault="00C022B5" w:rsidP="00C022B5">
            <w:pPr>
              <w:pStyle w:val="Heading2"/>
              <w:spacing w:after="60"/>
              <w:rPr>
                <w:rFonts w:ascii="Corbel" w:hAnsi="Corbel"/>
                <w:iCs/>
                <w:color w:val="auto"/>
                <w:sz w:val="23"/>
                <w:szCs w:val="23"/>
                <w:highlight w:val="yellow"/>
              </w:rPr>
            </w:pPr>
            <w:r w:rsidRPr="00AF6D9F">
              <w:rPr>
                <w:rFonts w:ascii="Corbel" w:hAnsi="Corbel" w:cstheme="minorHAnsi"/>
                <w:iCs/>
                <w:color w:val="auto"/>
                <w:sz w:val="23"/>
                <w:szCs w:val="23"/>
              </w:rPr>
              <w:t>- Indigenous Land Use Agreements signed and lodged</w:t>
            </w:r>
            <w:r w:rsidRPr="00AF6D9F">
              <w:rPr>
                <w:rFonts w:ascii="Corbel" w:hAnsi="Corbel" w:cstheme="minorHAnsi"/>
                <w:b/>
                <w:bCs/>
                <w:i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32E027" w14:textId="0DB6E070" w:rsidR="00C022B5" w:rsidRPr="007B6ABD" w:rsidRDefault="00FA3041" w:rsidP="00C022B5">
            <w:pPr>
              <w:pStyle w:val="Milestonetable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31/03/2022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CE1468" w14:textId="32D9B4EA" w:rsidR="00C022B5" w:rsidRPr="007B6ABD" w:rsidRDefault="00C022B5" w:rsidP="00C022B5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7B6ABD">
              <w:rPr>
                <w:color w:val="auto"/>
                <w:sz w:val="23"/>
                <w:szCs w:val="23"/>
              </w:rPr>
              <w:t>$0.2m</w:t>
            </w:r>
          </w:p>
        </w:tc>
      </w:tr>
      <w:tr w:rsidR="00C022B5" w:rsidRPr="00F00A18" w14:paraId="6E10438A" w14:textId="77777777" w:rsidTr="00165D4A">
        <w:tc>
          <w:tcPr>
            <w:tcW w:w="312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30C4DA" w14:textId="77777777" w:rsidR="00C022B5" w:rsidRPr="004B572F" w:rsidRDefault="00C022B5" w:rsidP="00C022B5">
            <w:pPr>
              <w:pStyle w:val="Milestonetable"/>
              <w:rPr>
                <w:color w:val="auto"/>
                <w:highlight w:val="yellow"/>
              </w:rPr>
            </w:pPr>
          </w:p>
        </w:tc>
        <w:tc>
          <w:tcPr>
            <w:tcW w:w="73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3A2FE050" w14:textId="77777777" w:rsidR="00C022B5" w:rsidRPr="00AF6D9F" w:rsidRDefault="00C022B5" w:rsidP="00C022B5">
            <w:pPr>
              <w:pStyle w:val="Heading2"/>
              <w:rPr>
                <w:rFonts w:ascii="Corbel" w:hAnsi="Corbel"/>
                <w:b/>
                <w:color w:val="auto"/>
                <w:sz w:val="23"/>
                <w:szCs w:val="23"/>
              </w:rPr>
            </w:pPr>
            <w:r w:rsidRPr="00AF6D9F">
              <w:rPr>
                <w:rFonts w:ascii="Corbel" w:hAnsi="Corbel"/>
                <w:color w:val="auto"/>
                <w:sz w:val="23"/>
                <w:szCs w:val="23"/>
              </w:rPr>
              <w:t>For Stage 2:</w:t>
            </w:r>
          </w:p>
          <w:p w14:paraId="38FCA268" w14:textId="59BD2E22" w:rsidR="00C022B5" w:rsidRPr="00AF6D9F" w:rsidRDefault="00C022B5" w:rsidP="00C022B5">
            <w:pPr>
              <w:pStyle w:val="Milestonetable"/>
              <w:rPr>
                <w:color w:val="auto"/>
                <w:sz w:val="23"/>
                <w:szCs w:val="23"/>
              </w:rPr>
            </w:pPr>
            <w:r w:rsidRPr="00AF6D9F">
              <w:rPr>
                <w:color w:val="auto"/>
                <w:sz w:val="23"/>
                <w:szCs w:val="23"/>
              </w:rPr>
              <w:t>Private Operator transaction process commenced with involvement of Traditional Owner Groups, including facilitation of meetings with bidding private sector operators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4EEF46FF" w14:textId="6248DA13" w:rsidR="00C022B5" w:rsidRPr="009B290A" w:rsidRDefault="00C022B5" w:rsidP="00C022B5">
            <w:pPr>
              <w:pStyle w:val="Milestonetable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01/</w:t>
            </w:r>
            <w:r w:rsidR="00165D4A">
              <w:rPr>
                <w:color w:val="auto"/>
                <w:sz w:val="23"/>
                <w:szCs w:val="23"/>
              </w:rPr>
              <w:t>03</w:t>
            </w:r>
            <w:r>
              <w:rPr>
                <w:color w:val="auto"/>
                <w:sz w:val="23"/>
                <w:szCs w:val="23"/>
              </w:rPr>
              <w:t>/2021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 w:themeFill="accent6" w:themeFillTint="33"/>
          </w:tcPr>
          <w:p w14:paraId="60652810" w14:textId="77777777" w:rsidR="00C022B5" w:rsidRDefault="00C022B5" w:rsidP="00C022B5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 w:rsidRPr="009B290A">
              <w:rPr>
                <w:color w:val="auto"/>
                <w:sz w:val="23"/>
                <w:szCs w:val="23"/>
              </w:rPr>
              <w:t>$0.2m</w:t>
            </w:r>
          </w:p>
          <w:p w14:paraId="4C838EF6" w14:textId="7276B369" w:rsidR="00165D4A" w:rsidRPr="009B290A" w:rsidRDefault="00165D4A" w:rsidP="00C022B5">
            <w:pPr>
              <w:pStyle w:val="Milestonetable"/>
              <w:jc w:val="righ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(Complete)</w:t>
            </w:r>
          </w:p>
        </w:tc>
      </w:tr>
    </w:tbl>
    <w:p w14:paraId="3CA5FCAF" w14:textId="77777777" w:rsidR="00C91B5F" w:rsidRDefault="00C91B5F" w:rsidP="00C91B5F"/>
    <w:p w14:paraId="7245F9C3" w14:textId="0A9D9CB5" w:rsidR="00C91B5F" w:rsidRPr="009B290A" w:rsidRDefault="00C91B5F" w:rsidP="00C91B5F">
      <w:pPr>
        <w:rPr>
          <w:rFonts w:ascii="Corbel" w:hAnsi="Corbel"/>
          <w:sz w:val="26"/>
          <w:szCs w:val="26"/>
          <w:lang w:val="en-GB"/>
        </w:rPr>
      </w:pPr>
      <w:r w:rsidRPr="009B290A">
        <w:rPr>
          <w:rFonts w:ascii="Corbel" w:hAnsi="Corbel"/>
          <w:sz w:val="26"/>
          <w:szCs w:val="26"/>
          <w:lang w:val="en-GB"/>
        </w:rPr>
        <w:t xml:space="preserve">The </w:t>
      </w:r>
      <w:r w:rsidRPr="009B290A">
        <w:rPr>
          <w:rFonts w:ascii="Corbel" w:hAnsi="Corbel"/>
          <w:sz w:val="26"/>
          <w:szCs w:val="26"/>
        </w:rPr>
        <w:t>Parties</w:t>
      </w:r>
      <w:r w:rsidRPr="009B290A">
        <w:rPr>
          <w:rFonts w:ascii="Corbel" w:hAnsi="Corbel"/>
          <w:sz w:val="26"/>
          <w:szCs w:val="26"/>
          <w:lang w:val="en-GB"/>
        </w:rPr>
        <w:t xml:space="preserve"> have confirmed their commitment to this schedule as follows:</w:t>
      </w:r>
      <w:r w:rsidR="00835A93">
        <w:rPr>
          <w:rFonts w:ascii="Corbel" w:hAnsi="Corbel"/>
          <w:sz w:val="26"/>
          <w:szCs w:val="26"/>
          <w:lang w:val="en-GB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9C7EF0" w:rsidRPr="00A50751" w14:paraId="6EDBD23D" w14:textId="77777777" w:rsidTr="005D3905">
        <w:trPr>
          <w:cantSplit/>
          <w:jc w:val="center"/>
        </w:trPr>
        <w:tc>
          <w:tcPr>
            <w:tcW w:w="4536" w:type="dxa"/>
          </w:tcPr>
          <w:p w14:paraId="5347AB8F" w14:textId="77777777" w:rsidR="009C7EF0" w:rsidRPr="00420286" w:rsidRDefault="009C7EF0" w:rsidP="009C7EF0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420286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20286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7F8D6E0D" w14:textId="77777777" w:rsidR="009C7EF0" w:rsidRPr="00A50751" w:rsidRDefault="009C7EF0" w:rsidP="009C7EF0">
            <w:pPr>
              <w:pStyle w:val="LineForSignature"/>
            </w:pPr>
            <w:r>
              <w:br/>
            </w:r>
            <w:r>
              <w:tab/>
            </w:r>
          </w:p>
          <w:p w14:paraId="6FC3F882" w14:textId="77777777" w:rsidR="009C7EF0" w:rsidRPr="00420286" w:rsidRDefault="009C7EF0" w:rsidP="009C7EF0">
            <w:pPr>
              <w:pStyle w:val="SingleParagraph"/>
              <w:rPr>
                <w:rStyle w:val="Bold"/>
                <w:szCs w:val="23"/>
              </w:rPr>
            </w:pPr>
            <w:r w:rsidRPr="00420286">
              <w:rPr>
                <w:rStyle w:val="Bold"/>
                <w:szCs w:val="23"/>
              </w:rPr>
              <w:t>The Honourable Dan Tehan MP</w:t>
            </w:r>
          </w:p>
          <w:p w14:paraId="4C2182F2" w14:textId="77777777" w:rsidR="009C7EF0" w:rsidRPr="00420286" w:rsidRDefault="009C7EF0" w:rsidP="009C7EF0">
            <w:pPr>
              <w:pStyle w:val="Position"/>
              <w:rPr>
                <w:sz w:val="23"/>
                <w:szCs w:val="23"/>
                <w:lang w:val="en-GB"/>
              </w:rPr>
            </w:pPr>
            <w:r w:rsidRPr="00420286">
              <w:rPr>
                <w:sz w:val="23"/>
                <w:szCs w:val="23"/>
                <w:lang w:val="en-GB"/>
              </w:rPr>
              <w:t>Minister for Trade, Tourism, and Investment</w:t>
            </w:r>
          </w:p>
          <w:p w14:paraId="3CA95129" w14:textId="77777777" w:rsidR="009C7EF0" w:rsidRDefault="009C7EF0" w:rsidP="009C7EF0">
            <w:pPr>
              <w:pStyle w:val="Position"/>
              <w:rPr>
                <w:sz w:val="23"/>
                <w:szCs w:val="23"/>
                <w:lang w:val="en-GB"/>
              </w:rPr>
            </w:pPr>
          </w:p>
          <w:p w14:paraId="469B642A" w14:textId="77777777" w:rsidR="009C7EF0" w:rsidRDefault="009C7EF0" w:rsidP="009C7EF0">
            <w:pPr>
              <w:pStyle w:val="Position"/>
              <w:rPr>
                <w:sz w:val="23"/>
                <w:szCs w:val="23"/>
                <w:lang w:val="en-GB"/>
              </w:rPr>
            </w:pPr>
          </w:p>
          <w:p w14:paraId="30A29548" w14:textId="525E8A08" w:rsidR="009C7EF0" w:rsidRDefault="009C7EF0" w:rsidP="009C7EF0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 w:rsidRPr="000656EC">
              <w:rPr>
                <w:szCs w:val="23"/>
                <w:lang w:val="en-GB"/>
              </w:rPr>
              <w:t xml:space="preserve">   </w:t>
            </w:r>
            <w:r w:rsidRPr="00920724">
              <w:rPr>
                <w:szCs w:val="23"/>
                <w:lang w:val="en-GB"/>
              </w:rPr>
              <w:t xml:space="preserve">                                                                   2022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9C7EF0" w:rsidRPr="00A50751" w:rsidRDefault="009C7EF0" w:rsidP="009C7EF0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23991CA" w14:textId="77777777" w:rsidR="009C7EF0" w:rsidRPr="00420286" w:rsidRDefault="009C7EF0" w:rsidP="00420286">
            <w:pPr>
              <w:pStyle w:val="Signed"/>
              <w:jc w:val="left"/>
              <w:rPr>
                <w:rFonts w:ascii="Corbel" w:hAnsi="Corbel"/>
                <w:sz w:val="23"/>
                <w:szCs w:val="23"/>
              </w:rPr>
            </w:pPr>
            <w:r w:rsidRPr="00420286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20286">
              <w:rPr>
                <w:rFonts w:ascii="Corbel" w:hAnsi="Corbel"/>
                <w:sz w:val="23"/>
                <w:szCs w:val="23"/>
              </w:rPr>
              <w:t xml:space="preserve"> for and on behalf of the </w:t>
            </w:r>
            <w:r w:rsidRPr="00420286">
              <w:rPr>
                <w:rFonts w:ascii="Corbel" w:hAnsi="Corbel"/>
                <w:sz w:val="23"/>
                <w:szCs w:val="23"/>
              </w:rPr>
              <w:br/>
            </w:r>
            <w:r w:rsidRPr="00420286">
              <w:rPr>
                <w:rFonts w:ascii="Corbel" w:hAnsi="Corbel"/>
                <w:color w:val="auto"/>
                <w:sz w:val="23"/>
                <w:szCs w:val="23"/>
              </w:rPr>
              <w:t xml:space="preserve">State of State of Queensland </w:t>
            </w:r>
            <w:r w:rsidRPr="00420286">
              <w:rPr>
                <w:rFonts w:ascii="Corbel" w:hAnsi="Corbel"/>
                <w:sz w:val="23"/>
                <w:szCs w:val="23"/>
              </w:rPr>
              <w:t>by</w:t>
            </w:r>
          </w:p>
          <w:p w14:paraId="259AEEEA" w14:textId="77777777" w:rsidR="009C7EF0" w:rsidRPr="00A50751" w:rsidRDefault="009C7EF0" w:rsidP="009C7EF0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3CC5CA7" w14:textId="77777777" w:rsidR="009C7EF0" w:rsidRPr="007B3C94" w:rsidRDefault="009C7EF0" w:rsidP="009C7EF0">
            <w:pPr>
              <w:pStyle w:val="SingleParagraph"/>
              <w:rPr>
                <w:rStyle w:val="Bold"/>
                <w:szCs w:val="23"/>
              </w:rPr>
            </w:pPr>
            <w:r w:rsidRPr="007B3C94">
              <w:rPr>
                <w:rStyle w:val="Bold"/>
                <w:szCs w:val="23"/>
              </w:rPr>
              <w:t>The Honourable Stirling Hinchliffe MP</w:t>
            </w:r>
          </w:p>
          <w:p w14:paraId="120B3DC0" w14:textId="77777777" w:rsidR="009C7EF0" w:rsidRPr="00420286" w:rsidRDefault="009C7EF0" w:rsidP="009C7EF0">
            <w:pPr>
              <w:pStyle w:val="Position"/>
              <w:rPr>
                <w:sz w:val="23"/>
                <w:szCs w:val="23"/>
                <w:lang w:val="en-GB"/>
              </w:rPr>
            </w:pPr>
            <w:r w:rsidRPr="00420286">
              <w:rPr>
                <w:sz w:val="23"/>
                <w:szCs w:val="23"/>
                <w:lang w:val="en-GB"/>
              </w:rPr>
              <w:t xml:space="preserve">Minister for Tourism, Industry, Development, and Innovation </w:t>
            </w:r>
          </w:p>
          <w:p w14:paraId="544CA260" w14:textId="77777777" w:rsidR="009C7EF0" w:rsidRPr="007B3C94" w:rsidRDefault="009C7EF0" w:rsidP="009C7EF0">
            <w:pPr>
              <w:pStyle w:val="Position"/>
              <w:rPr>
                <w:sz w:val="23"/>
                <w:szCs w:val="23"/>
                <w:lang w:val="en-GB"/>
              </w:rPr>
            </w:pPr>
          </w:p>
          <w:p w14:paraId="5CA98839" w14:textId="1AFE1C7C" w:rsidR="009C7EF0" w:rsidRPr="00A50751" w:rsidRDefault="009C7EF0" w:rsidP="009C7EF0">
            <w:pPr>
              <w:rPr>
                <w:rFonts w:ascii="Book Antiqua" w:hAnsi="Book Antiqua"/>
                <w:lang w:val="en-GB"/>
              </w:rPr>
            </w:pPr>
            <w:r w:rsidRPr="007B3C94">
              <w:rPr>
                <w:rFonts w:ascii="Corbel" w:hAnsi="Corbel"/>
                <w:sz w:val="23"/>
                <w:szCs w:val="23"/>
                <w:lang w:val="en-GB"/>
              </w:rPr>
              <w:t xml:space="preserve">                                                                      2022</w:t>
            </w:r>
          </w:p>
        </w:tc>
      </w:tr>
    </w:tbl>
    <w:p w14:paraId="673500F4" w14:textId="4E89019C" w:rsidR="00C91B5F" w:rsidRDefault="00C91B5F" w:rsidP="00835A93"/>
    <w:sectPr w:rsidR="00C91B5F" w:rsidSect="00F83887">
      <w:headerReference w:type="even" r:id="rId17"/>
      <w:headerReference w:type="default" r:id="rId18"/>
      <w:head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8224" w14:textId="77777777" w:rsidR="00974B60" w:rsidRDefault="00974B60">
      <w:r>
        <w:separator/>
      </w:r>
    </w:p>
  </w:endnote>
  <w:endnote w:type="continuationSeparator" w:id="0">
    <w:p w14:paraId="33826B13" w14:textId="77777777" w:rsidR="00974B60" w:rsidRDefault="0097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E401" w14:textId="77777777" w:rsidR="00815B50" w:rsidRDefault="00420286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F7E4" w14:textId="77777777" w:rsidR="00815B50" w:rsidRPr="00CA24B0" w:rsidRDefault="00420286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6FA8" w14:textId="77777777" w:rsidR="00974B60" w:rsidRDefault="00974B60">
      <w:r>
        <w:separator/>
      </w:r>
    </w:p>
  </w:footnote>
  <w:footnote w:type="continuationSeparator" w:id="0">
    <w:p w14:paraId="7CDDCAC1" w14:textId="77777777" w:rsidR="00974B60" w:rsidRDefault="0097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5B8A" w14:textId="77777777" w:rsidR="00CB46AF" w:rsidRDefault="00CB4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2F13" w14:textId="44720831" w:rsidR="00CB46AF" w:rsidRDefault="00CB4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292C" w14:textId="1E7732E1" w:rsidR="00815B50" w:rsidRDefault="004202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DB65" w14:textId="77777777" w:rsidR="00884E8F" w:rsidRDefault="00884E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810" w14:textId="77777777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F2C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A72CA"/>
    <w:multiLevelType w:val="multilevel"/>
    <w:tmpl w:val="72A22C3C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59B70749"/>
    <w:multiLevelType w:val="multilevel"/>
    <w:tmpl w:val="72A22C3C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6538521E"/>
    <w:multiLevelType w:val="multilevel"/>
    <w:tmpl w:val="72A22C3C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4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5" w15:restartNumberingAfterBreak="0">
    <w:nsid w:val="78854AAC"/>
    <w:multiLevelType w:val="multilevel"/>
    <w:tmpl w:val="C6F8B32A"/>
    <w:lvl w:ilvl="0">
      <w:start w:val="1"/>
      <w:numFmt w:val="lowerLetter"/>
      <w:pStyle w:val="Paragraphnumbering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E7F2798"/>
    <w:multiLevelType w:val="hybridMultilevel"/>
    <w:tmpl w:val="7876CA7A"/>
    <w:lvl w:ilvl="0" w:tplc="C5389632">
      <w:numFmt w:val="bullet"/>
      <w:lvlText w:val="-"/>
      <w:lvlJc w:val="left"/>
      <w:pPr>
        <w:ind w:left="408" w:hanging="360"/>
      </w:pPr>
      <w:rPr>
        <w:rFonts w:ascii="Corbel" w:eastAsia="Times New Roman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14D8A"/>
    <w:rsid w:val="00021083"/>
    <w:rsid w:val="0002375C"/>
    <w:rsid w:val="00025527"/>
    <w:rsid w:val="00026C65"/>
    <w:rsid w:val="0002780B"/>
    <w:rsid w:val="00031456"/>
    <w:rsid w:val="000331B8"/>
    <w:rsid w:val="0005355C"/>
    <w:rsid w:val="0006694B"/>
    <w:rsid w:val="000724E3"/>
    <w:rsid w:val="000860D5"/>
    <w:rsid w:val="000863BB"/>
    <w:rsid w:val="000B4FE9"/>
    <w:rsid w:val="000E3643"/>
    <w:rsid w:val="000E586C"/>
    <w:rsid w:val="000F0CEB"/>
    <w:rsid w:val="00101F13"/>
    <w:rsid w:val="00105357"/>
    <w:rsid w:val="00116C08"/>
    <w:rsid w:val="00126747"/>
    <w:rsid w:val="001272D5"/>
    <w:rsid w:val="00145685"/>
    <w:rsid w:val="00145CA1"/>
    <w:rsid w:val="00152DDA"/>
    <w:rsid w:val="00157113"/>
    <w:rsid w:val="00165D4A"/>
    <w:rsid w:val="00170203"/>
    <w:rsid w:val="001C1682"/>
    <w:rsid w:val="001C4A0A"/>
    <w:rsid w:val="001D46B9"/>
    <w:rsid w:val="001E5A7F"/>
    <w:rsid w:val="002012EE"/>
    <w:rsid w:val="00220EC0"/>
    <w:rsid w:val="002254B8"/>
    <w:rsid w:val="00266988"/>
    <w:rsid w:val="00272507"/>
    <w:rsid w:val="002A3B1F"/>
    <w:rsid w:val="002B6BAA"/>
    <w:rsid w:val="002D622D"/>
    <w:rsid w:val="002F5B8D"/>
    <w:rsid w:val="00316C55"/>
    <w:rsid w:val="00316DFD"/>
    <w:rsid w:val="00317FB3"/>
    <w:rsid w:val="003224E3"/>
    <w:rsid w:val="003306F1"/>
    <w:rsid w:val="00363CF3"/>
    <w:rsid w:val="00377C65"/>
    <w:rsid w:val="003A48DE"/>
    <w:rsid w:val="003E3211"/>
    <w:rsid w:val="003F1A84"/>
    <w:rsid w:val="00407C3A"/>
    <w:rsid w:val="00420286"/>
    <w:rsid w:val="00422669"/>
    <w:rsid w:val="00431464"/>
    <w:rsid w:val="00495752"/>
    <w:rsid w:val="004A14C2"/>
    <w:rsid w:val="004A6C3D"/>
    <w:rsid w:val="004B572F"/>
    <w:rsid w:val="004D0869"/>
    <w:rsid w:val="005118D7"/>
    <w:rsid w:val="0051682C"/>
    <w:rsid w:val="0051725F"/>
    <w:rsid w:val="005414EE"/>
    <w:rsid w:val="00555CD4"/>
    <w:rsid w:val="00556BE6"/>
    <w:rsid w:val="005C2FBE"/>
    <w:rsid w:val="005E13CB"/>
    <w:rsid w:val="005E32D8"/>
    <w:rsid w:val="005F1D46"/>
    <w:rsid w:val="006037C1"/>
    <w:rsid w:val="006136B3"/>
    <w:rsid w:val="006377F8"/>
    <w:rsid w:val="0064121C"/>
    <w:rsid w:val="006419F7"/>
    <w:rsid w:val="006A4D8B"/>
    <w:rsid w:val="006B6E73"/>
    <w:rsid w:val="006E3293"/>
    <w:rsid w:val="006F3C79"/>
    <w:rsid w:val="007015AE"/>
    <w:rsid w:val="00743E61"/>
    <w:rsid w:val="00747297"/>
    <w:rsid w:val="007B3C94"/>
    <w:rsid w:val="007B6ABD"/>
    <w:rsid w:val="007D2045"/>
    <w:rsid w:val="007D2570"/>
    <w:rsid w:val="007F03E4"/>
    <w:rsid w:val="007F186B"/>
    <w:rsid w:val="007F4673"/>
    <w:rsid w:val="00816AEF"/>
    <w:rsid w:val="00823041"/>
    <w:rsid w:val="0083230E"/>
    <w:rsid w:val="00835A93"/>
    <w:rsid w:val="0084012E"/>
    <w:rsid w:val="0084219F"/>
    <w:rsid w:val="00850C57"/>
    <w:rsid w:val="008709E1"/>
    <w:rsid w:val="00870BF9"/>
    <w:rsid w:val="0088086F"/>
    <w:rsid w:val="00884E8F"/>
    <w:rsid w:val="00895B1D"/>
    <w:rsid w:val="008C31CE"/>
    <w:rsid w:val="008C3FAD"/>
    <w:rsid w:val="008E62E2"/>
    <w:rsid w:val="008F3E0D"/>
    <w:rsid w:val="00902E4D"/>
    <w:rsid w:val="00912525"/>
    <w:rsid w:val="009564D8"/>
    <w:rsid w:val="00974B60"/>
    <w:rsid w:val="009A1816"/>
    <w:rsid w:val="009B290A"/>
    <w:rsid w:val="009B79C4"/>
    <w:rsid w:val="009C3443"/>
    <w:rsid w:val="009C60BB"/>
    <w:rsid w:val="009C7EF0"/>
    <w:rsid w:val="009D5BA6"/>
    <w:rsid w:val="009D6EF3"/>
    <w:rsid w:val="009E12D3"/>
    <w:rsid w:val="009E77A8"/>
    <w:rsid w:val="00A020B2"/>
    <w:rsid w:val="00A22958"/>
    <w:rsid w:val="00A4324B"/>
    <w:rsid w:val="00A4621A"/>
    <w:rsid w:val="00A562A1"/>
    <w:rsid w:val="00A65C44"/>
    <w:rsid w:val="00A702A7"/>
    <w:rsid w:val="00A7101C"/>
    <w:rsid w:val="00A817C6"/>
    <w:rsid w:val="00A83C35"/>
    <w:rsid w:val="00AA0A6C"/>
    <w:rsid w:val="00AA505E"/>
    <w:rsid w:val="00AA5ADE"/>
    <w:rsid w:val="00AE29BD"/>
    <w:rsid w:val="00AE7475"/>
    <w:rsid w:val="00AF6D9F"/>
    <w:rsid w:val="00B01345"/>
    <w:rsid w:val="00B16798"/>
    <w:rsid w:val="00B204B8"/>
    <w:rsid w:val="00B373EF"/>
    <w:rsid w:val="00B40E83"/>
    <w:rsid w:val="00B63981"/>
    <w:rsid w:val="00B64AC5"/>
    <w:rsid w:val="00B64E11"/>
    <w:rsid w:val="00B841FC"/>
    <w:rsid w:val="00B939D9"/>
    <w:rsid w:val="00B93EE2"/>
    <w:rsid w:val="00BA26A8"/>
    <w:rsid w:val="00BB0778"/>
    <w:rsid w:val="00BB0A23"/>
    <w:rsid w:val="00BB1876"/>
    <w:rsid w:val="00BB488B"/>
    <w:rsid w:val="00BC6DE6"/>
    <w:rsid w:val="00BD014A"/>
    <w:rsid w:val="00BD0C15"/>
    <w:rsid w:val="00BD3B7E"/>
    <w:rsid w:val="00BD6E01"/>
    <w:rsid w:val="00C022B5"/>
    <w:rsid w:val="00C231B6"/>
    <w:rsid w:val="00C43DAB"/>
    <w:rsid w:val="00C60DD6"/>
    <w:rsid w:val="00C704D2"/>
    <w:rsid w:val="00C82923"/>
    <w:rsid w:val="00C841F9"/>
    <w:rsid w:val="00C90694"/>
    <w:rsid w:val="00C91B5F"/>
    <w:rsid w:val="00C93149"/>
    <w:rsid w:val="00CA54E0"/>
    <w:rsid w:val="00CB055B"/>
    <w:rsid w:val="00CB46AF"/>
    <w:rsid w:val="00CC3C42"/>
    <w:rsid w:val="00CC47C1"/>
    <w:rsid w:val="00CC6168"/>
    <w:rsid w:val="00CD5F4D"/>
    <w:rsid w:val="00CE1F36"/>
    <w:rsid w:val="00CF0B25"/>
    <w:rsid w:val="00D0132C"/>
    <w:rsid w:val="00D25021"/>
    <w:rsid w:val="00D42B1D"/>
    <w:rsid w:val="00D54783"/>
    <w:rsid w:val="00D72A49"/>
    <w:rsid w:val="00D73A87"/>
    <w:rsid w:val="00D73FF4"/>
    <w:rsid w:val="00D878A7"/>
    <w:rsid w:val="00D9781B"/>
    <w:rsid w:val="00DA1BA4"/>
    <w:rsid w:val="00DB2C32"/>
    <w:rsid w:val="00DD320B"/>
    <w:rsid w:val="00DD6EC1"/>
    <w:rsid w:val="00DE0037"/>
    <w:rsid w:val="00E0781A"/>
    <w:rsid w:val="00E72280"/>
    <w:rsid w:val="00E81AC3"/>
    <w:rsid w:val="00E8432A"/>
    <w:rsid w:val="00EA31D6"/>
    <w:rsid w:val="00EA3E25"/>
    <w:rsid w:val="00EC2042"/>
    <w:rsid w:val="00EC5AC6"/>
    <w:rsid w:val="00F0285B"/>
    <w:rsid w:val="00F22E57"/>
    <w:rsid w:val="00F25D74"/>
    <w:rsid w:val="00F457CF"/>
    <w:rsid w:val="00F57978"/>
    <w:rsid w:val="00F742F8"/>
    <w:rsid w:val="00F83887"/>
    <w:rsid w:val="00FA3041"/>
    <w:rsid w:val="00FB2B1F"/>
    <w:rsid w:val="00FC6333"/>
    <w:rsid w:val="00FD22E8"/>
    <w:rsid w:val="00FE3867"/>
    <w:rsid w:val="00FF0FC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lphaParagraph">
    <w:name w:val="Alpha Paragraph"/>
    <w:basedOn w:val="Normal"/>
    <w:link w:val="AlphaParagraphCharChar"/>
    <w:rsid w:val="00014D8A"/>
    <w:pPr>
      <w:widowControl/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paragraph" w:customStyle="1" w:styleId="Normalnumbered">
    <w:name w:val="Normal numbered"/>
    <w:basedOn w:val="Normal"/>
    <w:link w:val="NormalnumberedChar"/>
    <w:rsid w:val="00014D8A"/>
    <w:pPr>
      <w:widowControl/>
      <w:numPr>
        <w:numId w:val="3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NormalnumberedChar">
    <w:name w:val="Normal numbered Char"/>
    <w:link w:val="Normalnumbered"/>
    <w:locked/>
    <w:rsid w:val="00014D8A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AlphaParagraphCharChar">
    <w:name w:val="Alpha Paragraph Char Char"/>
    <w:link w:val="AlphaParagraph"/>
    <w:locked/>
    <w:rsid w:val="00014D8A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1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168"/>
    <w:rPr>
      <w:b/>
      <w:bCs/>
      <w:sz w:val="20"/>
      <w:szCs w:val="20"/>
      <w:lang w:val="en-US"/>
    </w:rPr>
  </w:style>
  <w:style w:type="paragraph" w:customStyle="1" w:styleId="Default">
    <w:name w:val="Default"/>
    <w:rsid w:val="00CD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A51B438-9839-4971-96A9-A5D9BC8538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5FEEAF2D5D45458D04FD1E49EC3D92" ma:contentTypeVersion="" ma:contentTypeDescription="PDMS Document Site Content Type" ma:contentTypeScope="" ma:versionID="7a291e1d2a75a6957830ade0bd3d09ad">
  <xsd:schema xmlns:xsd="http://www.w3.org/2001/XMLSchema" xmlns:xs="http://www.w3.org/2001/XMLSchema" xmlns:p="http://schemas.microsoft.com/office/2006/metadata/properties" xmlns:ns2="BA51B438-9839-4971-96A9-A5D9BC85386B" targetNamespace="http://schemas.microsoft.com/office/2006/metadata/properties" ma:root="true" ma:fieldsID="ad42edc0064e6c0f643116cbb00f72ad" ns2:_="">
    <xsd:import namespace="BA51B438-9839-4971-96A9-A5D9BC85386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438-9839-4971-96A9-A5D9BC85386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1983-DE42-4187-BF35-D4DA93F5A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900B8-6070-407E-B433-89E316A1590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51B438-9839-4971-96A9-A5D9BC85386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EFB3A-6961-4282-B836-BCC9F326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438-9839-4971-96A9-A5D9BC853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Lisa-Kaida [Canberra]</cp:lastModifiedBy>
  <cp:revision>5</cp:revision>
  <dcterms:created xsi:type="dcterms:W3CDTF">2022-04-01T00:28:00Z</dcterms:created>
  <dcterms:modified xsi:type="dcterms:W3CDTF">2022-04-01T05:58:00Z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0x010100266966F133664895A6EE3632470D45F5008B5FEEAF2D5D45458D04FD1E49EC3D92</vt:lpwstr>
  </property>
  <property fmtid="{D5CDD505-2E9C-101B-9397-08002B2CF9AE}" pid="3" name="_dlc_DocIdItemGuid">
    <vt:lpwstr>b78f1f8b-84fb-4677-97fb-fe2f4f122486</vt:lpwstr>
  </property>
  <property fmtid="{D5CDD505-2E9C-101B-9397-08002B2CF9AE}" pid="4" name="Protective Markings">
    <vt:lpwstr/>
  </property>
  <property fmtid="{D5CDD505-2E9C-101B-9397-08002B2CF9AE}" pid="5" name="TSYRecordClass">
    <vt:lpwstr>2;#TSY RA-8748 - Retain as national archives|243f2231-dbfc-4282-b24a-c9b768286bd0</vt:lpwstr>
  </property>
</Properties>
</file>