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1478"/>
        <w:gridCol w:w="8160"/>
      </w:tblGrid>
      <w:tr w:rsidR="00814667" w14:paraId="7754C047" w14:textId="77777777">
        <w:tc>
          <w:tcPr>
            <w:tcW w:w="5000" w:type="pct"/>
            <w:gridSpan w:val="2"/>
          </w:tcPr>
          <w:p w14:paraId="5DCC07D1" w14:textId="5124BA22" w:rsidR="00814667" w:rsidRDefault="00BA4284" w:rsidP="00060447">
            <w:pPr>
              <w:pStyle w:val="CoverTitleMain"/>
            </w:pPr>
            <w:r>
              <w:t>Project AGreement</w:t>
            </w:r>
            <w:r w:rsidR="00292587">
              <w:t xml:space="preserve"> FOR </w:t>
            </w:r>
            <w:r w:rsidR="00472678">
              <w:t>tourism icon package -</w:t>
            </w:r>
            <w:r w:rsidR="00171E98">
              <w:t xml:space="preserve"> </w:t>
            </w:r>
            <w:r w:rsidR="00503A54">
              <w:t xml:space="preserve">Upgrade of tourist facilities </w:t>
            </w:r>
            <w:r w:rsidR="00060447">
              <w:t>At FREYCINET</w:t>
            </w:r>
            <w:r w:rsidR="008D1492">
              <w:t xml:space="preserve"> </w:t>
            </w:r>
          </w:p>
        </w:tc>
      </w:tr>
      <w:tr w:rsidR="00814667" w14:paraId="5008970D" w14:textId="77777777">
        <w:tc>
          <w:tcPr>
            <w:tcW w:w="767" w:type="pct"/>
          </w:tcPr>
          <w:p w14:paraId="09615E74" w14:textId="77777777" w:rsidR="00814667" w:rsidRDefault="00814667">
            <w:pPr>
              <w:pStyle w:val="SingleParagraph"/>
              <w:tabs>
                <w:tab w:val="num" w:pos="1134"/>
              </w:tabs>
              <w:spacing w:after="240"/>
              <w:ind w:left="1134" w:hanging="567"/>
            </w:pPr>
          </w:p>
        </w:tc>
        <w:tc>
          <w:tcPr>
            <w:tcW w:w="4233" w:type="pct"/>
          </w:tcPr>
          <w:p w14:paraId="777148F3" w14:textId="77777777" w:rsidR="00814667" w:rsidRDefault="00814667">
            <w:pPr>
              <w:pStyle w:val="SingleParagraph"/>
              <w:tabs>
                <w:tab w:val="num" w:pos="1134"/>
              </w:tabs>
              <w:spacing w:after="240"/>
              <w:ind w:left="1134" w:hanging="567"/>
            </w:pPr>
          </w:p>
        </w:tc>
      </w:tr>
      <w:tr w:rsidR="00814667" w14:paraId="61584C85" w14:textId="77777777">
        <w:tc>
          <w:tcPr>
            <w:tcW w:w="767" w:type="pct"/>
          </w:tcPr>
          <w:p w14:paraId="7497A277" w14:textId="77777777" w:rsidR="00814667" w:rsidRDefault="00814667">
            <w:pPr>
              <w:pStyle w:val="SingleParagraph"/>
              <w:tabs>
                <w:tab w:val="num" w:pos="1134"/>
              </w:tabs>
              <w:spacing w:after="240"/>
              <w:ind w:left="1134" w:hanging="567"/>
            </w:pPr>
          </w:p>
        </w:tc>
        <w:tc>
          <w:tcPr>
            <w:tcW w:w="4233" w:type="pct"/>
          </w:tcPr>
          <w:p w14:paraId="784099C7" w14:textId="77777777" w:rsidR="00814667" w:rsidRPr="001E74D0" w:rsidRDefault="00814667">
            <w:pPr>
              <w:pStyle w:val="SingleParagraph"/>
              <w:tabs>
                <w:tab w:val="num" w:pos="1134"/>
              </w:tabs>
              <w:spacing w:after="240"/>
              <w:ind w:left="1134" w:hanging="567"/>
            </w:pPr>
          </w:p>
        </w:tc>
      </w:tr>
      <w:tr w:rsidR="00814667" w14:paraId="286589D3" w14:textId="77777777">
        <w:tc>
          <w:tcPr>
            <w:tcW w:w="5000" w:type="pct"/>
            <w:gridSpan w:val="2"/>
          </w:tcPr>
          <w:p w14:paraId="137C7372" w14:textId="77777777" w:rsidR="00814667" w:rsidRDefault="00814667">
            <w:pPr>
              <w:pStyle w:val="AgreementHeading"/>
              <w:tabs>
                <w:tab w:val="clear" w:pos="1134"/>
              </w:tabs>
            </w:pPr>
            <w:r>
              <w:t>An agreement between</w:t>
            </w:r>
            <w:r w:rsidR="00697494">
              <w:t>:</w:t>
            </w:r>
          </w:p>
        </w:tc>
      </w:tr>
      <w:tr w:rsidR="00814667" w14:paraId="2DBF5F07" w14:textId="77777777">
        <w:tc>
          <w:tcPr>
            <w:tcW w:w="767" w:type="pct"/>
          </w:tcPr>
          <w:p w14:paraId="5A6519F9" w14:textId="77777777" w:rsidR="00814667" w:rsidRPr="001E74D0" w:rsidRDefault="00814667">
            <w:pPr>
              <w:pStyle w:val="AgreementHeading"/>
              <w:tabs>
                <w:tab w:val="clear" w:pos="1134"/>
              </w:tabs>
              <w:ind w:left="522"/>
            </w:pPr>
          </w:p>
        </w:tc>
        <w:tc>
          <w:tcPr>
            <w:tcW w:w="4233" w:type="pct"/>
          </w:tcPr>
          <w:p w14:paraId="73A259BE" w14:textId="77777777" w:rsidR="00D6391B" w:rsidRDefault="00814667" w:rsidP="00886DC6">
            <w:pPr>
              <w:pStyle w:val="AgreementParties"/>
            </w:pPr>
            <w:r>
              <w:t xml:space="preserve">the </w:t>
            </w:r>
            <w:r>
              <w:rPr>
                <w:rStyle w:val="Bold"/>
              </w:rPr>
              <w:t>Commonwealth of Australia</w:t>
            </w:r>
            <w:r w:rsidR="00697494">
              <w:rPr>
                <w:rStyle w:val="Bold"/>
              </w:rPr>
              <w:t>;</w:t>
            </w:r>
            <w:r>
              <w:t xml:space="preserve"> and</w:t>
            </w:r>
            <w:r w:rsidR="00886DC6">
              <w:t xml:space="preserve"> </w:t>
            </w:r>
          </w:p>
          <w:p w14:paraId="3659CAA1" w14:textId="370896CE" w:rsidR="00814667" w:rsidRPr="001E74D0" w:rsidRDefault="00814667" w:rsidP="00060447">
            <w:pPr>
              <w:pStyle w:val="AgreementParties"/>
            </w:pPr>
            <w:r>
              <w:t xml:space="preserve">the </w:t>
            </w:r>
            <w:r w:rsidR="001A0E75" w:rsidRPr="00DD37B7">
              <w:rPr>
                <w:rStyle w:val="Bold"/>
                <w:b w:val="0"/>
              </w:rPr>
              <w:t>State</w:t>
            </w:r>
            <w:r w:rsidRPr="00DD37B7">
              <w:rPr>
                <w:rStyle w:val="Bold"/>
                <w:b w:val="0"/>
              </w:rPr>
              <w:t xml:space="preserve"> </w:t>
            </w:r>
            <w:r w:rsidR="00697494" w:rsidRPr="00DD37B7">
              <w:rPr>
                <w:rStyle w:val="Bold"/>
                <w:b w:val="0"/>
              </w:rPr>
              <w:t>of</w:t>
            </w:r>
            <w:r w:rsidR="00886DC6">
              <w:rPr>
                <w:rStyle w:val="Bold"/>
              </w:rPr>
              <w:t xml:space="preserve"> </w:t>
            </w:r>
            <w:r w:rsidR="00060447">
              <w:t>Tasmania</w:t>
            </w:r>
          </w:p>
        </w:tc>
      </w:tr>
      <w:tr w:rsidR="00814667" w14:paraId="7AD2C48E" w14:textId="77777777">
        <w:tc>
          <w:tcPr>
            <w:tcW w:w="767" w:type="pct"/>
          </w:tcPr>
          <w:p w14:paraId="21AD4F89" w14:textId="77777777" w:rsidR="00814667" w:rsidRDefault="00814667">
            <w:pPr>
              <w:pStyle w:val="SingleParagraph"/>
              <w:tabs>
                <w:tab w:val="num" w:pos="1134"/>
              </w:tabs>
              <w:spacing w:after="240"/>
              <w:ind w:left="1134" w:hanging="567"/>
            </w:pPr>
          </w:p>
        </w:tc>
        <w:tc>
          <w:tcPr>
            <w:tcW w:w="4233" w:type="pct"/>
            <w:tcBorders>
              <w:left w:val="nil"/>
            </w:tcBorders>
          </w:tcPr>
          <w:p w14:paraId="10D0F2E5" w14:textId="77777777" w:rsidR="00814667" w:rsidRDefault="00814667" w:rsidP="00886DC6">
            <w:pPr>
              <w:pStyle w:val="StatesList"/>
              <w:numPr>
                <w:ilvl w:val="0"/>
                <w:numId w:val="0"/>
              </w:numPr>
              <w:tabs>
                <w:tab w:val="clear" w:pos="1134"/>
              </w:tabs>
            </w:pPr>
          </w:p>
          <w:p w14:paraId="3B02F08A" w14:textId="77777777" w:rsidR="00EB7EDA" w:rsidRPr="00EB7EDA" w:rsidRDefault="00EB7EDA" w:rsidP="001A0E75">
            <w:pPr>
              <w:rPr>
                <w:i/>
              </w:rPr>
            </w:pPr>
          </w:p>
        </w:tc>
      </w:tr>
      <w:tr w:rsidR="00814667" w14:paraId="55165228" w14:textId="77777777">
        <w:tc>
          <w:tcPr>
            <w:tcW w:w="5000" w:type="pct"/>
            <w:gridSpan w:val="2"/>
          </w:tcPr>
          <w:p w14:paraId="02CB8768" w14:textId="77777777" w:rsidR="00814667" w:rsidRDefault="00814667">
            <w:pPr>
              <w:pStyle w:val="SingleParagraph"/>
              <w:tabs>
                <w:tab w:val="num" w:pos="1134"/>
              </w:tabs>
              <w:spacing w:after="240"/>
              <w:ind w:left="1134" w:hanging="567"/>
            </w:pPr>
          </w:p>
        </w:tc>
      </w:tr>
      <w:tr w:rsidR="00814667" w14:paraId="381BF0C2" w14:textId="77777777">
        <w:tc>
          <w:tcPr>
            <w:tcW w:w="5000" w:type="pct"/>
            <w:gridSpan w:val="2"/>
          </w:tcPr>
          <w:p w14:paraId="545ABD45" w14:textId="3AD7BB9B" w:rsidR="00814667" w:rsidRDefault="00771FFF" w:rsidP="00060447">
            <w:pPr>
              <w:pStyle w:val="Abstract"/>
            </w:pPr>
            <w:r>
              <w:t>The output of this project will be</w:t>
            </w:r>
            <w:r w:rsidR="00845BCC">
              <w:t xml:space="preserve"> </w:t>
            </w:r>
            <w:r w:rsidR="00503A54">
              <w:t xml:space="preserve">upgrades to sustainable visitor infrastructure </w:t>
            </w:r>
            <w:r w:rsidR="00060447">
              <w:t xml:space="preserve">at Freycinet </w:t>
            </w:r>
            <w:r w:rsidR="00503A54">
              <w:t xml:space="preserve">and </w:t>
            </w:r>
            <w:r w:rsidR="00060447">
              <w:t>an Aboriginal education program</w:t>
            </w:r>
            <w:r w:rsidR="00C7093C">
              <w:t xml:space="preserve">.  </w:t>
            </w:r>
          </w:p>
        </w:tc>
      </w:tr>
    </w:tbl>
    <w:p w14:paraId="22F02383" w14:textId="4818651E" w:rsidR="00814667" w:rsidRDefault="00FF5029">
      <w:pPr>
        <w:pStyle w:val="Title"/>
        <w:pageBreakBefore/>
      </w:pPr>
      <w:r>
        <w:lastRenderedPageBreak/>
        <w:t xml:space="preserve">Project </w:t>
      </w:r>
      <w:r w:rsidR="00D7336A">
        <w:t>Agreement</w:t>
      </w:r>
      <w:r>
        <w:t xml:space="preserve"> for</w:t>
      </w:r>
      <w:r w:rsidR="00C7093C">
        <w:t xml:space="preserve"> </w:t>
      </w:r>
      <w:r w:rsidR="00DD37B7">
        <w:t>Tourism I</w:t>
      </w:r>
      <w:r w:rsidR="00510A96">
        <w:t>con packag</w:t>
      </w:r>
      <w:r w:rsidR="00472678">
        <w:t>e -</w:t>
      </w:r>
      <w:r w:rsidR="00C7093C">
        <w:t xml:space="preserve"> </w:t>
      </w:r>
      <w:r w:rsidR="00503A54">
        <w:t xml:space="preserve">upgrade of tourist facilities </w:t>
      </w:r>
      <w:r w:rsidR="00B35327">
        <w:t>at Freycinet</w:t>
      </w:r>
      <w:r w:rsidR="00473CB2">
        <w:t xml:space="preserve"> </w:t>
      </w:r>
    </w:p>
    <w:p w14:paraId="718F14AE"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19194AFA" w14:textId="77777777" w:rsidR="00C960AA" w:rsidRPr="0096732C" w:rsidRDefault="00C960AA" w:rsidP="00242D9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7A5E24B8"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13B72BA6" w14:textId="701F3846" w:rsidR="00DB3935" w:rsidRDefault="00852ED8" w:rsidP="00DB3935">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t xml:space="preserve">This Agreement will </w:t>
      </w:r>
      <w:r w:rsidR="006146F2">
        <w:t xml:space="preserve">support the delivery of </w:t>
      </w:r>
      <w:r w:rsidR="007E4208">
        <w:t>Commonwealth funding of $</w:t>
      </w:r>
      <w:r w:rsidR="000322A1">
        <w:t>7</w:t>
      </w:r>
      <w:r w:rsidR="007E4208" w:rsidRPr="005B371A">
        <w:t>.2 million for sustainable visitor infrastructure</w:t>
      </w:r>
      <w:r w:rsidR="00A776DC">
        <w:t xml:space="preserve"> </w:t>
      </w:r>
      <w:r w:rsidR="00AE631D">
        <w:t>that</w:t>
      </w:r>
      <w:r w:rsidR="000322A1">
        <w:t xml:space="preserve"> enhance</w:t>
      </w:r>
      <w:r w:rsidR="00AE631D">
        <w:t>s</w:t>
      </w:r>
      <w:r w:rsidR="000322A1">
        <w:t xml:space="preserve"> </w:t>
      </w:r>
      <w:r w:rsidR="00AE631D">
        <w:t xml:space="preserve">tourism </w:t>
      </w:r>
      <w:r w:rsidR="000322A1">
        <w:t>facilities, amenities and experiences</w:t>
      </w:r>
      <w:r w:rsidR="00B624E1">
        <w:t xml:space="preserve"> at </w:t>
      </w:r>
      <w:r w:rsidR="00B35327">
        <w:t>Freycinet</w:t>
      </w:r>
      <w:r w:rsidR="000322A1">
        <w:t xml:space="preserve">. This includes </w:t>
      </w:r>
      <w:r w:rsidR="00B35327">
        <w:t xml:space="preserve">funding a new Visitor Gateway transit hub, a second lookout over Wineglass Bay, a new foreshore walk connecting Coles Bay to the National Park and </w:t>
      </w:r>
      <w:r w:rsidR="008955B5">
        <w:t xml:space="preserve">implementing </w:t>
      </w:r>
      <w:r w:rsidR="00B35327">
        <w:t xml:space="preserve">an Aboriginal education program </w:t>
      </w:r>
      <w:r w:rsidR="00A246A0">
        <w:t xml:space="preserve">that </w:t>
      </w:r>
      <w:r w:rsidR="008955B5">
        <w:t>assist</w:t>
      </w:r>
      <w:r w:rsidR="00A246A0">
        <w:t>s</w:t>
      </w:r>
      <w:r w:rsidR="00B35327">
        <w:t xml:space="preserve"> the Tasmanian Aboriginal community </w:t>
      </w:r>
      <w:r w:rsidR="00D979B1">
        <w:t xml:space="preserve">to </w:t>
      </w:r>
      <w:r w:rsidR="00A246A0">
        <w:t>increase the</w:t>
      </w:r>
      <w:r w:rsidR="00B35327">
        <w:t xml:space="preserve"> cultural understanding of visitors and tourism providers</w:t>
      </w:r>
      <w:r w:rsidR="000322A1">
        <w:t>.</w:t>
      </w:r>
    </w:p>
    <w:p w14:paraId="1E612F31" w14:textId="75124416" w:rsidR="00473CB2" w:rsidRPr="00112F1E" w:rsidRDefault="00112F1E" w:rsidP="00DB3935">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pPr>
      <w:r w:rsidRPr="00112F1E">
        <w:t xml:space="preserve">This project is one of five projects that form the </w:t>
      </w:r>
      <w:r>
        <w:t xml:space="preserve">Australian </w:t>
      </w:r>
      <w:r w:rsidRPr="00112F1E">
        <w:t xml:space="preserve">Tourism Icons Package, a $50 million Australian Government </w:t>
      </w:r>
      <w:r>
        <w:t xml:space="preserve">commitment </w:t>
      </w:r>
      <w:r w:rsidRPr="00112F1E">
        <w:t>to support the development of iconic tourism projects across Australia.</w:t>
      </w:r>
    </w:p>
    <w:p w14:paraId="580178FA" w14:textId="77777777" w:rsidR="0096732C" w:rsidRDefault="0096732C" w:rsidP="007320DE">
      <w:pPr>
        <w:pStyle w:val="Normalnumbered"/>
        <w:keepNex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4B8AF10D" w14:textId="601B3D1F" w:rsidR="0096732C" w:rsidRDefault="00105BD5" w:rsidP="00DB3935">
      <w:pPr>
        <w:pStyle w:val="Normalnumbered"/>
        <w:keepNext/>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Tasmania</w:t>
      </w:r>
      <w:r w:rsidR="007E4208">
        <w:t xml:space="preserve"> </w:t>
      </w:r>
      <w:r w:rsidR="000322A1">
        <w:t xml:space="preserve">will report </w:t>
      </w:r>
      <w:r w:rsidR="0096732C">
        <w:t xml:space="preserve">against the agreed milestones during the operation of this Agreement, as set out in Part 4 – Project Milestones, Reporting and Payments. </w:t>
      </w:r>
    </w:p>
    <w:p w14:paraId="2C4E5E95"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558F5252" w14:textId="4B569AC5" w:rsidR="0096732C" w:rsidRPr="0096732C" w:rsidRDefault="0096732C" w:rsidP="00DB3935">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000322A1">
        <w:t xml:space="preserve">financial contribution to </w:t>
      </w:r>
      <w:r w:rsidR="00105BD5">
        <w:t>Tasmania</w:t>
      </w:r>
      <w:r w:rsidR="000322A1">
        <w:t xml:space="preserve"> </w:t>
      </w:r>
      <w:r w:rsidR="007E4208">
        <w:t>o</w:t>
      </w:r>
      <w:r w:rsidR="00105BD5">
        <w:t>f $</w:t>
      </w:r>
      <w:r w:rsidR="007E4208">
        <w:t>7.2</w:t>
      </w:r>
      <w:r w:rsidR="00A56079">
        <w:t> </w:t>
      </w:r>
      <w:r w:rsidR="007E4208">
        <w:t>million</w:t>
      </w:r>
      <w:r w:rsidR="00F234AB">
        <w:t>, exclusive of GST</w:t>
      </w:r>
      <w:r w:rsidR="00EF33DE">
        <w:t xml:space="preserve"> </w:t>
      </w:r>
      <w:r>
        <w:t>in respect of this Agreement</w:t>
      </w:r>
      <w:r w:rsidR="00FC055C">
        <w:t>,</w:t>
      </w:r>
      <w:r>
        <w:t xml:space="preserve"> as set out </w:t>
      </w:r>
      <w:r w:rsidRPr="007179FE">
        <w:t xml:space="preserve">in </w:t>
      </w:r>
      <w:r>
        <w:t>Part 5 – Financial Arrangements</w:t>
      </w:r>
      <w:r w:rsidRPr="007179FE">
        <w:t>.</w:t>
      </w:r>
    </w:p>
    <w:p w14:paraId="7655E59C" w14:textId="77777777" w:rsidR="0096732C" w:rsidRPr="004B1F38" w:rsidRDefault="00A25265"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r w:rsidDel="00A25265">
        <w:t xml:space="preserve"> </w:t>
      </w:r>
    </w:p>
    <w:p w14:paraId="585678FF" w14:textId="77777777" w:rsidR="00814667" w:rsidRDefault="00814667">
      <w:pPr>
        <w:pStyle w:val="Heading1"/>
      </w:pPr>
      <w:r>
        <w:t>Part 1 — Formalities</w:t>
      </w:r>
    </w:p>
    <w:p w14:paraId="086CBB10" w14:textId="77777777" w:rsidR="00804105" w:rsidRDefault="00804105" w:rsidP="00DB3935">
      <w:pPr>
        <w:pStyle w:val="Normalnumbered"/>
        <w:numPr>
          <w:ilvl w:val="0"/>
          <w:numId w:val="13"/>
        </w:numPr>
      </w:pPr>
      <w:r>
        <w:t>This Agreement constitutes the entire agreement for this project.</w:t>
      </w:r>
    </w:p>
    <w:p w14:paraId="4E5101EB" w14:textId="77777777" w:rsidR="00814667" w:rsidRDefault="00814667">
      <w:pPr>
        <w:pStyle w:val="Heading2"/>
      </w:pPr>
      <w:r>
        <w:t>Parties to this Agreement</w:t>
      </w:r>
    </w:p>
    <w:p w14:paraId="14C37B8D" w14:textId="530888D8" w:rsidR="007B4B03" w:rsidRPr="007B4B03" w:rsidRDefault="00E7195E" w:rsidP="00DB3935">
      <w:pPr>
        <w:pStyle w:val="Normalnumbered"/>
        <w:numPr>
          <w:ilvl w:val="0"/>
          <w:numId w:val="13"/>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3403D8">
        <w:t xml:space="preserve">the State of </w:t>
      </w:r>
      <w:r w:rsidR="00105BD5">
        <w:t>Tasmania</w:t>
      </w:r>
      <w:r w:rsidR="003403D8">
        <w:t xml:space="preserve"> (Tasmania)</w:t>
      </w:r>
      <w:r w:rsidRPr="003012DA">
        <w:t xml:space="preserve">. </w:t>
      </w:r>
    </w:p>
    <w:p w14:paraId="2A678845" w14:textId="77777777" w:rsidR="00814667" w:rsidRDefault="00814667">
      <w:pPr>
        <w:pStyle w:val="Heading2"/>
      </w:pPr>
      <w:r>
        <w:t>Term of the Agreement</w:t>
      </w:r>
    </w:p>
    <w:p w14:paraId="60E393CF" w14:textId="51E401DA" w:rsidR="00814667" w:rsidRPr="00DE36EB" w:rsidRDefault="00814667" w:rsidP="00DB3935">
      <w:pPr>
        <w:pStyle w:val="Normalnumbered"/>
        <w:numPr>
          <w:ilvl w:val="0"/>
          <w:numId w:val="13"/>
        </w:numPr>
      </w:pPr>
      <w:r w:rsidRPr="00DE36EB">
        <w:t xml:space="preserve">This Agreement will commence as soon as the Commonwealth and </w:t>
      </w:r>
      <w:r w:rsidR="00105BD5">
        <w:t>Tasmania</w:t>
      </w:r>
      <w:r w:rsidR="007E4208">
        <w:t xml:space="preserve"> sign</w:t>
      </w:r>
      <w:r w:rsidRPr="00DE36EB">
        <w:t xml:space="preserve"> </w:t>
      </w:r>
      <w:r w:rsidR="0096732C">
        <w:t xml:space="preserve">it </w:t>
      </w:r>
      <w:r w:rsidRPr="00DE36EB">
        <w:t>and will expire on</w:t>
      </w:r>
      <w:r w:rsidR="00C7093C" w:rsidRPr="00DE36EB">
        <w:t xml:space="preserve"> </w:t>
      </w:r>
      <w:r w:rsidR="000322A1">
        <w:t>30</w:t>
      </w:r>
      <w:r w:rsidR="003E761E">
        <w:t xml:space="preserve"> June </w:t>
      </w:r>
      <w:r w:rsidR="000322A1">
        <w:t>2022</w:t>
      </w:r>
      <w:r w:rsidR="00284884" w:rsidRPr="00DE36EB">
        <w:t xml:space="preserve"> or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15AA56C0" w14:textId="77777777"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0322A1">
        <w:rPr>
          <w:rFonts w:ascii="Consolas" w:hAnsi="Consolas"/>
          <w:b w:val="0"/>
          <w:iCs w:val="0"/>
          <w:caps/>
          <w:kern w:val="32"/>
          <w:sz w:val="32"/>
          <w:szCs w:val="36"/>
        </w:rPr>
        <w:t xml:space="preserve"> outpuTS</w:t>
      </w:r>
    </w:p>
    <w:p w14:paraId="42CEC277" w14:textId="77777777" w:rsidR="00814667" w:rsidRDefault="00814667">
      <w:pPr>
        <w:pStyle w:val="Heading2"/>
      </w:pPr>
      <w:r>
        <w:t>Outputs</w:t>
      </w:r>
    </w:p>
    <w:p w14:paraId="11072A59" w14:textId="603296ED" w:rsidR="00A7713D" w:rsidRDefault="00814667" w:rsidP="00DB3935">
      <w:pPr>
        <w:pStyle w:val="Normalnumbered"/>
        <w:numPr>
          <w:ilvl w:val="0"/>
          <w:numId w:val="13"/>
        </w:numPr>
        <w:jc w:val="left"/>
        <w:rPr>
          <w:szCs w:val="23"/>
        </w:rPr>
      </w:pPr>
      <w:r w:rsidRPr="0085738D">
        <w:t>The o</w:t>
      </w:r>
      <w:r w:rsidR="006F79D3">
        <w:t xml:space="preserve">utputs of this </w:t>
      </w:r>
      <w:r w:rsidR="00513867">
        <w:t>Agreement will be:</w:t>
      </w:r>
    </w:p>
    <w:p w14:paraId="3C61D29E" w14:textId="152E4553" w:rsidR="00A7713D" w:rsidRDefault="00642F60" w:rsidP="00A7713D">
      <w:pPr>
        <w:pStyle w:val="AlphaParagraph"/>
        <w:numPr>
          <w:ilvl w:val="0"/>
          <w:numId w:val="18"/>
        </w:numPr>
        <w:tabs>
          <w:tab w:val="clear" w:pos="1418"/>
          <w:tab w:val="clear" w:pos="1701"/>
        </w:tabs>
        <w:ind w:left="1134"/>
        <w:rPr>
          <w:szCs w:val="23"/>
        </w:rPr>
      </w:pPr>
      <w:r>
        <w:rPr>
          <w:szCs w:val="23"/>
        </w:rPr>
        <w:t>c</w:t>
      </w:r>
      <w:r w:rsidR="00A7713D">
        <w:rPr>
          <w:szCs w:val="23"/>
        </w:rPr>
        <w:t>onstruct</w:t>
      </w:r>
      <w:r>
        <w:rPr>
          <w:szCs w:val="23"/>
        </w:rPr>
        <w:t>ion of</w:t>
      </w:r>
      <w:r w:rsidR="00A7713D">
        <w:rPr>
          <w:szCs w:val="23"/>
        </w:rPr>
        <w:t xml:space="preserve"> a new Visitor Gateway Transit Hub and Car Park ($5.7m)</w:t>
      </w:r>
      <w:r w:rsidR="003403D8">
        <w:rPr>
          <w:szCs w:val="23"/>
        </w:rPr>
        <w:t>;</w:t>
      </w:r>
    </w:p>
    <w:p w14:paraId="0FD9C135" w14:textId="2B2647BD" w:rsidR="00A7713D" w:rsidRDefault="00642F60" w:rsidP="00A7713D">
      <w:pPr>
        <w:pStyle w:val="AlphaParagraph"/>
        <w:numPr>
          <w:ilvl w:val="0"/>
          <w:numId w:val="18"/>
        </w:numPr>
        <w:tabs>
          <w:tab w:val="clear" w:pos="1418"/>
          <w:tab w:val="clear" w:pos="1701"/>
        </w:tabs>
        <w:ind w:left="1134"/>
        <w:rPr>
          <w:szCs w:val="23"/>
        </w:rPr>
      </w:pPr>
      <w:r>
        <w:rPr>
          <w:szCs w:val="23"/>
        </w:rPr>
        <w:t>c</w:t>
      </w:r>
      <w:r w:rsidR="00A7713D">
        <w:rPr>
          <w:szCs w:val="23"/>
        </w:rPr>
        <w:t>onstruct</w:t>
      </w:r>
      <w:r>
        <w:rPr>
          <w:szCs w:val="23"/>
        </w:rPr>
        <w:t>ion of</w:t>
      </w:r>
      <w:r w:rsidR="00A7713D">
        <w:rPr>
          <w:szCs w:val="23"/>
        </w:rPr>
        <w:t xml:space="preserve"> a Second Wineglass Bay Lookout and Return Loop Track ($450k)</w:t>
      </w:r>
      <w:r w:rsidR="003403D8">
        <w:rPr>
          <w:szCs w:val="23"/>
        </w:rPr>
        <w:t>;</w:t>
      </w:r>
    </w:p>
    <w:p w14:paraId="2FD5C9F9" w14:textId="769AD52E" w:rsidR="00A7713D" w:rsidRDefault="00642F60" w:rsidP="00A7713D">
      <w:pPr>
        <w:pStyle w:val="AlphaParagraph"/>
        <w:numPr>
          <w:ilvl w:val="0"/>
          <w:numId w:val="18"/>
        </w:numPr>
        <w:tabs>
          <w:tab w:val="clear" w:pos="1418"/>
          <w:tab w:val="clear" w:pos="1701"/>
        </w:tabs>
        <w:ind w:left="1134"/>
        <w:rPr>
          <w:szCs w:val="23"/>
        </w:rPr>
      </w:pPr>
      <w:r>
        <w:rPr>
          <w:szCs w:val="23"/>
        </w:rPr>
        <w:t>c</w:t>
      </w:r>
      <w:r w:rsidR="00A7713D">
        <w:rPr>
          <w:szCs w:val="23"/>
        </w:rPr>
        <w:t>onstruct</w:t>
      </w:r>
      <w:r>
        <w:rPr>
          <w:szCs w:val="23"/>
        </w:rPr>
        <w:t>ion of</w:t>
      </w:r>
      <w:r w:rsidR="00A7713D">
        <w:rPr>
          <w:szCs w:val="23"/>
        </w:rPr>
        <w:t xml:space="preserve"> a Foreshore Walk connecting Coles Bay to the National Park ($400k)</w:t>
      </w:r>
      <w:r w:rsidR="003403D8">
        <w:rPr>
          <w:szCs w:val="23"/>
        </w:rPr>
        <w:t>; and</w:t>
      </w:r>
    </w:p>
    <w:p w14:paraId="397D6684" w14:textId="2CF13668" w:rsidR="00513867" w:rsidRPr="00513867" w:rsidRDefault="00642F60" w:rsidP="00513867">
      <w:pPr>
        <w:pStyle w:val="AlphaParagraph"/>
        <w:numPr>
          <w:ilvl w:val="0"/>
          <w:numId w:val="18"/>
        </w:numPr>
        <w:tabs>
          <w:tab w:val="clear" w:pos="1418"/>
          <w:tab w:val="clear" w:pos="1701"/>
        </w:tabs>
        <w:ind w:left="1134"/>
        <w:rPr>
          <w:szCs w:val="23"/>
        </w:rPr>
      </w:pPr>
      <w:r>
        <w:rPr>
          <w:szCs w:val="23"/>
        </w:rPr>
        <w:t>i</w:t>
      </w:r>
      <w:r w:rsidR="00513867">
        <w:rPr>
          <w:szCs w:val="23"/>
        </w:rPr>
        <w:t>mplement</w:t>
      </w:r>
      <w:r>
        <w:rPr>
          <w:szCs w:val="23"/>
        </w:rPr>
        <w:t>ation of</w:t>
      </w:r>
      <w:r w:rsidR="00513867">
        <w:rPr>
          <w:szCs w:val="23"/>
        </w:rPr>
        <w:t xml:space="preserve"> the Freycinet Coast Tasmanian Aboriginal Education Program ($650k)</w:t>
      </w:r>
      <w:r>
        <w:rPr>
          <w:szCs w:val="23"/>
        </w:rPr>
        <w:t>.</w:t>
      </w:r>
    </w:p>
    <w:p w14:paraId="013FF875" w14:textId="77777777" w:rsidR="00845CE1" w:rsidRDefault="00845CE1" w:rsidP="00845CE1">
      <w:pPr>
        <w:pStyle w:val="Heading1"/>
      </w:pPr>
      <w:r>
        <w:t>Part 3 — roles and responsibilities of each party</w:t>
      </w:r>
    </w:p>
    <w:p w14:paraId="33DEB203" w14:textId="77777777" w:rsidR="008F44F1" w:rsidRDefault="008F44F1" w:rsidP="008F44F1">
      <w:pPr>
        <w:pStyle w:val="Heading2"/>
      </w:pPr>
      <w:r w:rsidRPr="00814590">
        <w:t>Role of the Commonwealth</w:t>
      </w:r>
    </w:p>
    <w:p w14:paraId="015FEE8B" w14:textId="77777777" w:rsidR="008F44F1" w:rsidRDefault="008F44F1" w:rsidP="00DB3935">
      <w:pPr>
        <w:pStyle w:val="Normalnumbered"/>
        <w:numPr>
          <w:ilvl w:val="0"/>
          <w:numId w:val="13"/>
        </w:numPr>
        <w:jc w:val="left"/>
      </w:pPr>
      <w:r>
        <w:t>The Commonwealth will be responsible for:</w:t>
      </w:r>
    </w:p>
    <w:p w14:paraId="584EE89E" w14:textId="019116DD" w:rsidR="008F44F1" w:rsidRPr="000614F9" w:rsidRDefault="008F44F1" w:rsidP="00242D94">
      <w:pPr>
        <w:pStyle w:val="AlphaParagraph"/>
        <w:numPr>
          <w:ilvl w:val="0"/>
          <w:numId w:val="23"/>
        </w:numPr>
        <w:tabs>
          <w:tab w:val="clear" w:pos="567"/>
          <w:tab w:val="clear" w:pos="1418"/>
          <w:tab w:val="clear" w:pos="1701"/>
        </w:tabs>
        <w:ind w:left="1134" w:hanging="567"/>
      </w:pPr>
      <w:r w:rsidRPr="000614F9">
        <w:rPr>
          <w:color w:val="auto"/>
        </w:rPr>
        <w:t>monitoring</w:t>
      </w:r>
      <w:r w:rsidRPr="004B6083">
        <w:t xml:space="preserve"> and assessing achievement against milestones in the delivery of the </w:t>
      </w:r>
      <w:r w:rsidR="00105BD5">
        <w:t>Freycinet</w:t>
      </w:r>
      <w:r w:rsidR="00473CB2">
        <w:t xml:space="preserve"> Tourism Icon Project</w:t>
      </w:r>
      <w:r w:rsidRPr="000614F9">
        <w:t xml:space="preserve"> </w:t>
      </w:r>
      <w:r w:rsidRPr="000614F9">
        <w:rPr>
          <w:color w:val="auto"/>
        </w:rPr>
        <w:t>under</w:t>
      </w:r>
      <w:r w:rsidRPr="004B6083">
        <w:t xml:space="preserve"> this Agreement to ensure that outputs are delivered within the agreed timeframe; </w:t>
      </w:r>
    </w:p>
    <w:p w14:paraId="663ECFFC" w14:textId="0A75F816" w:rsidR="008F44F1" w:rsidRPr="000614F9" w:rsidRDefault="008F44F1" w:rsidP="00242D94">
      <w:pPr>
        <w:pStyle w:val="AlphaParagraph"/>
        <w:numPr>
          <w:ilvl w:val="0"/>
          <w:numId w:val="18"/>
        </w:numPr>
        <w:tabs>
          <w:tab w:val="clear" w:pos="567"/>
          <w:tab w:val="clear" w:pos="1418"/>
          <w:tab w:val="clear" w:pos="1701"/>
        </w:tabs>
        <w:ind w:left="1134" w:hanging="567"/>
        <w:rPr>
          <w:color w:val="auto"/>
        </w:rPr>
      </w:pPr>
      <w:r w:rsidRPr="004B6083">
        <w:rPr>
          <w:color w:val="auto"/>
        </w:rPr>
        <w:t xml:space="preserve">providing a consequent financial contribution to </w:t>
      </w:r>
      <w:r w:rsidR="00105BD5">
        <w:rPr>
          <w:color w:val="auto"/>
        </w:rPr>
        <w:t>Tasmania</w:t>
      </w:r>
      <w:r w:rsidRPr="004B6083">
        <w:rPr>
          <w:color w:val="auto"/>
        </w:rPr>
        <w:t xml:space="preserve"> to support the </w:t>
      </w:r>
      <w:r w:rsidRPr="000614F9">
        <w:t>implementation</w:t>
      </w:r>
      <w:r w:rsidRPr="004B6083">
        <w:rPr>
          <w:color w:val="auto"/>
        </w:rPr>
        <w:t xml:space="preserve"> of this Agreement;</w:t>
      </w:r>
    </w:p>
    <w:p w14:paraId="12BDF301" w14:textId="77777777" w:rsidR="004F5DCD" w:rsidRPr="00750F59" w:rsidRDefault="004F5DCD" w:rsidP="00242D94">
      <w:pPr>
        <w:pStyle w:val="AlphaParagraph"/>
        <w:numPr>
          <w:ilvl w:val="0"/>
          <w:numId w:val="18"/>
        </w:numPr>
        <w:tabs>
          <w:tab w:val="clear" w:pos="567"/>
          <w:tab w:val="clear" w:pos="1418"/>
          <w:tab w:val="clear" w:pos="1701"/>
        </w:tabs>
        <w:ind w:left="1134" w:hanging="567"/>
        <w:rPr>
          <w:i/>
          <w:color w:val="auto"/>
        </w:rPr>
      </w:pPr>
      <w:r w:rsidRPr="00750F59">
        <w:rPr>
          <w:color w:val="auto"/>
          <w:szCs w:val="23"/>
        </w:rPr>
        <w:t xml:space="preserve">in accordance with the </w:t>
      </w:r>
      <w:r>
        <w:rPr>
          <w:i/>
          <w:color w:val="auto"/>
          <w:szCs w:val="23"/>
        </w:rPr>
        <w:t>Building and Construction Industry (Improving Productivity) Act 2016</w:t>
      </w:r>
      <w:r w:rsidRPr="00750F59">
        <w:rPr>
          <w:color w:val="auto"/>
        </w:rPr>
        <w:t xml:space="preserve">, </w:t>
      </w:r>
      <w:r w:rsidRPr="00750F59">
        <w:rPr>
          <w:color w:val="auto"/>
          <w:szCs w:val="23"/>
        </w:rPr>
        <w:t xml:space="preserve">ensuring that </w:t>
      </w:r>
      <w:r w:rsidRPr="00750F59">
        <w:rPr>
          <w:color w:val="auto"/>
        </w:rPr>
        <w:t xml:space="preserve">financial contributions to a building project or projects as defined under the </w:t>
      </w:r>
      <w:r w:rsidRPr="00750F59">
        <w:rPr>
          <w:color w:val="auto"/>
          <w:szCs w:val="23"/>
        </w:rPr>
        <w:t xml:space="preserve">Fair Work (Building Industry – Accreditation Scheme) </w:t>
      </w:r>
      <w:r w:rsidRPr="00750F59">
        <w:rPr>
          <w:color w:val="auto"/>
        </w:rPr>
        <w:t xml:space="preserve">Regulations </w:t>
      </w:r>
      <w:r>
        <w:rPr>
          <w:color w:val="auto"/>
        </w:rPr>
        <w:t>2016</w:t>
      </w:r>
      <w:r w:rsidRPr="00750F59">
        <w:rPr>
          <w:color w:val="auto"/>
        </w:rPr>
        <w:t xml:space="preserve"> are only made where a builder or builders accredited under the Australian Government Building and Construction WHS Accreditation Scheme is contracted; and</w:t>
      </w:r>
    </w:p>
    <w:p w14:paraId="1C203BE4" w14:textId="77777777" w:rsidR="004F5DCD" w:rsidRPr="00750F59" w:rsidRDefault="004F5DCD" w:rsidP="00242D94">
      <w:pPr>
        <w:pStyle w:val="AlphaParagraph"/>
        <w:numPr>
          <w:ilvl w:val="0"/>
          <w:numId w:val="18"/>
        </w:numPr>
        <w:tabs>
          <w:tab w:val="clear" w:pos="567"/>
          <w:tab w:val="clear" w:pos="1418"/>
          <w:tab w:val="clear" w:pos="1701"/>
        </w:tabs>
        <w:ind w:left="1134" w:hanging="567"/>
        <w:rPr>
          <w:i/>
          <w:color w:val="auto"/>
        </w:rPr>
      </w:pPr>
      <w:r w:rsidRPr="00750F59">
        <w:rPr>
          <w:color w:val="auto"/>
        </w:rPr>
        <w:t xml:space="preserve">ensuring that compliance with the </w:t>
      </w:r>
      <w:r>
        <w:rPr>
          <w:color w:val="auto"/>
        </w:rPr>
        <w:t>Code for the Tendering and Performance of Building Work 2016 (</w:t>
      </w:r>
      <w:r w:rsidRPr="00750F59">
        <w:rPr>
          <w:color w:val="auto"/>
        </w:rPr>
        <w:t>Building Code 201</w:t>
      </w:r>
      <w:r>
        <w:rPr>
          <w:color w:val="auto"/>
        </w:rPr>
        <w:t>6)</w:t>
      </w:r>
      <w:r w:rsidRPr="00750F59">
        <w:rPr>
          <w:color w:val="auto"/>
        </w:rPr>
        <w:t xml:space="preserve"> is a condition of Australian Government funding.</w:t>
      </w:r>
    </w:p>
    <w:p w14:paraId="1BA65B18" w14:textId="77777777" w:rsidR="008F44F1" w:rsidRPr="00751725" w:rsidRDefault="008F44F1" w:rsidP="008F44F1">
      <w:pPr>
        <w:pStyle w:val="Heading2"/>
      </w:pPr>
      <w:r w:rsidRPr="00751725">
        <w:t xml:space="preserve">Role of the States </w:t>
      </w:r>
      <w:r>
        <w:t>and Territories</w:t>
      </w:r>
    </w:p>
    <w:p w14:paraId="58016336" w14:textId="25359724" w:rsidR="008F44F1" w:rsidRPr="00751725" w:rsidRDefault="00105BD5" w:rsidP="00DB3935">
      <w:pPr>
        <w:pStyle w:val="Normalnumbered"/>
        <w:numPr>
          <w:ilvl w:val="0"/>
          <w:numId w:val="13"/>
        </w:numPr>
        <w:jc w:val="left"/>
      </w:pPr>
      <w:r>
        <w:t>Tasmania</w:t>
      </w:r>
      <w:r w:rsidR="00545DF7">
        <w:t xml:space="preserve"> </w:t>
      </w:r>
      <w:r w:rsidR="008F44F1">
        <w:t>will be responsible for</w:t>
      </w:r>
      <w:r w:rsidR="00545DF7">
        <w:t>:</w:t>
      </w:r>
    </w:p>
    <w:p w14:paraId="4847F0FF" w14:textId="17B8970D" w:rsidR="008F44F1" w:rsidRDefault="008F44F1" w:rsidP="003403D8">
      <w:pPr>
        <w:pStyle w:val="AlphaParagraph"/>
        <w:numPr>
          <w:ilvl w:val="0"/>
          <w:numId w:val="30"/>
        </w:numPr>
        <w:tabs>
          <w:tab w:val="clear" w:pos="283"/>
          <w:tab w:val="clear" w:pos="567"/>
          <w:tab w:val="clear" w:pos="1134"/>
          <w:tab w:val="clear" w:pos="1701"/>
        </w:tabs>
        <w:ind w:left="1134" w:hanging="567"/>
      </w:pPr>
      <w:r w:rsidRPr="00751725">
        <w:t>providing a</w:t>
      </w:r>
      <w:r w:rsidR="00473CB2">
        <w:t xml:space="preserve"> financial </w:t>
      </w:r>
      <w:r w:rsidRPr="00751725">
        <w:t>contribution to support the implementation of this Agreement</w:t>
      </w:r>
      <w:r w:rsidR="00B35E92">
        <w:t>, as outlined in Table 2</w:t>
      </w:r>
      <w:r w:rsidRPr="00751725">
        <w:t>;</w:t>
      </w:r>
    </w:p>
    <w:p w14:paraId="0AF55370" w14:textId="77777777" w:rsidR="008F44F1" w:rsidRDefault="008F44F1" w:rsidP="00DD37B7">
      <w:pPr>
        <w:pStyle w:val="AlphaParagraph"/>
        <w:numPr>
          <w:ilvl w:val="0"/>
          <w:numId w:val="30"/>
        </w:numPr>
        <w:tabs>
          <w:tab w:val="clear" w:pos="283"/>
          <w:tab w:val="clear" w:pos="567"/>
          <w:tab w:val="clear" w:pos="1701"/>
        </w:tabs>
        <w:ind w:left="1134" w:hanging="567"/>
      </w:pPr>
      <w:r>
        <w:t>all aspects of delivering on the project outputs set out in this Agreement;</w:t>
      </w:r>
    </w:p>
    <w:p w14:paraId="008E9947" w14:textId="77777777" w:rsidR="00A6719E" w:rsidRDefault="00A6719E" w:rsidP="00DD37B7">
      <w:pPr>
        <w:pStyle w:val="AlphaParagraph"/>
        <w:numPr>
          <w:ilvl w:val="0"/>
          <w:numId w:val="30"/>
        </w:numPr>
        <w:tabs>
          <w:tab w:val="clear" w:pos="283"/>
          <w:tab w:val="clear" w:pos="567"/>
          <w:tab w:val="clear" w:pos="1701"/>
        </w:tabs>
        <w:ind w:left="1134" w:hanging="567"/>
      </w:pPr>
      <w:r w:rsidRPr="006B4DF0">
        <w:t xml:space="preserve">reporting on the delivery of </w:t>
      </w:r>
      <w:r>
        <w:t>outputs</w:t>
      </w:r>
      <w:r w:rsidRPr="006B4DF0">
        <w:t xml:space="preserve"> </w:t>
      </w:r>
      <w:r>
        <w:t>as set out in Part 4</w:t>
      </w:r>
      <w:r w:rsidRPr="006B4DF0">
        <w:t xml:space="preserve"> – P</w:t>
      </w:r>
      <w:r>
        <w:t>roject Milestones, Reporting and Payments</w:t>
      </w:r>
      <w:r w:rsidR="006B43AF">
        <w:t>;</w:t>
      </w:r>
    </w:p>
    <w:p w14:paraId="799AE4FF" w14:textId="77777777" w:rsidR="008F44F1" w:rsidRDefault="008F44F1" w:rsidP="00DD37B7">
      <w:pPr>
        <w:pStyle w:val="AlphaParagraph"/>
        <w:numPr>
          <w:ilvl w:val="0"/>
          <w:numId w:val="30"/>
        </w:numPr>
        <w:tabs>
          <w:tab w:val="clear" w:pos="283"/>
          <w:tab w:val="clear" w:pos="567"/>
          <w:tab w:val="clear" w:pos="1701"/>
        </w:tabs>
        <w:ind w:left="1134" w:hanging="567"/>
      </w:pPr>
      <w:r>
        <w:rPr>
          <w:szCs w:val="23"/>
        </w:rPr>
        <w:t>e</w:t>
      </w:r>
      <w:r w:rsidRPr="00772818">
        <w:rPr>
          <w:szCs w:val="23"/>
        </w:rPr>
        <w:t xml:space="preserve">nsuring that </w:t>
      </w:r>
      <w:r w:rsidRPr="00772818">
        <w:t xml:space="preserve">only a builder or builders accredited under the Australian Government Building and Construction </w:t>
      </w:r>
      <w:r w:rsidR="00281874">
        <w:t>WHS</w:t>
      </w:r>
      <w:r w:rsidRPr="00772818">
        <w:t xml:space="preserve"> Accreditation Scheme is </w:t>
      </w:r>
      <w:r>
        <w:t>contracted, and providing the necessary assurances to the Commonwealth;</w:t>
      </w:r>
      <w:r w:rsidR="00A6719E">
        <w:t xml:space="preserve"> and</w:t>
      </w:r>
    </w:p>
    <w:p w14:paraId="46501149" w14:textId="77777777" w:rsidR="004F5DCD" w:rsidRPr="00750F59" w:rsidRDefault="004F5DCD" w:rsidP="00DD37B7">
      <w:pPr>
        <w:pStyle w:val="AlphaParagraph"/>
        <w:numPr>
          <w:ilvl w:val="0"/>
          <w:numId w:val="30"/>
        </w:numPr>
        <w:tabs>
          <w:tab w:val="clear" w:pos="283"/>
          <w:tab w:val="clear" w:pos="567"/>
          <w:tab w:val="clear" w:pos="1701"/>
        </w:tabs>
        <w:ind w:left="1134" w:hanging="567"/>
        <w:rPr>
          <w:color w:val="auto"/>
          <w:szCs w:val="23"/>
        </w:rPr>
      </w:pPr>
      <w:r w:rsidRPr="00750F59">
        <w:rPr>
          <w:color w:val="auto"/>
          <w:szCs w:val="23"/>
        </w:rPr>
        <w:t>ensuring that compliance with the Building Code 201</w:t>
      </w:r>
      <w:r>
        <w:rPr>
          <w:color w:val="auto"/>
          <w:szCs w:val="23"/>
        </w:rPr>
        <w:t>6</w:t>
      </w:r>
      <w:r w:rsidRPr="00750F59">
        <w:rPr>
          <w:color w:val="auto"/>
        </w:rPr>
        <w:t xml:space="preserve"> is made a condition of tender for </w:t>
      </w:r>
      <w:r>
        <w:rPr>
          <w:color w:val="auto"/>
        </w:rPr>
        <w:t xml:space="preserve">and performance of building work by </w:t>
      </w:r>
      <w:r w:rsidRPr="00750F59">
        <w:rPr>
          <w:color w:val="auto"/>
        </w:rPr>
        <w:t>all contractors and subcontractors, and providing</w:t>
      </w:r>
      <w:r w:rsidRPr="00750F59">
        <w:rPr>
          <w:color w:val="auto"/>
          <w:szCs w:val="23"/>
        </w:rPr>
        <w:t xml:space="preserve"> the necessary assurances to the Commonwealth.</w:t>
      </w:r>
    </w:p>
    <w:p w14:paraId="08B3EC46" w14:textId="77777777" w:rsidR="008F44F1" w:rsidRDefault="008F44F1" w:rsidP="004F5DCD">
      <w:pPr>
        <w:pStyle w:val="Heading2"/>
      </w:pPr>
      <w:r>
        <w:t>Shared roles</w:t>
      </w:r>
    </w:p>
    <w:p w14:paraId="797BE93B" w14:textId="77777777" w:rsidR="008F44F1" w:rsidRDefault="008F44F1" w:rsidP="00DB3935">
      <w:pPr>
        <w:pStyle w:val="Normalnumbered"/>
        <w:numPr>
          <w:ilvl w:val="0"/>
          <w:numId w:val="13"/>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21AF784B"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49C38FA7" w14:textId="11C98657" w:rsidR="004C6C9E" w:rsidRPr="004C6C9E" w:rsidRDefault="00545DF7" w:rsidP="00DB3935">
      <w:pPr>
        <w:pStyle w:val="Normalnumbered"/>
        <w:numPr>
          <w:ilvl w:val="0"/>
          <w:numId w:val="13"/>
        </w:numPr>
      </w:pPr>
      <w:r w:rsidRPr="00DE36EB">
        <w:t>T</w:t>
      </w:r>
      <w:r w:rsidR="007C4F31" w:rsidRPr="00DE36EB">
        <w:t xml:space="preserve">able </w:t>
      </w:r>
      <w:r w:rsidRPr="00DE36EB">
        <w:t>1</w:t>
      </w:r>
      <w:r>
        <w:t xml:space="preserve"> </w:t>
      </w:r>
      <w:r w:rsidR="007C4F31">
        <w:t xml:space="preserve">summarises the milestones for the project, their relationship to the outputs, expected completion dates, relevant reporting dates and expected payments </w:t>
      </w:r>
      <w:r w:rsidR="0077685D">
        <w:t>to be made</w:t>
      </w:r>
      <w:r w:rsidR="00ED2AC4">
        <w:t xml:space="preserve">. The Commonwealth will make payments subject to the annual performance report demonstrating the relevant </w:t>
      </w:r>
      <w:r w:rsidR="00ED2AC4" w:rsidRPr="00EF6486">
        <w:rPr>
          <w:szCs w:val="23"/>
        </w:rPr>
        <w:t xml:space="preserve">milestone </w:t>
      </w:r>
      <w:r w:rsidR="00ED2AC4">
        <w:t>has been met.</w:t>
      </w:r>
    </w:p>
    <w:p w14:paraId="254F40EA" w14:textId="2A74A15F" w:rsidR="00F3245D" w:rsidRDefault="0095223D" w:rsidP="008E0AD6">
      <w:pPr>
        <w:pStyle w:val="Normalnumbered"/>
        <w:keepNext/>
        <w:numPr>
          <w:ilvl w:val="0"/>
          <w:numId w:val="0"/>
        </w:numPr>
        <w:rPr>
          <w:b/>
        </w:rPr>
      </w:pPr>
      <w:r w:rsidRPr="001D3CAD">
        <w:rPr>
          <w:b/>
        </w:rPr>
        <w:t xml:space="preserve">Table </w:t>
      </w:r>
      <w:r w:rsidR="00E204BB">
        <w:rPr>
          <w:b/>
        </w:rPr>
        <w:t>1</w:t>
      </w:r>
      <w:r w:rsidRPr="001D3CAD">
        <w:t xml:space="preserve">: </w:t>
      </w:r>
      <w:r w:rsidR="00806D94">
        <w:rPr>
          <w:b/>
        </w:rPr>
        <w:t>Performance requirements</w:t>
      </w:r>
      <w:r w:rsidRPr="001D3CAD">
        <w:rPr>
          <w:b/>
        </w:rPr>
        <w:t>,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3527AD" w:rsidRPr="00C26C5B" w14:paraId="1FBC2175" w14:textId="77777777" w:rsidTr="002D767A">
        <w:trPr>
          <w:trHeight w:val="1171"/>
        </w:trPr>
        <w:tc>
          <w:tcPr>
            <w:tcW w:w="2518" w:type="dxa"/>
            <w:tcBorders>
              <w:bottom w:val="single" w:sz="18" w:space="0" w:color="4F81BD"/>
            </w:tcBorders>
          </w:tcPr>
          <w:p w14:paraId="3208624F" w14:textId="77777777" w:rsidR="003527AD" w:rsidRPr="00C26C5B" w:rsidRDefault="003527AD" w:rsidP="002D767A">
            <w:pPr>
              <w:pStyle w:val="Heading2"/>
              <w:rPr>
                <w:bCs w:val="0"/>
                <w:sz w:val="24"/>
                <w:szCs w:val="24"/>
              </w:rPr>
            </w:pPr>
            <w:r w:rsidRPr="00C26C5B">
              <w:rPr>
                <w:bCs w:val="0"/>
                <w:sz w:val="24"/>
                <w:szCs w:val="24"/>
              </w:rPr>
              <w:t>Output</w:t>
            </w:r>
            <w:r>
              <w:rPr>
                <w:bCs w:val="0"/>
                <w:sz w:val="24"/>
                <w:szCs w:val="24"/>
              </w:rPr>
              <w:t>s</w:t>
            </w:r>
            <w:r>
              <w:rPr>
                <w:bCs w:val="0"/>
                <w:sz w:val="24"/>
                <w:szCs w:val="24"/>
              </w:rPr>
              <w:br/>
            </w:r>
          </w:p>
        </w:tc>
        <w:tc>
          <w:tcPr>
            <w:tcW w:w="4536" w:type="dxa"/>
            <w:tcBorders>
              <w:bottom w:val="single" w:sz="18" w:space="0" w:color="4F81BD"/>
            </w:tcBorders>
          </w:tcPr>
          <w:p w14:paraId="06B0393C" w14:textId="77777777" w:rsidR="003527AD" w:rsidRPr="00C26C5B" w:rsidRDefault="003527AD" w:rsidP="002D767A">
            <w:pPr>
              <w:pStyle w:val="Heading2"/>
              <w:rPr>
                <w:bCs w:val="0"/>
                <w:sz w:val="24"/>
                <w:szCs w:val="24"/>
              </w:rPr>
            </w:pPr>
            <w:r>
              <w:rPr>
                <w:bCs w:val="0"/>
                <w:sz w:val="24"/>
                <w:szCs w:val="24"/>
              </w:rPr>
              <w:t>Performance m</w:t>
            </w:r>
            <w:r w:rsidRPr="00C26C5B">
              <w:rPr>
                <w:bCs w:val="0"/>
                <w:sz w:val="24"/>
                <w:szCs w:val="24"/>
              </w:rPr>
              <w:t>ilestone</w:t>
            </w:r>
            <w:r>
              <w:rPr>
                <w:bCs w:val="0"/>
                <w:sz w:val="24"/>
                <w:szCs w:val="24"/>
              </w:rPr>
              <w:t>s or benchmarks</w:t>
            </w:r>
          </w:p>
        </w:tc>
        <w:tc>
          <w:tcPr>
            <w:tcW w:w="1473" w:type="dxa"/>
            <w:tcBorders>
              <w:bottom w:val="single" w:sz="18" w:space="0" w:color="4F81BD"/>
            </w:tcBorders>
          </w:tcPr>
          <w:p w14:paraId="31905FAE" w14:textId="77777777" w:rsidR="003527AD" w:rsidRPr="00D0312C" w:rsidRDefault="003527AD" w:rsidP="002D767A">
            <w:pPr>
              <w:pStyle w:val="Heading2"/>
              <w:rPr>
                <w:sz w:val="18"/>
                <w:szCs w:val="18"/>
              </w:rPr>
            </w:pPr>
            <w:r w:rsidRPr="00DE36EB">
              <w:rPr>
                <w:bCs w:val="0"/>
                <w:sz w:val="24"/>
                <w:szCs w:val="24"/>
              </w:rPr>
              <w:t>Report due</w:t>
            </w:r>
            <w:r>
              <w:rPr>
                <w:bCs w:val="0"/>
                <w:sz w:val="24"/>
                <w:szCs w:val="24"/>
              </w:rPr>
              <w:t xml:space="preserve"> </w:t>
            </w:r>
          </w:p>
        </w:tc>
        <w:tc>
          <w:tcPr>
            <w:tcW w:w="1241" w:type="dxa"/>
            <w:tcBorders>
              <w:bottom w:val="single" w:sz="18" w:space="0" w:color="4F81BD"/>
            </w:tcBorders>
          </w:tcPr>
          <w:p w14:paraId="0AB3687C" w14:textId="77777777" w:rsidR="003527AD" w:rsidRPr="00C26C5B" w:rsidRDefault="003527AD" w:rsidP="002D767A">
            <w:pPr>
              <w:pStyle w:val="Heading2"/>
              <w:rPr>
                <w:bCs w:val="0"/>
                <w:sz w:val="24"/>
                <w:szCs w:val="24"/>
              </w:rPr>
            </w:pPr>
            <w:r w:rsidRPr="00C26C5B">
              <w:rPr>
                <w:bCs w:val="0"/>
                <w:sz w:val="24"/>
                <w:szCs w:val="24"/>
              </w:rPr>
              <w:t>Payment</w:t>
            </w:r>
          </w:p>
        </w:tc>
      </w:tr>
      <w:tr w:rsidR="003527AD" w:rsidRPr="00C26C5B" w14:paraId="0BDB1703" w14:textId="77777777" w:rsidTr="002D767A">
        <w:tc>
          <w:tcPr>
            <w:tcW w:w="2518" w:type="dxa"/>
            <w:vMerge w:val="restart"/>
            <w:shd w:val="clear" w:color="auto" w:fill="D3DFEE"/>
          </w:tcPr>
          <w:p w14:paraId="0F5C5921" w14:textId="292B3621" w:rsidR="003527AD" w:rsidRPr="00C26C5B" w:rsidRDefault="003527AD" w:rsidP="00105BD5">
            <w:pPr>
              <w:pStyle w:val="Heading2"/>
              <w:rPr>
                <w:b w:val="0"/>
                <w:bCs w:val="0"/>
                <w:color w:val="auto"/>
                <w:sz w:val="23"/>
                <w:szCs w:val="23"/>
              </w:rPr>
            </w:pPr>
            <w:r w:rsidRPr="00473CB2">
              <w:rPr>
                <w:b w:val="0"/>
                <w:color w:val="auto"/>
                <w:sz w:val="23"/>
                <w:szCs w:val="23"/>
              </w:rPr>
              <w:t>Construct</w:t>
            </w:r>
            <w:r w:rsidR="00642F60">
              <w:rPr>
                <w:b w:val="0"/>
                <w:color w:val="auto"/>
                <w:sz w:val="23"/>
                <w:szCs w:val="23"/>
              </w:rPr>
              <w:t>ion of</w:t>
            </w:r>
            <w:r w:rsidRPr="00473CB2">
              <w:rPr>
                <w:b w:val="0"/>
                <w:color w:val="auto"/>
                <w:sz w:val="23"/>
                <w:szCs w:val="23"/>
              </w:rPr>
              <w:t xml:space="preserve"> </w:t>
            </w:r>
            <w:r w:rsidR="00105BD5">
              <w:rPr>
                <w:b w:val="0"/>
                <w:color w:val="auto"/>
                <w:sz w:val="23"/>
                <w:szCs w:val="23"/>
              </w:rPr>
              <w:t>a new Visitor Gateway Transit Hub and Car Park</w:t>
            </w:r>
          </w:p>
        </w:tc>
        <w:tc>
          <w:tcPr>
            <w:tcW w:w="4536" w:type="dxa"/>
            <w:shd w:val="clear" w:color="auto" w:fill="D3DFEE"/>
          </w:tcPr>
          <w:p w14:paraId="05F4B9EB" w14:textId="6E057BF0" w:rsidR="003527AD" w:rsidRPr="00DD37B7" w:rsidRDefault="00105BD5" w:rsidP="00105BD5">
            <w:pPr>
              <w:pStyle w:val="Heading2"/>
              <w:rPr>
                <w:b w:val="0"/>
                <w:color w:val="auto"/>
                <w:sz w:val="23"/>
                <w:szCs w:val="23"/>
              </w:rPr>
            </w:pPr>
            <w:r>
              <w:rPr>
                <w:b w:val="0"/>
                <w:color w:val="auto"/>
                <w:sz w:val="23"/>
                <w:szCs w:val="23"/>
              </w:rPr>
              <w:t>Detailed design and engineering complete and approvals obtained</w:t>
            </w:r>
          </w:p>
        </w:tc>
        <w:tc>
          <w:tcPr>
            <w:tcW w:w="1473" w:type="dxa"/>
            <w:shd w:val="clear" w:color="auto" w:fill="D3DFEE"/>
          </w:tcPr>
          <w:p w14:paraId="188D283E" w14:textId="0A634947" w:rsidR="003527AD" w:rsidRPr="00C26C5B" w:rsidRDefault="00513867" w:rsidP="002D767A">
            <w:pPr>
              <w:pStyle w:val="Heading2"/>
              <w:rPr>
                <w:b w:val="0"/>
                <w:color w:val="auto"/>
                <w:sz w:val="23"/>
                <w:szCs w:val="23"/>
              </w:rPr>
            </w:pPr>
            <w:r>
              <w:rPr>
                <w:b w:val="0"/>
                <w:color w:val="auto"/>
                <w:sz w:val="23"/>
                <w:szCs w:val="23"/>
              </w:rPr>
              <w:t>30</w:t>
            </w:r>
            <w:r w:rsidR="00A7713D" w:rsidRPr="00A7713D">
              <w:rPr>
                <w:b w:val="0"/>
                <w:color w:val="auto"/>
                <w:sz w:val="23"/>
                <w:szCs w:val="23"/>
              </w:rPr>
              <w:t>/04</w:t>
            </w:r>
            <w:r w:rsidR="00105BD5" w:rsidRPr="00A7713D">
              <w:rPr>
                <w:b w:val="0"/>
                <w:color w:val="auto"/>
                <w:sz w:val="23"/>
                <w:szCs w:val="23"/>
              </w:rPr>
              <w:t>/2020</w:t>
            </w:r>
          </w:p>
        </w:tc>
        <w:tc>
          <w:tcPr>
            <w:tcW w:w="1241" w:type="dxa"/>
            <w:shd w:val="clear" w:color="auto" w:fill="D3DFEE"/>
          </w:tcPr>
          <w:p w14:paraId="7A4D8B04" w14:textId="438220FC" w:rsidR="003527AD" w:rsidRPr="00C26C5B" w:rsidRDefault="00105BD5" w:rsidP="002D767A">
            <w:pPr>
              <w:pStyle w:val="Heading2"/>
              <w:rPr>
                <w:b w:val="0"/>
                <w:color w:val="auto"/>
                <w:sz w:val="23"/>
                <w:szCs w:val="23"/>
              </w:rPr>
            </w:pPr>
            <w:r>
              <w:rPr>
                <w:b w:val="0"/>
                <w:color w:val="auto"/>
                <w:sz w:val="23"/>
                <w:szCs w:val="23"/>
              </w:rPr>
              <w:t>$0.1m</w:t>
            </w:r>
          </w:p>
        </w:tc>
      </w:tr>
      <w:tr w:rsidR="003527AD" w:rsidRPr="00C26C5B" w14:paraId="3340EF09" w14:textId="77777777" w:rsidTr="002D767A">
        <w:tc>
          <w:tcPr>
            <w:tcW w:w="2518" w:type="dxa"/>
            <w:vMerge/>
          </w:tcPr>
          <w:p w14:paraId="6F0E799F" w14:textId="77777777" w:rsidR="003527AD" w:rsidRPr="00C26C5B" w:rsidRDefault="003527AD" w:rsidP="002D767A">
            <w:pPr>
              <w:pStyle w:val="Heading2"/>
              <w:rPr>
                <w:b w:val="0"/>
                <w:bCs w:val="0"/>
                <w:sz w:val="23"/>
                <w:szCs w:val="23"/>
              </w:rPr>
            </w:pPr>
          </w:p>
        </w:tc>
        <w:tc>
          <w:tcPr>
            <w:tcW w:w="4536" w:type="dxa"/>
          </w:tcPr>
          <w:p w14:paraId="0F98D5F1" w14:textId="7238306C" w:rsidR="003527AD" w:rsidRPr="00763BD4" w:rsidRDefault="00105BD5" w:rsidP="00105BD5">
            <w:pPr>
              <w:pStyle w:val="Heading2"/>
              <w:rPr>
                <w:b w:val="0"/>
                <w:color w:val="auto"/>
                <w:sz w:val="23"/>
                <w:szCs w:val="23"/>
              </w:rPr>
            </w:pPr>
            <w:r>
              <w:rPr>
                <w:b w:val="0"/>
                <w:color w:val="auto"/>
                <w:sz w:val="23"/>
                <w:szCs w:val="23"/>
              </w:rPr>
              <w:t>Contract awarded and commencement of site works for new visitor gateway transit hub and car park</w:t>
            </w:r>
          </w:p>
        </w:tc>
        <w:tc>
          <w:tcPr>
            <w:tcW w:w="1473" w:type="dxa"/>
          </w:tcPr>
          <w:p w14:paraId="75543FF6" w14:textId="70A68702" w:rsidR="003527AD" w:rsidRPr="00C26C5B" w:rsidRDefault="00105BD5" w:rsidP="002D767A">
            <w:pPr>
              <w:pStyle w:val="Heading2"/>
              <w:rPr>
                <w:b w:val="0"/>
                <w:color w:val="auto"/>
                <w:sz w:val="23"/>
                <w:szCs w:val="23"/>
              </w:rPr>
            </w:pPr>
            <w:r>
              <w:rPr>
                <w:b w:val="0"/>
                <w:color w:val="auto"/>
                <w:sz w:val="23"/>
                <w:szCs w:val="23"/>
              </w:rPr>
              <w:t>31/10/2020</w:t>
            </w:r>
          </w:p>
        </w:tc>
        <w:tc>
          <w:tcPr>
            <w:tcW w:w="1241" w:type="dxa"/>
          </w:tcPr>
          <w:p w14:paraId="3C26B029" w14:textId="3F964798" w:rsidR="003527AD" w:rsidRPr="00C26C5B" w:rsidRDefault="00105BD5" w:rsidP="002D767A">
            <w:pPr>
              <w:pStyle w:val="Heading2"/>
              <w:rPr>
                <w:b w:val="0"/>
                <w:color w:val="auto"/>
                <w:sz w:val="23"/>
                <w:szCs w:val="23"/>
              </w:rPr>
            </w:pPr>
            <w:r>
              <w:rPr>
                <w:b w:val="0"/>
                <w:color w:val="auto"/>
                <w:sz w:val="23"/>
                <w:szCs w:val="23"/>
              </w:rPr>
              <w:t>$0.4m</w:t>
            </w:r>
          </w:p>
        </w:tc>
      </w:tr>
      <w:tr w:rsidR="003527AD" w:rsidRPr="00C26C5B" w14:paraId="3E2E7A85" w14:textId="77777777" w:rsidTr="002D767A">
        <w:tc>
          <w:tcPr>
            <w:tcW w:w="2518" w:type="dxa"/>
            <w:vMerge/>
          </w:tcPr>
          <w:p w14:paraId="5D1EF373" w14:textId="77777777" w:rsidR="003527AD" w:rsidRPr="00C26C5B" w:rsidRDefault="003527AD" w:rsidP="002D767A">
            <w:pPr>
              <w:pStyle w:val="Heading2"/>
              <w:rPr>
                <w:b w:val="0"/>
                <w:bCs w:val="0"/>
                <w:sz w:val="23"/>
                <w:szCs w:val="23"/>
              </w:rPr>
            </w:pPr>
          </w:p>
        </w:tc>
        <w:tc>
          <w:tcPr>
            <w:tcW w:w="4536" w:type="dxa"/>
            <w:shd w:val="clear" w:color="auto" w:fill="D3DFEE"/>
          </w:tcPr>
          <w:p w14:paraId="086837A9" w14:textId="03457368" w:rsidR="003527AD" w:rsidRPr="00763BD4" w:rsidRDefault="00105BD5" w:rsidP="00105BD5">
            <w:pPr>
              <w:pStyle w:val="Heading2"/>
              <w:rPr>
                <w:b w:val="0"/>
                <w:color w:val="auto"/>
                <w:sz w:val="23"/>
                <w:szCs w:val="23"/>
              </w:rPr>
            </w:pPr>
            <w:r>
              <w:rPr>
                <w:b w:val="0"/>
                <w:color w:val="auto"/>
                <w:sz w:val="23"/>
                <w:szCs w:val="23"/>
              </w:rPr>
              <w:t>Completion of civil works and in ground services, car park and lower ground slab</w:t>
            </w:r>
          </w:p>
        </w:tc>
        <w:tc>
          <w:tcPr>
            <w:tcW w:w="1473" w:type="dxa"/>
            <w:shd w:val="clear" w:color="auto" w:fill="D3DFEE"/>
          </w:tcPr>
          <w:p w14:paraId="212C14AE" w14:textId="1A690073" w:rsidR="003527AD" w:rsidRPr="00C26C5B" w:rsidRDefault="00105BD5" w:rsidP="002D767A">
            <w:pPr>
              <w:pStyle w:val="Heading2"/>
              <w:rPr>
                <w:b w:val="0"/>
                <w:color w:val="auto"/>
                <w:sz w:val="23"/>
                <w:szCs w:val="23"/>
              </w:rPr>
            </w:pPr>
            <w:r>
              <w:rPr>
                <w:b w:val="0"/>
                <w:color w:val="auto"/>
                <w:sz w:val="23"/>
                <w:szCs w:val="23"/>
              </w:rPr>
              <w:t>1/04/2021</w:t>
            </w:r>
          </w:p>
        </w:tc>
        <w:tc>
          <w:tcPr>
            <w:tcW w:w="1241" w:type="dxa"/>
            <w:shd w:val="clear" w:color="auto" w:fill="D3DFEE"/>
          </w:tcPr>
          <w:p w14:paraId="33221939" w14:textId="494300F0" w:rsidR="003527AD" w:rsidRPr="00C26C5B" w:rsidRDefault="00105BD5" w:rsidP="002D767A">
            <w:pPr>
              <w:pStyle w:val="Heading2"/>
              <w:rPr>
                <w:b w:val="0"/>
                <w:color w:val="auto"/>
                <w:sz w:val="23"/>
                <w:szCs w:val="23"/>
              </w:rPr>
            </w:pPr>
            <w:r>
              <w:rPr>
                <w:b w:val="0"/>
                <w:color w:val="auto"/>
                <w:sz w:val="23"/>
                <w:szCs w:val="23"/>
              </w:rPr>
              <w:t>$2.6m</w:t>
            </w:r>
          </w:p>
        </w:tc>
      </w:tr>
      <w:tr w:rsidR="003527AD" w14:paraId="38D7D836" w14:textId="77777777" w:rsidTr="00105BD5">
        <w:trPr>
          <w:trHeight w:val="725"/>
        </w:trPr>
        <w:tc>
          <w:tcPr>
            <w:tcW w:w="2518" w:type="dxa"/>
            <w:vMerge/>
          </w:tcPr>
          <w:p w14:paraId="181F1FDA" w14:textId="77777777" w:rsidR="003527AD" w:rsidRPr="00C26C5B" w:rsidRDefault="003527AD" w:rsidP="002D767A">
            <w:pPr>
              <w:pStyle w:val="Heading2"/>
              <w:rPr>
                <w:b w:val="0"/>
                <w:bCs w:val="0"/>
                <w:sz w:val="23"/>
                <w:szCs w:val="23"/>
              </w:rPr>
            </w:pPr>
          </w:p>
        </w:tc>
        <w:tc>
          <w:tcPr>
            <w:tcW w:w="4536" w:type="dxa"/>
          </w:tcPr>
          <w:p w14:paraId="66019144" w14:textId="2A87DAC5" w:rsidR="003527AD" w:rsidRPr="004C6C9E" w:rsidRDefault="00105BD5" w:rsidP="00105BD5">
            <w:pPr>
              <w:pStyle w:val="Heading2"/>
              <w:rPr>
                <w:b w:val="0"/>
                <w:color w:val="auto"/>
                <w:sz w:val="23"/>
                <w:szCs w:val="23"/>
              </w:rPr>
            </w:pPr>
            <w:r>
              <w:rPr>
                <w:b w:val="0"/>
                <w:color w:val="auto"/>
                <w:sz w:val="23"/>
                <w:szCs w:val="23"/>
              </w:rPr>
              <w:t>Construction complete and certificate of occupancy issued</w:t>
            </w:r>
          </w:p>
        </w:tc>
        <w:tc>
          <w:tcPr>
            <w:tcW w:w="1473" w:type="dxa"/>
          </w:tcPr>
          <w:p w14:paraId="652ED2D0" w14:textId="1075D540" w:rsidR="003527AD" w:rsidRPr="00E9075C" w:rsidRDefault="00A56079" w:rsidP="002D767A">
            <w:r>
              <w:t>30</w:t>
            </w:r>
            <w:r w:rsidR="00105BD5">
              <w:t>/11/2021</w:t>
            </w:r>
          </w:p>
        </w:tc>
        <w:tc>
          <w:tcPr>
            <w:tcW w:w="1241" w:type="dxa"/>
          </w:tcPr>
          <w:p w14:paraId="505A7218" w14:textId="16C49C29" w:rsidR="003527AD" w:rsidRDefault="00105BD5" w:rsidP="002D767A">
            <w:r>
              <w:t>$2.6m</w:t>
            </w:r>
          </w:p>
        </w:tc>
      </w:tr>
    </w:tbl>
    <w:p w14:paraId="0C241883" w14:textId="77777777" w:rsidR="009F2C68" w:rsidRDefault="009F2C68" w:rsidP="008E0AD6">
      <w:pPr>
        <w:pStyle w:val="Normalnumbered"/>
        <w:keepNext/>
        <w:numPr>
          <w:ilvl w:val="0"/>
          <w:numId w:val="0"/>
        </w:numPr>
        <w:rPr>
          <w:b/>
        </w:rPr>
      </w:pP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4C6C9E" w:rsidRPr="00C26C5B" w14:paraId="590499F0" w14:textId="77777777" w:rsidTr="00A7713D">
        <w:trPr>
          <w:trHeight w:val="1028"/>
        </w:trPr>
        <w:tc>
          <w:tcPr>
            <w:tcW w:w="2518" w:type="dxa"/>
            <w:vMerge w:val="restart"/>
          </w:tcPr>
          <w:p w14:paraId="0DD5B27C" w14:textId="5E23D34E" w:rsidR="004C6C9E" w:rsidRPr="00033D9B" w:rsidRDefault="00A7713D" w:rsidP="006C4082">
            <w:pPr>
              <w:pStyle w:val="Heading2"/>
              <w:rPr>
                <w:b w:val="0"/>
                <w:bCs w:val="0"/>
                <w:color w:val="auto"/>
                <w:sz w:val="23"/>
                <w:szCs w:val="23"/>
              </w:rPr>
            </w:pPr>
            <w:r>
              <w:rPr>
                <w:b w:val="0"/>
                <w:bCs w:val="0"/>
                <w:color w:val="auto"/>
                <w:sz w:val="23"/>
                <w:szCs w:val="23"/>
              </w:rPr>
              <w:t>Construct</w:t>
            </w:r>
            <w:r w:rsidR="00642F60">
              <w:rPr>
                <w:b w:val="0"/>
                <w:bCs w:val="0"/>
                <w:color w:val="auto"/>
                <w:sz w:val="23"/>
                <w:szCs w:val="23"/>
              </w:rPr>
              <w:t>ion of a</w:t>
            </w:r>
            <w:r>
              <w:rPr>
                <w:b w:val="0"/>
                <w:bCs w:val="0"/>
                <w:color w:val="auto"/>
                <w:sz w:val="23"/>
                <w:szCs w:val="23"/>
              </w:rPr>
              <w:t xml:space="preserve"> Second Wineglass Bay Lookout</w:t>
            </w:r>
          </w:p>
        </w:tc>
        <w:tc>
          <w:tcPr>
            <w:tcW w:w="4536" w:type="dxa"/>
            <w:shd w:val="clear" w:color="auto" w:fill="DBE5F1" w:themeFill="accent1" w:themeFillTint="33"/>
          </w:tcPr>
          <w:p w14:paraId="78CB037F" w14:textId="43E84C4A" w:rsidR="004C6C9E" w:rsidRPr="00A7713D" w:rsidRDefault="00A7713D" w:rsidP="00A7713D">
            <w:pPr>
              <w:pStyle w:val="Heading2"/>
              <w:rPr>
                <w:color w:val="auto"/>
                <w:sz w:val="23"/>
                <w:szCs w:val="23"/>
              </w:rPr>
            </w:pPr>
            <w:r>
              <w:rPr>
                <w:b w:val="0"/>
                <w:color w:val="auto"/>
                <w:sz w:val="23"/>
                <w:szCs w:val="23"/>
              </w:rPr>
              <w:t>Detailed design and engineering complete and approvals obtained</w:t>
            </w:r>
          </w:p>
        </w:tc>
        <w:tc>
          <w:tcPr>
            <w:tcW w:w="1473" w:type="dxa"/>
            <w:shd w:val="clear" w:color="auto" w:fill="DBE5F1" w:themeFill="accent1" w:themeFillTint="33"/>
          </w:tcPr>
          <w:p w14:paraId="1F520BA3" w14:textId="3810DB5C" w:rsidR="004C6C9E" w:rsidRDefault="00A7713D" w:rsidP="00A7713D">
            <w:pPr>
              <w:pStyle w:val="Heading2"/>
            </w:pPr>
            <w:r>
              <w:rPr>
                <w:b w:val="0"/>
                <w:color w:val="auto"/>
                <w:sz w:val="23"/>
                <w:szCs w:val="23"/>
              </w:rPr>
              <w:t>24/12/</w:t>
            </w:r>
            <w:r w:rsidRPr="00A7713D">
              <w:rPr>
                <w:b w:val="0"/>
                <w:color w:val="auto"/>
                <w:sz w:val="23"/>
                <w:szCs w:val="23"/>
              </w:rPr>
              <w:t>2019</w:t>
            </w:r>
          </w:p>
        </w:tc>
        <w:tc>
          <w:tcPr>
            <w:tcW w:w="1241" w:type="dxa"/>
            <w:shd w:val="clear" w:color="auto" w:fill="DBE5F1" w:themeFill="accent1" w:themeFillTint="33"/>
          </w:tcPr>
          <w:p w14:paraId="2995204B" w14:textId="271BB42E" w:rsidR="004C6C9E" w:rsidRPr="00341D6F" w:rsidRDefault="00A7713D" w:rsidP="00A7713D">
            <w:pPr>
              <w:pStyle w:val="Heading2"/>
            </w:pPr>
            <w:r w:rsidRPr="00A7713D">
              <w:rPr>
                <w:b w:val="0"/>
                <w:color w:val="auto"/>
                <w:sz w:val="23"/>
                <w:szCs w:val="23"/>
              </w:rPr>
              <w:t>$0.05m</w:t>
            </w:r>
          </w:p>
        </w:tc>
      </w:tr>
      <w:tr w:rsidR="004C6C9E" w:rsidRPr="00C26C5B" w14:paraId="3A470A2A" w14:textId="77777777" w:rsidTr="00E93724">
        <w:tc>
          <w:tcPr>
            <w:tcW w:w="2518" w:type="dxa"/>
            <w:vMerge/>
          </w:tcPr>
          <w:p w14:paraId="20926AF9" w14:textId="77777777" w:rsidR="004C6C9E" w:rsidRPr="00033D9B" w:rsidRDefault="004C6C9E" w:rsidP="004C6C9E">
            <w:pPr>
              <w:pStyle w:val="Heading2"/>
              <w:rPr>
                <w:b w:val="0"/>
                <w:bCs w:val="0"/>
                <w:color w:val="auto"/>
                <w:sz w:val="23"/>
                <w:szCs w:val="23"/>
              </w:rPr>
            </w:pPr>
          </w:p>
        </w:tc>
        <w:tc>
          <w:tcPr>
            <w:tcW w:w="4536" w:type="dxa"/>
            <w:shd w:val="clear" w:color="auto" w:fill="FFFFFF" w:themeFill="background1"/>
          </w:tcPr>
          <w:p w14:paraId="51F0CD4F" w14:textId="3E6EB5A1" w:rsidR="004C6C9E" w:rsidRPr="00606305" w:rsidRDefault="00A7713D" w:rsidP="00A7713D">
            <w:pPr>
              <w:pStyle w:val="Heading2"/>
              <w:tabs>
                <w:tab w:val="left" w:pos="1841"/>
              </w:tabs>
              <w:rPr>
                <w:b w:val="0"/>
                <w:color w:val="auto"/>
                <w:sz w:val="23"/>
                <w:szCs w:val="23"/>
              </w:rPr>
            </w:pPr>
            <w:r>
              <w:rPr>
                <w:b w:val="0"/>
                <w:color w:val="auto"/>
                <w:sz w:val="23"/>
                <w:szCs w:val="23"/>
              </w:rPr>
              <w:t>Contract awarded and commencement of construction of lookout and loop track</w:t>
            </w:r>
          </w:p>
        </w:tc>
        <w:tc>
          <w:tcPr>
            <w:tcW w:w="1473" w:type="dxa"/>
            <w:shd w:val="clear" w:color="auto" w:fill="FFFFFF" w:themeFill="background1"/>
          </w:tcPr>
          <w:p w14:paraId="37660579" w14:textId="57E5D54F" w:rsidR="004C6C9E" w:rsidRPr="004C6C9E" w:rsidRDefault="003B28C4" w:rsidP="004C6C9E">
            <w:r>
              <w:t>30</w:t>
            </w:r>
            <w:r w:rsidR="00A7713D">
              <w:t>/04/2020</w:t>
            </w:r>
          </w:p>
        </w:tc>
        <w:tc>
          <w:tcPr>
            <w:tcW w:w="1241" w:type="dxa"/>
            <w:shd w:val="clear" w:color="auto" w:fill="FFFFFF" w:themeFill="background1"/>
          </w:tcPr>
          <w:p w14:paraId="0796ABBC" w14:textId="415A431C" w:rsidR="004C6C9E" w:rsidRPr="004C6C9E" w:rsidRDefault="00A7713D" w:rsidP="004C6C9E">
            <w:r>
              <w:t>$0.3m</w:t>
            </w:r>
          </w:p>
        </w:tc>
      </w:tr>
      <w:tr w:rsidR="004C6C9E" w:rsidRPr="00C26C5B" w14:paraId="44F2E10F" w14:textId="77777777" w:rsidTr="00E93724">
        <w:tc>
          <w:tcPr>
            <w:tcW w:w="2518" w:type="dxa"/>
            <w:vMerge/>
          </w:tcPr>
          <w:p w14:paraId="525DAFF1" w14:textId="77777777" w:rsidR="004C6C9E" w:rsidRPr="00EE7D29" w:rsidRDefault="004C6C9E" w:rsidP="006C4082">
            <w:pPr>
              <w:pStyle w:val="Heading2"/>
              <w:rPr>
                <w:b w:val="0"/>
                <w:bCs w:val="0"/>
                <w:color w:val="auto"/>
                <w:sz w:val="23"/>
                <w:szCs w:val="23"/>
              </w:rPr>
            </w:pPr>
          </w:p>
        </w:tc>
        <w:tc>
          <w:tcPr>
            <w:tcW w:w="4536" w:type="dxa"/>
            <w:shd w:val="clear" w:color="auto" w:fill="DBE5F1" w:themeFill="accent1" w:themeFillTint="33"/>
          </w:tcPr>
          <w:p w14:paraId="2B1C844A" w14:textId="0AB0ED4B" w:rsidR="004C6C9E" w:rsidRPr="00606305" w:rsidRDefault="00A7713D" w:rsidP="00A7713D">
            <w:pPr>
              <w:pStyle w:val="Heading2"/>
              <w:rPr>
                <w:b w:val="0"/>
                <w:color w:val="auto"/>
                <w:sz w:val="23"/>
                <w:szCs w:val="23"/>
              </w:rPr>
            </w:pPr>
            <w:r w:rsidRPr="00A7713D">
              <w:rPr>
                <w:rFonts w:cs="Times New Roman"/>
                <w:b w:val="0"/>
                <w:bCs w:val="0"/>
                <w:iCs w:val="0"/>
                <w:color w:val="000000"/>
                <w:sz w:val="23"/>
                <w:szCs w:val="23"/>
              </w:rPr>
              <w:t>Completion of lookout and loop track and certificate of completion issued</w:t>
            </w:r>
          </w:p>
        </w:tc>
        <w:tc>
          <w:tcPr>
            <w:tcW w:w="1473" w:type="dxa"/>
            <w:shd w:val="clear" w:color="auto" w:fill="DBE5F1" w:themeFill="accent1" w:themeFillTint="33"/>
          </w:tcPr>
          <w:p w14:paraId="000BD870" w14:textId="41ABE78C" w:rsidR="004C6C9E" w:rsidRPr="00606305" w:rsidRDefault="00A7713D" w:rsidP="006C4082">
            <w:r>
              <w:t>31/10/2020</w:t>
            </w:r>
          </w:p>
        </w:tc>
        <w:tc>
          <w:tcPr>
            <w:tcW w:w="1241" w:type="dxa"/>
            <w:shd w:val="clear" w:color="auto" w:fill="DBE5F1" w:themeFill="accent1" w:themeFillTint="33"/>
          </w:tcPr>
          <w:p w14:paraId="617AF416" w14:textId="6E93F690" w:rsidR="004C6C9E" w:rsidRPr="00606305" w:rsidRDefault="00A7713D" w:rsidP="006C4082">
            <w:r>
              <w:t>$0</w:t>
            </w:r>
            <w:r w:rsidR="00BB2E1E">
              <w:t>.1</w:t>
            </w:r>
            <w:r>
              <w:t>m</w:t>
            </w:r>
          </w:p>
        </w:tc>
      </w:tr>
    </w:tbl>
    <w:p w14:paraId="7B3381EE" w14:textId="77777777" w:rsidR="004C6C9E" w:rsidRDefault="004C6C9E" w:rsidP="008E0AD6">
      <w:pPr>
        <w:pStyle w:val="Normalnumbered"/>
        <w:keepNext/>
        <w:numPr>
          <w:ilvl w:val="0"/>
          <w:numId w:val="0"/>
        </w:numPr>
      </w:pP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A7713D" w:rsidRPr="00C26C5B" w14:paraId="3C1AE0F0" w14:textId="77777777" w:rsidTr="00334D34">
        <w:trPr>
          <w:trHeight w:val="1028"/>
        </w:trPr>
        <w:tc>
          <w:tcPr>
            <w:tcW w:w="2518" w:type="dxa"/>
            <w:vMerge w:val="restart"/>
          </w:tcPr>
          <w:p w14:paraId="7C4BE12A" w14:textId="13829F84" w:rsidR="00A7713D" w:rsidRPr="00033D9B" w:rsidRDefault="00A7713D" w:rsidP="00A7713D">
            <w:pPr>
              <w:pStyle w:val="Heading2"/>
              <w:rPr>
                <w:b w:val="0"/>
                <w:bCs w:val="0"/>
                <w:color w:val="auto"/>
                <w:sz w:val="23"/>
                <w:szCs w:val="23"/>
              </w:rPr>
            </w:pPr>
            <w:r>
              <w:rPr>
                <w:b w:val="0"/>
                <w:bCs w:val="0"/>
                <w:color w:val="auto"/>
                <w:sz w:val="23"/>
                <w:szCs w:val="23"/>
              </w:rPr>
              <w:t>Construct</w:t>
            </w:r>
            <w:r w:rsidR="00642F60">
              <w:rPr>
                <w:b w:val="0"/>
                <w:bCs w:val="0"/>
                <w:color w:val="auto"/>
                <w:sz w:val="23"/>
                <w:szCs w:val="23"/>
              </w:rPr>
              <w:t>ion of Foreshore</w:t>
            </w:r>
            <w:r>
              <w:rPr>
                <w:b w:val="0"/>
                <w:bCs w:val="0"/>
                <w:color w:val="auto"/>
                <w:sz w:val="23"/>
                <w:szCs w:val="23"/>
              </w:rPr>
              <w:t xml:space="preserve"> walk to Coles Bay</w:t>
            </w:r>
          </w:p>
        </w:tc>
        <w:tc>
          <w:tcPr>
            <w:tcW w:w="4536" w:type="dxa"/>
            <w:shd w:val="clear" w:color="auto" w:fill="DBE5F1" w:themeFill="accent1" w:themeFillTint="33"/>
          </w:tcPr>
          <w:p w14:paraId="0609F13C" w14:textId="7D39FE77" w:rsidR="00A7713D" w:rsidRPr="00A7713D" w:rsidRDefault="00A7713D" w:rsidP="00A7713D">
            <w:pPr>
              <w:pStyle w:val="Heading2"/>
              <w:rPr>
                <w:color w:val="auto"/>
                <w:sz w:val="23"/>
                <w:szCs w:val="23"/>
              </w:rPr>
            </w:pPr>
            <w:r>
              <w:rPr>
                <w:b w:val="0"/>
                <w:color w:val="auto"/>
                <w:sz w:val="23"/>
                <w:szCs w:val="23"/>
              </w:rPr>
              <w:t>Detailed design complete and approvals obtained</w:t>
            </w:r>
          </w:p>
        </w:tc>
        <w:tc>
          <w:tcPr>
            <w:tcW w:w="1473" w:type="dxa"/>
            <w:shd w:val="clear" w:color="auto" w:fill="DBE5F1" w:themeFill="accent1" w:themeFillTint="33"/>
          </w:tcPr>
          <w:p w14:paraId="467850B4" w14:textId="46D68E0A" w:rsidR="00A7713D" w:rsidRDefault="00513867" w:rsidP="00334D34">
            <w:pPr>
              <w:pStyle w:val="Heading2"/>
            </w:pPr>
            <w:r>
              <w:rPr>
                <w:b w:val="0"/>
                <w:color w:val="auto"/>
                <w:sz w:val="23"/>
                <w:szCs w:val="23"/>
              </w:rPr>
              <w:t>30</w:t>
            </w:r>
            <w:r w:rsidR="00A7713D">
              <w:rPr>
                <w:b w:val="0"/>
                <w:color w:val="auto"/>
                <w:sz w:val="23"/>
                <w:szCs w:val="23"/>
              </w:rPr>
              <w:t>/04/2020</w:t>
            </w:r>
          </w:p>
        </w:tc>
        <w:tc>
          <w:tcPr>
            <w:tcW w:w="1241" w:type="dxa"/>
            <w:shd w:val="clear" w:color="auto" w:fill="DBE5F1" w:themeFill="accent1" w:themeFillTint="33"/>
          </w:tcPr>
          <w:p w14:paraId="10BCF54A" w14:textId="062D416E" w:rsidR="00A7713D" w:rsidRPr="00341D6F" w:rsidRDefault="00A7713D" w:rsidP="00334D34">
            <w:pPr>
              <w:pStyle w:val="Heading2"/>
            </w:pPr>
            <w:r>
              <w:rPr>
                <w:b w:val="0"/>
                <w:color w:val="auto"/>
                <w:sz w:val="23"/>
                <w:szCs w:val="23"/>
              </w:rPr>
              <w:t>$0.03</w:t>
            </w:r>
            <w:r w:rsidRPr="00A7713D">
              <w:rPr>
                <w:b w:val="0"/>
                <w:color w:val="auto"/>
                <w:sz w:val="23"/>
                <w:szCs w:val="23"/>
              </w:rPr>
              <w:t>m</w:t>
            </w:r>
          </w:p>
        </w:tc>
      </w:tr>
      <w:tr w:rsidR="00A7713D" w:rsidRPr="00C26C5B" w14:paraId="255B7820" w14:textId="77777777" w:rsidTr="00334D34">
        <w:tc>
          <w:tcPr>
            <w:tcW w:w="2518" w:type="dxa"/>
            <w:vMerge/>
          </w:tcPr>
          <w:p w14:paraId="6E3434D8" w14:textId="77777777" w:rsidR="00A7713D" w:rsidRPr="00033D9B" w:rsidRDefault="00A7713D" w:rsidP="00334D34">
            <w:pPr>
              <w:pStyle w:val="Heading2"/>
              <w:rPr>
                <w:b w:val="0"/>
                <w:bCs w:val="0"/>
                <w:color w:val="auto"/>
                <w:sz w:val="23"/>
                <w:szCs w:val="23"/>
              </w:rPr>
            </w:pPr>
          </w:p>
        </w:tc>
        <w:tc>
          <w:tcPr>
            <w:tcW w:w="4536" w:type="dxa"/>
            <w:shd w:val="clear" w:color="auto" w:fill="FFFFFF" w:themeFill="background1"/>
          </w:tcPr>
          <w:p w14:paraId="63DC449E" w14:textId="77777777" w:rsidR="00A7713D" w:rsidRPr="00606305" w:rsidRDefault="00A7713D" w:rsidP="00334D34">
            <w:pPr>
              <w:pStyle w:val="Heading2"/>
              <w:tabs>
                <w:tab w:val="left" w:pos="1841"/>
              </w:tabs>
              <w:rPr>
                <w:b w:val="0"/>
                <w:color w:val="auto"/>
                <w:sz w:val="23"/>
                <w:szCs w:val="23"/>
              </w:rPr>
            </w:pPr>
            <w:r>
              <w:rPr>
                <w:b w:val="0"/>
                <w:color w:val="auto"/>
                <w:sz w:val="23"/>
                <w:szCs w:val="23"/>
              </w:rPr>
              <w:t>Contract awarded and commencement of construction of lookout and loop track</w:t>
            </w:r>
          </w:p>
        </w:tc>
        <w:tc>
          <w:tcPr>
            <w:tcW w:w="1473" w:type="dxa"/>
            <w:shd w:val="clear" w:color="auto" w:fill="FFFFFF" w:themeFill="background1"/>
          </w:tcPr>
          <w:p w14:paraId="14414EDF" w14:textId="20283D62" w:rsidR="00A7713D" w:rsidRPr="004C6C9E" w:rsidRDefault="00A7713D" w:rsidP="00A7713D">
            <w:r>
              <w:t>31/10/2020</w:t>
            </w:r>
          </w:p>
        </w:tc>
        <w:tc>
          <w:tcPr>
            <w:tcW w:w="1241" w:type="dxa"/>
            <w:shd w:val="clear" w:color="auto" w:fill="FFFFFF" w:themeFill="background1"/>
          </w:tcPr>
          <w:p w14:paraId="287B82F3" w14:textId="7E32D777" w:rsidR="00A7713D" w:rsidRPr="004C6C9E" w:rsidRDefault="00A7713D" w:rsidP="00334D34">
            <w:r>
              <w:t>$0.27m</w:t>
            </w:r>
          </w:p>
        </w:tc>
      </w:tr>
      <w:tr w:rsidR="00A7713D" w:rsidRPr="00C26C5B" w14:paraId="5A1CD643" w14:textId="77777777" w:rsidTr="00334D34">
        <w:tc>
          <w:tcPr>
            <w:tcW w:w="2518" w:type="dxa"/>
            <w:vMerge/>
          </w:tcPr>
          <w:p w14:paraId="411C20EB" w14:textId="77777777" w:rsidR="00A7713D" w:rsidRPr="00EE7D29" w:rsidRDefault="00A7713D" w:rsidP="00334D34">
            <w:pPr>
              <w:pStyle w:val="Heading2"/>
              <w:rPr>
                <w:b w:val="0"/>
                <w:bCs w:val="0"/>
                <w:color w:val="auto"/>
                <w:sz w:val="23"/>
                <w:szCs w:val="23"/>
              </w:rPr>
            </w:pPr>
          </w:p>
        </w:tc>
        <w:tc>
          <w:tcPr>
            <w:tcW w:w="4536" w:type="dxa"/>
            <w:shd w:val="clear" w:color="auto" w:fill="DBE5F1" w:themeFill="accent1" w:themeFillTint="33"/>
          </w:tcPr>
          <w:p w14:paraId="6F27A12C" w14:textId="7F80F66C" w:rsidR="00A7713D" w:rsidRPr="00606305" w:rsidRDefault="00A7713D" w:rsidP="00A7713D">
            <w:pPr>
              <w:pStyle w:val="Heading2"/>
              <w:rPr>
                <w:b w:val="0"/>
                <w:color w:val="auto"/>
                <w:sz w:val="23"/>
                <w:szCs w:val="23"/>
              </w:rPr>
            </w:pPr>
            <w:r w:rsidRPr="00A7713D">
              <w:rPr>
                <w:rFonts w:cs="Times New Roman"/>
                <w:b w:val="0"/>
                <w:bCs w:val="0"/>
                <w:iCs w:val="0"/>
                <w:color w:val="000000"/>
                <w:sz w:val="23"/>
                <w:szCs w:val="23"/>
              </w:rPr>
              <w:t>Completion of track and certificate of completion issued</w:t>
            </w:r>
          </w:p>
        </w:tc>
        <w:tc>
          <w:tcPr>
            <w:tcW w:w="1473" w:type="dxa"/>
            <w:shd w:val="clear" w:color="auto" w:fill="DBE5F1" w:themeFill="accent1" w:themeFillTint="33"/>
          </w:tcPr>
          <w:p w14:paraId="5E5F11F7" w14:textId="27683E3A" w:rsidR="00A7713D" w:rsidRPr="00606305" w:rsidRDefault="00A7713D" w:rsidP="00334D34">
            <w:r>
              <w:t>1/04/2021</w:t>
            </w:r>
          </w:p>
        </w:tc>
        <w:tc>
          <w:tcPr>
            <w:tcW w:w="1241" w:type="dxa"/>
            <w:shd w:val="clear" w:color="auto" w:fill="DBE5F1" w:themeFill="accent1" w:themeFillTint="33"/>
          </w:tcPr>
          <w:p w14:paraId="004109AD" w14:textId="4A8B49EF" w:rsidR="00A7713D" w:rsidRPr="00606305" w:rsidRDefault="00A7713D" w:rsidP="00334D34">
            <w:r>
              <w:t>$0.1m</w:t>
            </w:r>
          </w:p>
        </w:tc>
      </w:tr>
    </w:tbl>
    <w:p w14:paraId="06B6A1C8" w14:textId="77777777" w:rsidR="00A7713D" w:rsidRDefault="00A7713D" w:rsidP="008E0AD6">
      <w:pPr>
        <w:pStyle w:val="Normalnumbered"/>
        <w:keepNext/>
        <w:numPr>
          <w:ilvl w:val="0"/>
          <w:numId w:val="0"/>
        </w:numPr>
      </w:pP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A7713D" w:rsidRPr="00A7713D" w14:paraId="1030A1C4" w14:textId="77777777" w:rsidTr="00334D34">
        <w:trPr>
          <w:trHeight w:val="1028"/>
        </w:trPr>
        <w:tc>
          <w:tcPr>
            <w:tcW w:w="2518" w:type="dxa"/>
            <w:vMerge w:val="restart"/>
          </w:tcPr>
          <w:p w14:paraId="6FA62E26" w14:textId="3CC0EE73" w:rsidR="00A7713D" w:rsidRPr="00A7713D" w:rsidRDefault="00804E9C" w:rsidP="00A7713D">
            <w:pPr>
              <w:keepNext/>
              <w:spacing w:before="180" w:after="120" w:line="240" w:lineRule="auto"/>
              <w:jc w:val="left"/>
              <w:outlineLvl w:val="1"/>
              <w:rPr>
                <w:rFonts w:cs="Arial"/>
                <w:iCs/>
                <w:color w:val="auto"/>
                <w:szCs w:val="23"/>
              </w:rPr>
            </w:pPr>
            <w:r>
              <w:rPr>
                <w:rFonts w:cs="Arial"/>
                <w:iCs/>
                <w:color w:val="auto"/>
                <w:szCs w:val="23"/>
              </w:rPr>
              <w:t>Implementation</w:t>
            </w:r>
            <w:r w:rsidR="00642F60">
              <w:rPr>
                <w:rFonts w:cs="Arial"/>
                <w:iCs/>
                <w:color w:val="auto"/>
                <w:szCs w:val="23"/>
              </w:rPr>
              <w:t xml:space="preserve"> of</w:t>
            </w:r>
            <w:r w:rsidR="00D37AA4">
              <w:rPr>
                <w:rFonts w:cs="Arial"/>
                <w:iCs/>
                <w:color w:val="auto"/>
                <w:szCs w:val="23"/>
              </w:rPr>
              <w:t xml:space="preserve"> the</w:t>
            </w:r>
            <w:r w:rsidR="00BB2E1E">
              <w:rPr>
                <w:rFonts w:cs="Arial"/>
                <w:iCs/>
                <w:color w:val="auto"/>
                <w:szCs w:val="23"/>
              </w:rPr>
              <w:t xml:space="preserve"> Aboriginal Education and Discovery Ranger Initiative</w:t>
            </w:r>
          </w:p>
        </w:tc>
        <w:tc>
          <w:tcPr>
            <w:tcW w:w="4536" w:type="dxa"/>
            <w:shd w:val="clear" w:color="auto" w:fill="DBE5F1" w:themeFill="accent1" w:themeFillTint="33"/>
          </w:tcPr>
          <w:p w14:paraId="55456BD4" w14:textId="76E7CC7C" w:rsidR="00A7713D" w:rsidRPr="00A7713D" w:rsidRDefault="00BB2E1E" w:rsidP="00A7713D">
            <w:pPr>
              <w:keepNext/>
              <w:spacing w:before="180" w:after="120" w:line="240" w:lineRule="auto"/>
              <w:jc w:val="left"/>
              <w:outlineLvl w:val="1"/>
              <w:rPr>
                <w:rFonts w:cs="Arial"/>
                <w:b/>
                <w:bCs/>
                <w:iCs/>
                <w:color w:val="auto"/>
                <w:szCs w:val="23"/>
              </w:rPr>
            </w:pPr>
            <w:r w:rsidRPr="00BB2E1E">
              <w:rPr>
                <w:rFonts w:cs="Arial"/>
                <w:bCs/>
                <w:iCs/>
                <w:color w:val="auto"/>
                <w:szCs w:val="23"/>
              </w:rPr>
              <w:t>Recruitment of staff, including the Education Coordinator and Discovery Rangers and conduct an Aboriginal culture awareness forum with East Coast R</w:t>
            </w:r>
            <w:r w:rsidR="00D979B1">
              <w:rPr>
                <w:rFonts w:cs="Arial"/>
                <w:bCs/>
                <w:iCs/>
                <w:color w:val="auto"/>
                <w:szCs w:val="23"/>
              </w:rPr>
              <w:t xml:space="preserve">egional </w:t>
            </w:r>
            <w:r w:rsidRPr="00BB2E1E">
              <w:rPr>
                <w:rFonts w:cs="Arial"/>
                <w:bCs/>
                <w:iCs/>
                <w:color w:val="auto"/>
                <w:szCs w:val="23"/>
              </w:rPr>
              <w:t>T</w:t>
            </w:r>
            <w:r w:rsidR="00D979B1">
              <w:rPr>
                <w:rFonts w:cs="Arial"/>
                <w:bCs/>
                <w:iCs/>
                <w:color w:val="auto"/>
                <w:szCs w:val="23"/>
              </w:rPr>
              <w:t xml:space="preserve">ourism </w:t>
            </w:r>
            <w:r w:rsidRPr="00BB2E1E">
              <w:rPr>
                <w:rFonts w:cs="Arial"/>
                <w:bCs/>
                <w:iCs/>
                <w:color w:val="auto"/>
                <w:szCs w:val="23"/>
              </w:rPr>
              <w:t>O</w:t>
            </w:r>
            <w:r w:rsidR="00D979B1">
              <w:rPr>
                <w:rFonts w:cs="Arial"/>
                <w:bCs/>
                <w:iCs/>
                <w:color w:val="auto"/>
                <w:szCs w:val="23"/>
              </w:rPr>
              <w:t>rganisation</w:t>
            </w:r>
            <w:r w:rsidRPr="00BB2E1E">
              <w:rPr>
                <w:rFonts w:cs="Arial"/>
                <w:bCs/>
                <w:iCs/>
                <w:color w:val="auto"/>
                <w:szCs w:val="23"/>
              </w:rPr>
              <w:t>s</w:t>
            </w:r>
            <w:r w:rsidR="00D979B1">
              <w:rPr>
                <w:rFonts w:cs="Arial"/>
                <w:bCs/>
                <w:iCs/>
                <w:color w:val="auto"/>
                <w:szCs w:val="23"/>
              </w:rPr>
              <w:t xml:space="preserve"> (RTOs)</w:t>
            </w:r>
            <w:r w:rsidRPr="00BB2E1E">
              <w:rPr>
                <w:rFonts w:cs="Arial"/>
                <w:bCs/>
                <w:iCs/>
                <w:color w:val="auto"/>
                <w:szCs w:val="23"/>
              </w:rPr>
              <w:t xml:space="preserve"> and nature based tourism operators</w:t>
            </w:r>
          </w:p>
        </w:tc>
        <w:tc>
          <w:tcPr>
            <w:tcW w:w="1473" w:type="dxa"/>
            <w:shd w:val="clear" w:color="auto" w:fill="DBE5F1" w:themeFill="accent1" w:themeFillTint="33"/>
          </w:tcPr>
          <w:p w14:paraId="63467FF3" w14:textId="47D62A27" w:rsidR="00A7713D" w:rsidRPr="00A7713D" w:rsidRDefault="00647DC2" w:rsidP="00A7713D">
            <w:pPr>
              <w:keepNext/>
              <w:spacing w:before="180" w:after="120" w:line="240" w:lineRule="auto"/>
              <w:jc w:val="left"/>
              <w:outlineLvl w:val="1"/>
              <w:rPr>
                <w:rFonts w:cs="Arial"/>
                <w:b/>
                <w:bCs/>
                <w:iCs/>
                <w:color w:val="3D4B67"/>
                <w:sz w:val="29"/>
                <w:szCs w:val="28"/>
              </w:rPr>
            </w:pPr>
            <w:r>
              <w:rPr>
                <w:rFonts w:cs="Arial"/>
                <w:bCs/>
                <w:iCs/>
                <w:color w:val="auto"/>
                <w:szCs w:val="23"/>
              </w:rPr>
              <w:t>30</w:t>
            </w:r>
            <w:r w:rsidR="00A7713D" w:rsidRPr="00A7713D">
              <w:rPr>
                <w:rFonts w:cs="Arial"/>
                <w:bCs/>
                <w:iCs/>
                <w:color w:val="auto"/>
                <w:szCs w:val="23"/>
              </w:rPr>
              <w:t>/04/2020</w:t>
            </w:r>
          </w:p>
        </w:tc>
        <w:tc>
          <w:tcPr>
            <w:tcW w:w="1241" w:type="dxa"/>
            <w:shd w:val="clear" w:color="auto" w:fill="DBE5F1" w:themeFill="accent1" w:themeFillTint="33"/>
          </w:tcPr>
          <w:p w14:paraId="22A7889D" w14:textId="20E7CF6C" w:rsidR="00A7713D" w:rsidRPr="00A7713D" w:rsidRDefault="00A7713D" w:rsidP="00BB2E1E">
            <w:pPr>
              <w:keepNext/>
              <w:spacing w:before="180" w:after="120" w:line="240" w:lineRule="auto"/>
              <w:jc w:val="left"/>
              <w:outlineLvl w:val="1"/>
              <w:rPr>
                <w:rFonts w:cs="Arial"/>
                <w:b/>
                <w:bCs/>
                <w:iCs/>
                <w:color w:val="3D4B67"/>
                <w:sz w:val="29"/>
                <w:szCs w:val="28"/>
              </w:rPr>
            </w:pPr>
            <w:r w:rsidRPr="00A7713D">
              <w:rPr>
                <w:rFonts w:cs="Arial"/>
                <w:bCs/>
                <w:iCs/>
                <w:color w:val="auto"/>
                <w:szCs w:val="23"/>
              </w:rPr>
              <w:t>$</w:t>
            </w:r>
            <w:r w:rsidR="00BB2E1E">
              <w:rPr>
                <w:rFonts w:cs="Arial"/>
                <w:bCs/>
                <w:iCs/>
                <w:color w:val="auto"/>
                <w:szCs w:val="23"/>
              </w:rPr>
              <w:t>0.15</w:t>
            </w:r>
            <w:r w:rsidRPr="00A7713D">
              <w:rPr>
                <w:rFonts w:cs="Arial"/>
                <w:bCs/>
                <w:iCs/>
                <w:color w:val="auto"/>
                <w:szCs w:val="23"/>
              </w:rPr>
              <w:t>m</w:t>
            </w:r>
          </w:p>
        </w:tc>
      </w:tr>
      <w:tr w:rsidR="00A7713D" w:rsidRPr="00A7713D" w14:paraId="75CBBEF5" w14:textId="77777777" w:rsidTr="00334D34">
        <w:tc>
          <w:tcPr>
            <w:tcW w:w="2518" w:type="dxa"/>
            <w:vMerge/>
          </w:tcPr>
          <w:p w14:paraId="34BA8E8E" w14:textId="77777777" w:rsidR="00A7713D" w:rsidRPr="00A7713D" w:rsidRDefault="00A7713D" w:rsidP="00A7713D">
            <w:pPr>
              <w:keepNext/>
              <w:spacing w:before="180" w:after="120" w:line="240" w:lineRule="auto"/>
              <w:jc w:val="left"/>
              <w:outlineLvl w:val="1"/>
              <w:rPr>
                <w:rFonts w:cs="Arial"/>
                <w:iCs/>
                <w:color w:val="auto"/>
                <w:szCs w:val="23"/>
              </w:rPr>
            </w:pPr>
          </w:p>
        </w:tc>
        <w:tc>
          <w:tcPr>
            <w:tcW w:w="4536" w:type="dxa"/>
            <w:shd w:val="clear" w:color="auto" w:fill="FFFFFF" w:themeFill="background1"/>
          </w:tcPr>
          <w:p w14:paraId="73FBB9D2" w14:textId="2DC11582" w:rsidR="00A7713D" w:rsidRPr="00A7713D" w:rsidRDefault="00BB2E1E" w:rsidP="00A7713D">
            <w:pPr>
              <w:keepNext/>
              <w:tabs>
                <w:tab w:val="left" w:pos="1841"/>
              </w:tabs>
              <w:spacing w:before="180" w:after="120" w:line="240" w:lineRule="auto"/>
              <w:jc w:val="left"/>
              <w:outlineLvl w:val="1"/>
              <w:rPr>
                <w:rFonts w:cs="Arial"/>
                <w:bCs/>
                <w:iCs/>
                <w:color w:val="auto"/>
                <w:szCs w:val="23"/>
              </w:rPr>
            </w:pPr>
            <w:r>
              <w:rPr>
                <w:rFonts w:cs="Arial"/>
                <w:bCs/>
                <w:iCs/>
                <w:color w:val="auto"/>
                <w:szCs w:val="23"/>
              </w:rPr>
              <w:t xml:space="preserve">Commencement </w:t>
            </w:r>
            <w:r w:rsidRPr="00BB2E1E">
              <w:rPr>
                <w:rFonts w:cs="Arial"/>
                <w:bCs/>
                <w:iCs/>
                <w:color w:val="auto"/>
                <w:szCs w:val="23"/>
              </w:rPr>
              <w:t>of the design and interpretation materials within the Visitor Gateway and commence delivery of tailored training programs with East Coast RTOs and operators</w:t>
            </w:r>
          </w:p>
        </w:tc>
        <w:tc>
          <w:tcPr>
            <w:tcW w:w="1473" w:type="dxa"/>
            <w:shd w:val="clear" w:color="auto" w:fill="FFFFFF" w:themeFill="background1"/>
          </w:tcPr>
          <w:p w14:paraId="1B149E22" w14:textId="6BD65B47" w:rsidR="00A7713D" w:rsidRPr="00A7713D" w:rsidRDefault="00513867" w:rsidP="00A7713D">
            <w:r>
              <w:t>30</w:t>
            </w:r>
            <w:r w:rsidR="00BB2E1E">
              <w:t>/04/2020</w:t>
            </w:r>
          </w:p>
        </w:tc>
        <w:tc>
          <w:tcPr>
            <w:tcW w:w="1241" w:type="dxa"/>
            <w:shd w:val="clear" w:color="auto" w:fill="FFFFFF" w:themeFill="background1"/>
          </w:tcPr>
          <w:p w14:paraId="0103471C" w14:textId="0002F72C" w:rsidR="00A7713D" w:rsidRPr="00A7713D" w:rsidRDefault="00A7713D" w:rsidP="00A7713D">
            <w:r w:rsidRPr="00A7713D">
              <w:t>$0</w:t>
            </w:r>
            <w:r w:rsidR="00BB2E1E">
              <w:t>.25</w:t>
            </w:r>
            <w:r w:rsidRPr="00A7713D">
              <w:t>m</w:t>
            </w:r>
          </w:p>
        </w:tc>
      </w:tr>
      <w:tr w:rsidR="00A7713D" w:rsidRPr="00A7713D" w14:paraId="3AFCE13E" w14:textId="77777777" w:rsidTr="00334D34">
        <w:tc>
          <w:tcPr>
            <w:tcW w:w="2518" w:type="dxa"/>
            <w:vMerge/>
          </w:tcPr>
          <w:p w14:paraId="2469A947" w14:textId="77777777" w:rsidR="00A7713D" w:rsidRPr="00A7713D" w:rsidRDefault="00A7713D" w:rsidP="00A7713D">
            <w:pPr>
              <w:keepNext/>
              <w:spacing w:before="180" w:after="120" w:line="240" w:lineRule="auto"/>
              <w:jc w:val="left"/>
              <w:outlineLvl w:val="1"/>
              <w:rPr>
                <w:rFonts w:cs="Arial"/>
                <w:iCs/>
                <w:color w:val="auto"/>
                <w:szCs w:val="23"/>
              </w:rPr>
            </w:pPr>
          </w:p>
        </w:tc>
        <w:tc>
          <w:tcPr>
            <w:tcW w:w="4536" w:type="dxa"/>
            <w:shd w:val="clear" w:color="auto" w:fill="DBE5F1" w:themeFill="accent1" w:themeFillTint="33"/>
          </w:tcPr>
          <w:p w14:paraId="048FD9F2" w14:textId="45D0AE6C" w:rsidR="00A7713D" w:rsidRPr="00A7713D" w:rsidRDefault="00A7713D" w:rsidP="00BB2E1E">
            <w:pPr>
              <w:keepNext/>
              <w:spacing w:before="180" w:after="120" w:line="240" w:lineRule="auto"/>
              <w:jc w:val="left"/>
              <w:outlineLvl w:val="1"/>
              <w:rPr>
                <w:rFonts w:cs="Arial"/>
                <w:bCs/>
                <w:iCs/>
                <w:color w:val="auto"/>
                <w:szCs w:val="23"/>
              </w:rPr>
            </w:pPr>
            <w:r w:rsidRPr="00A7713D">
              <w:rPr>
                <w:szCs w:val="23"/>
              </w:rPr>
              <w:t xml:space="preserve">Completion of </w:t>
            </w:r>
            <w:r w:rsidR="00BB2E1E">
              <w:rPr>
                <w:szCs w:val="23"/>
              </w:rPr>
              <w:t>interpretation works</w:t>
            </w:r>
          </w:p>
        </w:tc>
        <w:tc>
          <w:tcPr>
            <w:tcW w:w="1473" w:type="dxa"/>
            <w:shd w:val="clear" w:color="auto" w:fill="DBE5F1" w:themeFill="accent1" w:themeFillTint="33"/>
          </w:tcPr>
          <w:p w14:paraId="1DA8C187" w14:textId="77777777" w:rsidR="00A7713D" w:rsidRPr="00A7713D" w:rsidRDefault="00A7713D" w:rsidP="00A7713D">
            <w:r w:rsidRPr="00A7713D">
              <w:t>1/04/2021</w:t>
            </w:r>
          </w:p>
        </w:tc>
        <w:tc>
          <w:tcPr>
            <w:tcW w:w="1241" w:type="dxa"/>
            <w:shd w:val="clear" w:color="auto" w:fill="DBE5F1" w:themeFill="accent1" w:themeFillTint="33"/>
          </w:tcPr>
          <w:p w14:paraId="6E151CC0" w14:textId="77299A12" w:rsidR="00A7713D" w:rsidRPr="00A7713D" w:rsidRDefault="00A7713D" w:rsidP="00A7713D">
            <w:r w:rsidRPr="00A7713D">
              <w:t>$0</w:t>
            </w:r>
            <w:r w:rsidR="00BB2E1E">
              <w:t>.25</w:t>
            </w:r>
            <w:r w:rsidRPr="00A7713D">
              <w:t>m</w:t>
            </w:r>
          </w:p>
        </w:tc>
      </w:tr>
    </w:tbl>
    <w:p w14:paraId="1B44D614" w14:textId="77777777" w:rsidR="00A7713D" w:rsidRPr="000E2AF6" w:rsidRDefault="00A7713D" w:rsidP="008E0AD6">
      <w:pPr>
        <w:pStyle w:val="Normalnumbered"/>
        <w:keepNext/>
        <w:numPr>
          <w:ilvl w:val="0"/>
          <w:numId w:val="0"/>
        </w:numPr>
      </w:pPr>
    </w:p>
    <w:p w14:paraId="284C3FEE" w14:textId="77777777" w:rsidR="00172360" w:rsidRDefault="002E144A" w:rsidP="00DB3935">
      <w:pPr>
        <w:pStyle w:val="Normalnumbered"/>
        <w:numPr>
          <w:ilvl w:val="0"/>
          <w:numId w:val="13"/>
        </w:numPr>
      </w:pPr>
      <w:r>
        <w:t>If</w:t>
      </w:r>
      <w:r w:rsidR="00172360" w:rsidRPr="00804105">
        <w:t xml:space="preserve"> a milestone is met in advance of the due date, </w:t>
      </w:r>
      <w:r>
        <w:t xml:space="preserve">where </w:t>
      </w:r>
      <w:r w:rsidR="00172360" w:rsidRPr="00804105">
        <w:t>the relevant performance report demonstrat</w:t>
      </w:r>
      <w:r>
        <w:t>es</w:t>
      </w:r>
      <w:r w:rsidR="00172360" w:rsidRPr="00804105">
        <w:t xml:space="preserve"> </w:t>
      </w:r>
      <w:r w:rsidR="00413E74">
        <w:t xml:space="preserve">that </w:t>
      </w:r>
      <w:r w:rsidR="00172360" w:rsidRPr="00804105">
        <w:t>the milestone has been met, the Commonwealth may make the associated payment earlier than scheduled provided it falls within the same financial year as the original milestone date.</w:t>
      </w:r>
      <w:r w:rsidR="00172360">
        <w:t xml:space="preserve"> </w:t>
      </w:r>
    </w:p>
    <w:p w14:paraId="103D4E47" w14:textId="77777777" w:rsidR="00F3245D" w:rsidRDefault="00F3245D" w:rsidP="00F3245D">
      <w:pPr>
        <w:pStyle w:val="Heading2"/>
      </w:pPr>
      <w:r>
        <w:t>Reporting arrangements</w:t>
      </w:r>
    </w:p>
    <w:p w14:paraId="1AF0B1D8" w14:textId="292A3DB5" w:rsidR="00ED2AC4" w:rsidRDefault="00BB2E1E" w:rsidP="00DB3935">
      <w:pPr>
        <w:pStyle w:val="Normalnumbered"/>
        <w:numPr>
          <w:ilvl w:val="0"/>
          <w:numId w:val="13"/>
        </w:numPr>
        <w:spacing w:before="120" w:line="240" w:lineRule="auto"/>
        <w:rPr>
          <w:szCs w:val="23"/>
        </w:rPr>
      </w:pPr>
      <w:r>
        <w:t>Tasmania</w:t>
      </w:r>
      <w:r w:rsidR="00CE3847">
        <w:t xml:space="preserve"> </w:t>
      </w:r>
      <w:r w:rsidR="009E151E">
        <w:t xml:space="preserve">will </w:t>
      </w:r>
      <w:r w:rsidR="0095223D">
        <w:t xml:space="preserve">provide performance reports in accordance with </w:t>
      </w:r>
      <w:r w:rsidR="00C2605C">
        <w:t>T</w:t>
      </w:r>
      <w:r w:rsidR="0095223D">
        <w:t xml:space="preserve">able </w:t>
      </w:r>
      <w:r w:rsidR="00C2605C">
        <w:t xml:space="preserve">1 </w:t>
      </w:r>
      <w:r w:rsidR="009E151E">
        <w:t>during</w:t>
      </w:r>
      <w:r w:rsidR="00C42ACA">
        <w:t xml:space="preserve"> </w:t>
      </w:r>
      <w:r w:rsidR="009E151E">
        <w:t>t</w:t>
      </w:r>
      <w:r w:rsidR="00515AF2">
        <w:t xml:space="preserve">he operation of the Agreement.  </w:t>
      </w:r>
      <w:r w:rsidR="0095223D">
        <w:t>Each performance report is to contai</w:t>
      </w:r>
      <w:r w:rsidR="00ED2AC4">
        <w:t>n a description of actual performance in the period to date against the project milestones.</w:t>
      </w:r>
      <w:r w:rsidR="00ED2AC4">
        <w:rPr>
          <w:szCs w:val="23"/>
        </w:rPr>
        <w:t xml:space="preserve"> </w:t>
      </w:r>
    </w:p>
    <w:p w14:paraId="1EE359DA" w14:textId="77777777" w:rsidR="008E7527" w:rsidRDefault="008E7527" w:rsidP="009E093C">
      <w:pPr>
        <w:pStyle w:val="Heading1"/>
      </w:pPr>
      <w:r>
        <w:t>Part 5</w:t>
      </w:r>
      <w:r w:rsidRPr="00751725">
        <w:t xml:space="preserve"> — financial arrangements</w:t>
      </w:r>
    </w:p>
    <w:p w14:paraId="12FAC462" w14:textId="22AB8F33" w:rsidR="008E7527" w:rsidRDefault="008E7527" w:rsidP="00DB3935">
      <w:pPr>
        <w:pStyle w:val="Normalnumbered"/>
        <w:numPr>
          <w:ilvl w:val="0"/>
          <w:numId w:val="13"/>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rsidR="00BB2E1E">
        <w:t>Tasmania</w:t>
      </w:r>
      <w:r w:rsidR="007E4208">
        <w:t xml:space="preserve"> of </w:t>
      </w:r>
      <w:r w:rsidRPr="00CD526B">
        <w:t>$</w:t>
      </w:r>
      <w:r w:rsidR="007E4208">
        <w:t>7.2</w:t>
      </w:r>
      <w:r w:rsidR="00D37AA4">
        <w:t> </w:t>
      </w:r>
      <w:r>
        <w:t>m</w:t>
      </w:r>
      <w:r w:rsidR="007E4208">
        <w:t>illion</w:t>
      </w:r>
      <w:r>
        <w:t xml:space="preserve"> in respect of this Agreement. All payments are GST exclusive.</w:t>
      </w:r>
    </w:p>
    <w:p w14:paraId="394CA251" w14:textId="0EE8DA9B" w:rsidR="008E7527" w:rsidRDefault="005A5E7A" w:rsidP="00DB3935">
      <w:pPr>
        <w:pStyle w:val="Normalnumbered"/>
        <w:numPr>
          <w:ilvl w:val="0"/>
          <w:numId w:val="13"/>
        </w:numPr>
      </w:pPr>
      <w:r>
        <w:t>T</w:t>
      </w:r>
      <w:r w:rsidR="008E7527" w:rsidRPr="002B7E1B">
        <w:t>he Commonwealth’s funding contributio</w:t>
      </w:r>
      <w:r w:rsidR="00BB2E1E">
        <w:t xml:space="preserve">n will not be reduced where Tasmania </w:t>
      </w:r>
      <w:r w:rsidR="008E7527" w:rsidRPr="002B7E1B">
        <w:t>secure</w:t>
      </w:r>
      <w:r w:rsidR="00BB2E1E">
        <w:t>s</w:t>
      </w:r>
      <w:r w:rsidR="008E7527" w:rsidRPr="002B7E1B">
        <w:t xml:space="preserve"> funding from other activity partners</w:t>
      </w:r>
      <w:r w:rsidR="002E144A">
        <w:t>.</w:t>
      </w:r>
    </w:p>
    <w:p w14:paraId="4BFBD88A" w14:textId="10FA2A62" w:rsidR="008E7527" w:rsidRPr="00751725" w:rsidRDefault="008E7527" w:rsidP="00DB3935">
      <w:pPr>
        <w:pStyle w:val="Normalnumbered"/>
        <w:keepNext/>
        <w:keepLines/>
        <w:numPr>
          <w:ilvl w:val="0"/>
          <w:numId w:val="13"/>
        </w:numPr>
      </w:pPr>
      <w:r w:rsidRPr="00751725">
        <w:t>The Commonwealth</w:t>
      </w:r>
      <w:r>
        <w:t>’s</w:t>
      </w:r>
      <w:r w:rsidRPr="00751725">
        <w:t xml:space="preserve"> and </w:t>
      </w:r>
      <w:r w:rsidR="00BB2E1E">
        <w:t>Tasmania</w:t>
      </w:r>
      <w:r w:rsidR="007E4208">
        <w:t>’s</w:t>
      </w:r>
      <w:r w:rsidRPr="00751725">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sidR="007E4208">
        <w:rPr>
          <w:i/>
        </w:rPr>
        <w:t xml:space="preserve"> </w:t>
      </w:r>
      <w:r w:rsidRPr="002B7E1B">
        <w:rPr>
          <w:i/>
        </w:rPr>
        <w:t>D — Payment Arrangements</w:t>
      </w:r>
      <w:r>
        <w:t xml:space="preserve"> of the </w:t>
      </w:r>
      <w:r w:rsidR="00C41265">
        <w:t>IGA FFR</w:t>
      </w:r>
      <w:r w:rsidR="00C2605C">
        <w:t>, are shown in Table 2</w:t>
      </w:r>
      <w:r w:rsidRPr="00751725">
        <w:t>.</w:t>
      </w:r>
    </w:p>
    <w:p w14:paraId="17AEFB2E" w14:textId="5172E9C3" w:rsidR="008E7527" w:rsidRPr="00A05C1E" w:rsidRDefault="00E204BB" w:rsidP="00E204BB">
      <w:pPr>
        <w:pStyle w:val="Normalnumbered"/>
        <w:numPr>
          <w:ilvl w:val="0"/>
          <w:numId w:val="0"/>
        </w:numPr>
        <w:rPr>
          <w:b/>
          <w:i/>
        </w:rPr>
      </w:pPr>
      <w:r>
        <w:rPr>
          <w:b/>
        </w:rPr>
        <w:t>Table 2</w:t>
      </w:r>
      <w:r w:rsidR="008E7527" w:rsidRPr="00E204BB">
        <w:rPr>
          <w:b/>
        </w:rPr>
        <w:t xml:space="preserve">: Estimated financial contributions </w:t>
      </w:r>
    </w:p>
    <w:tbl>
      <w:tblPr>
        <w:tblW w:w="0" w:type="auto"/>
        <w:tblLook w:val="01E0" w:firstRow="1" w:lastRow="1" w:firstColumn="1" w:lastColumn="1" w:noHBand="0" w:noVBand="0"/>
      </w:tblPr>
      <w:tblGrid>
        <w:gridCol w:w="4847"/>
        <w:gridCol w:w="1021"/>
        <w:gridCol w:w="1021"/>
        <w:gridCol w:w="1021"/>
        <w:gridCol w:w="1021"/>
      </w:tblGrid>
      <w:tr w:rsidR="00BB2E1E" w14:paraId="65DDC8C0" w14:textId="77777777" w:rsidTr="00DB3935">
        <w:trPr>
          <w:cantSplit/>
        </w:trPr>
        <w:tc>
          <w:tcPr>
            <w:tcW w:w="4847" w:type="dxa"/>
            <w:tcBorders>
              <w:top w:val="single" w:sz="4" w:space="0" w:color="000080"/>
            </w:tcBorders>
          </w:tcPr>
          <w:p w14:paraId="2EE6CD68" w14:textId="77777777" w:rsidR="00BB2E1E" w:rsidRPr="00C2711B" w:rsidRDefault="00BB2E1E" w:rsidP="00AB71A5">
            <w:pPr>
              <w:keepNext/>
              <w:keepLines/>
              <w:spacing w:before="40" w:after="40"/>
              <w:jc w:val="left"/>
              <w:rPr>
                <w:b/>
              </w:rPr>
            </w:pPr>
            <w:r w:rsidRPr="00C2711B">
              <w:rPr>
                <w:b/>
              </w:rPr>
              <w:t>($ million)</w:t>
            </w:r>
          </w:p>
        </w:tc>
        <w:tc>
          <w:tcPr>
            <w:tcW w:w="1021" w:type="dxa"/>
            <w:tcBorders>
              <w:top w:val="single" w:sz="4" w:space="0" w:color="000080"/>
              <w:bottom w:val="single" w:sz="4" w:space="0" w:color="000080"/>
            </w:tcBorders>
          </w:tcPr>
          <w:p w14:paraId="6762E360" w14:textId="77777777" w:rsidR="00BB2E1E" w:rsidRDefault="00BB2E1E" w:rsidP="00AB71A5">
            <w:pPr>
              <w:keepNext/>
              <w:keepLines/>
              <w:spacing w:before="40" w:after="40"/>
              <w:jc w:val="right"/>
            </w:pPr>
            <w:r>
              <w:t>2019-20</w:t>
            </w:r>
          </w:p>
        </w:tc>
        <w:tc>
          <w:tcPr>
            <w:tcW w:w="1021" w:type="dxa"/>
            <w:tcBorders>
              <w:top w:val="single" w:sz="4" w:space="0" w:color="000080"/>
              <w:bottom w:val="single" w:sz="4" w:space="0" w:color="000080"/>
            </w:tcBorders>
          </w:tcPr>
          <w:p w14:paraId="57B9B67C" w14:textId="77777777" w:rsidR="00BB2E1E" w:rsidRDefault="00BB2E1E" w:rsidP="00AB71A5">
            <w:pPr>
              <w:keepNext/>
              <w:keepLines/>
              <w:spacing w:before="40" w:after="40"/>
              <w:jc w:val="right"/>
            </w:pPr>
            <w:r>
              <w:t>2020-21</w:t>
            </w:r>
          </w:p>
        </w:tc>
        <w:tc>
          <w:tcPr>
            <w:tcW w:w="1021" w:type="dxa"/>
            <w:tcBorders>
              <w:top w:val="single" w:sz="4" w:space="0" w:color="000080"/>
              <w:bottom w:val="single" w:sz="4" w:space="0" w:color="000080"/>
            </w:tcBorders>
          </w:tcPr>
          <w:p w14:paraId="0A9AA05F" w14:textId="77777777" w:rsidR="00BB2E1E" w:rsidRDefault="00BB2E1E" w:rsidP="00AB71A5">
            <w:pPr>
              <w:keepNext/>
              <w:keepLines/>
              <w:spacing w:before="40" w:after="40"/>
              <w:jc w:val="right"/>
            </w:pPr>
            <w:r>
              <w:t>2021-22</w:t>
            </w:r>
          </w:p>
        </w:tc>
        <w:tc>
          <w:tcPr>
            <w:tcW w:w="1021" w:type="dxa"/>
            <w:tcBorders>
              <w:top w:val="single" w:sz="4" w:space="0" w:color="000080"/>
              <w:bottom w:val="single" w:sz="4" w:space="0" w:color="000080"/>
            </w:tcBorders>
          </w:tcPr>
          <w:p w14:paraId="4F114DAD" w14:textId="77777777" w:rsidR="00BB2E1E" w:rsidRDefault="00BB2E1E" w:rsidP="00AB71A5">
            <w:pPr>
              <w:keepNext/>
              <w:keepLines/>
              <w:spacing w:before="40" w:after="40"/>
              <w:jc w:val="right"/>
            </w:pPr>
            <w:r>
              <w:t>Total</w:t>
            </w:r>
          </w:p>
        </w:tc>
      </w:tr>
      <w:tr w:rsidR="00BB2E1E" w14:paraId="25B3D269" w14:textId="77777777" w:rsidTr="00DB3935">
        <w:trPr>
          <w:cantSplit/>
        </w:trPr>
        <w:tc>
          <w:tcPr>
            <w:tcW w:w="4847" w:type="dxa"/>
          </w:tcPr>
          <w:p w14:paraId="086B64F7" w14:textId="77777777" w:rsidR="00BB2E1E" w:rsidRPr="005B4C1B" w:rsidRDefault="00BB2E1E" w:rsidP="00AB71A5">
            <w:pPr>
              <w:keepNext/>
              <w:keepLines/>
              <w:spacing w:before="60" w:after="60"/>
              <w:rPr>
                <w:b/>
              </w:rPr>
            </w:pPr>
            <w:r w:rsidRPr="005B4C1B">
              <w:rPr>
                <w:b/>
              </w:rPr>
              <w:t>Estimated total budget</w:t>
            </w:r>
          </w:p>
        </w:tc>
        <w:tc>
          <w:tcPr>
            <w:tcW w:w="1021" w:type="dxa"/>
            <w:tcBorders>
              <w:top w:val="single" w:sz="4" w:space="0" w:color="000080"/>
            </w:tcBorders>
          </w:tcPr>
          <w:p w14:paraId="1B0D0AD6" w14:textId="5A2283DD" w:rsidR="00BB2E1E" w:rsidRPr="005B4C1B" w:rsidRDefault="00BB2E1E" w:rsidP="00AB71A5">
            <w:pPr>
              <w:keepNext/>
              <w:keepLines/>
              <w:spacing w:before="40" w:after="40"/>
              <w:jc w:val="right"/>
              <w:rPr>
                <w:b/>
              </w:rPr>
            </w:pPr>
            <w:r>
              <w:rPr>
                <w:b/>
              </w:rPr>
              <w:t>0.88</w:t>
            </w:r>
          </w:p>
        </w:tc>
        <w:tc>
          <w:tcPr>
            <w:tcW w:w="1021" w:type="dxa"/>
            <w:tcBorders>
              <w:top w:val="single" w:sz="4" w:space="0" w:color="000080"/>
            </w:tcBorders>
          </w:tcPr>
          <w:p w14:paraId="5E656292" w14:textId="444ECB6D" w:rsidR="00BB2E1E" w:rsidRPr="005B4C1B" w:rsidRDefault="00BB2E1E" w:rsidP="00AB71A5">
            <w:pPr>
              <w:keepNext/>
              <w:keepLines/>
              <w:spacing w:before="40" w:after="40"/>
              <w:jc w:val="right"/>
              <w:rPr>
                <w:b/>
              </w:rPr>
            </w:pPr>
            <w:r>
              <w:rPr>
                <w:b/>
              </w:rPr>
              <w:t>3.72</w:t>
            </w:r>
          </w:p>
        </w:tc>
        <w:tc>
          <w:tcPr>
            <w:tcW w:w="1021" w:type="dxa"/>
            <w:tcBorders>
              <w:top w:val="single" w:sz="4" w:space="0" w:color="000080"/>
            </w:tcBorders>
          </w:tcPr>
          <w:p w14:paraId="72836908" w14:textId="66CADA40" w:rsidR="00BB2E1E" w:rsidRPr="005B4C1B" w:rsidRDefault="00BB2E1E" w:rsidP="00AB71A5">
            <w:pPr>
              <w:keepNext/>
              <w:keepLines/>
              <w:spacing w:before="40" w:after="40"/>
              <w:jc w:val="right"/>
              <w:rPr>
                <w:b/>
              </w:rPr>
            </w:pPr>
            <w:r>
              <w:rPr>
                <w:b/>
              </w:rPr>
              <w:t>2.6</w:t>
            </w:r>
            <w:r w:rsidR="003403D8">
              <w:rPr>
                <w:b/>
              </w:rPr>
              <w:t>0</w:t>
            </w:r>
          </w:p>
        </w:tc>
        <w:tc>
          <w:tcPr>
            <w:tcW w:w="1021" w:type="dxa"/>
            <w:tcBorders>
              <w:top w:val="single" w:sz="4" w:space="0" w:color="000080"/>
            </w:tcBorders>
          </w:tcPr>
          <w:p w14:paraId="4D789332" w14:textId="72A82AF3" w:rsidR="00BB2E1E" w:rsidRPr="005B4C1B" w:rsidRDefault="00BB2E1E" w:rsidP="000C71D7">
            <w:pPr>
              <w:keepNext/>
              <w:keepLines/>
              <w:spacing w:before="40" w:after="40"/>
              <w:jc w:val="right"/>
              <w:rPr>
                <w:b/>
              </w:rPr>
            </w:pPr>
            <w:r>
              <w:rPr>
                <w:b/>
              </w:rPr>
              <w:t>7.2</w:t>
            </w:r>
            <w:r w:rsidR="003403D8">
              <w:rPr>
                <w:b/>
              </w:rPr>
              <w:t>0</w:t>
            </w:r>
          </w:p>
        </w:tc>
      </w:tr>
      <w:tr w:rsidR="00BB2E1E" w14:paraId="03FC1A93" w14:textId="77777777" w:rsidTr="00DB3935">
        <w:trPr>
          <w:cantSplit/>
        </w:trPr>
        <w:tc>
          <w:tcPr>
            <w:tcW w:w="4847" w:type="dxa"/>
          </w:tcPr>
          <w:p w14:paraId="7E9BD989" w14:textId="77777777" w:rsidR="00BB2E1E" w:rsidRPr="004A673A" w:rsidRDefault="00BB2E1E" w:rsidP="00AB71A5">
            <w:pPr>
              <w:keepNext/>
              <w:keepLines/>
              <w:spacing w:before="60" w:after="60"/>
            </w:pPr>
            <w:r>
              <w:t>Less estimated National Partnership Payments</w:t>
            </w:r>
          </w:p>
        </w:tc>
        <w:tc>
          <w:tcPr>
            <w:tcW w:w="1021" w:type="dxa"/>
            <w:tcBorders>
              <w:bottom w:val="single" w:sz="4" w:space="0" w:color="000080"/>
            </w:tcBorders>
          </w:tcPr>
          <w:p w14:paraId="3BF56357" w14:textId="0D718F0A" w:rsidR="00BB2E1E" w:rsidRPr="005B4C1B" w:rsidRDefault="00BB2E1E" w:rsidP="00B624E1">
            <w:pPr>
              <w:keepNext/>
              <w:keepLines/>
              <w:spacing w:before="40" w:after="40"/>
              <w:jc w:val="right"/>
            </w:pPr>
            <w:r>
              <w:t>0.88</w:t>
            </w:r>
          </w:p>
        </w:tc>
        <w:tc>
          <w:tcPr>
            <w:tcW w:w="1021" w:type="dxa"/>
            <w:tcBorders>
              <w:bottom w:val="single" w:sz="4" w:space="0" w:color="000080"/>
            </w:tcBorders>
          </w:tcPr>
          <w:p w14:paraId="4FF0E323" w14:textId="6AFCE176" w:rsidR="00BB2E1E" w:rsidRPr="005B4C1B" w:rsidRDefault="00BB2E1E" w:rsidP="00AB71A5">
            <w:pPr>
              <w:keepNext/>
              <w:keepLines/>
              <w:spacing w:before="40" w:after="40"/>
              <w:jc w:val="right"/>
            </w:pPr>
            <w:r>
              <w:t>3.72</w:t>
            </w:r>
          </w:p>
        </w:tc>
        <w:tc>
          <w:tcPr>
            <w:tcW w:w="1021" w:type="dxa"/>
            <w:tcBorders>
              <w:bottom w:val="single" w:sz="4" w:space="0" w:color="000080"/>
            </w:tcBorders>
          </w:tcPr>
          <w:p w14:paraId="67468A15" w14:textId="2C5E9C16" w:rsidR="00BB2E1E" w:rsidRPr="005B4C1B" w:rsidRDefault="00BB2E1E" w:rsidP="00AB71A5">
            <w:pPr>
              <w:keepNext/>
              <w:keepLines/>
              <w:spacing w:before="40" w:after="40"/>
              <w:jc w:val="right"/>
            </w:pPr>
            <w:r>
              <w:t>2.6</w:t>
            </w:r>
            <w:r w:rsidR="003403D8">
              <w:t>0</w:t>
            </w:r>
          </w:p>
        </w:tc>
        <w:tc>
          <w:tcPr>
            <w:tcW w:w="1021" w:type="dxa"/>
            <w:tcBorders>
              <w:bottom w:val="single" w:sz="4" w:space="0" w:color="000080"/>
            </w:tcBorders>
          </w:tcPr>
          <w:p w14:paraId="7314E758" w14:textId="3D08DE32" w:rsidR="00BB2E1E" w:rsidRPr="005B4C1B" w:rsidRDefault="00BB2E1E" w:rsidP="00AB71A5">
            <w:pPr>
              <w:keepNext/>
              <w:keepLines/>
              <w:spacing w:before="40" w:after="40"/>
              <w:jc w:val="right"/>
            </w:pPr>
            <w:r>
              <w:t>7.2</w:t>
            </w:r>
            <w:r w:rsidR="003403D8">
              <w:t>0</w:t>
            </w:r>
          </w:p>
        </w:tc>
      </w:tr>
      <w:tr w:rsidR="00BB2E1E" w14:paraId="4BDA0386" w14:textId="77777777" w:rsidTr="00DB3935">
        <w:trPr>
          <w:cantSplit/>
        </w:trPr>
        <w:tc>
          <w:tcPr>
            <w:tcW w:w="4847" w:type="dxa"/>
            <w:tcBorders>
              <w:bottom w:val="single" w:sz="4" w:space="0" w:color="000080"/>
            </w:tcBorders>
          </w:tcPr>
          <w:p w14:paraId="799439C3" w14:textId="77777777" w:rsidR="00BB2E1E" w:rsidRPr="006146F2" w:rsidRDefault="00BB2E1E" w:rsidP="00AB71A5">
            <w:pPr>
              <w:keepNext/>
              <w:keepLines/>
              <w:spacing w:before="40" w:after="40"/>
            </w:pPr>
            <w:r w:rsidRPr="006146F2">
              <w:t>Balance of non-Commonwealth contribution</w:t>
            </w:r>
            <w:r>
              <w:t>s</w:t>
            </w:r>
          </w:p>
        </w:tc>
        <w:tc>
          <w:tcPr>
            <w:tcW w:w="1021" w:type="dxa"/>
            <w:tcBorders>
              <w:bottom w:val="single" w:sz="4" w:space="0" w:color="000080"/>
            </w:tcBorders>
          </w:tcPr>
          <w:p w14:paraId="4678EF2B" w14:textId="618E7808" w:rsidR="00BB2E1E" w:rsidRDefault="00BB2E1E" w:rsidP="00AB71A5">
            <w:pPr>
              <w:keepNext/>
              <w:keepLines/>
              <w:spacing w:before="40" w:after="40"/>
              <w:jc w:val="right"/>
            </w:pPr>
            <w:r>
              <w:t>0.0</w:t>
            </w:r>
          </w:p>
        </w:tc>
        <w:tc>
          <w:tcPr>
            <w:tcW w:w="1021" w:type="dxa"/>
            <w:tcBorders>
              <w:bottom w:val="single" w:sz="4" w:space="0" w:color="000080"/>
            </w:tcBorders>
          </w:tcPr>
          <w:p w14:paraId="287C0BE1" w14:textId="1548DB52" w:rsidR="00BB2E1E" w:rsidRDefault="00BB2E1E" w:rsidP="00AB71A5">
            <w:pPr>
              <w:keepNext/>
              <w:keepLines/>
              <w:spacing w:before="40" w:after="40"/>
              <w:jc w:val="right"/>
            </w:pPr>
            <w:r>
              <w:t>0.0</w:t>
            </w:r>
          </w:p>
        </w:tc>
        <w:tc>
          <w:tcPr>
            <w:tcW w:w="1021" w:type="dxa"/>
            <w:tcBorders>
              <w:bottom w:val="single" w:sz="4" w:space="0" w:color="000080"/>
            </w:tcBorders>
          </w:tcPr>
          <w:p w14:paraId="39E0869D" w14:textId="2ED17737" w:rsidR="00BB2E1E" w:rsidRDefault="00BB2E1E" w:rsidP="00AB71A5">
            <w:pPr>
              <w:keepNext/>
              <w:keepLines/>
              <w:spacing w:before="40" w:after="40"/>
              <w:jc w:val="right"/>
            </w:pPr>
            <w:r>
              <w:t>0.0</w:t>
            </w:r>
          </w:p>
        </w:tc>
        <w:tc>
          <w:tcPr>
            <w:tcW w:w="1021" w:type="dxa"/>
            <w:tcBorders>
              <w:bottom w:val="single" w:sz="4" w:space="0" w:color="000080"/>
            </w:tcBorders>
          </w:tcPr>
          <w:p w14:paraId="09BA519F" w14:textId="527E8B60" w:rsidR="00BB2E1E" w:rsidRDefault="00BB2E1E" w:rsidP="00AB71A5">
            <w:pPr>
              <w:keepNext/>
              <w:keepLines/>
              <w:spacing w:before="40" w:after="40"/>
              <w:jc w:val="right"/>
            </w:pPr>
            <w:r>
              <w:t>0.0</w:t>
            </w:r>
          </w:p>
        </w:tc>
      </w:tr>
    </w:tbl>
    <w:p w14:paraId="7A960613" w14:textId="2291F4D3" w:rsidR="002558C7" w:rsidRDefault="002558C7" w:rsidP="002558C7">
      <w:pPr>
        <w:pStyle w:val="ChartandTableFootnoteAlpha"/>
        <w:spacing w:after="240"/>
      </w:pPr>
      <w:r>
        <w:t xml:space="preserve">Note: Tasmania is contributing over $2.5 million towards a number of complimentary projects at Freycinet. </w:t>
      </w:r>
    </w:p>
    <w:p w14:paraId="17E5BB77" w14:textId="3D7CB420" w:rsidR="008E7527" w:rsidRDefault="008E7527" w:rsidP="00DB3935">
      <w:pPr>
        <w:pStyle w:val="Normalnumbered"/>
        <w:numPr>
          <w:ilvl w:val="0"/>
          <w:numId w:val="13"/>
        </w:numPr>
      </w:pPr>
      <w:r w:rsidRPr="00C738BD">
        <w:t xml:space="preserve">Having regard to the agreed estimated costs of projects specified in </w:t>
      </w:r>
      <w:r w:rsidR="006B43AF">
        <w:t>this</w:t>
      </w:r>
      <w:r>
        <w:t xml:space="preserve"> Agreement</w:t>
      </w:r>
      <w:r w:rsidRPr="00C738BD">
        <w:t xml:space="preserve">, </w:t>
      </w:r>
      <w:r w:rsidR="00BB2E1E">
        <w:t>Tasmania</w:t>
      </w:r>
      <w:r w:rsidRPr="00C738BD">
        <w:t xml:space="preserve"> will not be required to pay a refund to the Commonwealth if the actual cost of the project is less than the agreed</w:t>
      </w:r>
      <w:r w:rsidR="00515AF2">
        <w:t xml:space="preserve"> estimated cost of the project.  </w:t>
      </w:r>
      <w:r w:rsidRPr="00C738BD">
        <w:t xml:space="preserve">Similarly, </w:t>
      </w:r>
      <w:r w:rsidR="00BB2E1E">
        <w:t>Tasmania</w:t>
      </w:r>
      <w:r w:rsidR="00912322">
        <w:t xml:space="preserve"> </w:t>
      </w:r>
      <w:r w:rsidRPr="00C738BD">
        <w:t>bear</w:t>
      </w:r>
      <w:r w:rsidR="00912322">
        <w:t>s</w:t>
      </w:r>
      <w:r w:rsidRPr="00C738BD">
        <w:t xml:space="preserve"> all risk should the costs of a project exceed the agreed estimated cost</w:t>
      </w:r>
      <w:r>
        <w:t>s.</w:t>
      </w:r>
      <w:r w:rsidRPr="00C738BD">
        <w:t xml:space="preserve"> The Parties acknowledge that this arrangement provides the maximum incentive for </w:t>
      </w:r>
      <w:r w:rsidR="00BB2E1E">
        <w:t>Tasmania</w:t>
      </w:r>
      <w:r w:rsidRPr="00C738BD">
        <w:t xml:space="preserve"> to deliver projects cost effectively and efficiently.</w:t>
      </w:r>
    </w:p>
    <w:p w14:paraId="63559227" w14:textId="77777777" w:rsidR="00814667" w:rsidRDefault="003A2157">
      <w:pPr>
        <w:pStyle w:val="Heading1"/>
      </w:pPr>
      <w:bookmarkStart w:id="0" w:name="top"/>
      <w:bookmarkEnd w:id="0"/>
      <w:r>
        <w:t xml:space="preserve">Part </w:t>
      </w:r>
      <w:r w:rsidR="000B4080">
        <w:t>6</w:t>
      </w:r>
      <w:r w:rsidR="00814667">
        <w:t xml:space="preserve"> — governance arrangements</w:t>
      </w:r>
    </w:p>
    <w:p w14:paraId="64D4DEC6" w14:textId="77777777" w:rsidR="00BC4728" w:rsidRDefault="00BC4728" w:rsidP="00BC4728">
      <w:pPr>
        <w:pStyle w:val="Heading2"/>
      </w:pPr>
      <w:r w:rsidRPr="006F096A">
        <w:t>Enforceability of the Agreement</w:t>
      </w:r>
    </w:p>
    <w:p w14:paraId="55732E64" w14:textId="77777777" w:rsidR="00BC4728" w:rsidRPr="00C40EBC" w:rsidRDefault="00BC4728" w:rsidP="00DB3935">
      <w:pPr>
        <w:pStyle w:val="Normalnumbered"/>
        <w:numPr>
          <w:ilvl w:val="0"/>
          <w:numId w:val="13"/>
        </w:numPr>
        <w:spacing w:line="240" w:lineRule="auto"/>
      </w:pPr>
      <w:r>
        <w:rPr>
          <w:szCs w:val="23"/>
        </w:rPr>
        <w:t>The Parties do not intend any of the provisions of this Agreement to be legally enforceable. However, that does not lessen the Parties’ commitment to this Agreement.</w:t>
      </w:r>
    </w:p>
    <w:p w14:paraId="3EC791B6" w14:textId="77777777" w:rsidR="00814667" w:rsidRDefault="00814667">
      <w:pPr>
        <w:pStyle w:val="Heading2"/>
      </w:pPr>
      <w:r>
        <w:t>Variation of the Agreement</w:t>
      </w:r>
    </w:p>
    <w:p w14:paraId="092DD5BA" w14:textId="7D991064" w:rsidR="00814667" w:rsidRPr="00DE36EB" w:rsidRDefault="00607B03" w:rsidP="00DB3935">
      <w:pPr>
        <w:pStyle w:val="Normalnumbered"/>
        <w:numPr>
          <w:ilvl w:val="0"/>
          <w:numId w:val="13"/>
        </w:numPr>
      </w:pPr>
      <w:r>
        <w:t>The A</w:t>
      </w:r>
      <w:r w:rsidR="00814667">
        <w:t xml:space="preserve">greement may be amended at any time by agreement in writing by </w:t>
      </w:r>
      <w:r w:rsidR="002B1C50" w:rsidRPr="00DE36EB">
        <w:t xml:space="preserve">both </w:t>
      </w:r>
      <w:r w:rsidR="00814667" w:rsidRPr="00DE36EB">
        <w:t>the Parties.</w:t>
      </w:r>
    </w:p>
    <w:p w14:paraId="3E6CF58C" w14:textId="40B7EF71" w:rsidR="00292587" w:rsidRDefault="000C71D7" w:rsidP="00DB3935">
      <w:pPr>
        <w:pStyle w:val="Normalnumbered"/>
        <w:numPr>
          <w:ilvl w:val="0"/>
          <w:numId w:val="13"/>
        </w:numPr>
      </w:pPr>
      <w:r>
        <w:t xml:space="preserve">Either </w:t>
      </w:r>
      <w:r w:rsidR="00814667" w:rsidRPr="00DE36EB">
        <w:t>Party to the Agreement may terminate their part</w:t>
      </w:r>
      <w:r w:rsidR="00814667">
        <w:t>icipation in the Agreement at any time by notifying the other Part</w:t>
      </w:r>
      <w:r>
        <w:t>y</w:t>
      </w:r>
      <w:r w:rsidR="00C2605C">
        <w:rPr>
          <w:i/>
        </w:rPr>
        <w:t xml:space="preserve"> </w:t>
      </w:r>
      <w:r w:rsidR="00814667">
        <w:t>in writing.</w:t>
      </w:r>
    </w:p>
    <w:p w14:paraId="7514BF71" w14:textId="77777777" w:rsidR="009526E4" w:rsidRDefault="009526E4" w:rsidP="0036119D">
      <w:pPr>
        <w:pStyle w:val="Heading2"/>
      </w:pPr>
      <w:r>
        <w:t>Delegations</w:t>
      </w:r>
    </w:p>
    <w:p w14:paraId="38014C1C" w14:textId="77777777" w:rsidR="009526E4" w:rsidRDefault="009526E4" w:rsidP="00DB3935">
      <w:pPr>
        <w:pStyle w:val="Normalnumbered"/>
        <w:numPr>
          <w:ilvl w:val="0"/>
          <w:numId w:val="13"/>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24D1A3F7" w14:textId="77777777" w:rsidR="0036119D" w:rsidRDefault="0036119D" w:rsidP="0036119D">
      <w:pPr>
        <w:pStyle w:val="Heading2"/>
      </w:pPr>
      <w:r>
        <w:t>Dispute resolution</w:t>
      </w:r>
    </w:p>
    <w:p w14:paraId="198C13BF" w14:textId="2AA1635B" w:rsidR="0036119D" w:rsidRPr="00DE36EB" w:rsidRDefault="00697494" w:rsidP="00DB3935">
      <w:pPr>
        <w:pStyle w:val="Normalnumbered"/>
        <w:numPr>
          <w:ilvl w:val="0"/>
          <w:numId w:val="13"/>
        </w:numPr>
      </w:pPr>
      <w:r w:rsidRPr="00DE36EB">
        <w:t>E</w:t>
      </w:r>
      <w:r w:rsidR="000C71D7">
        <w:t xml:space="preserve">ither </w:t>
      </w:r>
      <w:r w:rsidR="0036119D" w:rsidRPr="00DE36EB">
        <w:t xml:space="preserve">Party may give notice to </w:t>
      </w:r>
      <w:r w:rsidR="000C71D7">
        <w:t xml:space="preserve">the </w:t>
      </w:r>
      <w:r w:rsidR="0036119D" w:rsidRPr="00DE36EB">
        <w:t xml:space="preserve">other </w:t>
      </w:r>
      <w:r w:rsidR="000C71D7">
        <w:t>Party</w:t>
      </w:r>
      <w:r w:rsidR="00684EC1" w:rsidRPr="00DE36EB">
        <w:t xml:space="preserve"> </w:t>
      </w:r>
      <w:r w:rsidR="0036119D" w:rsidRPr="00DE36EB">
        <w:t>of a dispute under this Agreement.</w:t>
      </w:r>
    </w:p>
    <w:p w14:paraId="2DDE5823" w14:textId="77777777" w:rsidR="0036119D" w:rsidRPr="00DE36EB" w:rsidRDefault="0036119D" w:rsidP="00DB3935">
      <w:pPr>
        <w:pStyle w:val="Normalnumbered"/>
        <w:numPr>
          <w:ilvl w:val="0"/>
          <w:numId w:val="13"/>
        </w:numPr>
      </w:pPr>
      <w:r w:rsidRPr="00DE36EB">
        <w:t xml:space="preserve">Officials of </w:t>
      </w:r>
      <w:r w:rsidR="000C71D7">
        <w:t>both</w:t>
      </w:r>
      <w:r w:rsidR="002B1C50" w:rsidRPr="00DE36EB">
        <w:rPr>
          <w:i/>
        </w:rPr>
        <w:t xml:space="preserve"> </w:t>
      </w:r>
      <w:r w:rsidRPr="00DE36EB">
        <w:t>Parties will attempt to resolve any dispute in the first instance.</w:t>
      </w:r>
    </w:p>
    <w:p w14:paraId="45E7F0B6" w14:textId="77777777" w:rsidR="0036119D" w:rsidRPr="00DE36EB" w:rsidRDefault="0036119D" w:rsidP="00DB3935">
      <w:pPr>
        <w:pStyle w:val="Normalnumbered"/>
        <w:numPr>
          <w:ilvl w:val="0"/>
          <w:numId w:val="13"/>
        </w:numPr>
      </w:pPr>
      <w:r w:rsidRPr="00DE36EB">
        <w:t>If a dispute cannot be resolved by officials, it may be escalated to the relevant Ministers.</w:t>
      </w:r>
    </w:p>
    <w:p w14:paraId="6E0A4038" w14:textId="77777777" w:rsidR="00814667" w:rsidRPr="00A50751" w:rsidRDefault="00814667">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A50751" w14:paraId="50F923D5" w14:textId="77777777">
        <w:trPr>
          <w:cantSplit/>
          <w:jc w:val="center"/>
        </w:trPr>
        <w:tc>
          <w:tcPr>
            <w:tcW w:w="4536" w:type="dxa"/>
          </w:tcPr>
          <w:p w14:paraId="1A4E96D6" w14:textId="77777777" w:rsidR="00814667" w:rsidRPr="004A0AE7" w:rsidRDefault="00814667">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53FD5832" w14:textId="77777777" w:rsidR="00814667" w:rsidRPr="00A50751" w:rsidRDefault="00814667">
            <w:pPr>
              <w:pStyle w:val="LineForSignature"/>
            </w:pPr>
            <w:r>
              <w:tab/>
            </w:r>
          </w:p>
          <w:p w14:paraId="392D68CE" w14:textId="77777777" w:rsidR="00814667" w:rsidRDefault="000C71D7">
            <w:pPr>
              <w:pStyle w:val="SingleParagraph"/>
              <w:rPr>
                <w:rStyle w:val="Bold"/>
              </w:rPr>
            </w:pPr>
            <w:r>
              <w:rPr>
                <w:rStyle w:val="Bold"/>
              </w:rPr>
              <w:t xml:space="preserve">Senator </w:t>
            </w:r>
            <w:r w:rsidR="00814667">
              <w:rPr>
                <w:rStyle w:val="Bold"/>
              </w:rPr>
              <w:t xml:space="preserve">The Honourable </w:t>
            </w:r>
            <w:r>
              <w:rPr>
                <w:rStyle w:val="Bold"/>
              </w:rPr>
              <w:t>Jonathon Duniam</w:t>
            </w:r>
          </w:p>
          <w:p w14:paraId="1E1A7D3B" w14:textId="77777777" w:rsidR="00814667" w:rsidRDefault="000C71D7">
            <w:pPr>
              <w:pStyle w:val="Position"/>
              <w:rPr>
                <w:lang w:val="en-GB"/>
              </w:rPr>
            </w:pPr>
            <w:r>
              <w:rPr>
                <w:lang w:val="en-GB"/>
              </w:rPr>
              <w:t>Assistant Minister for Regional Tourism</w:t>
            </w:r>
            <w:r w:rsidR="0099742A">
              <w:rPr>
                <w:lang w:val="en-GB"/>
              </w:rPr>
              <w:t xml:space="preserve"> </w:t>
            </w:r>
          </w:p>
          <w:p w14:paraId="79430477" w14:textId="5AB2E05D" w:rsidR="00814667" w:rsidRDefault="00427CBB" w:rsidP="00427CBB">
            <w:pPr>
              <w:pStyle w:val="SingleParagraph"/>
              <w:tabs>
                <w:tab w:val="num" w:pos="1134"/>
              </w:tabs>
              <w:spacing w:after="240"/>
              <w:ind w:left="1134" w:hanging="567"/>
              <w:rPr>
                <w:b/>
                <w:lang w:val="en-GB"/>
              </w:rPr>
            </w:pPr>
            <w:r>
              <w:rPr>
                <w:lang w:val="en-GB"/>
              </w:rPr>
              <w:t>October</w:t>
            </w:r>
            <w:r w:rsidR="001B1CA3">
              <w:rPr>
                <w:lang w:val="en-GB"/>
              </w:rPr>
              <w:t xml:space="preserve"> </w:t>
            </w:r>
            <w:r w:rsidR="006679C0">
              <w:rPr>
                <w:lang w:val="en-GB"/>
              </w:rPr>
              <w:t xml:space="preserve"> </w:t>
            </w:r>
            <w:r>
              <w:rPr>
                <w:lang w:val="en-GB"/>
              </w:rPr>
              <w:t>2019</w:t>
            </w:r>
          </w:p>
        </w:tc>
        <w:tc>
          <w:tcPr>
            <w:tcW w:w="284" w:type="dxa"/>
            <w:tcMar>
              <w:left w:w="0" w:type="dxa"/>
              <w:right w:w="0" w:type="dxa"/>
            </w:tcMar>
          </w:tcPr>
          <w:p w14:paraId="1B0F46BD" w14:textId="77777777" w:rsidR="00814667" w:rsidRPr="00A50751" w:rsidRDefault="00814667">
            <w:pPr>
              <w:rPr>
                <w:rFonts w:ascii="Book Antiqua" w:hAnsi="Book Antiqua"/>
                <w:lang w:val="en-GB"/>
              </w:rPr>
            </w:pPr>
          </w:p>
        </w:tc>
        <w:tc>
          <w:tcPr>
            <w:tcW w:w="4536" w:type="dxa"/>
          </w:tcPr>
          <w:p w14:paraId="34197DBA" w14:textId="77777777" w:rsidR="00814667" w:rsidRPr="00A50751" w:rsidRDefault="00814667">
            <w:pPr>
              <w:rPr>
                <w:rFonts w:ascii="Book Antiqua" w:hAnsi="Book Antiqua"/>
                <w:lang w:val="en-GB"/>
              </w:rPr>
            </w:pPr>
          </w:p>
        </w:tc>
      </w:tr>
      <w:tr w:rsidR="00814667" w:rsidRPr="00A50751" w14:paraId="5021ACE5" w14:textId="77777777">
        <w:trPr>
          <w:cantSplit/>
          <w:jc w:val="center"/>
        </w:trPr>
        <w:tc>
          <w:tcPr>
            <w:tcW w:w="4536" w:type="dxa"/>
          </w:tcPr>
          <w:p w14:paraId="00E0855D"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4068F23D" w14:textId="77777777" w:rsidR="00814667" w:rsidRPr="00A50751" w:rsidRDefault="00814667">
            <w:pPr>
              <w:pStyle w:val="SingleParagraph"/>
              <w:rPr>
                <w:rFonts w:ascii="Book Antiqua" w:hAnsi="Book Antiqua"/>
                <w:lang w:val="en-GB"/>
              </w:rPr>
            </w:pPr>
          </w:p>
        </w:tc>
        <w:tc>
          <w:tcPr>
            <w:tcW w:w="4536" w:type="dxa"/>
          </w:tcPr>
          <w:p w14:paraId="1521E382" w14:textId="77777777" w:rsidR="00814667" w:rsidRPr="00A50751" w:rsidRDefault="00814667">
            <w:pPr>
              <w:pStyle w:val="SingleParagraph"/>
              <w:rPr>
                <w:rFonts w:ascii="Book Antiqua" w:hAnsi="Book Antiqua"/>
                <w:lang w:val="en-GB"/>
              </w:rPr>
            </w:pPr>
          </w:p>
        </w:tc>
      </w:tr>
      <w:tr w:rsidR="00814667" w:rsidRPr="00A50751" w14:paraId="482CCFB8" w14:textId="77777777">
        <w:trPr>
          <w:cantSplit/>
          <w:jc w:val="center"/>
        </w:trPr>
        <w:tc>
          <w:tcPr>
            <w:tcW w:w="4536" w:type="dxa"/>
          </w:tcPr>
          <w:p w14:paraId="36F2AFA6" w14:textId="328B0F23" w:rsidR="00503A54" w:rsidRPr="004A0AE7" w:rsidRDefault="00503A54" w:rsidP="00503A54">
            <w:pPr>
              <w:pStyle w:val="Signed"/>
            </w:pPr>
            <w:r>
              <w:rPr>
                <w:rStyle w:val="SignedBold"/>
              </w:rPr>
              <w:t>Signed</w:t>
            </w:r>
            <w:r w:rsidRPr="004A0AE7">
              <w:t xml:space="preserve"> for and on behalf of the</w:t>
            </w:r>
            <w:r w:rsidRPr="004A0AE7">
              <w:br/>
              <w:t xml:space="preserve">State of </w:t>
            </w:r>
            <w:r w:rsidR="00BB2E1E">
              <w:t>Tasmania</w:t>
            </w:r>
            <w:r w:rsidRPr="004A0AE7">
              <w:t xml:space="preserve"> by</w:t>
            </w:r>
          </w:p>
          <w:p w14:paraId="174940B5" w14:textId="77777777" w:rsidR="00503A54" w:rsidRPr="00A50751" w:rsidRDefault="00503A54" w:rsidP="00503A54">
            <w:pPr>
              <w:pStyle w:val="LineForSignature"/>
            </w:pPr>
            <w:r w:rsidRPr="00A50751">
              <w:tab/>
            </w:r>
          </w:p>
          <w:p w14:paraId="70442B94" w14:textId="3A1E0CFF" w:rsidR="00503A54" w:rsidRDefault="00503A54" w:rsidP="00503A54">
            <w:pPr>
              <w:pStyle w:val="SingleParagraph"/>
              <w:rPr>
                <w:rStyle w:val="Bold"/>
              </w:rPr>
            </w:pPr>
            <w:r>
              <w:rPr>
                <w:rStyle w:val="Bold"/>
              </w:rPr>
              <w:t xml:space="preserve">The Honourable </w:t>
            </w:r>
            <w:r w:rsidR="00BB2E1E">
              <w:rPr>
                <w:rStyle w:val="Bold"/>
              </w:rPr>
              <w:t>Will Hodgman</w:t>
            </w:r>
            <w:r w:rsidR="000C71D7">
              <w:rPr>
                <w:rStyle w:val="Bold"/>
              </w:rPr>
              <w:t xml:space="preserve"> </w:t>
            </w:r>
            <w:r>
              <w:rPr>
                <w:rStyle w:val="Bold"/>
              </w:rPr>
              <w:t>M</w:t>
            </w:r>
            <w:r w:rsidR="00BB2E1E">
              <w:rPr>
                <w:rStyle w:val="Bold"/>
              </w:rPr>
              <w:t>P</w:t>
            </w:r>
          </w:p>
          <w:p w14:paraId="0248C614" w14:textId="4E9F42AC" w:rsidR="00503A54" w:rsidRDefault="000C4C9E" w:rsidP="00503A54">
            <w:pPr>
              <w:pStyle w:val="Position"/>
              <w:rPr>
                <w:lang w:val="en-GB"/>
              </w:rPr>
            </w:pPr>
            <w:r>
              <w:rPr>
                <w:lang w:val="en-GB"/>
              </w:rPr>
              <w:t xml:space="preserve">Premier of Tasmania and </w:t>
            </w:r>
            <w:r w:rsidR="00503A54">
              <w:rPr>
                <w:lang w:val="en-GB"/>
              </w:rPr>
              <w:t xml:space="preserve">Minister for </w:t>
            </w:r>
            <w:r w:rsidR="000C71D7">
              <w:rPr>
                <w:lang w:val="en-GB"/>
              </w:rPr>
              <w:t>Tourism</w:t>
            </w:r>
            <w:r>
              <w:rPr>
                <w:lang w:val="en-GB"/>
              </w:rPr>
              <w:t>, Hospitality and Events</w:t>
            </w:r>
          </w:p>
          <w:p w14:paraId="3CE3A3BD" w14:textId="4423D7E4" w:rsidR="00814667" w:rsidRPr="00A50751" w:rsidRDefault="00427CBB" w:rsidP="00503A54">
            <w:pPr>
              <w:pStyle w:val="SingleParagraph"/>
              <w:tabs>
                <w:tab w:val="num" w:pos="1134"/>
              </w:tabs>
              <w:spacing w:after="240"/>
              <w:ind w:left="1134" w:hanging="567"/>
              <w:rPr>
                <w:szCs w:val="22"/>
                <w:lang w:val="en-GB"/>
              </w:rPr>
            </w:pPr>
            <w:r>
              <w:rPr>
                <w:lang w:val="en-GB"/>
              </w:rPr>
              <w:t xml:space="preserve"> </w:t>
            </w:r>
            <w:bookmarkStart w:id="1" w:name="_GoBack"/>
            <w:bookmarkEnd w:id="1"/>
            <w:r>
              <w:rPr>
                <w:lang w:val="en-GB"/>
              </w:rPr>
              <w:t>October 2019</w:t>
            </w:r>
          </w:p>
        </w:tc>
        <w:tc>
          <w:tcPr>
            <w:tcW w:w="284" w:type="dxa"/>
            <w:tcMar>
              <w:left w:w="0" w:type="dxa"/>
              <w:right w:w="0" w:type="dxa"/>
            </w:tcMar>
          </w:tcPr>
          <w:p w14:paraId="040D6587" w14:textId="77777777" w:rsidR="00814667" w:rsidRPr="00A50751" w:rsidRDefault="00814667">
            <w:pPr>
              <w:rPr>
                <w:rFonts w:ascii="Book Antiqua" w:hAnsi="Book Antiqua"/>
                <w:lang w:val="en-GB"/>
              </w:rPr>
            </w:pPr>
          </w:p>
        </w:tc>
        <w:tc>
          <w:tcPr>
            <w:tcW w:w="4536" w:type="dxa"/>
          </w:tcPr>
          <w:p w14:paraId="10FCAAB0" w14:textId="77777777" w:rsidR="00814667" w:rsidRPr="00A50751" w:rsidRDefault="00814667">
            <w:pPr>
              <w:pStyle w:val="SingleParagraph"/>
              <w:tabs>
                <w:tab w:val="num" w:pos="1134"/>
              </w:tabs>
              <w:spacing w:after="240"/>
              <w:ind w:left="1134" w:hanging="567"/>
              <w:rPr>
                <w:lang w:val="en-GB"/>
              </w:rPr>
            </w:pPr>
          </w:p>
        </w:tc>
      </w:tr>
    </w:tbl>
    <w:p w14:paraId="7A299F01" w14:textId="77777777" w:rsidR="008843EE" w:rsidRDefault="008843EE" w:rsidP="0020144E"/>
    <w:sectPr w:rsidR="008843EE" w:rsidSect="00C606F6">
      <w:headerReference w:type="default" r:id="rId14"/>
      <w:footerReference w:type="default" r:id="rId15"/>
      <w:headerReference w:type="first" r:id="rId16"/>
      <w:footerReference w:type="first" r:id="rId17"/>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D5E75" w14:textId="77777777" w:rsidR="00BF394B" w:rsidRDefault="00BF394B">
      <w:r>
        <w:separator/>
      </w:r>
    </w:p>
  </w:endnote>
  <w:endnote w:type="continuationSeparator" w:id="0">
    <w:p w14:paraId="09CBB53A" w14:textId="77777777" w:rsidR="00BF394B" w:rsidRDefault="00BF394B">
      <w:r>
        <w:continuationSeparator/>
      </w:r>
    </w:p>
  </w:endnote>
  <w:endnote w:type="continuationNotice" w:id="1">
    <w:p w14:paraId="406810FD" w14:textId="77777777" w:rsidR="00BF394B" w:rsidRDefault="00BF3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
    <w:altName w:val="Zapf Dingbats"/>
    <w:panose1 w:val="00000000000000000000"/>
    <w:charset w:val="02"/>
    <w:family w:val="decorative"/>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bel">
    <w:altName w:val="Corbel"/>
    <w:panose1 w:val="020B0503020204020204"/>
    <w:charset w:val="00"/>
    <w:family w:val="swiss"/>
    <w:pitch w:val="variable"/>
    <w:sig w:usb0="A00002EF" w:usb1="4000A44B" w:usb2="00000000" w:usb3="00000000" w:csb0="0000019F" w:csb1="00000000"/>
  </w:font>
  <w:font w:name="Consolas">
    <w:altName w:val="Consolas"/>
    <w:panose1 w:val="020B0609020204030204"/>
    <w:charset w:val="00"/>
    <w:family w:val="modern"/>
    <w:pitch w:val="fixed"/>
    <w:sig w:usb0="E10002FF" w:usb1="4000FCFF" w:usb2="00000009"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8FCA2" w14:textId="5765AAD2" w:rsidR="00B8044F" w:rsidRDefault="00B8044F" w:rsidP="00DD37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27CBB">
      <w:rPr>
        <w:rStyle w:val="PageNumber"/>
        <w:noProof/>
      </w:rPr>
      <w:t>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6A42B" w14:textId="130DCCBC" w:rsidR="00C9102C" w:rsidRDefault="00C9102C" w:rsidP="00751725">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F394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619D5" w14:textId="77777777" w:rsidR="00BF394B" w:rsidRDefault="00BF394B">
      <w:r>
        <w:separator/>
      </w:r>
    </w:p>
  </w:footnote>
  <w:footnote w:type="continuationSeparator" w:id="0">
    <w:p w14:paraId="28616A08" w14:textId="77777777" w:rsidR="00BF394B" w:rsidRDefault="00BF394B">
      <w:r>
        <w:continuationSeparator/>
      </w:r>
    </w:p>
  </w:footnote>
  <w:footnote w:type="continuationNotice" w:id="1">
    <w:p w14:paraId="366BD95E" w14:textId="77777777" w:rsidR="00BF394B" w:rsidRDefault="00BF39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02F21" w14:textId="12EA6ADA" w:rsidR="00A01F01" w:rsidRDefault="00A01F01" w:rsidP="00DD37B7">
    <w:pPr>
      <w:pStyle w:val="Header"/>
      <w:jc w:val="right"/>
    </w:pPr>
    <w:r>
      <w:rPr>
        <w:color w:val="800000"/>
      </w:rPr>
      <w:t xml:space="preserve">Project Agreement for </w:t>
    </w:r>
    <w:r w:rsidR="009F2C68">
      <w:rPr>
        <w:color w:val="800000"/>
      </w:rPr>
      <w:t>T</w:t>
    </w:r>
    <w:r w:rsidRPr="00A01F01">
      <w:rPr>
        <w:color w:val="800000"/>
      </w:rPr>
      <w:t xml:space="preserve">ourism </w:t>
    </w:r>
    <w:r w:rsidR="009F2C68">
      <w:rPr>
        <w:color w:val="800000"/>
      </w:rPr>
      <w:t>I</w:t>
    </w:r>
    <w:r w:rsidRPr="00A01F01">
      <w:rPr>
        <w:color w:val="800000"/>
      </w:rPr>
      <w:t xml:space="preserve">con package - upgrade of tourist facilities </w:t>
    </w:r>
    <w:r w:rsidR="00060447">
      <w:rPr>
        <w:color w:val="800000"/>
      </w:rPr>
      <w:t>at Freycinet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A0695" w14:textId="59DF1BE1" w:rsidR="00C9102C" w:rsidRPr="00751725" w:rsidRDefault="00C9102C" w:rsidP="00A01F01">
    <w:pPr>
      <w:pStyle w:val="HeaderOdd"/>
      <w:tabs>
        <w:tab w:val="num" w:pos="1134"/>
      </w:tabs>
    </w:pPr>
    <w:r>
      <w:rPr>
        <w:color w:val="800000"/>
      </w:rPr>
      <w:t xml:space="preserve">Project Agreement for </w:t>
    </w:r>
    <w:r w:rsidR="00A01F01" w:rsidRPr="00A01F01">
      <w:rPr>
        <w:color w:val="800000"/>
      </w:rPr>
      <w:t xml:space="preserve">tourism icon package - upgrade of tourist facilities </w:t>
    </w:r>
    <w:r w:rsidR="00060447">
      <w:rPr>
        <w:color w:val="800000"/>
      </w:rPr>
      <w:t>at Freycinet</w:t>
    </w:r>
    <w:r w:rsidR="00A01F01" w:rsidRPr="00A01F01" w:rsidDel="00A01F01">
      <w:rPr>
        <w:color w:val="8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1747632"/>
    <w:multiLevelType w:val="hybridMultilevel"/>
    <w:tmpl w:val="1FBCD710"/>
    <w:lvl w:ilvl="0" w:tplc="82D23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0CF843C9"/>
    <w:multiLevelType w:val="hybridMultilevel"/>
    <w:tmpl w:val="4FB2CC5A"/>
    <w:lvl w:ilvl="0" w:tplc="B54222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5F6BB8"/>
    <w:multiLevelType w:val="multilevel"/>
    <w:tmpl w:val="73ECACC0"/>
    <w:lvl w:ilvl="0">
      <w:start w:val="1"/>
      <w:numFmt w:val="lowerLetter"/>
      <w:lvlRestart w:val="0"/>
      <w:lvlText w:val="(%1)"/>
      <w:lvlJc w:val="left"/>
      <w:pPr>
        <w:tabs>
          <w:tab w:val="num" w:pos="1418"/>
        </w:tabs>
        <w:ind w:left="851"/>
      </w:pPr>
      <w:rPr>
        <w:rFonts w:cs="Times New Roman" w:hint="default"/>
        <w:b w:val="0"/>
        <w:i w:val="0"/>
        <w:color w:val="000000"/>
      </w:rPr>
    </w:lvl>
    <w:lvl w:ilvl="1">
      <w:start w:val="1"/>
      <w:numFmt w:val="decimal"/>
      <w:lvlText w:val="%2"/>
      <w:lvlJc w:val="left"/>
      <w:pPr>
        <w:tabs>
          <w:tab w:val="num" w:pos="1985"/>
        </w:tabs>
        <w:ind w:left="1985" w:hanging="567"/>
      </w:pPr>
      <w:rPr>
        <w:rFonts w:cs="Times New Roman" w:hint="default"/>
        <w:b w:val="0"/>
        <w:i w:val="0"/>
        <w:color w:val="000000"/>
      </w:rPr>
    </w:lvl>
    <w:lvl w:ilvl="2">
      <w:start w:val="1"/>
      <w:numFmt w:val="decimal"/>
      <w:lvlText w:val="%3"/>
      <w:lvlJc w:val="left"/>
      <w:pPr>
        <w:tabs>
          <w:tab w:val="num" w:pos="2552"/>
        </w:tabs>
        <w:ind w:left="2552" w:hanging="567"/>
      </w:pPr>
      <w:rPr>
        <w:rFonts w:cs="Times New Roman" w:hint="default"/>
        <w:b w:val="0"/>
        <w:i w:val="0"/>
        <w:color w:val="000000"/>
      </w:rPr>
    </w:lvl>
    <w:lvl w:ilvl="3">
      <w:start w:val="1"/>
      <w:numFmt w:val="decimal"/>
      <w:lvlText w:val="%4"/>
      <w:lvlJc w:val="left"/>
      <w:pPr>
        <w:tabs>
          <w:tab w:val="num" w:pos="3119"/>
        </w:tabs>
        <w:ind w:left="3119" w:hanging="567"/>
      </w:pPr>
      <w:rPr>
        <w:rFonts w:cs="Times New Roman" w:hint="default"/>
        <w:b w:val="0"/>
        <w:i w:val="0"/>
        <w:color w:val="000000"/>
      </w:rPr>
    </w:lvl>
    <w:lvl w:ilvl="4">
      <w:start w:val="1"/>
      <w:numFmt w:val="decimal"/>
      <w:lvlText w:val="%5"/>
      <w:lvlJc w:val="left"/>
      <w:pPr>
        <w:tabs>
          <w:tab w:val="num" w:pos="3686"/>
        </w:tabs>
        <w:ind w:left="3686" w:hanging="567"/>
      </w:pPr>
      <w:rPr>
        <w:rFonts w:cs="Times New Roman" w:hint="default"/>
        <w:b w:val="0"/>
        <w:i w:val="0"/>
        <w:color w:val="000000"/>
      </w:rPr>
    </w:lvl>
    <w:lvl w:ilvl="5">
      <w:start w:val="1"/>
      <w:numFmt w:val="decimal"/>
      <w:lvlText w:val="%6"/>
      <w:lvlJc w:val="left"/>
      <w:pPr>
        <w:tabs>
          <w:tab w:val="num" w:pos="4253"/>
        </w:tabs>
        <w:ind w:left="4253" w:hanging="567"/>
      </w:pPr>
      <w:rPr>
        <w:rFonts w:cs="Times New Roman" w:hint="default"/>
        <w:b w:val="0"/>
        <w:i w:val="0"/>
        <w:color w:val="000000"/>
      </w:rPr>
    </w:lvl>
    <w:lvl w:ilvl="6">
      <w:start w:val="1"/>
      <w:numFmt w:val="decimal"/>
      <w:lvlText w:val="%7"/>
      <w:lvlJc w:val="left"/>
      <w:pPr>
        <w:tabs>
          <w:tab w:val="num" w:pos="4820"/>
        </w:tabs>
        <w:ind w:left="4820" w:hanging="567"/>
      </w:pPr>
      <w:rPr>
        <w:rFonts w:cs="Times New Roman" w:hint="default"/>
        <w:b w:val="0"/>
        <w:i w:val="0"/>
        <w:color w:val="000000"/>
      </w:rPr>
    </w:lvl>
    <w:lvl w:ilvl="7">
      <w:start w:val="1"/>
      <w:numFmt w:val="decimal"/>
      <w:lvlText w:val="%8"/>
      <w:lvlJc w:val="left"/>
      <w:pPr>
        <w:tabs>
          <w:tab w:val="num" w:pos="5387"/>
        </w:tabs>
        <w:ind w:left="5387" w:hanging="567"/>
      </w:pPr>
      <w:rPr>
        <w:rFonts w:cs="Times New Roman" w:hint="default"/>
        <w:b w:val="0"/>
        <w:i w:val="0"/>
        <w:color w:val="000000"/>
      </w:rPr>
    </w:lvl>
    <w:lvl w:ilvl="8">
      <w:start w:val="1"/>
      <w:numFmt w:val="decimal"/>
      <w:lvlText w:val="%9"/>
      <w:lvlJc w:val="left"/>
      <w:pPr>
        <w:tabs>
          <w:tab w:val="num" w:pos="5954"/>
        </w:tabs>
        <w:ind w:left="5954" w:hanging="567"/>
      </w:pPr>
      <w:rPr>
        <w:rFonts w:cs="Times New Roman" w:hint="default"/>
        <w:b w:val="0"/>
        <w:i w:val="0"/>
        <w:color w:val="000000"/>
      </w:rPr>
    </w:lvl>
  </w:abstractNum>
  <w:abstractNum w:abstractNumId="5" w15:restartNumberingAfterBreak="0">
    <w:nsid w:val="171659B6"/>
    <w:multiLevelType w:val="hybridMultilevel"/>
    <w:tmpl w:val="BA7EFB90"/>
    <w:lvl w:ilvl="0" w:tplc="309E6D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841AC2"/>
    <w:multiLevelType w:val="hybridMultilevel"/>
    <w:tmpl w:val="B9A68486"/>
    <w:lvl w:ilvl="0" w:tplc="AEE64800">
      <w:start w:val="1"/>
      <w:numFmt w:val="lowerLetter"/>
      <w:lvlText w:val="(%1)"/>
      <w:lvlJc w:val="left"/>
      <w:pPr>
        <w:ind w:left="1440" w:hanging="720"/>
      </w:pPr>
      <w:rPr>
        <w:rFonts w:hint="default"/>
        <w:b w:val="0"/>
        <w:color w:val="auto"/>
        <w:sz w:val="23"/>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8" w15:restartNumberingAfterBreak="0">
    <w:nsid w:val="1A945CFE"/>
    <w:multiLevelType w:val="hybridMultilevel"/>
    <w:tmpl w:val="744889AE"/>
    <w:lvl w:ilvl="0" w:tplc="ABA0B17C">
      <w:start w:val="1"/>
      <w:numFmt w:val="lowerLetter"/>
      <w:lvlText w:val="(%1)"/>
      <w:lvlJc w:val="left"/>
      <w:pPr>
        <w:ind w:left="1440" w:hanging="720"/>
      </w:pPr>
      <w:rPr>
        <w:rFonts w:hint="default"/>
        <w:b w:val="0"/>
        <w:color w:val="auto"/>
        <w:sz w:val="23"/>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1E9744CE"/>
    <w:multiLevelType w:val="hybridMultilevel"/>
    <w:tmpl w:val="BA7EFB90"/>
    <w:lvl w:ilvl="0" w:tplc="309E6D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2"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3" w15:restartNumberingAfterBreak="0">
    <w:nsid w:val="26647E05"/>
    <w:multiLevelType w:val="hybridMultilevel"/>
    <w:tmpl w:val="1FBCD710"/>
    <w:lvl w:ilvl="0" w:tplc="82D23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5"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6" w15:restartNumberingAfterBreak="0">
    <w:nsid w:val="337255E3"/>
    <w:multiLevelType w:val="hybridMultilevel"/>
    <w:tmpl w:val="77465246"/>
    <w:lvl w:ilvl="0" w:tplc="309E6D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122536"/>
    <w:multiLevelType w:val="hybridMultilevel"/>
    <w:tmpl w:val="F2B0E14E"/>
    <w:lvl w:ilvl="0" w:tplc="2B0CC0BE">
      <w:start w:val="1"/>
      <w:numFmt w:val="lowerLetter"/>
      <w:lvlText w:val="(%1)"/>
      <w:lvlJc w:val="left"/>
      <w:pPr>
        <w:ind w:left="1080" w:hanging="720"/>
      </w:pPr>
      <w:rPr>
        <w:rFonts w:hint="default"/>
        <w:b w:val="0"/>
        <w:color w:val="auto"/>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954455"/>
    <w:multiLevelType w:val="hybridMultilevel"/>
    <w:tmpl w:val="28D04010"/>
    <w:lvl w:ilvl="0" w:tplc="82D23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502CDE"/>
    <w:multiLevelType w:val="hybridMultilevel"/>
    <w:tmpl w:val="BF72E9FA"/>
    <w:lvl w:ilvl="0" w:tplc="0C09001B">
      <w:start w:val="1"/>
      <w:numFmt w:val="lowerRoman"/>
      <w:lvlText w:val="%1."/>
      <w:lvlJc w:val="right"/>
      <w:pPr>
        <w:ind w:left="1644" w:hanging="360"/>
      </w:pPr>
      <w:rPr>
        <w:rFonts w:cs="Times New Roman"/>
      </w:rPr>
    </w:lvl>
    <w:lvl w:ilvl="1" w:tplc="0C090019">
      <w:start w:val="1"/>
      <w:numFmt w:val="lowerLetter"/>
      <w:lvlText w:val="%2."/>
      <w:lvlJc w:val="left"/>
      <w:pPr>
        <w:ind w:left="2364" w:hanging="360"/>
      </w:pPr>
      <w:rPr>
        <w:rFonts w:cs="Times New Roman"/>
      </w:rPr>
    </w:lvl>
    <w:lvl w:ilvl="2" w:tplc="0C09001B">
      <w:start w:val="1"/>
      <w:numFmt w:val="lowerRoman"/>
      <w:lvlText w:val="%3."/>
      <w:lvlJc w:val="right"/>
      <w:pPr>
        <w:ind w:left="3084" w:hanging="180"/>
      </w:pPr>
      <w:rPr>
        <w:rFonts w:cs="Times New Roman"/>
      </w:rPr>
    </w:lvl>
    <w:lvl w:ilvl="3" w:tplc="0C09000F">
      <w:start w:val="1"/>
      <w:numFmt w:val="decimal"/>
      <w:lvlText w:val="%4."/>
      <w:lvlJc w:val="left"/>
      <w:pPr>
        <w:ind w:left="3804" w:hanging="360"/>
      </w:pPr>
      <w:rPr>
        <w:rFonts w:cs="Times New Roman"/>
      </w:rPr>
    </w:lvl>
    <w:lvl w:ilvl="4" w:tplc="0C090019">
      <w:start w:val="1"/>
      <w:numFmt w:val="lowerLetter"/>
      <w:lvlText w:val="%5."/>
      <w:lvlJc w:val="left"/>
      <w:pPr>
        <w:ind w:left="4524" w:hanging="360"/>
      </w:pPr>
      <w:rPr>
        <w:rFonts w:cs="Times New Roman"/>
      </w:rPr>
    </w:lvl>
    <w:lvl w:ilvl="5" w:tplc="0C09001B">
      <w:start w:val="1"/>
      <w:numFmt w:val="lowerRoman"/>
      <w:lvlText w:val="%6."/>
      <w:lvlJc w:val="right"/>
      <w:pPr>
        <w:ind w:left="5244" w:hanging="180"/>
      </w:pPr>
      <w:rPr>
        <w:rFonts w:cs="Times New Roman"/>
      </w:rPr>
    </w:lvl>
    <w:lvl w:ilvl="6" w:tplc="0C09000F">
      <w:start w:val="1"/>
      <w:numFmt w:val="decimal"/>
      <w:lvlText w:val="%7."/>
      <w:lvlJc w:val="left"/>
      <w:pPr>
        <w:ind w:left="5964" w:hanging="360"/>
      </w:pPr>
      <w:rPr>
        <w:rFonts w:cs="Times New Roman"/>
      </w:rPr>
    </w:lvl>
    <w:lvl w:ilvl="7" w:tplc="0C090019">
      <w:start w:val="1"/>
      <w:numFmt w:val="lowerLetter"/>
      <w:lvlText w:val="%8."/>
      <w:lvlJc w:val="left"/>
      <w:pPr>
        <w:ind w:left="6684" w:hanging="360"/>
      </w:pPr>
      <w:rPr>
        <w:rFonts w:cs="Times New Roman"/>
      </w:rPr>
    </w:lvl>
    <w:lvl w:ilvl="8" w:tplc="0C09001B">
      <w:start w:val="1"/>
      <w:numFmt w:val="lowerRoman"/>
      <w:lvlText w:val="%9."/>
      <w:lvlJc w:val="right"/>
      <w:pPr>
        <w:ind w:left="7404" w:hanging="180"/>
      </w:pPr>
      <w:rPr>
        <w:rFonts w:cs="Times New Roman"/>
      </w:rPr>
    </w:lvl>
  </w:abstractNum>
  <w:abstractNum w:abstractNumId="20" w15:restartNumberingAfterBreak="0">
    <w:nsid w:val="44CD23EC"/>
    <w:multiLevelType w:val="hybridMultilevel"/>
    <w:tmpl w:val="B024DCD4"/>
    <w:lvl w:ilvl="0" w:tplc="397CCE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2"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3"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5" w15:restartNumberingAfterBreak="0">
    <w:nsid w:val="58254050"/>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59B70749"/>
    <w:multiLevelType w:val="multilevel"/>
    <w:tmpl w:val="73ECACC0"/>
    <w:lvl w:ilvl="0">
      <w:start w:val="1"/>
      <w:numFmt w:val="lowerLetter"/>
      <w:lvlRestart w:val="0"/>
      <w:lvlText w:val="(%1)"/>
      <w:lvlJc w:val="left"/>
      <w:pPr>
        <w:tabs>
          <w:tab w:val="num" w:pos="1418"/>
        </w:tabs>
        <w:ind w:left="851"/>
      </w:pPr>
      <w:rPr>
        <w:rFonts w:cs="Times New Roman" w:hint="default"/>
        <w:b w:val="0"/>
        <w:i w:val="0"/>
        <w:color w:val="000000"/>
      </w:rPr>
    </w:lvl>
    <w:lvl w:ilvl="1">
      <w:start w:val="1"/>
      <w:numFmt w:val="decimal"/>
      <w:lvlText w:val="%2"/>
      <w:lvlJc w:val="left"/>
      <w:pPr>
        <w:tabs>
          <w:tab w:val="num" w:pos="1985"/>
        </w:tabs>
        <w:ind w:left="1985" w:hanging="567"/>
      </w:pPr>
      <w:rPr>
        <w:rFonts w:cs="Times New Roman" w:hint="default"/>
        <w:b w:val="0"/>
        <w:i w:val="0"/>
        <w:color w:val="000000"/>
      </w:rPr>
    </w:lvl>
    <w:lvl w:ilvl="2">
      <w:start w:val="1"/>
      <w:numFmt w:val="decimal"/>
      <w:lvlText w:val="%3"/>
      <w:lvlJc w:val="left"/>
      <w:pPr>
        <w:tabs>
          <w:tab w:val="num" w:pos="2552"/>
        </w:tabs>
        <w:ind w:left="2552" w:hanging="567"/>
      </w:pPr>
      <w:rPr>
        <w:rFonts w:cs="Times New Roman" w:hint="default"/>
        <w:b w:val="0"/>
        <w:i w:val="0"/>
        <w:color w:val="000000"/>
      </w:rPr>
    </w:lvl>
    <w:lvl w:ilvl="3">
      <w:start w:val="1"/>
      <w:numFmt w:val="decimal"/>
      <w:lvlText w:val="%4"/>
      <w:lvlJc w:val="left"/>
      <w:pPr>
        <w:tabs>
          <w:tab w:val="num" w:pos="3119"/>
        </w:tabs>
        <w:ind w:left="3119" w:hanging="567"/>
      </w:pPr>
      <w:rPr>
        <w:rFonts w:cs="Times New Roman" w:hint="default"/>
        <w:b w:val="0"/>
        <w:i w:val="0"/>
        <w:color w:val="000000"/>
      </w:rPr>
    </w:lvl>
    <w:lvl w:ilvl="4">
      <w:start w:val="1"/>
      <w:numFmt w:val="decimal"/>
      <w:lvlText w:val="%5"/>
      <w:lvlJc w:val="left"/>
      <w:pPr>
        <w:tabs>
          <w:tab w:val="num" w:pos="3686"/>
        </w:tabs>
        <w:ind w:left="3686" w:hanging="567"/>
      </w:pPr>
      <w:rPr>
        <w:rFonts w:cs="Times New Roman" w:hint="default"/>
        <w:b w:val="0"/>
        <w:i w:val="0"/>
        <w:color w:val="000000"/>
      </w:rPr>
    </w:lvl>
    <w:lvl w:ilvl="5">
      <w:start w:val="1"/>
      <w:numFmt w:val="decimal"/>
      <w:lvlText w:val="%6"/>
      <w:lvlJc w:val="left"/>
      <w:pPr>
        <w:tabs>
          <w:tab w:val="num" w:pos="4253"/>
        </w:tabs>
        <w:ind w:left="4253" w:hanging="567"/>
      </w:pPr>
      <w:rPr>
        <w:rFonts w:cs="Times New Roman" w:hint="default"/>
        <w:b w:val="0"/>
        <w:i w:val="0"/>
        <w:color w:val="000000"/>
      </w:rPr>
    </w:lvl>
    <w:lvl w:ilvl="6">
      <w:start w:val="1"/>
      <w:numFmt w:val="decimal"/>
      <w:lvlText w:val="%7"/>
      <w:lvlJc w:val="left"/>
      <w:pPr>
        <w:tabs>
          <w:tab w:val="num" w:pos="4820"/>
        </w:tabs>
        <w:ind w:left="4820" w:hanging="567"/>
      </w:pPr>
      <w:rPr>
        <w:rFonts w:cs="Times New Roman" w:hint="default"/>
        <w:b w:val="0"/>
        <w:i w:val="0"/>
        <w:color w:val="000000"/>
      </w:rPr>
    </w:lvl>
    <w:lvl w:ilvl="7">
      <w:start w:val="1"/>
      <w:numFmt w:val="decimal"/>
      <w:lvlText w:val="%8"/>
      <w:lvlJc w:val="left"/>
      <w:pPr>
        <w:tabs>
          <w:tab w:val="num" w:pos="5387"/>
        </w:tabs>
        <w:ind w:left="5387" w:hanging="567"/>
      </w:pPr>
      <w:rPr>
        <w:rFonts w:cs="Times New Roman" w:hint="default"/>
        <w:b w:val="0"/>
        <w:i w:val="0"/>
        <w:color w:val="000000"/>
      </w:rPr>
    </w:lvl>
    <w:lvl w:ilvl="8">
      <w:start w:val="1"/>
      <w:numFmt w:val="decimal"/>
      <w:lvlText w:val="%9"/>
      <w:lvlJc w:val="left"/>
      <w:pPr>
        <w:tabs>
          <w:tab w:val="num" w:pos="5954"/>
        </w:tabs>
        <w:ind w:left="5954" w:hanging="567"/>
      </w:pPr>
      <w:rPr>
        <w:rFonts w:cs="Times New Roman" w:hint="default"/>
        <w:b w:val="0"/>
        <w:i w:val="0"/>
        <w:color w:val="000000"/>
      </w:rPr>
    </w:lvl>
  </w:abstractNum>
  <w:abstractNum w:abstractNumId="27"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8" w15:restartNumberingAfterBreak="0">
    <w:nsid w:val="619A28C5"/>
    <w:multiLevelType w:val="hybridMultilevel"/>
    <w:tmpl w:val="BF72E9FA"/>
    <w:lvl w:ilvl="0" w:tplc="0C09001B">
      <w:start w:val="1"/>
      <w:numFmt w:val="lowerRoman"/>
      <w:lvlText w:val="%1."/>
      <w:lvlJc w:val="right"/>
      <w:pPr>
        <w:ind w:left="1644" w:hanging="360"/>
      </w:pPr>
      <w:rPr>
        <w:rFonts w:cs="Times New Roman"/>
      </w:rPr>
    </w:lvl>
    <w:lvl w:ilvl="1" w:tplc="0C090019">
      <w:start w:val="1"/>
      <w:numFmt w:val="lowerLetter"/>
      <w:lvlText w:val="%2."/>
      <w:lvlJc w:val="left"/>
      <w:pPr>
        <w:ind w:left="2364" w:hanging="360"/>
      </w:pPr>
      <w:rPr>
        <w:rFonts w:cs="Times New Roman"/>
      </w:rPr>
    </w:lvl>
    <w:lvl w:ilvl="2" w:tplc="0C09001B">
      <w:start w:val="1"/>
      <w:numFmt w:val="lowerRoman"/>
      <w:lvlText w:val="%3."/>
      <w:lvlJc w:val="right"/>
      <w:pPr>
        <w:ind w:left="3084" w:hanging="180"/>
      </w:pPr>
      <w:rPr>
        <w:rFonts w:cs="Times New Roman"/>
      </w:rPr>
    </w:lvl>
    <w:lvl w:ilvl="3" w:tplc="0C09000F">
      <w:start w:val="1"/>
      <w:numFmt w:val="decimal"/>
      <w:lvlText w:val="%4."/>
      <w:lvlJc w:val="left"/>
      <w:pPr>
        <w:ind w:left="3804" w:hanging="360"/>
      </w:pPr>
      <w:rPr>
        <w:rFonts w:cs="Times New Roman"/>
      </w:rPr>
    </w:lvl>
    <w:lvl w:ilvl="4" w:tplc="0C090019">
      <w:start w:val="1"/>
      <w:numFmt w:val="lowerLetter"/>
      <w:lvlText w:val="%5."/>
      <w:lvlJc w:val="left"/>
      <w:pPr>
        <w:ind w:left="4524" w:hanging="360"/>
      </w:pPr>
      <w:rPr>
        <w:rFonts w:cs="Times New Roman"/>
      </w:rPr>
    </w:lvl>
    <w:lvl w:ilvl="5" w:tplc="0C09001B">
      <w:start w:val="1"/>
      <w:numFmt w:val="lowerRoman"/>
      <w:lvlText w:val="%6."/>
      <w:lvlJc w:val="right"/>
      <w:pPr>
        <w:ind w:left="5244" w:hanging="180"/>
      </w:pPr>
      <w:rPr>
        <w:rFonts w:cs="Times New Roman"/>
      </w:rPr>
    </w:lvl>
    <w:lvl w:ilvl="6" w:tplc="0C09000F">
      <w:start w:val="1"/>
      <w:numFmt w:val="decimal"/>
      <w:lvlText w:val="%7."/>
      <w:lvlJc w:val="left"/>
      <w:pPr>
        <w:ind w:left="5964" w:hanging="360"/>
      </w:pPr>
      <w:rPr>
        <w:rFonts w:cs="Times New Roman"/>
      </w:rPr>
    </w:lvl>
    <w:lvl w:ilvl="7" w:tplc="0C090019">
      <w:start w:val="1"/>
      <w:numFmt w:val="lowerLetter"/>
      <w:lvlText w:val="%8."/>
      <w:lvlJc w:val="left"/>
      <w:pPr>
        <w:ind w:left="6684" w:hanging="360"/>
      </w:pPr>
      <w:rPr>
        <w:rFonts w:cs="Times New Roman"/>
      </w:rPr>
    </w:lvl>
    <w:lvl w:ilvl="8" w:tplc="0C09001B">
      <w:start w:val="1"/>
      <w:numFmt w:val="lowerRoman"/>
      <w:lvlText w:val="%9."/>
      <w:lvlJc w:val="right"/>
      <w:pPr>
        <w:ind w:left="7404" w:hanging="180"/>
      </w:pPr>
      <w:rPr>
        <w:rFonts w:cs="Times New Roman"/>
      </w:rPr>
    </w:lvl>
  </w:abstractNum>
  <w:abstractNum w:abstractNumId="29" w15:restartNumberingAfterBreak="0">
    <w:nsid w:val="65D26F92"/>
    <w:multiLevelType w:val="hybridMultilevel"/>
    <w:tmpl w:val="29D4FD5A"/>
    <w:lvl w:ilvl="0" w:tplc="95205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37480E"/>
    <w:multiLevelType w:val="hybridMultilevel"/>
    <w:tmpl w:val="BF72E9FA"/>
    <w:lvl w:ilvl="0" w:tplc="0C09001B">
      <w:start w:val="1"/>
      <w:numFmt w:val="lowerRoman"/>
      <w:lvlText w:val="%1."/>
      <w:lvlJc w:val="right"/>
      <w:pPr>
        <w:ind w:left="1644" w:hanging="360"/>
      </w:pPr>
      <w:rPr>
        <w:rFonts w:cs="Times New Roman"/>
      </w:rPr>
    </w:lvl>
    <w:lvl w:ilvl="1" w:tplc="0C090019">
      <w:start w:val="1"/>
      <w:numFmt w:val="lowerLetter"/>
      <w:lvlText w:val="%2."/>
      <w:lvlJc w:val="left"/>
      <w:pPr>
        <w:ind w:left="2364" w:hanging="360"/>
      </w:pPr>
      <w:rPr>
        <w:rFonts w:cs="Times New Roman"/>
      </w:rPr>
    </w:lvl>
    <w:lvl w:ilvl="2" w:tplc="0C09001B">
      <w:start w:val="1"/>
      <w:numFmt w:val="lowerRoman"/>
      <w:lvlText w:val="%3."/>
      <w:lvlJc w:val="right"/>
      <w:pPr>
        <w:ind w:left="3084" w:hanging="180"/>
      </w:pPr>
      <w:rPr>
        <w:rFonts w:cs="Times New Roman"/>
      </w:rPr>
    </w:lvl>
    <w:lvl w:ilvl="3" w:tplc="0C09000F">
      <w:start w:val="1"/>
      <w:numFmt w:val="decimal"/>
      <w:lvlText w:val="%4."/>
      <w:lvlJc w:val="left"/>
      <w:pPr>
        <w:ind w:left="3804" w:hanging="360"/>
      </w:pPr>
      <w:rPr>
        <w:rFonts w:cs="Times New Roman"/>
      </w:rPr>
    </w:lvl>
    <w:lvl w:ilvl="4" w:tplc="0C090019">
      <w:start w:val="1"/>
      <w:numFmt w:val="lowerLetter"/>
      <w:lvlText w:val="%5."/>
      <w:lvlJc w:val="left"/>
      <w:pPr>
        <w:ind w:left="4524" w:hanging="360"/>
      </w:pPr>
      <w:rPr>
        <w:rFonts w:cs="Times New Roman"/>
      </w:rPr>
    </w:lvl>
    <w:lvl w:ilvl="5" w:tplc="0C09001B">
      <w:start w:val="1"/>
      <w:numFmt w:val="lowerRoman"/>
      <w:lvlText w:val="%6."/>
      <w:lvlJc w:val="right"/>
      <w:pPr>
        <w:ind w:left="5244" w:hanging="180"/>
      </w:pPr>
      <w:rPr>
        <w:rFonts w:cs="Times New Roman"/>
      </w:rPr>
    </w:lvl>
    <w:lvl w:ilvl="6" w:tplc="0C09000F">
      <w:start w:val="1"/>
      <w:numFmt w:val="decimal"/>
      <w:lvlText w:val="%7."/>
      <w:lvlJc w:val="left"/>
      <w:pPr>
        <w:ind w:left="5964" w:hanging="360"/>
      </w:pPr>
      <w:rPr>
        <w:rFonts w:cs="Times New Roman"/>
      </w:rPr>
    </w:lvl>
    <w:lvl w:ilvl="7" w:tplc="0C090019">
      <w:start w:val="1"/>
      <w:numFmt w:val="lowerLetter"/>
      <w:lvlText w:val="%8."/>
      <w:lvlJc w:val="left"/>
      <w:pPr>
        <w:ind w:left="6684" w:hanging="360"/>
      </w:pPr>
      <w:rPr>
        <w:rFonts w:cs="Times New Roman"/>
      </w:rPr>
    </w:lvl>
    <w:lvl w:ilvl="8" w:tplc="0C09001B">
      <w:start w:val="1"/>
      <w:numFmt w:val="lowerRoman"/>
      <w:lvlText w:val="%9."/>
      <w:lvlJc w:val="right"/>
      <w:pPr>
        <w:ind w:left="7404" w:hanging="180"/>
      </w:pPr>
      <w:rPr>
        <w:rFonts w:cs="Times New Roman"/>
      </w:rPr>
    </w:lvl>
  </w:abstractNum>
  <w:abstractNum w:abstractNumId="31"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32" w15:restartNumberingAfterBreak="0">
    <w:nsid w:val="710647D0"/>
    <w:multiLevelType w:val="hybridMultilevel"/>
    <w:tmpl w:val="28D04010"/>
    <w:lvl w:ilvl="0" w:tplc="82D23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34" w15:restartNumberingAfterBreak="0">
    <w:nsid w:val="78854AAC"/>
    <w:multiLevelType w:val="hybridMultilevel"/>
    <w:tmpl w:val="DEA8523A"/>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7D2B3127"/>
    <w:multiLevelType w:val="hybridMultilevel"/>
    <w:tmpl w:val="E4E24268"/>
    <w:lvl w:ilvl="0" w:tplc="461AC5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A70084"/>
    <w:multiLevelType w:val="hybridMultilevel"/>
    <w:tmpl w:val="EE246C1A"/>
    <w:lvl w:ilvl="0" w:tplc="D8D87E3C">
      <w:start w:val="1"/>
      <w:numFmt w:val="lowerLetter"/>
      <w:lvlText w:val="(%1)"/>
      <w:lvlJc w:val="left"/>
      <w:pPr>
        <w:ind w:left="924" w:hanging="360"/>
      </w:pPr>
    </w:lvl>
    <w:lvl w:ilvl="1" w:tplc="0C09001B">
      <w:start w:val="1"/>
      <w:numFmt w:val="lowerRoman"/>
      <w:lvlText w:val="%2."/>
      <w:lvlJc w:val="right"/>
      <w:pPr>
        <w:ind w:left="1644" w:hanging="360"/>
      </w:pPr>
    </w:lvl>
    <w:lvl w:ilvl="2" w:tplc="B9EAFA08">
      <w:numFmt w:val="bullet"/>
      <w:lvlText w:val="-"/>
      <w:lvlJc w:val="left"/>
      <w:pPr>
        <w:ind w:left="2544" w:hanging="360"/>
      </w:pPr>
      <w:rPr>
        <w:rFonts w:ascii="Calibri" w:eastAsia="SimSun" w:hAnsi="Calibri" w:cs="Calibri" w:hint="default"/>
      </w:rPr>
    </w:lvl>
    <w:lvl w:ilvl="3" w:tplc="0C09000F">
      <w:start w:val="1"/>
      <w:numFmt w:val="decimal"/>
      <w:lvlText w:val="%4."/>
      <w:lvlJc w:val="left"/>
      <w:pPr>
        <w:ind w:left="3084" w:hanging="360"/>
      </w:pPr>
    </w:lvl>
    <w:lvl w:ilvl="4" w:tplc="0C090019">
      <w:start w:val="1"/>
      <w:numFmt w:val="lowerLetter"/>
      <w:lvlText w:val="%5."/>
      <w:lvlJc w:val="left"/>
      <w:pPr>
        <w:ind w:left="3804" w:hanging="360"/>
      </w:pPr>
    </w:lvl>
    <w:lvl w:ilvl="5" w:tplc="0C09001B">
      <w:start w:val="1"/>
      <w:numFmt w:val="lowerRoman"/>
      <w:lvlText w:val="%6."/>
      <w:lvlJc w:val="right"/>
      <w:pPr>
        <w:ind w:left="4524" w:hanging="180"/>
      </w:pPr>
    </w:lvl>
    <w:lvl w:ilvl="6" w:tplc="0C09000F">
      <w:start w:val="1"/>
      <w:numFmt w:val="decimal"/>
      <w:lvlText w:val="%7."/>
      <w:lvlJc w:val="left"/>
      <w:pPr>
        <w:ind w:left="5244" w:hanging="360"/>
      </w:pPr>
    </w:lvl>
    <w:lvl w:ilvl="7" w:tplc="0C090019">
      <w:start w:val="1"/>
      <w:numFmt w:val="lowerLetter"/>
      <w:lvlText w:val="%8."/>
      <w:lvlJc w:val="left"/>
      <w:pPr>
        <w:ind w:left="5964" w:hanging="360"/>
      </w:pPr>
    </w:lvl>
    <w:lvl w:ilvl="8" w:tplc="0C09001B">
      <w:start w:val="1"/>
      <w:numFmt w:val="lowerRoman"/>
      <w:lvlText w:val="%9."/>
      <w:lvlJc w:val="right"/>
      <w:pPr>
        <w:ind w:left="6684" w:hanging="180"/>
      </w:pPr>
    </w:lvl>
  </w:abstractNum>
  <w:num w:numId="1">
    <w:abstractNumId w:val="0"/>
  </w:num>
  <w:num w:numId="2">
    <w:abstractNumId w:val="0"/>
  </w:num>
  <w:num w:numId="3">
    <w:abstractNumId w:val="0"/>
  </w:num>
  <w:num w:numId="4">
    <w:abstractNumId w:val="0"/>
  </w:num>
  <w:num w:numId="5">
    <w:abstractNumId w:val="0"/>
  </w:num>
  <w:num w:numId="6">
    <w:abstractNumId w:val="12"/>
  </w:num>
  <w:num w:numId="7">
    <w:abstractNumId w:val="22"/>
  </w:num>
  <w:num w:numId="8">
    <w:abstractNumId w:val="24"/>
  </w:num>
  <w:num w:numId="9">
    <w:abstractNumId w:val="7"/>
  </w:num>
  <w:num w:numId="10">
    <w:abstractNumId w:val="27"/>
  </w:num>
  <w:num w:numId="11">
    <w:abstractNumId w:val="9"/>
  </w:num>
  <w:num w:numId="12">
    <w:abstractNumId w:val="14"/>
  </w:num>
  <w:num w:numId="13">
    <w:abstractNumId w:val="34"/>
  </w:num>
  <w:num w:numId="14">
    <w:abstractNumId w:val="2"/>
  </w:num>
  <w:num w:numId="15">
    <w:abstractNumId w:val="23"/>
  </w:num>
  <w:num w:numId="16">
    <w:abstractNumId w:val="31"/>
  </w:num>
  <w:num w:numId="17">
    <w:abstractNumId w:val="21"/>
  </w:num>
  <w:num w:numId="18">
    <w:abstractNumId w:val="26"/>
  </w:num>
  <w:num w:numId="19">
    <w:abstractNumId w:val="33"/>
  </w:num>
  <w:num w:numId="20">
    <w:abstractNumId w:val="11"/>
  </w:num>
  <w:num w:numId="21">
    <w:abstractNumId w:val="1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8"/>
  </w:num>
  <w:num w:numId="26">
    <w:abstractNumId w:val="28"/>
  </w:num>
  <w:num w:numId="27">
    <w:abstractNumId w:val="19"/>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4"/>
  </w:num>
  <w:num w:numId="31">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5"/>
  </w:num>
  <w:num w:numId="34">
    <w:abstractNumId w:val="8"/>
  </w:num>
  <w:num w:numId="35">
    <w:abstractNumId w:val="6"/>
  </w:num>
  <w:num w:numId="36">
    <w:abstractNumId w:val="17"/>
  </w:num>
  <w:num w:numId="37">
    <w:abstractNumId w:val="18"/>
  </w:num>
  <w:num w:numId="38">
    <w:abstractNumId w:val="1"/>
  </w:num>
  <w:num w:numId="39">
    <w:abstractNumId w:val="20"/>
  </w:num>
  <w:num w:numId="40">
    <w:abstractNumId w:val="32"/>
  </w:num>
  <w:num w:numId="41">
    <w:abstractNumId w:val="3"/>
  </w:num>
  <w:num w:numId="42">
    <w:abstractNumId w:val="10"/>
  </w:num>
  <w:num w:numId="43">
    <w:abstractNumId w:val="5"/>
  </w:num>
  <w:num w:numId="44">
    <w:abstractNumId w:val="16"/>
  </w:num>
  <w:num w:numId="45">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5A5D"/>
    <w:rsid w:val="000076D9"/>
    <w:rsid w:val="00021708"/>
    <w:rsid w:val="00023C1E"/>
    <w:rsid w:val="00030CB2"/>
    <w:rsid w:val="000322A1"/>
    <w:rsid w:val="00033AE4"/>
    <w:rsid w:val="00033D9B"/>
    <w:rsid w:val="000343F1"/>
    <w:rsid w:val="00044700"/>
    <w:rsid w:val="00060447"/>
    <w:rsid w:val="0006051B"/>
    <w:rsid w:val="000614F9"/>
    <w:rsid w:val="0006451A"/>
    <w:rsid w:val="0006551D"/>
    <w:rsid w:val="00065679"/>
    <w:rsid w:val="0007004C"/>
    <w:rsid w:val="000720BC"/>
    <w:rsid w:val="000724F6"/>
    <w:rsid w:val="00074611"/>
    <w:rsid w:val="00074A62"/>
    <w:rsid w:val="00086712"/>
    <w:rsid w:val="00091A89"/>
    <w:rsid w:val="00091DF8"/>
    <w:rsid w:val="00093CB6"/>
    <w:rsid w:val="00093DD8"/>
    <w:rsid w:val="00097794"/>
    <w:rsid w:val="000A0C9E"/>
    <w:rsid w:val="000A5191"/>
    <w:rsid w:val="000B4080"/>
    <w:rsid w:val="000B7685"/>
    <w:rsid w:val="000C4C9E"/>
    <w:rsid w:val="000C714F"/>
    <w:rsid w:val="000C71D7"/>
    <w:rsid w:val="000D067C"/>
    <w:rsid w:val="000D19D8"/>
    <w:rsid w:val="000D1C37"/>
    <w:rsid w:val="000D4377"/>
    <w:rsid w:val="000E075D"/>
    <w:rsid w:val="000E2AF6"/>
    <w:rsid w:val="000E36B7"/>
    <w:rsid w:val="000E3C70"/>
    <w:rsid w:val="000E48C3"/>
    <w:rsid w:val="000F0880"/>
    <w:rsid w:val="000F25D5"/>
    <w:rsid w:val="000F6CF6"/>
    <w:rsid w:val="00103FD6"/>
    <w:rsid w:val="00105BD5"/>
    <w:rsid w:val="001065EE"/>
    <w:rsid w:val="00110F5D"/>
    <w:rsid w:val="00112F1E"/>
    <w:rsid w:val="001134AC"/>
    <w:rsid w:val="00115099"/>
    <w:rsid w:val="00115166"/>
    <w:rsid w:val="00115A97"/>
    <w:rsid w:val="00120B26"/>
    <w:rsid w:val="00122DBA"/>
    <w:rsid w:val="001262B5"/>
    <w:rsid w:val="00132587"/>
    <w:rsid w:val="001404A9"/>
    <w:rsid w:val="00140F43"/>
    <w:rsid w:val="00145D5C"/>
    <w:rsid w:val="00151133"/>
    <w:rsid w:val="001518E4"/>
    <w:rsid w:val="00160506"/>
    <w:rsid w:val="0016131F"/>
    <w:rsid w:val="001629FA"/>
    <w:rsid w:val="00165CAB"/>
    <w:rsid w:val="00166312"/>
    <w:rsid w:val="00167BB8"/>
    <w:rsid w:val="00171E98"/>
    <w:rsid w:val="00172360"/>
    <w:rsid w:val="00172E3A"/>
    <w:rsid w:val="00173F81"/>
    <w:rsid w:val="00174C2A"/>
    <w:rsid w:val="00175FB9"/>
    <w:rsid w:val="00177A0A"/>
    <w:rsid w:val="00180F76"/>
    <w:rsid w:val="00183EAB"/>
    <w:rsid w:val="001853C9"/>
    <w:rsid w:val="00185CC1"/>
    <w:rsid w:val="001879DD"/>
    <w:rsid w:val="00187BEB"/>
    <w:rsid w:val="001931E8"/>
    <w:rsid w:val="00194232"/>
    <w:rsid w:val="00194587"/>
    <w:rsid w:val="001A0E75"/>
    <w:rsid w:val="001A1422"/>
    <w:rsid w:val="001A14C1"/>
    <w:rsid w:val="001A3A9A"/>
    <w:rsid w:val="001A3F52"/>
    <w:rsid w:val="001A4093"/>
    <w:rsid w:val="001A79C1"/>
    <w:rsid w:val="001A7A15"/>
    <w:rsid w:val="001B19A0"/>
    <w:rsid w:val="001B1CA3"/>
    <w:rsid w:val="001B447F"/>
    <w:rsid w:val="001B580E"/>
    <w:rsid w:val="001B7933"/>
    <w:rsid w:val="001C346E"/>
    <w:rsid w:val="001C3717"/>
    <w:rsid w:val="001C5CC5"/>
    <w:rsid w:val="001C5DF7"/>
    <w:rsid w:val="001D2C27"/>
    <w:rsid w:val="001D3CAD"/>
    <w:rsid w:val="001D6E9A"/>
    <w:rsid w:val="001E20EC"/>
    <w:rsid w:val="001E4479"/>
    <w:rsid w:val="001E7173"/>
    <w:rsid w:val="001E74D0"/>
    <w:rsid w:val="001E7803"/>
    <w:rsid w:val="001F1D48"/>
    <w:rsid w:val="001F5703"/>
    <w:rsid w:val="001F6F39"/>
    <w:rsid w:val="001F6FE8"/>
    <w:rsid w:val="0020144E"/>
    <w:rsid w:val="00205E18"/>
    <w:rsid w:val="00206773"/>
    <w:rsid w:val="002069F9"/>
    <w:rsid w:val="00206F01"/>
    <w:rsid w:val="00212869"/>
    <w:rsid w:val="00221308"/>
    <w:rsid w:val="00222C97"/>
    <w:rsid w:val="00225761"/>
    <w:rsid w:val="002267F0"/>
    <w:rsid w:val="00233835"/>
    <w:rsid w:val="002350A3"/>
    <w:rsid w:val="00241EE9"/>
    <w:rsid w:val="00242D94"/>
    <w:rsid w:val="00244500"/>
    <w:rsid w:val="00247D45"/>
    <w:rsid w:val="00252551"/>
    <w:rsid w:val="002558C7"/>
    <w:rsid w:val="00261ABA"/>
    <w:rsid w:val="00262E18"/>
    <w:rsid w:val="0026571E"/>
    <w:rsid w:val="00281874"/>
    <w:rsid w:val="00282C25"/>
    <w:rsid w:val="00283581"/>
    <w:rsid w:val="00284884"/>
    <w:rsid w:val="00285003"/>
    <w:rsid w:val="002869F5"/>
    <w:rsid w:val="00287DCC"/>
    <w:rsid w:val="00291CF1"/>
    <w:rsid w:val="00292587"/>
    <w:rsid w:val="002A143D"/>
    <w:rsid w:val="002A3DE9"/>
    <w:rsid w:val="002A493A"/>
    <w:rsid w:val="002A530A"/>
    <w:rsid w:val="002A5884"/>
    <w:rsid w:val="002A6981"/>
    <w:rsid w:val="002B1C50"/>
    <w:rsid w:val="002B207C"/>
    <w:rsid w:val="002B7922"/>
    <w:rsid w:val="002B7E1B"/>
    <w:rsid w:val="002C2529"/>
    <w:rsid w:val="002C2A03"/>
    <w:rsid w:val="002C62B3"/>
    <w:rsid w:val="002C7620"/>
    <w:rsid w:val="002D122C"/>
    <w:rsid w:val="002D7CF9"/>
    <w:rsid w:val="002E144A"/>
    <w:rsid w:val="002E2DE2"/>
    <w:rsid w:val="002E4B66"/>
    <w:rsid w:val="002F576E"/>
    <w:rsid w:val="002F5B29"/>
    <w:rsid w:val="002F5B54"/>
    <w:rsid w:val="002F5C6C"/>
    <w:rsid w:val="002F7E40"/>
    <w:rsid w:val="003012DA"/>
    <w:rsid w:val="00307C5C"/>
    <w:rsid w:val="00312CFE"/>
    <w:rsid w:val="00313480"/>
    <w:rsid w:val="00313C98"/>
    <w:rsid w:val="00313FD9"/>
    <w:rsid w:val="003155BD"/>
    <w:rsid w:val="003165EF"/>
    <w:rsid w:val="003177B9"/>
    <w:rsid w:val="00321E0A"/>
    <w:rsid w:val="00333506"/>
    <w:rsid w:val="003403D8"/>
    <w:rsid w:val="00340987"/>
    <w:rsid w:val="003410AA"/>
    <w:rsid w:val="00341D6F"/>
    <w:rsid w:val="0034465F"/>
    <w:rsid w:val="003527AD"/>
    <w:rsid w:val="00352A6B"/>
    <w:rsid w:val="00352EC1"/>
    <w:rsid w:val="00361054"/>
    <w:rsid w:val="0036119D"/>
    <w:rsid w:val="003637A0"/>
    <w:rsid w:val="0036474E"/>
    <w:rsid w:val="00364CF3"/>
    <w:rsid w:val="00365CAA"/>
    <w:rsid w:val="00367EAB"/>
    <w:rsid w:val="00372573"/>
    <w:rsid w:val="00377AB2"/>
    <w:rsid w:val="003877C3"/>
    <w:rsid w:val="0039283B"/>
    <w:rsid w:val="00396EA4"/>
    <w:rsid w:val="003A2157"/>
    <w:rsid w:val="003A3363"/>
    <w:rsid w:val="003A3905"/>
    <w:rsid w:val="003A3CC1"/>
    <w:rsid w:val="003A6635"/>
    <w:rsid w:val="003A6B0E"/>
    <w:rsid w:val="003A78C6"/>
    <w:rsid w:val="003B28C4"/>
    <w:rsid w:val="003B5562"/>
    <w:rsid w:val="003B6363"/>
    <w:rsid w:val="003B737F"/>
    <w:rsid w:val="003C0CF7"/>
    <w:rsid w:val="003C2E5D"/>
    <w:rsid w:val="003C539E"/>
    <w:rsid w:val="003C59E0"/>
    <w:rsid w:val="003C6F2A"/>
    <w:rsid w:val="003D743C"/>
    <w:rsid w:val="003E33BA"/>
    <w:rsid w:val="003E6BA0"/>
    <w:rsid w:val="003E73DB"/>
    <w:rsid w:val="003E761E"/>
    <w:rsid w:val="003F0ADC"/>
    <w:rsid w:val="003F5256"/>
    <w:rsid w:val="003F59E6"/>
    <w:rsid w:val="003F5BE6"/>
    <w:rsid w:val="003F6C00"/>
    <w:rsid w:val="004120B1"/>
    <w:rsid w:val="00413E74"/>
    <w:rsid w:val="0041421D"/>
    <w:rsid w:val="0041490D"/>
    <w:rsid w:val="00414A5C"/>
    <w:rsid w:val="004156B4"/>
    <w:rsid w:val="0041697F"/>
    <w:rsid w:val="00420235"/>
    <w:rsid w:val="004223AA"/>
    <w:rsid w:val="00423104"/>
    <w:rsid w:val="004267D3"/>
    <w:rsid w:val="00427CBB"/>
    <w:rsid w:val="00427E2A"/>
    <w:rsid w:val="00433E65"/>
    <w:rsid w:val="004374B2"/>
    <w:rsid w:val="00442AB8"/>
    <w:rsid w:val="004436EA"/>
    <w:rsid w:val="0044456C"/>
    <w:rsid w:val="004471D3"/>
    <w:rsid w:val="00450B39"/>
    <w:rsid w:val="00453BC6"/>
    <w:rsid w:val="00454498"/>
    <w:rsid w:val="00456C59"/>
    <w:rsid w:val="00472678"/>
    <w:rsid w:val="00473CB2"/>
    <w:rsid w:val="00477931"/>
    <w:rsid w:val="00490198"/>
    <w:rsid w:val="00490E28"/>
    <w:rsid w:val="00497362"/>
    <w:rsid w:val="00497C77"/>
    <w:rsid w:val="004A0AE7"/>
    <w:rsid w:val="004A3BF3"/>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3CC4"/>
    <w:rsid w:val="004C4D5E"/>
    <w:rsid w:val="004C6C9E"/>
    <w:rsid w:val="004D11ED"/>
    <w:rsid w:val="004D310E"/>
    <w:rsid w:val="004D37D8"/>
    <w:rsid w:val="004D4B81"/>
    <w:rsid w:val="004F3A93"/>
    <w:rsid w:val="004F5DCD"/>
    <w:rsid w:val="004F6B2B"/>
    <w:rsid w:val="005005DF"/>
    <w:rsid w:val="00503A54"/>
    <w:rsid w:val="00505045"/>
    <w:rsid w:val="00510A96"/>
    <w:rsid w:val="00510B96"/>
    <w:rsid w:val="00511501"/>
    <w:rsid w:val="00511B5B"/>
    <w:rsid w:val="00513867"/>
    <w:rsid w:val="00515AF2"/>
    <w:rsid w:val="0051640E"/>
    <w:rsid w:val="00516741"/>
    <w:rsid w:val="0051684E"/>
    <w:rsid w:val="00527ABC"/>
    <w:rsid w:val="0054193D"/>
    <w:rsid w:val="00542A8C"/>
    <w:rsid w:val="00542D59"/>
    <w:rsid w:val="00543637"/>
    <w:rsid w:val="00545DF7"/>
    <w:rsid w:val="00546CA2"/>
    <w:rsid w:val="005539F5"/>
    <w:rsid w:val="0055415C"/>
    <w:rsid w:val="00554AAC"/>
    <w:rsid w:val="0055503F"/>
    <w:rsid w:val="005572D7"/>
    <w:rsid w:val="00563797"/>
    <w:rsid w:val="005651B5"/>
    <w:rsid w:val="00566234"/>
    <w:rsid w:val="0057262B"/>
    <w:rsid w:val="005815B3"/>
    <w:rsid w:val="00582A03"/>
    <w:rsid w:val="005871ED"/>
    <w:rsid w:val="00587E37"/>
    <w:rsid w:val="00593821"/>
    <w:rsid w:val="00596E88"/>
    <w:rsid w:val="00597CBD"/>
    <w:rsid w:val="005A0969"/>
    <w:rsid w:val="005A5E7A"/>
    <w:rsid w:val="005B0DEF"/>
    <w:rsid w:val="005B2A03"/>
    <w:rsid w:val="005B371A"/>
    <w:rsid w:val="005B4C1B"/>
    <w:rsid w:val="005C2684"/>
    <w:rsid w:val="005C2DDC"/>
    <w:rsid w:val="005C5620"/>
    <w:rsid w:val="005C578C"/>
    <w:rsid w:val="005D02A0"/>
    <w:rsid w:val="005D1F0F"/>
    <w:rsid w:val="005D29DB"/>
    <w:rsid w:val="005D41F9"/>
    <w:rsid w:val="005E4143"/>
    <w:rsid w:val="005E724B"/>
    <w:rsid w:val="00601F7C"/>
    <w:rsid w:val="00602A48"/>
    <w:rsid w:val="00602EF7"/>
    <w:rsid w:val="00606305"/>
    <w:rsid w:val="00606F11"/>
    <w:rsid w:val="00607B03"/>
    <w:rsid w:val="0061059D"/>
    <w:rsid w:val="00610E88"/>
    <w:rsid w:val="0061326F"/>
    <w:rsid w:val="00614393"/>
    <w:rsid w:val="006146F2"/>
    <w:rsid w:val="00614C00"/>
    <w:rsid w:val="00623567"/>
    <w:rsid w:val="006412B5"/>
    <w:rsid w:val="00641932"/>
    <w:rsid w:val="00642F60"/>
    <w:rsid w:val="00644083"/>
    <w:rsid w:val="0064429B"/>
    <w:rsid w:val="0064477C"/>
    <w:rsid w:val="00647DC2"/>
    <w:rsid w:val="00650903"/>
    <w:rsid w:val="006650A8"/>
    <w:rsid w:val="006679C0"/>
    <w:rsid w:val="00680ED5"/>
    <w:rsid w:val="00681956"/>
    <w:rsid w:val="00682FBA"/>
    <w:rsid w:val="00683370"/>
    <w:rsid w:val="00684EC1"/>
    <w:rsid w:val="006903F9"/>
    <w:rsid w:val="006923C8"/>
    <w:rsid w:val="00696AB4"/>
    <w:rsid w:val="00697494"/>
    <w:rsid w:val="006976BF"/>
    <w:rsid w:val="006A05D7"/>
    <w:rsid w:val="006A4628"/>
    <w:rsid w:val="006B1B63"/>
    <w:rsid w:val="006B3F39"/>
    <w:rsid w:val="006B4213"/>
    <w:rsid w:val="006B43AF"/>
    <w:rsid w:val="006B4DF0"/>
    <w:rsid w:val="006C1013"/>
    <w:rsid w:val="006C163A"/>
    <w:rsid w:val="006C228B"/>
    <w:rsid w:val="006C2931"/>
    <w:rsid w:val="006D466E"/>
    <w:rsid w:val="006D4B70"/>
    <w:rsid w:val="006D4C35"/>
    <w:rsid w:val="006D7A92"/>
    <w:rsid w:val="006E3B48"/>
    <w:rsid w:val="006E6184"/>
    <w:rsid w:val="006E631B"/>
    <w:rsid w:val="006F096A"/>
    <w:rsid w:val="006F22E3"/>
    <w:rsid w:val="006F3095"/>
    <w:rsid w:val="006F5455"/>
    <w:rsid w:val="006F5CB6"/>
    <w:rsid w:val="006F79D3"/>
    <w:rsid w:val="00703194"/>
    <w:rsid w:val="007069A5"/>
    <w:rsid w:val="00706E50"/>
    <w:rsid w:val="0070737C"/>
    <w:rsid w:val="00711229"/>
    <w:rsid w:val="00715018"/>
    <w:rsid w:val="007179FE"/>
    <w:rsid w:val="00717F25"/>
    <w:rsid w:val="007201B1"/>
    <w:rsid w:val="007201D7"/>
    <w:rsid w:val="00724E14"/>
    <w:rsid w:val="00725AD5"/>
    <w:rsid w:val="00726DB5"/>
    <w:rsid w:val="00726EB4"/>
    <w:rsid w:val="00731945"/>
    <w:rsid w:val="007320DE"/>
    <w:rsid w:val="007363DE"/>
    <w:rsid w:val="0073698D"/>
    <w:rsid w:val="00736C0B"/>
    <w:rsid w:val="00744D93"/>
    <w:rsid w:val="00746531"/>
    <w:rsid w:val="00750F59"/>
    <w:rsid w:val="00751725"/>
    <w:rsid w:val="00752028"/>
    <w:rsid w:val="0075450A"/>
    <w:rsid w:val="0075717D"/>
    <w:rsid w:val="00757FD2"/>
    <w:rsid w:val="0076017E"/>
    <w:rsid w:val="00760DB6"/>
    <w:rsid w:val="0076361C"/>
    <w:rsid w:val="00763BD4"/>
    <w:rsid w:val="007661AE"/>
    <w:rsid w:val="00766A51"/>
    <w:rsid w:val="00771FFF"/>
    <w:rsid w:val="00772818"/>
    <w:rsid w:val="0077685D"/>
    <w:rsid w:val="0077788E"/>
    <w:rsid w:val="00784439"/>
    <w:rsid w:val="00785663"/>
    <w:rsid w:val="00787E75"/>
    <w:rsid w:val="00797257"/>
    <w:rsid w:val="007A3157"/>
    <w:rsid w:val="007A6E20"/>
    <w:rsid w:val="007B10ED"/>
    <w:rsid w:val="007B2B2E"/>
    <w:rsid w:val="007B3BFC"/>
    <w:rsid w:val="007B4B03"/>
    <w:rsid w:val="007C4F31"/>
    <w:rsid w:val="007E4208"/>
    <w:rsid w:val="007E5257"/>
    <w:rsid w:val="007E5391"/>
    <w:rsid w:val="007F40BE"/>
    <w:rsid w:val="007F4EF5"/>
    <w:rsid w:val="00804105"/>
    <w:rsid w:val="00804E9C"/>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5FF5"/>
    <w:rsid w:val="008262F1"/>
    <w:rsid w:val="008311FA"/>
    <w:rsid w:val="008317EF"/>
    <w:rsid w:val="00845BCC"/>
    <w:rsid w:val="00845CE1"/>
    <w:rsid w:val="00851465"/>
    <w:rsid w:val="008514B8"/>
    <w:rsid w:val="00852ED8"/>
    <w:rsid w:val="0085330A"/>
    <w:rsid w:val="008550CA"/>
    <w:rsid w:val="0085533A"/>
    <w:rsid w:val="00855543"/>
    <w:rsid w:val="00855C7D"/>
    <w:rsid w:val="0085738D"/>
    <w:rsid w:val="00862395"/>
    <w:rsid w:val="00864B60"/>
    <w:rsid w:val="00864DD3"/>
    <w:rsid w:val="00866AD0"/>
    <w:rsid w:val="008708D6"/>
    <w:rsid w:val="00874608"/>
    <w:rsid w:val="008760D0"/>
    <w:rsid w:val="00881317"/>
    <w:rsid w:val="008843EE"/>
    <w:rsid w:val="00886DC6"/>
    <w:rsid w:val="00892CA4"/>
    <w:rsid w:val="008955B5"/>
    <w:rsid w:val="00896477"/>
    <w:rsid w:val="00896BD6"/>
    <w:rsid w:val="00896F5A"/>
    <w:rsid w:val="008A3C37"/>
    <w:rsid w:val="008B1840"/>
    <w:rsid w:val="008B70D3"/>
    <w:rsid w:val="008B73A2"/>
    <w:rsid w:val="008B7FE2"/>
    <w:rsid w:val="008C0BBA"/>
    <w:rsid w:val="008C2450"/>
    <w:rsid w:val="008C7817"/>
    <w:rsid w:val="008C7F5B"/>
    <w:rsid w:val="008D079A"/>
    <w:rsid w:val="008D1492"/>
    <w:rsid w:val="008D2F40"/>
    <w:rsid w:val="008D49DE"/>
    <w:rsid w:val="008D5B52"/>
    <w:rsid w:val="008D5C3A"/>
    <w:rsid w:val="008D6553"/>
    <w:rsid w:val="008E0AD6"/>
    <w:rsid w:val="008E4209"/>
    <w:rsid w:val="008E48FC"/>
    <w:rsid w:val="008E55BD"/>
    <w:rsid w:val="008E7527"/>
    <w:rsid w:val="008F2AD6"/>
    <w:rsid w:val="008F44F1"/>
    <w:rsid w:val="008F4BA8"/>
    <w:rsid w:val="008F5C07"/>
    <w:rsid w:val="008F696D"/>
    <w:rsid w:val="008F7777"/>
    <w:rsid w:val="00901CF5"/>
    <w:rsid w:val="00901F53"/>
    <w:rsid w:val="00906431"/>
    <w:rsid w:val="009115AF"/>
    <w:rsid w:val="00912322"/>
    <w:rsid w:val="00913276"/>
    <w:rsid w:val="009221DF"/>
    <w:rsid w:val="009224FD"/>
    <w:rsid w:val="0093296C"/>
    <w:rsid w:val="0093413C"/>
    <w:rsid w:val="00935CC7"/>
    <w:rsid w:val="0094002F"/>
    <w:rsid w:val="0094129D"/>
    <w:rsid w:val="00941BB7"/>
    <w:rsid w:val="00944760"/>
    <w:rsid w:val="00946A91"/>
    <w:rsid w:val="00946AE5"/>
    <w:rsid w:val="00950865"/>
    <w:rsid w:val="00951BAD"/>
    <w:rsid w:val="0095223D"/>
    <w:rsid w:val="009526E4"/>
    <w:rsid w:val="00953AA1"/>
    <w:rsid w:val="00954B44"/>
    <w:rsid w:val="009644B8"/>
    <w:rsid w:val="0096732C"/>
    <w:rsid w:val="009703B6"/>
    <w:rsid w:val="00971A4C"/>
    <w:rsid w:val="00975EB5"/>
    <w:rsid w:val="00983979"/>
    <w:rsid w:val="00983DC2"/>
    <w:rsid w:val="00983DF0"/>
    <w:rsid w:val="0099349A"/>
    <w:rsid w:val="0099742A"/>
    <w:rsid w:val="009A0446"/>
    <w:rsid w:val="009A062C"/>
    <w:rsid w:val="009A48AF"/>
    <w:rsid w:val="009A522D"/>
    <w:rsid w:val="009B0C68"/>
    <w:rsid w:val="009B3F77"/>
    <w:rsid w:val="009B5132"/>
    <w:rsid w:val="009C1486"/>
    <w:rsid w:val="009C166A"/>
    <w:rsid w:val="009C2059"/>
    <w:rsid w:val="009C6FFB"/>
    <w:rsid w:val="009C7EF5"/>
    <w:rsid w:val="009D0C93"/>
    <w:rsid w:val="009D2FAC"/>
    <w:rsid w:val="009E093C"/>
    <w:rsid w:val="009E1311"/>
    <w:rsid w:val="009E151E"/>
    <w:rsid w:val="009E3ACF"/>
    <w:rsid w:val="009E5DB6"/>
    <w:rsid w:val="009F2C68"/>
    <w:rsid w:val="009F777E"/>
    <w:rsid w:val="009F7F52"/>
    <w:rsid w:val="00A01F01"/>
    <w:rsid w:val="00A0202C"/>
    <w:rsid w:val="00A0227E"/>
    <w:rsid w:val="00A05C1E"/>
    <w:rsid w:val="00A0603F"/>
    <w:rsid w:val="00A112E6"/>
    <w:rsid w:val="00A14966"/>
    <w:rsid w:val="00A15CAB"/>
    <w:rsid w:val="00A16E8F"/>
    <w:rsid w:val="00A17CCB"/>
    <w:rsid w:val="00A201DE"/>
    <w:rsid w:val="00A211A9"/>
    <w:rsid w:val="00A2422A"/>
    <w:rsid w:val="00A246A0"/>
    <w:rsid w:val="00A25265"/>
    <w:rsid w:val="00A26FC8"/>
    <w:rsid w:val="00A303A1"/>
    <w:rsid w:val="00A42386"/>
    <w:rsid w:val="00A50719"/>
    <w:rsid w:val="00A50751"/>
    <w:rsid w:val="00A50E72"/>
    <w:rsid w:val="00A54B81"/>
    <w:rsid w:val="00A54BE7"/>
    <w:rsid w:val="00A56079"/>
    <w:rsid w:val="00A564EB"/>
    <w:rsid w:val="00A6500A"/>
    <w:rsid w:val="00A65333"/>
    <w:rsid w:val="00A6719E"/>
    <w:rsid w:val="00A70B30"/>
    <w:rsid w:val="00A739F1"/>
    <w:rsid w:val="00A758DE"/>
    <w:rsid w:val="00A7713D"/>
    <w:rsid w:val="00A776DC"/>
    <w:rsid w:val="00A8189A"/>
    <w:rsid w:val="00A81C2E"/>
    <w:rsid w:val="00A81EC4"/>
    <w:rsid w:val="00A83B8E"/>
    <w:rsid w:val="00A8478F"/>
    <w:rsid w:val="00A858C4"/>
    <w:rsid w:val="00A9141E"/>
    <w:rsid w:val="00A9341B"/>
    <w:rsid w:val="00A974CA"/>
    <w:rsid w:val="00A97E12"/>
    <w:rsid w:val="00AA2CD5"/>
    <w:rsid w:val="00AA4F6C"/>
    <w:rsid w:val="00AB16AE"/>
    <w:rsid w:val="00AB392A"/>
    <w:rsid w:val="00AB5801"/>
    <w:rsid w:val="00AB5A64"/>
    <w:rsid w:val="00AB71A5"/>
    <w:rsid w:val="00AB76C6"/>
    <w:rsid w:val="00AB79E9"/>
    <w:rsid w:val="00AC5567"/>
    <w:rsid w:val="00AD04F4"/>
    <w:rsid w:val="00AD34CE"/>
    <w:rsid w:val="00AD576C"/>
    <w:rsid w:val="00AD670F"/>
    <w:rsid w:val="00AD6C71"/>
    <w:rsid w:val="00AE1E4B"/>
    <w:rsid w:val="00AE1E54"/>
    <w:rsid w:val="00AE2AFD"/>
    <w:rsid w:val="00AE4372"/>
    <w:rsid w:val="00AE478A"/>
    <w:rsid w:val="00AE631D"/>
    <w:rsid w:val="00AF0C8D"/>
    <w:rsid w:val="00B00778"/>
    <w:rsid w:val="00B04E8C"/>
    <w:rsid w:val="00B050C0"/>
    <w:rsid w:val="00B05642"/>
    <w:rsid w:val="00B06097"/>
    <w:rsid w:val="00B10045"/>
    <w:rsid w:val="00B100DF"/>
    <w:rsid w:val="00B10CAE"/>
    <w:rsid w:val="00B12190"/>
    <w:rsid w:val="00B1294B"/>
    <w:rsid w:val="00B137C3"/>
    <w:rsid w:val="00B171BB"/>
    <w:rsid w:val="00B2247A"/>
    <w:rsid w:val="00B273FA"/>
    <w:rsid w:val="00B35327"/>
    <w:rsid w:val="00B35E92"/>
    <w:rsid w:val="00B36551"/>
    <w:rsid w:val="00B36E9E"/>
    <w:rsid w:val="00B40E38"/>
    <w:rsid w:val="00B45C9E"/>
    <w:rsid w:val="00B51ACE"/>
    <w:rsid w:val="00B619AA"/>
    <w:rsid w:val="00B623D7"/>
    <w:rsid w:val="00B624E1"/>
    <w:rsid w:val="00B66E7A"/>
    <w:rsid w:val="00B73977"/>
    <w:rsid w:val="00B8044F"/>
    <w:rsid w:val="00B8096A"/>
    <w:rsid w:val="00B81BEE"/>
    <w:rsid w:val="00B91564"/>
    <w:rsid w:val="00B9206A"/>
    <w:rsid w:val="00B9279E"/>
    <w:rsid w:val="00BA1CFA"/>
    <w:rsid w:val="00BA3873"/>
    <w:rsid w:val="00BA4284"/>
    <w:rsid w:val="00BB2E1E"/>
    <w:rsid w:val="00BC1029"/>
    <w:rsid w:val="00BC2720"/>
    <w:rsid w:val="00BC425F"/>
    <w:rsid w:val="00BC4728"/>
    <w:rsid w:val="00BC4BF4"/>
    <w:rsid w:val="00BC60B3"/>
    <w:rsid w:val="00BD2253"/>
    <w:rsid w:val="00BD3C0D"/>
    <w:rsid w:val="00BD7496"/>
    <w:rsid w:val="00BE042D"/>
    <w:rsid w:val="00BE2CED"/>
    <w:rsid w:val="00BE4802"/>
    <w:rsid w:val="00BE7212"/>
    <w:rsid w:val="00BF0D7C"/>
    <w:rsid w:val="00BF331F"/>
    <w:rsid w:val="00BF394B"/>
    <w:rsid w:val="00C053A4"/>
    <w:rsid w:val="00C05531"/>
    <w:rsid w:val="00C05CC6"/>
    <w:rsid w:val="00C063FE"/>
    <w:rsid w:val="00C068C7"/>
    <w:rsid w:val="00C073C2"/>
    <w:rsid w:val="00C13C12"/>
    <w:rsid w:val="00C160F4"/>
    <w:rsid w:val="00C20F99"/>
    <w:rsid w:val="00C2120D"/>
    <w:rsid w:val="00C215E7"/>
    <w:rsid w:val="00C233E9"/>
    <w:rsid w:val="00C2605C"/>
    <w:rsid w:val="00C26C5B"/>
    <w:rsid w:val="00C2711B"/>
    <w:rsid w:val="00C303B4"/>
    <w:rsid w:val="00C40EBC"/>
    <w:rsid w:val="00C41265"/>
    <w:rsid w:val="00C4202E"/>
    <w:rsid w:val="00C42ACA"/>
    <w:rsid w:val="00C51308"/>
    <w:rsid w:val="00C51F78"/>
    <w:rsid w:val="00C539F8"/>
    <w:rsid w:val="00C53A47"/>
    <w:rsid w:val="00C57BB9"/>
    <w:rsid w:val="00C606F6"/>
    <w:rsid w:val="00C6082E"/>
    <w:rsid w:val="00C61699"/>
    <w:rsid w:val="00C62B02"/>
    <w:rsid w:val="00C64908"/>
    <w:rsid w:val="00C705B5"/>
    <w:rsid w:val="00C7093C"/>
    <w:rsid w:val="00C738BD"/>
    <w:rsid w:val="00C75D40"/>
    <w:rsid w:val="00C83627"/>
    <w:rsid w:val="00C85E44"/>
    <w:rsid w:val="00C877DD"/>
    <w:rsid w:val="00C9102C"/>
    <w:rsid w:val="00C9183B"/>
    <w:rsid w:val="00C92F94"/>
    <w:rsid w:val="00C95D81"/>
    <w:rsid w:val="00C960AA"/>
    <w:rsid w:val="00C965FC"/>
    <w:rsid w:val="00CA121E"/>
    <w:rsid w:val="00CA501D"/>
    <w:rsid w:val="00CA55C4"/>
    <w:rsid w:val="00CB1789"/>
    <w:rsid w:val="00CB1CB2"/>
    <w:rsid w:val="00CB2557"/>
    <w:rsid w:val="00CB3FE0"/>
    <w:rsid w:val="00CB44C4"/>
    <w:rsid w:val="00CB47FE"/>
    <w:rsid w:val="00CB4D35"/>
    <w:rsid w:val="00CB6703"/>
    <w:rsid w:val="00CC39B1"/>
    <w:rsid w:val="00CC3D90"/>
    <w:rsid w:val="00CD526B"/>
    <w:rsid w:val="00CD5B93"/>
    <w:rsid w:val="00CD7039"/>
    <w:rsid w:val="00CE3847"/>
    <w:rsid w:val="00CE3B32"/>
    <w:rsid w:val="00CE4A24"/>
    <w:rsid w:val="00CE613B"/>
    <w:rsid w:val="00CE7403"/>
    <w:rsid w:val="00CF0826"/>
    <w:rsid w:val="00CF0D8A"/>
    <w:rsid w:val="00CF267F"/>
    <w:rsid w:val="00CF7DA0"/>
    <w:rsid w:val="00D0312C"/>
    <w:rsid w:val="00D03CE5"/>
    <w:rsid w:val="00D04614"/>
    <w:rsid w:val="00D06C76"/>
    <w:rsid w:val="00D1723F"/>
    <w:rsid w:val="00D26B64"/>
    <w:rsid w:val="00D30AA4"/>
    <w:rsid w:val="00D30CE5"/>
    <w:rsid w:val="00D3674A"/>
    <w:rsid w:val="00D37AA4"/>
    <w:rsid w:val="00D40383"/>
    <w:rsid w:val="00D4085D"/>
    <w:rsid w:val="00D428F4"/>
    <w:rsid w:val="00D434F3"/>
    <w:rsid w:val="00D4438C"/>
    <w:rsid w:val="00D46E83"/>
    <w:rsid w:val="00D51386"/>
    <w:rsid w:val="00D52914"/>
    <w:rsid w:val="00D5485B"/>
    <w:rsid w:val="00D57346"/>
    <w:rsid w:val="00D61911"/>
    <w:rsid w:val="00D62258"/>
    <w:rsid w:val="00D625A7"/>
    <w:rsid w:val="00D6391B"/>
    <w:rsid w:val="00D677F9"/>
    <w:rsid w:val="00D702F1"/>
    <w:rsid w:val="00D729FA"/>
    <w:rsid w:val="00D7336A"/>
    <w:rsid w:val="00D73591"/>
    <w:rsid w:val="00D802FC"/>
    <w:rsid w:val="00D8532B"/>
    <w:rsid w:val="00D85463"/>
    <w:rsid w:val="00D973A5"/>
    <w:rsid w:val="00D979B1"/>
    <w:rsid w:val="00DA205D"/>
    <w:rsid w:val="00DA7233"/>
    <w:rsid w:val="00DB3935"/>
    <w:rsid w:val="00DC4D62"/>
    <w:rsid w:val="00DC50E5"/>
    <w:rsid w:val="00DC76C7"/>
    <w:rsid w:val="00DD37B7"/>
    <w:rsid w:val="00DE311A"/>
    <w:rsid w:val="00DE36EB"/>
    <w:rsid w:val="00DE4A6C"/>
    <w:rsid w:val="00DE64C1"/>
    <w:rsid w:val="00DF5BAB"/>
    <w:rsid w:val="00E10555"/>
    <w:rsid w:val="00E11087"/>
    <w:rsid w:val="00E16E0A"/>
    <w:rsid w:val="00E204BB"/>
    <w:rsid w:val="00E220BC"/>
    <w:rsid w:val="00E31096"/>
    <w:rsid w:val="00E33938"/>
    <w:rsid w:val="00E33F03"/>
    <w:rsid w:val="00E354D8"/>
    <w:rsid w:val="00E36207"/>
    <w:rsid w:val="00E3658A"/>
    <w:rsid w:val="00E3706A"/>
    <w:rsid w:val="00E3738B"/>
    <w:rsid w:val="00E37446"/>
    <w:rsid w:val="00E37730"/>
    <w:rsid w:val="00E4099E"/>
    <w:rsid w:val="00E456AA"/>
    <w:rsid w:val="00E51483"/>
    <w:rsid w:val="00E5201F"/>
    <w:rsid w:val="00E579FF"/>
    <w:rsid w:val="00E6698B"/>
    <w:rsid w:val="00E7195E"/>
    <w:rsid w:val="00E72F4A"/>
    <w:rsid w:val="00E7467D"/>
    <w:rsid w:val="00E82115"/>
    <w:rsid w:val="00E832FF"/>
    <w:rsid w:val="00E83448"/>
    <w:rsid w:val="00E838D3"/>
    <w:rsid w:val="00E9075C"/>
    <w:rsid w:val="00E90BF8"/>
    <w:rsid w:val="00E92C8A"/>
    <w:rsid w:val="00E9346D"/>
    <w:rsid w:val="00E93724"/>
    <w:rsid w:val="00EA21BF"/>
    <w:rsid w:val="00EA594C"/>
    <w:rsid w:val="00EA7329"/>
    <w:rsid w:val="00EA7A1C"/>
    <w:rsid w:val="00EB5170"/>
    <w:rsid w:val="00EB67BE"/>
    <w:rsid w:val="00EB7EDA"/>
    <w:rsid w:val="00EC3E78"/>
    <w:rsid w:val="00EC5206"/>
    <w:rsid w:val="00EC5D22"/>
    <w:rsid w:val="00ED0175"/>
    <w:rsid w:val="00ED0AC8"/>
    <w:rsid w:val="00ED2AC4"/>
    <w:rsid w:val="00ED4036"/>
    <w:rsid w:val="00ED53C6"/>
    <w:rsid w:val="00EE041B"/>
    <w:rsid w:val="00EE57AC"/>
    <w:rsid w:val="00EE74C4"/>
    <w:rsid w:val="00EE7D29"/>
    <w:rsid w:val="00EF33DE"/>
    <w:rsid w:val="00EF6486"/>
    <w:rsid w:val="00EF72D4"/>
    <w:rsid w:val="00F11A23"/>
    <w:rsid w:val="00F11DDE"/>
    <w:rsid w:val="00F120E6"/>
    <w:rsid w:val="00F12ACD"/>
    <w:rsid w:val="00F16589"/>
    <w:rsid w:val="00F2068C"/>
    <w:rsid w:val="00F234AB"/>
    <w:rsid w:val="00F24478"/>
    <w:rsid w:val="00F31DE0"/>
    <w:rsid w:val="00F3245D"/>
    <w:rsid w:val="00F34E70"/>
    <w:rsid w:val="00F4377A"/>
    <w:rsid w:val="00F46237"/>
    <w:rsid w:val="00F47765"/>
    <w:rsid w:val="00F501C6"/>
    <w:rsid w:val="00F630DB"/>
    <w:rsid w:val="00F630EF"/>
    <w:rsid w:val="00F6403E"/>
    <w:rsid w:val="00F71346"/>
    <w:rsid w:val="00F715F2"/>
    <w:rsid w:val="00F730C7"/>
    <w:rsid w:val="00F76C87"/>
    <w:rsid w:val="00F8684A"/>
    <w:rsid w:val="00F94C3D"/>
    <w:rsid w:val="00F95D26"/>
    <w:rsid w:val="00F97627"/>
    <w:rsid w:val="00F979C5"/>
    <w:rsid w:val="00FA0CBF"/>
    <w:rsid w:val="00FA0E45"/>
    <w:rsid w:val="00FA2EC0"/>
    <w:rsid w:val="00FA4E87"/>
    <w:rsid w:val="00FA64FD"/>
    <w:rsid w:val="00FB4200"/>
    <w:rsid w:val="00FB5750"/>
    <w:rsid w:val="00FB6A2E"/>
    <w:rsid w:val="00FC055C"/>
    <w:rsid w:val="00FD4437"/>
    <w:rsid w:val="00FE26A5"/>
    <w:rsid w:val="00FE347C"/>
    <w:rsid w:val="00FE4A16"/>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B098DD4"/>
  <w14:defaultImageDpi w14:val="96"/>
  <w15:docId w15:val="{E4F48CF7-1BD3-4C74-9D45-A47504B9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13D"/>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6"/>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9"/>
      </w:numPr>
      <w:tabs>
        <w:tab w:val="num" w:pos="567"/>
        <w:tab w:val="num" w:pos="850"/>
      </w:tabs>
      <w:ind w:left="850" w:hanging="284"/>
    </w:pPr>
  </w:style>
  <w:style w:type="paragraph" w:customStyle="1" w:styleId="DoubleDot">
    <w:name w:val="Double Dot"/>
    <w:basedOn w:val="Normal"/>
    <w:rsid w:val="00D51386"/>
    <w:pPr>
      <w:numPr>
        <w:ilvl w:val="2"/>
        <w:numId w:val="9"/>
      </w:numPr>
      <w:tabs>
        <w:tab w:val="num" w:pos="850"/>
        <w:tab w:val="num" w:pos="1133"/>
      </w:tabs>
      <w:ind w:left="1133" w:hanging="283"/>
    </w:pPr>
  </w:style>
  <w:style w:type="paragraph" w:customStyle="1" w:styleId="OutlineNumbered1">
    <w:name w:val="Outline Numbered 1"/>
    <w:basedOn w:val="Normal"/>
    <w:rsid w:val="00D51386"/>
    <w:pPr>
      <w:numPr>
        <w:numId w:val="6"/>
      </w:numPr>
    </w:pPr>
  </w:style>
  <w:style w:type="paragraph" w:customStyle="1" w:styleId="OutlineNumbered2">
    <w:name w:val="Outline Numbered 2"/>
    <w:basedOn w:val="Normal"/>
    <w:rsid w:val="00D51386"/>
    <w:pPr>
      <w:numPr>
        <w:ilvl w:val="1"/>
        <w:numId w:val="6"/>
      </w:numPr>
    </w:pPr>
  </w:style>
  <w:style w:type="paragraph" w:customStyle="1" w:styleId="OutlineNumbered3">
    <w:name w:val="Outline Numbered 3"/>
    <w:basedOn w:val="Normal"/>
    <w:rsid w:val="00D51386"/>
    <w:pPr>
      <w:numPr>
        <w:ilvl w:val="2"/>
        <w:numId w:val="6"/>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7"/>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9"/>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8"/>
      </w:numPr>
    </w:pPr>
  </w:style>
  <w:style w:type="paragraph" w:customStyle="1" w:styleId="BoxDash">
    <w:name w:val="Box Dash"/>
    <w:basedOn w:val="Normal"/>
    <w:uiPriority w:val="99"/>
    <w:rsid w:val="00D51386"/>
    <w:pPr>
      <w:numPr>
        <w:ilvl w:val="1"/>
        <w:numId w:val="8"/>
      </w:numPr>
    </w:pPr>
  </w:style>
  <w:style w:type="paragraph" w:customStyle="1" w:styleId="BoxDoubleDot">
    <w:name w:val="Box Double Dot"/>
    <w:basedOn w:val="BoxTextBase"/>
    <w:uiPriority w:val="99"/>
    <w:rsid w:val="00D51386"/>
    <w:pPr>
      <w:numPr>
        <w:ilvl w:val="2"/>
        <w:numId w:val="8"/>
      </w:numPr>
    </w:pPr>
  </w:style>
  <w:style w:type="paragraph" w:customStyle="1" w:styleId="RecommendationBullet">
    <w:name w:val="Recommendation Bullet"/>
    <w:basedOn w:val="RecommendationTextBase"/>
    <w:rsid w:val="00D51386"/>
    <w:pPr>
      <w:numPr>
        <w:numId w:val="10"/>
      </w:numPr>
    </w:pPr>
  </w:style>
  <w:style w:type="paragraph" w:customStyle="1" w:styleId="RecommendationDash">
    <w:name w:val="Recommendation Dash"/>
    <w:basedOn w:val="RecommendationTextBase"/>
    <w:rsid w:val="00D51386"/>
    <w:pPr>
      <w:numPr>
        <w:ilvl w:val="1"/>
        <w:numId w:val="10"/>
      </w:numPr>
    </w:pPr>
  </w:style>
  <w:style w:type="paragraph" w:customStyle="1" w:styleId="RecommendationDoubleDot">
    <w:name w:val="Recommendation Double Dot"/>
    <w:basedOn w:val="RecommendationTextBase"/>
    <w:rsid w:val="00D51386"/>
    <w:pPr>
      <w:numPr>
        <w:ilvl w:val="2"/>
        <w:numId w:val="10"/>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2"/>
      </w:numPr>
    </w:pPr>
  </w:style>
  <w:style w:type="paragraph" w:customStyle="1" w:styleId="Romannumeral">
    <w:name w:val="Roman numeral"/>
    <w:basedOn w:val="Normal"/>
    <w:rsid w:val="00D51386"/>
    <w:pPr>
      <w:numPr>
        <w:numId w:val="14"/>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7"/>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11"/>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7"/>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2"/>
      </w:numPr>
    </w:pPr>
  </w:style>
  <w:style w:type="paragraph" w:customStyle="1" w:styleId="AgreementParties">
    <w:name w:val="AgreementParties"/>
    <w:rsid w:val="00D51386"/>
    <w:pPr>
      <w:numPr>
        <w:numId w:val="15"/>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9"/>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0"/>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21"/>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1"/>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1"/>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1"/>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1"/>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1"/>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1"/>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1"/>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1"/>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866AD0"/>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3982">
      <w:bodyDiv w:val="1"/>
      <w:marLeft w:val="0"/>
      <w:marRight w:val="0"/>
      <w:marTop w:val="0"/>
      <w:marBottom w:val="0"/>
      <w:divBdr>
        <w:top w:val="none" w:sz="0" w:space="0" w:color="auto"/>
        <w:left w:val="none" w:sz="0" w:space="0" w:color="auto"/>
        <w:bottom w:val="none" w:sz="0" w:space="0" w:color="auto"/>
        <w:right w:val="none" w:sz="0" w:space="0" w:color="auto"/>
      </w:divBdr>
    </w:div>
    <w:div w:id="1067649748">
      <w:marLeft w:val="0"/>
      <w:marRight w:val="0"/>
      <w:marTop w:val="0"/>
      <w:marBottom w:val="0"/>
      <w:divBdr>
        <w:top w:val="none" w:sz="0" w:space="0" w:color="auto"/>
        <w:left w:val="none" w:sz="0" w:space="0" w:color="auto"/>
        <w:bottom w:val="none" w:sz="0" w:space="0" w:color="auto"/>
        <w:right w:val="none" w:sz="0" w:space="0" w:color="auto"/>
      </w:divBdr>
    </w:div>
    <w:div w:id="1067649749">
      <w:marLeft w:val="0"/>
      <w:marRight w:val="0"/>
      <w:marTop w:val="0"/>
      <w:marBottom w:val="0"/>
      <w:divBdr>
        <w:top w:val="none" w:sz="0" w:space="0" w:color="auto"/>
        <w:left w:val="none" w:sz="0" w:space="0" w:color="auto"/>
        <w:bottom w:val="none" w:sz="0" w:space="0" w:color="auto"/>
        <w:right w:val="none" w:sz="0" w:space="0" w:color="auto"/>
      </w:divBdr>
    </w:div>
    <w:div w:id="1067649750">
      <w:marLeft w:val="0"/>
      <w:marRight w:val="0"/>
      <w:marTop w:val="0"/>
      <w:marBottom w:val="0"/>
      <w:divBdr>
        <w:top w:val="none" w:sz="0" w:space="0" w:color="auto"/>
        <w:left w:val="none" w:sz="0" w:space="0" w:color="auto"/>
        <w:bottom w:val="none" w:sz="0" w:space="0" w:color="auto"/>
        <w:right w:val="none" w:sz="0" w:space="0" w:color="auto"/>
      </w:divBdr>
    </w:div>
    <w:div w:id="1067649751">
      <w:marLeft w:val="0"/>
      <w:marRight w:val="0"/>
      <w:marTop w:val="0"/>
      <w:marBottom w:val="0"/>
      <w:divBdr>
        <w:top w:val="none" w:sz="0" w:space="0" w:color="auto"/>
        <w:left w:val="none" w:sz="0" w:space="0" w:color="auto"/>
        <w:bottom w:val="none" w:sz="0" w:space="0" w:color="auto"/>
        <w:right w:val="none" w:sz="0" w:space="0" w:color="auto"/>
      </w:divBdr>
    </w:div>
    <w:div w:id="1067649752">
      <w:marLeft w:val="0"/>
      <w:marRight w:val="0"/>
      <w:marTop w:val="0"/>
      <w:marBottom w:val="0"/>
      <w:divBdr>
        <w:top w:val="none" w:sz="0" w:space="0" w:color="auto"/>
        <w:left w:val="none" w:sz="0" w:space="0" w:color="auto"/>
        <w:bottom w:val="none" w:sz="0" w:space="0" w:color="auto"/>
        <w:right w:val="none" w:sz="0" w:space="0" w:color="auto"/>
      </w:divBdr>
    </w:div>
    <w:div w:id="1067649753">
      <w:marLeft w:val="0"/>
      <w:marRight w:val="0"/>
      <w:marTop w:val="0"/>
      <w:marBottom w:val="0"/>
      <w:divBdr>
        <w:top w:val="none" w:sz="0" w:space="0" w:color="auto"/>
        <w:left w:val="none" w:sz="0" w:space="0" w:color="auto"/>
        <w:bottom w:val="none" w:sz="0" w:space="0" w:color="auto"/>
        <w:right w:val="none" w:sz="0" w:space="0" w:color="auto"/>
      </w:divBdr>
    </w:div>
    <w:div w:id="1067649754">
      <w:marLeft w:val="0"/>
      <w:marRight w:val="0"/>
      <w:marTop w:val="0"/>
      <w:marBottom w:val="0"/>
      <w:divBdr>
        <w:top w:val="none" w:sz="0" w:space="0" w:color="auto"/>
        <w:left w:val="none" w:sz="0" w:space="0" w:color="auto"/>
        <w:bottom w:val="none" w:sz="0" w:space="0" w:color="auto"/>
        <w:right w:val="none" w:sz="0" w:space="0" w:color="auto"/>
      </w:divBdr>
    </w:div>
    <w:div w:id="1414277579">
      <w:bodyDiv w:val="1"/>
      <w:marLeft w:val="0"/>
      <w:marRight w:val="0"/>
      <w:marTop w:val="0"/>
      <w:marBottom w:val="0"/>
      <w:divBdr>
        <w:top w:val="none" w:sz="0" w:space="0" w:color="auto"/>
        <w:left w:val="none" w:sz="0" w:space="0" w:color="auto"/>
        <w:bottom w:val="none" w:sz="0" w:space="0" w:color="auto"/>
        <w:right w:val="none" w:sz="0" w:space="0" w:color="auto"/>
      </w:divBdr>
    </w:div>
    <w:div w:id="16108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_dlc_DocId xmlns="0f563589-9cf9-4143-b1eb-fb0534803d38">2020FG-64-85751</_dlc_DocId>
    <_dlc_DocIdUrl xmlns="0f563589-9cf9-4143-b1eb-fb0534803d38">
      <Url>http://tweb/sites/fg/csrd/_layouts/15/DocIdRedir.aspx?ID=2020FG-64-85751</Url>
      <Description>2020FG-64-85751</Description>
    </_dlc_DocIdUr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691" ma:contentTypeDescription=" " ma:contentTypeScope="" ma:versionID="7ff2a88635ec0d0e81fba8cbce856352">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CB663937-84C7-417F-8720-2A44E9E8B2B3}"/>
</file>

<file path=customXml/itemProps2.xml><?xml version="1.0" encoding="utf-8"?>
<ds:datastoreItem xmlns:ds="http://schemas.openxmlformats.org/officeDocument/2006/customXml" ds:itemID="{D6C7DD5B-C900-45A3-878C-92520346A662}">
  <ds:schemaRefs>
    <ds:schemaRef ds:uri="http://schemas.microsoft.com/office/2006/metadata/properties"/>
    <ds:schemaRef ds:uri="http://schemas.microsoft.com/office/infopath/2007/PartnerControls"/>
    <ds:schemaRef ds:uri="http://schemas.microsoft.com/sharepoint/v4"/>
    <ds:schemaRef ds:uri="e544e5cc-ab70-42e1-849e-1a0f8bb1f4ef"/>
    <ds:schemaRef ds:uri="0f563589-9cf9-4143-b1eb-fb0534803d38"/>
  </ds:schemaRefs>
</ds:datastoreItem>
</file>

<file path=customXml/itemProps3.xml><?xml version="1.0" encoding="utf-8"?>
<ds:datastoreItem xmlns:ds="http://schemas.openxmlformats.org/officeDocument/2006/customXml" ds:itemID="{5C8015EE-1232-46CA-9726-2DB755525E10}"/>
</file>

<file path=customXml/itemProps4.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5.xml><?xml version="1.0" encoding="utf-8"?>
<ds:datastoreItem xmlns:ds="http://schemas.openxmlformats.org/officeDocument/2006/customXml" ds:itemID="{1D6CA73D-198C-4219-ADE7-E1E176A05BBA}">
  <ds:schemaRefs>
    <ds:schemaRef ds:uri="Microsoft.SharePoint.Taxonomy.ContentTypeSync"/>
  </ds:schemaRefs>
</ds:datastoreItem>
</file>

<file path=customXml/itemProps6.xml><?xml version="1.0" encoding="utf-8"?>
<ds:datastoreItem xmlns:ds="http://schemas.openxmlformats.org/officeDocument/2006/customXml" ds:itemID="{012DEACC-3746-4DED-9024-01A611F6FB1A}"/>
</file>

<file path=customXml/itemProps7.xml><?xml version="1.0" encoding="utf-8"?>
<ds:datastoreItem xmlns:ds="http://schemas.openxmlformats.org/officeDocument/2006/customXml" ds:itemID="{279AB441-643C-4B1A-B5FB-136EB5787463}">
  <ds:schemaRefs>
    <ds:schemaRef ds:uri="http://schemas.openxmlformats.org/officeDocument/2006/bibliography"/>
  </ds:schemaRefs>
</ds:datastoreItem>
</file>

<file path=customXml/itemProps8.xml><?xml version="1.0" encoding="utf-8"?>
<ds:datastoreItem xmlns:ds="http://schemas.openxmlformats.org/officeDocument/2006/customXml" ds:itemID="{810FB3FF-05ED-4B73-9616-B0F7D441FBAD}"/>
</file>

<file path=docProps/app.xml><?xml version="1.0" encoding="utf-8"?>
<Properties xmlns="http://schemas.openxmlformats.org/officeDocument/2006/extended-properties" xmlns:vt="http://schemas.openxmlformats.org/officeDocument/2006/docPropsVTypes">
  <Template>COAG</Template>
  <TotalTime>0</TotalTime>
  <Pages>7</Pages>
  <Words>1563</Words>
  <Characters>8914</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Project Agreement Template</vt:lpstr>
      <vt:lpstr>overview</vt:lpstr>
      <vt:lpstr>    Purpose</vt:lpstr>
      <vt:lpstr>Part 1 — Formalities</vt:lpstr>
      <vt:lpstr>    Parties to this Agreement</vt:lpstr>
      <vt:lpstr>    Term of the Agreement</vt:lpstr>
      <vt:lpstr>    Part 2 — Project outpuTS</vt:lpstr>
      <vt:lpstr>    Outputs</vt:lpstr>
      <vt:lpstr>Part 3 — roles and responsibilities of each party</vt:lpstr>
      <vt:lpstr>    Role of the Commonwealth</vt:lpstr>
      <vt:lpstr>    Role of the States and Territories</vt:lpstr>
      <vt:lpstr>    Shared roles</vt:lpstr>
      <vt:lpstr>Part 4 — Project milestones, reporting and Payments</vt:lpstr>
      <vt:lpstr>    Reporting arrangements</vt:lpstr>
      <vt:lpstr>Part 5 — financial arrangements</vt:lpstr>
      <vt:lpstr>Part 6 — governance arrangements</vt:lpstr>
      <vt:lpstr>    Enforceability of the Agreement</vt:lpstr>
      <vt:lpstr>    Variation of the Agreement</vt:lpstr>
      <vt:lpstr>    Delegations</vt:lpstr>
      <vt:lpstr>    Dispute resolution</vt:lpstr>
    </vt:vector>
  </TitlesOfParts>
  <Company>Australian Government - The Treasury</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Council of Australian Governments</dc:creator>
  <cp:keywords/>
  <dc:description/>
  <cp:lastModifiedBy>Angela-Robinson (Canberra)</cp:lastModifiedBy>
  <cp:revision>2</cp:revision>
  <cp:lastPrinted>2015-08-13T02:13:00Z</cp:lastPrinted>
  <dcterms:created xsi:type="dcterms:W3CDTF">2019-10-09T05:24:00Z</dcterms:created>
  <dcterms:modified xsi:type="dcterms:W3CDTF">2019-10-09T05:24:00Z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RecordPoint_WorkflowType">
    <vt:lpwstr>ActiveSubmitStub</vt:lpwstr>
  </property>
  <property fmtid="{D5CDD505-2E9C-101B-9397-08002B2CF9AE}" pid="4" name="RecordPoint_ActiveItemListId">
    <vt:lpwstr>{4435c73b-6585-4bc2-a76a-5d21b1a02e06}</vt:lpwstr>
  </property>
  <property fmtid="{D5CDD505-2E9C-101B-9397-08002B2CF9AE}" pid="5" name="RecordPoint_ActiveItemUniqueId">
    <vt:lpwstr>{169e311f-7b89-4193-adc7-97a21917c20e}</vt:lpwstr>
  </property>
  <property fmtid="{D5CDD505-2E9C-101B-9397-08002B2CF9AE}" pid="6" name="RecordPoint_ActiveItemWebId">
    <vt:lpwstr>{a4589788-615f-4b8b-8296-7f9f6dfbab44}</vt:lpwstr>
  </property>
  <property fmtid="{D5CDD505-2E9C-101B-9397-08002B2CF9AE}" pid="7" name="RecordPoint_ActiveItemSiteId">
    <vt:lpwstr>{a3a280d1-e8f1-4ce7-94f0-aaa2322da0dd}</vt:lpwstr>
  </property>
  <property fmtid="{D5CDD505-2E9C-101B-9397-08002B2CF9AE}" pid="8" name="RecordPoint_SubmissionCompleted">
    <vt:lpwstr/>
  </property>
  <property fmtid="{D5CDD505-2E9C-101B-9397-08002B2CF9AE}" pid="9" name="TSYRecordClass">
    <vt:lpwstr>2;#TSY RA-8748 - Retain as national archives|243f2231-dbfc-4282-b24a-c9b768286bd0</vt:lpwstr>
  </property>
  <property fmtid="{D5CDD505-2E9C-101B-9397-08002B2CF9AE}" pid="10" name="_dlc_DocIdItemGuid">
    <vt:lpwstr>169e311f-7b89-4193-adc7-97a21917c20e</vt:lpwstr>
  </property>
  <property fmtid="{D5CDD505-2E9C-101B-9397-08002B2CF9AE}" pid="11" name="RecordPoint_RecordNumberSubmitted">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Protective Markings">
    <vt:lpwstr/>
  </property>
</Properties>
</file>