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rsidRPr="004279E6">
        <w:tc>
          <w:tcPr>
            <w:tcW w:w="5000" w:type="pct"/>
            <w:gridSpan w:val="2"/>
          </w:tcPr>
          <w:p w:rsidR="00814667" w:rsidRPr="004279E6" w:rsidRDefault="00BA4284" w:rsidP="003A3AFB">
            <w:pPr>
              <w:pStyle w:val="CoverTitleMain"/>
            </w:pPr>
            <w:bookmarkStart w:id="0" w:name="_GoBack"/>
            <w:bookmarkEnd w:id="0"/>
            <w:r w:rsidRPr="004279E6">
              <w:t>Project AGreement</w:t>
            </w:r>
            <w:r w:rsidR="00292587" w:rsidRPr="004279E6">
              <w:t xml:space="preserve"> FOR</w:t>
            </w:r>
            <w:r w:rsidR="00627B59" w:rsidRPr="004279E6">
              <w:t xml:space="preserve"> </w:t>
            </w:r>
            <w:r w:rsidR="00DC0300" w:rsidRPr="004279E6">
              <w:t xml:space="preserve">The </w:t>
            </w:r>
            <w:r w:rsidR="00627B59" w:rsidRPr="004279E6">
              <w:t>Western Sydney City</w:t>
            </w:r>
            <w:r w:rsidR="00904595" w:rsidRPr="004279E6">
              <w:t xml:space="preserve"> DEAL</w:t>
            </w:r>
          </w:p>
        </w:tc>
      </w:tr>
      <w:tr w:rsidR="00814667" w:rsidRPr="004279E6">
        <w:tc>
          <w:tcPr>
            <w:tcW w:w="767" w:type="pct"/>
          </w:tcPr>
          <w:p w:rsidR="00814667" w:rsidRPr="004279E6" w:rsidRDefault="00814667">
            <w:pPr>
              <w:pStyle w:val="SingleParagraph"/>
              <w:tabs>
                <w:tab w:val="num" w:pos="1134"/>
              </w:tabs>
              <w:spacing w:after="240"/>
              <w:ind w:left="1134" w:hanging="567"/>
            </w:pPr>
          </w:p>
        </w:tc>
        <w:tc>
          <w:tcPr>
            <w:tcW w:w="4233" w:type="pct"/>
          </w:tcPr>
          <w:p w:rsidR="00814667" w:rsidRPr="004279E6" w:rsidRDefault="00814667">
            <w:pPr>
              <w:pStyle w:val="SingleParagraph"/>
              <w:tabs>
                <w:tab w:val="num" w:pos="1134"/>
              </w:tabs>
              <w:spacing w:after="240"/>
              <w:ind w:left="1134" w:hanging="567"/>
            </w:pPr>
          </w:p>
        </w:tc>
      </w:tr>
      <w:tr w:rsidR="00814667" w:rsidRPr="004279E6">
        <w:tc>
          <w:tcPr>
            <w:tcW w:w="767" w:type="pct"/>
          </w:tcPr>
          <w:p w:rsidR="00814667" w:rsidRPr="004279E6" w:rsidRDefault="00814667">
            <w:pPr>
              <w:pStyle w:val="SingleParagraph"/>
              <w:tabs>
                <w:tab w:val="num" w:pos="1134"/>
              </w:tabs>
              <w:spacing w:after="240"/>
              <w:ind w:left="1134" w:hanging="567"/>
            </w:pPr>
          </w:p>
        </w:tc>
        <w:tc>
          <w:tcPr>
            <w:tcW w:w="4233" w:type="pct"/>
          </w:tcPr>
          <w:p w:rsidR="00814667" w:rsidRPr="004279E6" w:rsidRDefault="00814667">
            <w:pPr>
              <w:pStyle w:val="SingleParagraph"/>
              <w:tabs>
                <w:tab w:val="num" w:pos="1134"/>
              </w:tabs>
              <w:spacing w:after="240"/>
              <w:ind w:left="1134" w:hanging="567"/>
            </w:pPr>
          </w:p>
        </w:tc>
      </w:tr>
      <w:tr w:rsidR="00814667" w:rsidRPr="004279E6">
        <w:tc>
          <w:tcPr>
            <w:tcW w:w="5000" w:type="pct"/>
            <w:gridSpan w:val="2"/>
          </w:tcPr>
          <w:p w:rsidR="00814667" w:rsidRPr="004279E6" w:rsidRDefault="00814667">
            <w:pPr>
              <w:pStyle w:val="AgreementHeading"/>
              <w:tabs>
                <w:tab w:val="clear" w:pos="1134"/>
              </w:tabs>
            </w:pPr>
            <w:r w:rsidRPr="004279E6">
              <w:t>An agreement between</w:t>
            </w:r>
            <w:r w:rsidR="00697494" w:rsidRPr="004279E6">
              <w:t>:</w:t>
            </w:r>
          </w:p>
        </w:tc>
      </w:tr>
      <w:tr w:rsidR="00814667" w:rsidRPr="004279E6">
        <w:tc>
          <w:tcPr>
            <w:tcW w:w="767" w:type="pct"/>
          </w:tcPr>
          <w:p w:rsidR="00814667" w:rsidRPr="004279E6" w:rsidRDefault="00814667">
            <w:pPr>
              <w:pStyle w:val="AgreementHeading"/>
              <w:tabs>
                <w:tab w:val="clear" w:pos="1134"/>
              </w:tabs>
              <w:ind w:left="522"/>
            </w:pPr>
          </w:p>
        </w:tc>
        <w:tc>
          <w:tcPr>
            <w:tcW w:w="4233" w:type="pct"/>
          </w:tcPr>
          <w:p w:rsidR="00814667" w:rsidRPr="004279E6" w:rsidRDefault="00814667">
            <w:pPr>
              <w:pStyle w:val="AgreementParties"/>
            </w:pPr>
            <w:r w:rsidRPr="004279E6">
              <w:t xml:space="preserve">the </w:t>
            </w:r>
            <w:r w:rsidRPr="004279E6">
              <w:rPr>
                <w:rStyle w:val="Bold"/>
              </w:rPr>
              <w:t>Commonwealth of Australia</w:t>
            </w:r>
            <w:r w:rsidR="00697494" w:rsidRPr="004279E6">
              <w:rPr>
                <w:rStyle w:val="Bold"/>
              </w:rPr>
              <w:t>;</w:t>
            </w:r>
            <w:r w:rsidRPr="004279E6">
              <w:t xml:space="preserve"> and</w:t>
            </w:r>
          </w:p>
          <w:p w:rsidR="00814667" w:rsidRPr="004279E6" w:rsidRDefault="00627B59" w:rsidP="00017688">
            <w:pPr>
              <w:pStyle w:val="AgreementParties"/>
              <w:rPr>
                <w:b/>
              </w:rPr>
            </w:pPr>
            <w:r w:rsidRPr="004279E6">
              <w:rPr>
                <w:b/>
              </w:rPr>
              <w:t>New South Wales</w:t>
            </w:r>
            <w:r w:rsidR="00A6394E" w:rsidRPr="004279E6">
              <w:rPr>
                <w:b/>
              </w:rPr>
              <w:t>.</w:t>
            </w:r>
          </w:p>
        </w:tc>
      </w:tr>
      <w:tr w:rsidR="00814667" w:rsidRPr="004279E6">
        <w:tc>
          <w:tcPr>
            <w:tcW w:w="767" w:type="pct"/>
          </w:tcPr>
          <w:p w:rsidR="00814667" w:rsidRPr="004279E6" w:rsidRDefault="00814667">
            <w:pPr>
              <w:pStyle w:val="SingleParagraph"/>
              <w:tabs>
                <w:tab w:val="num" w:pos="1134"/>
              </w:tabs>
              <w:spacing w:after="240"/>
              <w:ind w:left="1134" w:hanging="567"/>
            </w:pPr>
          </w:p>
        </w:tc>
        <w:tc>
          <w:tcPr>
            <w:tcW w:w="4233" w:type="pct"/>
            <w:tcBorders>
              <w:left w:val="nil"/>
            </w:tcBorders>
          </w:tcPr>
          <w:p w:rsidR="00EB7EDA" w:rsidRPr="004279E6" w:rsidRDefault="00EB7EDA" w:rsidP="00F630EF">
            <w:pPr>
              <w:rPr>
                <w:i/>
              </w:rPr>
            </w:pPr>
          </w:p>
        </w:tc>
      </w:tr>
      <w:tr w:rsidR="00814667" w:rsidRPr="004279E6">
        <w:tc>
          <w:tcPr>
            <w:tcW w:w="5000" w:type="pct"/>
            <w:gridSpan w:val="2"/>
          </w:tcPr>
          <w:p w:rsidR="00627B59" w:rsidRPr="004279E6" w:rsidRDefault="00627B59" w:rsidP="00627B59">
            <w:pPr>
              <w:pStyle w:val="SingleParagraph"/>
              <w:tabs>
                <w:tab w:val="num" w:pos="1134"/>
              </w:tabs>
              <w:spacing w:after="240"/>
            </w:pPr>
          </w:p>
        </w:tc>
      </w:tr>
      <w:tr w:rsidR="00814667" w:rsidRPr="004279E6">
        <w:tc>
          <w:tcPr>
            <w:tcW w:w="5000" w:type="pct"/>
            <w:gridSpan w:val="2"/>
          </w:tcPr>
          <w:p w:rsidR="005F7454" w:rsidRPr="004279E6" w:rsidRDefault="005F7454" w:rsidP="00627B59">
            <w:pPr>
              <w:pStyle w:val="Abstract"/>
            </w:pPr>
          </w:p>
          <w:p w:rsidR="00904595" w:rsidRPr="004279E6" w:rsidRDefault="00904595" w:rsidP="00627B59">
            <w:pPr>
              <w:pStyle w:val="Abstract"/>
            </w:pPr>
          </w:p>
          <w:p w:rsidR="00904595" w:rsidRPr="004279E6" w:rsidRDefault="00904595" w:rsidP="00627B59">
            <w:pPr>
              <w:pStyle w:val="Abstract"/>
            </w:pPr>
          </w:p>
          <w:p w:rsidR="00904595" w:rsidRPr="004279E6" w:rsidRDefault="00904595" w:rsidP="00627B59">
            <w:pPr>
              <w:pStyle w:val="Abstract"/>
            </w:pPr>
          </w:p>
          <w:p w:rsidR="00454FD0" w:rsidRPr="004279E6" w:rsidRDefault="00454FD0" w:rsidP="00627B59">
            <w:pPr>
              <w:pStyle w:val="Abstract"/>
            </w:pPr>
          </w:p>
          <w:p w:rsidR="00454FD0" w:rsidRPr="004279E6" w:rsidRDefault="00454FD0" w:rsidP="00627B59">
            <w:pPr>
              <w:pStyle w:val="Abstract"/>
            </w:pPr>
          </w:p>
          <w:p w:rsidR="00904595" w:rsidRPr="004279E6" w:rsidRDefault="00904595" w:rsidP="00627B59">
            <w:pPr>
              <w:pStyle w:val="Abstract"/>
            </w:pPr>
          </w:p>
          <w:p w:rsidR="00904595" w:rsidRPr="004279E6" w:rsidRDefault="00904595" w:rsidP="00627B59">
            <w:pPr>
              <w:pStyle w:val="Abstract"/>
            </w:pPr>
          </w:p>
          <w:p w:rsidR="00904595" w:rsidRPr="004279E6" w:rsidRDefault="00904595" w:rsidP="00627B59">
            <w:pPr>
              <w:pStyle w:val="Abstract"/>
            </w:pPr>
          </w:p>
          <w:p w:rsidR="00904595" w:rsidRPr="004279E6" w:rsidRDefault="00904595" w:rsidP="00627B59">
            <w:pPr>
              <w:pStyle w:val="Abstract"/>
            </w:pPr>
          </w:p>
          <w:p w:rsidR="00904595" w:rsidRPr="004279E6" w:rsidRDefault="00904595" w:rsidP="00627B59">
            <w:pPr>
              <w:pStyle w:val="Abstract"/>
            </w:pPr>
          </w:p>
          <w:p w:rsidR="00904595" w:rsidRPr="004279E6" w:rsidRDefault="00904595" w:rsidP="00627B59">
            <w:pPr>
              <w:pStyle w:val="Abstract"/>
            </w:pPr>
          </w:p>
          <w:p w:rsidR="00904595" w:rsidRPr="004279E6" w:rsidRDefault="00904595" w:rsidP="00627B59">
            <w:pPr>
              <w:pStyle w:val="Abstract"/>
            </w:pPr>
          </w:p>
          <w:p w:rsidR="005F7454" w:rsidRPr="004279E6" w:rsidRDefault="00771FFF" w:rsidP="008368B2">
            <w:pPr>
              <w:pStyle w:val="Abstract"/>
            </w:pPr>
            <w:r w:rsidRPr="004279E6">
              <w:t>The output</w:t>
            </w:r>
            <w:r w:rsidR="001D6C26" w:rsidRPr="004279E6">
              <w:t>s</w:t>
            </w:r>
            <w:r w:rsidRPr="004279E6">
              <w:t xml:space="preserve"> of this project </w:t>
            </w:r>
            <w:bookmarkStart w:id="1" w:name="OLE_LINK3"/>
            <w:bookmarkStart w:id="2" w:name="OLE_LINK4"/>
            <w:r w:rsidR="00904595" w:rsidRPr="004279E6">
              <w:t xml:space="preserve">will be </w:t>
            </w:r>
            <w:r w:rsidR="00454FD0" w:rsidRPr="004279E6">
              <w:t xml:space="preserve">the </w:t>
            </w:r>
            <w:r w:rsidR="00904595" w:rsidRPr="004279E6">
              <w:t xml:space="preserve">delivery the Western Sydney Housing </w:t>
            </w:r>
            <w:r w:rsidR="00454FD0" w:rsidRPr="004279E6">
              <w:t>P</w:t>
            </w:r>
            <w:r w:rsidR="00904595" w:rsidRPr="004279E6">
              <w:t xml:space="preserve">ackage and the </w:t>
            </w:r>
            <w:r w:rsidR="00A23F94" w:rsidRPr="004279E6">
              <w:t xml:space="preserve">Western </w:t>
            </w:r>
            <w:r w:rsidR="007C4629" w:rsidRPr="004279E6">
              <w:t xml:space="preserve">Parkland </w:t>
            </w:r>
            <w:r w:rsidR="00904595" w:rsidRPr="004279E6">
              <w:t xml:space="preserve">City </w:t>
            </w:r>
            <w:r w:rsidR="008368B2" w:rsidRPr="004279E6">
              <w:t xml:space="preserve">Liveability </w:t>
            </w:r>
            <w:r w:rsidR="00904595" w:rsidRPr="004279E6">
              <w:t xml:space="preserve">Program </w:t>
            </w:r>
            <w:r w:rsidR="00D831F3" w:rsidRPr="004279E6">
              <w:t xml:space="preserve">as part of </w:t>
            </w:r>
            <w:r w:rsidR="001516CF" w:rsidRPr="004279E6">
              <w:t>the Western Sydney City Deal</w:t>
            </w:r>
            <w:bookmarkEnd w:id="1"/>
            <w:bookmarkEnd w:id="2"/>
            <w:r w:rsidR="00313889" w:rsidRPr="004279E6">
              <w:t>.</w:t>
            </w:r>
          </w:p>
        </w:tc>
      </w:tr>
    </w:tbl>
    <w:p w:rsidR="00814667" w:rsidRPr="004279E6" w:rsidRDefault="00FF5029">
      <w:pPr>
        <w:pStyle w:val="Title"/>
        <w:pageBreakBefore/>
      </w:pPr>
      <w:r w:rsidRPr="004279E6">
        <w:lastRenderedPageBreak/>
        <w:t xml:space="preserve">Project </w:t>
      </w:r>
      <w:r w:rsidR="00D7336A" w:rsidRPr="004279E6">
        <w:t>Agreement</w:t>
      </w:r>
      <w:r w:rsidRPr="004279E6">
        <w:t xml:space="preserve"> for</w:t>
      </w:r>
      <w:r w:rsidR="00C7093C" w:rsidRPr="004279E6">
        <w:t xml:space="preserve"> </w:t>
      </w:r>
      <w:r w:rsidR="007A6E20" w:rsidRPr="004279E6">
        <w:br/>
      </w:r>
      <w:r w:rsidR="0016547E" w:rsidRPr="004279E6">
        <w:t xml:space="preserve">the </w:t>
      </w:r>
      <w:r w:rsidR="00627B59" w:rsidRPr="004279E6">
        <w:t>Western Sydney City Deal</w:t>
      </w:r>
    </w:p>
    <w:p w:rsidR="004B2EF6" w:rsidRPr="004279E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4279E6">
        <w:t>overview</w:t>
      </w:r>
    </w:p>
    <w:p w:rsidR="00C960AA" w:rsidRPr="004279E6" w:rsidRDefault="00C960AA" w:rsidP="008F3AF2">
      <w:pPr>
        <w:pStyle w:val="Normalnumbered"/>
        <w:numPr>
          <w:ilvl w:val="0"/>
          <w:numId w:val="20"/>
        </w:numPr>
        <w:pBdr>
          <w:top w:val="single" w:sz="4" w:space="1" w:color="auto"/>
          <w:left w:val="single" w:sz="4" w:space="4" w:color="auto"/>
          <w:bottom w:val="single" w:sz="4" w:space="1" w:color="auto"/>
          <w:right w:val="single" w:sz="4" w:space="4" w:color="auto"/>
        </w:pBdr>
        <w:shd w:val="clear" w:color="auto" w:fill="DAEEF3" w:themeFill="accent5" w:themeFillTint="33"/>
      </w:pPr>
      <w:r w:rsidRPr="004279E6">
        <w:rPr>
          <w:color w:val="auto"/>
        </w:rPr>
        <w:t xml:space="preserve">This </w:t>
      </w:r>
      <w:r w:rsidR="00CB4D35" w:rsidRPr="004279E6">
        <w:rPr>
          <w:color w:val="auto"/>
        </w:rPr>
        <w:t>Project Agreement</w:t>
      </w:r>
      <w:r w:rsidRPr="004279E6">
        <w:rPr>
          <w:color w:val="auto"/>
        </w:rPr>
        <w:t xml:space="preserve"> (the Agreement) is created subject to the provisions of the Intergovernmental Agreement on Federal Financial Relations </w:t>
      </w:r>
      <w:r w:rsidR="00C2605C" w:rsidRPr="004279E6">
        <w:rPr>
          <w:color w:val="auto"/>
        </w:rPr>
        <w:t xml:space="preserve">(IGA FFR) </w:t>
      </w:r>
      <w:r w:rsidRPr="004279E6">
        <w:rPr>
          <w:color w:val="auto"/>
        </w:rPr>
        <w:t xml:space="preserve">and should be read in conjunction with that Agreement and </w:t>
      </w:r>
      <w:r w:rsidR="001C346E" w:rsidRPr="004279E6">
        <w:rPr>
          <w:color w:val="auto"/>
        </w:rPr>
        <w:t>its</w:t>
      </w:r>
      <w:r w:rsidRPr="004279E6">
        <w:rPr>
          <w:color w:val="auto"/>
        </w:rPr>
        <w:t xml:space="preserve"> </w:t>
      </w:r>
      <w:r w:rsidR="001C346E" w:rsidRPr="004279E6">
        <w:rPr>
          <w:color w:val="auto"/>
        </w:rPr>
        <w:t>S</w:t>
      </w:r>
      <w:r w:rsidRPr="004279E6">
        <w:rPr>
          <w:color w:val="auto"/>
        </w:rPr>
        <w:t>chedules</w:t>
      </w:r>
      <w:r w:rsidR="001C346E" w:rsidRPr="004279E6">
        <w:rPr>
          <w:color w:val="auto"/>
        </w:rPr>
        <w:t xml:space="preserve">, which provide information in relation to </w:t>
      </w:r>
      <w:r w:rsidRPr="004279E6">
        <w:rPr>
          <w:color w:val="auto"/>
        </w:rPr>
        <w:t>performance reporting and payment arrangements</w:t>
      </w:r>
      <w:r w:rsidR="001C346E" w:rsidRPr="004279E6">
        <w:rPr>
          <w:color w:val="auto"/>
        </w:rPr>
        <w:t xml:space="preserve"> under the </w:t>
      </w:r>
      <w:r w:rsidR="008148E2" w:rsidRPr="004279E6">
        <w:rPr>
          <w:color w:val="auto"/>
        </w:rPr>
        <w:t>I</w:t>
      </w:r>
      <w:r w:rsidR="00C2605C" w:rsidRPr="004279E6">
        <w:rPr>
          <w:color w:val="auto"/>
        </w:rPr>
        <w:t>GA FFR</w:t>
      </w:r>
      <w:r w:rsidRPr="004279E6">
        <w:rPr>
          <w:color w:val="auto"/>
        </w:rPr>
        <w:t>.</w:t>
      </w:r>
    </w:p>
    <w:p w:rsidR="0096732C" w:rsidRPr="004279E6"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4279E6">
        <w:t>Purpose</w:t>
      </w:r>
    </w:p>
    <w:p w:rsidR="0096732C" w:rsidRPr="004279E6" w:rsidRDefault="00852ED8" w:rsidP="008F3AF2">
      <w:pPr>
        <w:pStyle w:val="Normalnumbered"/>
        <w:numPr>
          <w:ilvl w:val="0"/>
          <w:numId w:val="2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279E6">
        <w:t xml:space="preserve">This Agreement will </w:t>
      </w:r>
      <w:r w:rsidR="006146F2" w:rsidRPr="004279E6">
        <w:t xml:space="preserve">support </w:t>
      </w:r>
      <w:r w:rsidR="00454FD0" w:rsidRPr="004279E6">
        <w:t xml:space="preserve">the </w:t>
      </w:r>
      <w:r w:rsidR="00776CD9" w:rsidRPr="004279E6">
        <w:t xml:space="preserve">delivery of the </w:t>
      </w:r>
      <w:r w:rsidR="00454FD0" w:rsidRPr="004279E6">
        <w:t xml:space="preserve">Western Sydney Housing Package </w:t>
      </w:r>
      <w:r w:rsidR="00836867" w:rsidRPr="004279E6">
        <w:t>and</w:t>
      </w:r>
      <w:r w:rsidR="00836867" w:rsidRPr="004279E6">
        <w:rPr>
          <w:b/>
          <w:i/>
        </w:rPr>
        <w:t xml:space="preserve"> </w:t>
      </w:r>
      <w:r w:rsidR="00817732" w:rsidRPr="004279E6">
        <w:t>the</w:t>
      </w:r>
      <w:r w:rsidR="00817732" w:rsidRPr="004279E6">
        <w:rPr>
          <w:b/>
          <w:i/>
        </w:rPr>
        <w:t xml:space="preserve"> </w:t>
      </w:r>
      <w:r w:rsidR="00A23F94" w:rsidRPr="004279E6">
        <w:t xml:space="preserve">Western </w:t>
      </w:r>
      <w:r w:rsidR="007C4629" w:rsidRPr="004279E6">
        <w:t>Parkland</w:t>
      </w:r>
      <w:r w:rsidR="007C4629" w:rsidRPr="004279E6">
        <w:rPr>
          <w:b/>
          <w:i/>
        </w:rPr>
        <w:t xml:space="preserve"> </w:t>
      </w:r>
      <w:r w:rsidR="00454FD0" w:rsidRPr="004279E6">
        <w:t xml:space="preserve">City </w:t>
      </w:r>
      <w:r w:rsidR="00AF3616" w:rsidRPr="004279E6">
        <w:t xml:space="preserve">Liveability </w:t>
      </w:r>
      <w:r w:rsidR="00454FD0" w:rsidRPr="004279E6">
        <w:t>Program</w:t>
      </w:r>
      <w:r w:rsidR="00D831F3" w:rsidRPr="004279E6">
        <w:t xml:space="preserve"> as part of the Western Sydney City Deal</w:t>
      </w:r>
      <w:r w:rsidR="00776CD9" w:rsidRPr="004279E6">
        <w:t>.</w:t>
      </w:r>
    </w:p>
    <w:p w:rsidR="0096732C" w:rsidRPr="004279E6"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4279E6">
        <w:rPr>
          <w:rFonts w:cs="Arial"/>
          <w:b/>
          <w:bCs/>
          <w:iCs/>
          <w:color w:val="3D4B67"/>
          <w:sz w:val="29"/>
          <w:szCs w:val="28"/>
        </w:rPr>
        <w:t>Reporting Arrangements</w:t>
      </w:r>
      <w:r w:rsidRPr="004279E6">
        <w:t xml:space="preserve"> </w:t>
      </w:r>
    </w:p>
    <w:p w:rsidR="0096732C" w:rsidRPr="004279E6" w:rsidRDefault="00776CD9" w:rsidP="008F3AF2">
      <w:pPr>
        <w:pStyle w:val="Normalnumbered"/>
        <w:numPr>
          <w:ilvl w:val="0"/>
          <w:numId w:val="2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4279E6">
        <w:t>N</w:t>
      </w:r>
      <w:r w:rsidR="00904595" w:rsidRPr="004279E6">
        <w:t xml:space="preserve">ew </w:t>
      </w:r>
      <w:r w:rsidRPr="004279E6">
        <w:t>S</w:t>
      </w:r>
      <w:r w:rsidR="00904595" w:rsidRPr="004279E6">
        <w:t xml:space="preserve">outh </w:t>
      </w:r>
      <w:r w:rsidRPr="004279E6">
        <w:t>W</w:t>
      </w:r>
      <w:r w:rsidR="00904595" w:rsidRPr="004279E6">
        <w:t>ales</w:t>
      </w:r>
      <w:r w:rsidRPr="004279E6">
        <w:t xml:space="preserve"> will report annually and as required</w:t>
      </w:r>
      <w:r w:rsidR="0096732C" w:rsidRPr="004279E6">
        <w:t xml:space="preserve"> against the agreed milestones during the operation of this Agreement, as set out in Part 4 – Project Milestones, Reporting and Payments. </w:t>
      </w:r>
    </w:p>
    <w:p w:rsidR="0096732C" w:rsidRPr="004279E6"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4279E6">
        <w:rPr>
          <w:rFonts w:cs="Arial"/>
          <w:b/>
          <w:bCs/>
          <w:iCs/>
          <w:color w:val="3D4B67"/>
          <w:sz w:val="29"/>
          <w:szCs w:val="28"/>
        </w:rPr>
        <w:t xml:space="preserve">Financial Arrangements </w:t>
      </w:r>
    </w:p>
    <w:p w:rsidR="0096732C" w:rsidRPr="004279E6" w:rsidRDefault="0096732C" w:rsidP="008F3AF2">
      <w:pPr>
        <w:pStyle w:val="Normalnumbered"/>
        <w:numPr>
          <w:ilvl w:val="0"/>
          <w:numId w:val="2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4279E6">
        <w:t>The Commonwealth will provide a</w:t>
      </w:r>
      <w:r w:rsidR="00F234AB" w:rsidRPr="004279E6">
        <w:t>n estimated</w:t>
      </w:r>
      <w:r w:rsidRPr="004279E6">
        <w:t xml:space="preserve"> total financial contribution to </w:t>
      </w:r>
      <w:r w:rsidR="00776CD9" w:rsidRPr="004279E6">
        <w:t>N</w:t>
      </w:r>
      <w:r w:rsidR="00C7495E" w:rsidRPr="004279E6">
        <w:t xml:space="preserve">ew </w:t>
      </w:r>
      <w:r w:rsidR="00776CD9" w:rsidRPr="004279E6">
        <w:t>S</w:t>
      </w:r>
      <w:r w:rsidR="00C7495E" w:rsidRPr="004279E6">
        <w:t xml:space="preserve">outh </w:t>
      </w:r>
      <w:r w:rsidR="00776CD9" w:rsidRPr="004279E6">
        <w:t>W</w:t>
      </w:r>
      <w:r w:rsidR="00C7495E" w:rsidRPr="004279E6">
        <w:t>ales</w:t>
      </w:r>
      <w:r w:rsidRPr="004279E6">
        <w:t xml:space="preserve"> of </w:t>
      </w:r>
      <w:r w:rsidR="00316EB9" w:rsidRPr="004279E6">
        <w:t xml:space="preserve">up to </w:t>
      </w:r>
      <w:r w:rsidRPr="004279E6">
        <w:t>$</w:t>
      </w:r>
      <w:r w:rsidR="006020ED" w:rsidRPr="004279E6">
        <w:t>7</w:t>
      </w:r>
      <w:r w:rsidR="005060A3" w:rsidRPr="004279E6">
        <w:t>5</w:t>
      </w:r>
      <w:r w:rsidR="00776CD9" w:rsidRPr="004279E6">
        <w:t> million</w:t>
      </w:r>
      <w:r w:rsidR="00316EB9" w:rsidRPr="004279E6">
        <w:t xml:space="preserve"> exclusive of GST, </w:t>
      </w:r>
      <w:r w:rsidRPr="004279E6">
        <w:t>in respect of this Agreement</w:t>
      </w:r>
      <w:r w:rsidR="00FC055C" w:rsidRPr="004279E6">
        <w:t>,</w:t>
      </w:r>
      <w:r w:rsidRPr="004279E6">
        <w:t xml:space="preserve"> as set out in Part 5 – Financial Arrangements.</w:t>
      </w:r>
    </w:p>
    <w:p w:rsidR="00814667" w:rsidRPr="004279E6" w:rsidRDefault="00814667">
      <w:pPr>
        <w:pStyle w:val="Heading1"/>
      </w:pPr>
      <w:r w:rsidRPr="004279E6">
        <w:t>Part 1 — Formalities</w:t>
      </w:r>
    </w:p>
    <w:p w:rsidR="00804105" w:rsidRPr="004279E6" w:rsidRDefault="00661534" w:rsidP="008F3AF2">
      <w:pPr>
        <w:pStyle w:val="Normalnumbered"/>
        <w:numPr>
          <w:ilvl w:val="0"/>
          <w:numId w:val="20"/>
        </w:numPr>
      </w:pPr>
      <w:r w:rsidRPr="004279E6">
        <w:t xml:space="preserve">This Agreement constitutes the entire agreement for this project.  However, it should </w:t>
      </w:r>
      <w:r w:rsidR="002A52E5" w:rsidRPr="004279E6">
        <w:t>be read in conjunction with the Western Sydney City Deal and the Western Sydney City Deal Implementation Plan.</w:t>
      </w:r>
    </w:p>
    <w:p w:rsidR="00814667" w:rsidRPr="004279E6" w:rsidRDefault="00814667">
      <w:pPr>
        <w:pStyle w:val="Heading2"/>
      </w:pPr>
      <w:r w:rsidRPr="004279E6">
        <w:t>Parties to this Agreement</w:t>
      </w:r>
    </w:p>
    <w:p w:rsidR="007B4B03" w:rsidRPr="004279E6" w:rsidRDefault="00E7195E" w:rsidP="008F3AF2">
      <w:pPr>
        <w:pStyle w:val="Normalnumbered"/>
        <w:numPr>
          <w:ilvl w:val="0"/>
          <w:numId w:val="20"/>
        </w:numPr>
      </w:pPr>
      <w:r w:rsidRPr="004279E6">
        <w:t xml:space="preserve">This </w:t>
      </w:r>
      <w:r w:rsidR="00E31096" w:rsidRPr="004279E6">
        <w:t xml:space="preserve">Agreement </w:t>
      </w:r>
      <w:r w:rsidRPr="004279E6">
        <w:t>is between the Commonwealth of Australia (the</w:t>
      </w:r>
      <w:r w:rsidR="00593821" w:rsidRPr="004279E6">
        <w:t xml:space="preserve"> Commonwealth</w:t>
      </w:r>
      <w:r w:rsidRPr="004279E6">
        <w:t xml:space="preserve">) and </w:t>
      </w:r>
      <w:r w:rsidR="00776CD9" w:rsidRPr="004279E6">
        <w:t>N</w:t>
      </w:r>
      <w:r w:rsidR="001F4869" w:rsidRPr="004279E6">
        <w:t xml:space="preserve">ew </w:t>
      </w:r>
      <w:r w:rsidR="00776CD9" w:rsidRPr="004279E6">
        <w:t>S</w:t>
      </w:r>
      <w:r w:rsidR="001F4869" w:rsidRPr="004279E6">
        <w:t xml:space="preserve">outh </w:t>
      </w:r>
      <w:r w:rsidR="00776CD9" w:rsidRPr="004279E6">
        <w:t>W</w:t>
      </w:r>
      <w:r w:rsidR="001F4869" w:rsidRPr="004279E6">
        <w:t>ales</w:t>
      </w:r>
      <w:r w:rsidR="00776CD9" w:rsidRPr="004279E6">
        <w:t>.</w:t>
      </w:r>
    </w:p>
    <w:p w:rsidR="00814667" w:rsidRPr="004279E6" w:rsidRDefault="00814667">
      <w:pPr>
        <w:pStyle w:val="Heading2"/>
      </w:pPr>
      <w:r w:rsidRPr="004279E6">
        <w:t>Term of the Agreement</w:t>
      </w:r>
    </w:p>
    <w:p w:rsidR="00814667" w:rsidRPr="004279E6" w:rsidRDefault="00814667" w:rsidP="008F3AF2">
      <w:pPr>
        <w:pStyle w:val="Normalnumbered"/>
        <w:numPr>
          <w:ilvl w:val="0"/>
          <w:numId w:val="20"/>
        </w:numPr>
      </w:pPr>
      <w:r w:rsidRPr="004279E6">
        <w:t xml:space="preserve">This Agreement will commence as soon as the Commonwealth and </w:t>
      </w:r>
      <w:r w:rsidR="002B0712" w:rsidRPr="004279E6">
        <w:t xml:space="preserve">New South Wales </w:t>
      </w:r>
      <w:r w:rsidR="00726DB5" w:rsidRPr="004279E6">
        <w:t>sign</w:t>
      </w:r>
      <w:r w:rsidRPr="004279E6">
        <w:t xml:space="preserve"> </w:t>
      </w:r>
      <w:r w:rsidR="0096732C" w:rsidRPr="004279E6">
        <w:t xml:space="preserve">it </w:t>
      </w:r>
      <w:r w:rsidRPr="004279E6">
        <w:t>and will expire on</w:t>
      </w:r>
      <w:r w:rsidR="00C7093C" w:rsidRPr="004279E6">
        <w:t xml:space="preserve"> </w:t>
      </w:r>
      <w:r w:rsidR="00776CD9" w:rsidRPr="004279E6">
        <w:t>30 June 202</w:t>
      </w:r>
      <w:r w:rsidR="00D84ADE" w:rsidRPr="004279E6">
        <w:t>2</w:t>
      </w:r>
      <w:r w:rsidR="00284884" w:rsidRPr="004279E6">
        <w:t xml:space="preserve"> or on</w:t>
      </w:r>
      <w:r w:rsidR="00FA2EC0" w:rsidRPr="004279E6">
        <w:t xml:space="preserve"> complet</w:t>
      </w:r>
      <w:r w:rsidR="00284884" w:rsidRPr="004279E6">
        <w:t>ion of the project, including final performance reporting an</w:t>
      </w:r>
      <w:r w:rsidR="00AE2AFD" w:rsidRPr="004279E6">
        <w:t>d</w:t>
      </w:r>
      <w:r w:rsidR="00284884" w:rsidRPr="004279E6">
        <w:t xml:space="preserve"> processing of final payments against milestones</w:t>
      </w:r>
      <w:r w:rsidRPr="004279E6">
        <w:t xml:space="preserve">, </w:t>
      </w:r>
      <w:r w:rsidR="00852ED8" w:rsidRPr="004279E6">
        <w:t xml:space="preserve">unless </w:t>
      </w:r>
      <w:r w:rsidRPr="004279E6">
        <w:t>terminat</w:t>
      </w:r>
      <w:r w:rsidR="00852ED8" w:rsidRPr="004279E6">
        <w:t xml:space="preserve">ed </w:t>
      </w:r>
      <w:r w:rsidR="001A7A15" w:rsidRPr="004279E6">
        <w:t xml:space="preserve">earlier </w:t>
      </w:r>
      <w:r w:rsidR="00852ED8" w:rsidRPr="004279E6">
        <w:t xml:space="preserve">or extended </w:t>
      </w:r>
      <w:r w:rsidRPr="004279E6">
        <w:t>as agreed in writing by the Parties.</w:t>
      </w:r>
    </w:p>
    <w:p w:rsidR="00A6394E" w:rsidRPr="004279E6" w:rsidRDefault="00A6394E">
      <w:pPr>
        <w:spacing w:after="0" w:line="240" w:lineRule="auto"/>
        <w:jc w:val="left"/>
        <w:rPr>
          <w:rFonts w:ascii="Consolas" w:hAnsi="Consolas" w:cs="Arial"/>
          <w:bCs/>
          <w:caps/>
          <w:color w:val="3D4B67"/>
          <w:kern w:val="32"/>
          <w:sz w:val="32"/>
          <w:szCs w:val="36"/>
        </w:rPr>
      </w:pPr>
      <w:r w:rsidRPr="004279E6">
        <w:rPr>
          <w:rFonts w:ascii="Consolas" w:hAnsi="Consolas"/>
          <w:b/>
          <w:iCs/>
          <w:caps/>
          <w:kern w:val="32"/>
          <w:sz w:val="32"/>
          <w:szCs w:val="36"/>
        </w:rPr>
        <w:br w:type="page"/>
      </w:r>
    </w:p>
    <w:p w:rsidR="00784439" w:rsidRPr="004279E6" w:rsidRDefault="00784439" w:rsidP="00784439">
      <w:pPr>
        <w:pStyle w:val="Heading2"/>
        <w:ind w:right="-568"/>
        <w:rPr>
          <w:b w:val="0"/>
          <w:sz w:val="23"/>
          <w:szCs w:val="23"/>
        </w:rPr>
      </w:pPr>
      <w:r w:rsidRPr="004279E6">
        <w:rPr>
          <w:rFonts w:ascii="Consolas" w:hAnsi="Consolas"/>
          <w:b w:val="0"/>
          <w:iCs w:val="0"/>
          <w:caps/>
          <w:kern w:val="32"/>
          <w:sz w:val="32"/>
          <w:szCs w:val="36"/>
        </w:rPr>
        <w:lastRenderedPageBreak/>
        <w:t>P</w:t>
      </w:r>
      <w:r w:rsidR="00814667" w:rsidRPr="004279E6">
        <w:rPr>
          <w:rFonts w:ascii="Consolas" w:hAnsi="Consolas"/>
          <w:b w:val="0"/>
          <w:iCs w:val="0"/>
          <w:caps/>
          <w:kern w:val="32"/>
          <w:sz w:val="32"/>
          <w:szCs w:val="36"/>
        </w:rPr>
        <w:t xml:space="preserve">art 2 — </w:t>
      </w:r>
      <w:r w:rsidR="00FF5029" w:rsidRPr="004279E6">
        <w:rPr>
          <w:rFonts w:ascii="Consolas" w:hAnsi="Consolas"/>
          <w:b w:val="0"/>
          <w:iCs w:val="0"/>
          <w:caps/>
          <w:kern w:val="32"/>
          <w:sz w:val="32"/>
          <w:szCs w:val="36"/>
        </w:rPr>
        <w:t>Project</w:t>
      </w:r>
      <w:r w:rsidR="00814667" w:rsidRPr="004279E6">
        <w:rPr>
          <w:rFonts w:ascii="Consolas" w:hAnsi="Consolas"/>
          <w:b w:val="0"/>
          <w:iCs w:val="0"/>
          <w:caps/>
          <w:kern w:val="32"/>
          <w:sz w:val="32"/>
          <w:szCs w:val="36"/>
        </w:rPr>
        <w:t xml:space="preserve"> outputs</w:t>
      </w:r>
    </w:p>
    <w:p w:rsidR="00814667" w:rsidRPr="004279E6" w:rsidRDefault="00814667">
      <w:pPr>
        <w:pStyle w:val="Heading2"/>
      </w:pPr>
      <w:r w:rsidRPr="004279E6">
        <w:t>Outputs</w:t>
      </w:r>
    </w:p>
    <w:p w:rsidR="00874499" w:rsidRPr="004279E6" w:rsidRDefault="00814667" w:rsidP="008F3AF2">
      <w:pPr>
        <w:pStyle w:val="Normalnumbered"/>
        <w:numPr>
          <w:ilvl w:val="0"/>
          <w:numId w:val="20"/>
        </w:numPr>
      </w:pPr>
      <w:r w:rsidRPr="004279E6">
        <w:t>The o</w:t>
      </w:r>
      <w:r w:rsidR="00A46B4E" w:rsidRPr="004279E6">
        <w:t>utputs</w:t>
      </w:r>
      <w:r w:rsidR="006F79D3" w:rsidRPr="004279E6">
        <w:t xml:space="preserve"> of this Agreement </w:t>
      </w:r>
      <w:r w:rsidR="00782AD7" w:rsidRPr="004279E6">
        <w:t>will be</w:t>
      </w:r>
      <w:r w:rsidR="00D21F25" w:rsidRPr="004279E6">
        <w:t>:</w:t>
      </w:r>
    </w:p>
    <w:p w:rsidR="00874499" w:rsidRPr="004279E6" w:rsidRDefault="00782AD7" w:rsidP="008F3AF2">
      <w:pPr>
        <w:pStyle w:val="AlphaParagraph"/>
        <w:numPr>
          <w:ilvl w:val="0"/>
          <w:numId w:val="28"/>
        </w:numPr>
        <w:tabs>
          <w:tab w:val="clear" w:pos="283"/>
          <w:tab w:val="clear" w:pos="567"/>
          <w:tab w:val="clear" w:pos="1134"/>
          <w:tab w:val="clear" w:pos="1418"/>
        </w:tabs>
        <w:ind w:hanging="567"/>
      </w:pPr>
      <w:r w:rsidRPr="004279E6">
        <w:t>d</w:t>
      </w:r>
      <w:r w:rsidR="005A1E02" w:rsidRPr="004279E6">
        <w:t xml:space="preserve">elivery of the </w:t>
      </w:r>
      <w:r w:rsidR="00D21F25" w:rsidRPr="004279E6">
        <w:t>$33.75</w:t>
      </w:r>
      <w:r w:rsidRPr="004279E6">
        <w:t xml:space="preserve"> million</w:t>
      </w:r>
      <w:r w:rsidR="00D21F25" w:rsidRPr="004279E6">
        <w:t xml:space="preserve"> Western Sydney Housing Package</w:t>
      </w:r>
      <w:r w:rsidR="001F4869" w:rsidRPr="004279E6">
        <w:t xml:space="preserve">, which </w:t>
      </w:r>
      <w:r w:rsidR="005A1E02" w:rsidRPr="004279E6">
        <w:t xml:space="preserve">will support improved </w:t>
      </w:r>
      <w:r w:rsidR="00200B8D" w:rsidRPr="004279E6">
        <w:t xml:space="preserve">planning </w:t>
      </w:r>
      <w:r w:rsidR="005A1E02" w:rsidRPr="004279E6">
        <w:t xml:space="preserve">outcomes in </w:t>
      </w:r>
      <w:r w:rsidR="00200B8D" w:rsidRPr="004279E6">
        <w:t xml:space="preserve">the </w:t>
      </w:r>
      <w:r w:rsidR="005A1E02" w:rsidRPr="004279E6">
        <w:t xml:space="preserve">Western </w:t>
      </w:r>
      <w:r w:rsidR="00200B8D" w:rsidRPr="004279E6">
        <w:t>City</w:t>
      </w:r>
      <w:r w:rsidR="00874499" w:rsidRPr="004279E6">
        <w:t>;</w:t>
      </w:r>
      <w:r w:rsidR="00D21F25" w:rsidRPr="004279E6">
        <w:t xml:space="preserve"> </w:t>
      </w:r>
      <w:r w:rsidRPr="004279E6">
        <w:t>and</w:t>
      </w:r>
    </w:p>
    <w:p w:rsidR="0085738D" w:rsidRPr="004279E6" w:rsidRDefault="00782AD7" w:rsidP="008F3AF2">
      <w:pPr>
        <w:pStyle w:val="AlphaParagraph"/>
        <w:numPr>
          <w:ilvl w:val="0"/>
          <w:numId w:val="28"/>
        </w:numPr>
        <w:tabs>
          <w:tab w:val="clear" w:pos="283"/>
          <w:tab w:val="clear" w:pos="567"/>
          <w:tab w:val="clear" w:pos="1134"/>
          <w:tab w:val="clear" w:pos="1418"/>
        </w:tabs>
        <w:ind w:hanging="567"/>
      </w:pPr>
      <w:r w:rsidRPr="004279E6">
        <w:t>d</w:t>
      </w:r>
      <w:r w:rsidR="00F10A99" w:rsidRPr="004279E6">
        <w:t>elivery of t</w:t>
      </w:r>
      <w:r w:rsidR="00D21F25" w:rsidRPr="004279E6">
        <w:t>he $</w:t>
      </w:r>
      <w:r w:rsidR="00AF0A19" w:rsidRPr="004279E6">
        <w:t>1</w:t>
      </w:r>
      <w:r w:rsidR="00B4195C" w:rsidRPr="004279E6">
        <w:t>5</w:t>
      </w:r>
      <w:r w:rsidR="00AF0A19" w:rsidRPr="004279E6">
        <w:t>0</w:t>
      </w:r>
      <w:r w:rsidRPr="004279E6">
        <w:t xml:space="preserve"> million</w:t>
      </w:r>
      <w:r w:rsidR="00D21F25" w:rsidRPr="004279E6">
        <w:t xml:space="preserve"> </w:t>
      </w:r>
      <w:r w:rsidR="00A23F94" w:rsidRPr="004279E6">
        <w:t xml:space="preserve">Western </w:t>
      </w:r>
      <w:r w:rsidR="007C4629" w:rsidRPr="004279E6">
        <w:t xml:space="preserve">Parkland </w:t>
      </w:r>
      <w:r w:rsidR="00D21F25" w:rsidRPr="004279E6">
        <w:t xml:space="preserve">City </w:t>
      </w:r>
      <w:r w:rsidR="00AF3616" w:rsidRPr="004279E6">
        <w:t xml:space="preserve">Liveability </w:t>
      </w:r>
      <w:r w:rsidR="00D21F25" w:rsidRPr="004279E6">
        <w:t>Program</w:t>
      </w:r>
      <w:r w:rsidR="00177596" w:rsidRPr="004279E6">
        <w:t xml:space="preserve">, which </w:t>
      </w:r>
      <w:r w:rsidR="00730824" w:rsidRPr="004279E6">
        <w:t>will support</w:t>
      </w:r>
      <w:r w:rsidR="000450ED" w:rsidRPr="004279E6">
        <w:t xml:space="preserve"> </w:t>
      </w:r>
      <w:r w:rsidR="00F10A99" w:rsidRPr="004279E6">
        <w:t>community infrastructure</w:t>
      </w:r>
      <w:r w:rsidR="00177596" w:rsidRPr="004279E6">
        <w:t xml:space="preserve"> </w:t>
      </w:r>
      <w:r w:rsidR="000450ED" w:rsidRPr="004279E6">
        <w:t>projects delivered by</w:t>
      </w:r>
      <w:r w:rsidR="00F10A99" w:rsidRPr="004279E6">
        <w:t xml:space="preserve"> local </w:t>
      </w:r>
      <w:r w:rsidR="002F498A" w:rsidRPr="004279E6">
        <w:t>government</w:t>
      </w:r>
      <w:r w:rsidR="00560EB0" w:rsidRPr="004279E6">
        <w:t>s</w:t>
      </w:r>
      <w:r w:rsidR="00F10A99" w:rsidRPr="004279E6">
        <w:t xml:space="preserve"> that are party to the Western Sydney City Deal.</w:t>
      </w:r>
    </w:p>
    <w:p w:rsidR="004A79FE" w:rsidRPr="004279E6" w:rsidRDefault="004A79FE" w:rsidP="008F3AF2">
      <w:pPr>
        <w:pStyle w:val="Normalnumbered"/>
        <w:numPr>
          <w:ilvl w:val="0"/>
          <w:numId w:val="20"/>
        </w:numPr>
        <w:tabs>
          <w:tab w:val="clear" w:pos="567"/>
          <w:tab w:val="num" w:pos="1701"/>
        </w:tabs>
      </w:pPr>
      <w:r w:rsidRPr="004279E6">
        <w:t xml:space="preserve">The Western Sydney Housing Package </w:t>
      </w:r>
      <w:r w:rsidR="00AF3616" w:rsidRPr="004279E6">
        <w:t>comprises the</w:t>
      </w:r>
      <w:r w:rsidR="00395C65" w:rsidRPr="004279E6">
        <w:t xml:space="preserve"> following initiatives</w:t>
      </w:r>
      <w:r w:rsidRPr="004279E6">
        <w:t>:</w:t>
      </w:r>
    </w:p>
    <w:p w:rsidR="00200B8D" w:rsidRPr="004279E6" w:rsidRDefault="00730824" w:rsidP="00200B8D">
      <w:pPr>
        <w:pStyle w:val="Normalnumbered"/>
        <w:numPr>
          <w:ilvl w:val="0"/>
          <w:numId w:val="30"/>
        </w:numPr>
        <w:tabs>
          <w:tab w:val="num" w:pos="1701"/>
        </w:tabs>
        <w:ind w:left="1134" w:hanging="567"/>
      </w:pPr>
      <w:r w:rsidRPr="004279E6">
        <w:rPr>
          <w:szCs w:val="23"/>
        </w:rPr>
        <w:t>d</w:t>
      </w:r>
      <w:r w:rsidR="0099247B" w:rsidRPr="004279E6">
        <w:rPr>
          <w:szCs w:val="23"/>
        </w:rPr>
        <w:t xml:space="preserve">eveloping and applying </w:t>
      </w:r>
      <w:r w:rsidR="00200B8D" w:rsidRPr="004279E6">
        <w:rPr>
          <w:szCs w:val="23"/>
        </w:rPr>
        <w:t>uniform engineering design standards for local infrastructure when assessing development proposals in the Western City</w:t>
      </w:r>
      <w:r w:rsidR="00200B8D" w:rsidRPr="004279E6">
        <w:t>;</w:t>
      </w:r>
    </w:p>
    <w:p w:rsidR="004A79FE" w:rsidRPr="004279E6" w:rsidRDefault="00730824" w:rsidP="008F3AF2">
      <w:pPr>
        <w:pStyle w:val="Normalnumbered"/>
        <w:numPr>
          <w:ilvl w:val="0"/>
          <w:numId w:val="30"/>
        </w:numPr>
        <w:tabs>
          <w:tab w:val="num" w:pos="1701"/>
        </w:tabs>
        <w:ind w:left="1134" w:hanging="567"/>
      </w:pPr>
      <w:r w:rsidRPr="004279E6">
        <w:rPr>
          <w:szCs w:val="23"/>
        </w:rPr>
        <w:t>m</w:t>
      </w:r>
      <w:r w:rsidR="0099247B" w:rsidRPr="004279E6">
        <w:rPr>
          <w:szCs w:val="23"/>
        </w:rPr>
        <w:t xml:space="preserve">aking a </w:t>
      </w:r>
      <w:r w:rsidR="00200B8D" w:rsidRPr="004279E6">
        <w:rPr>
          <w:szCs w:val="23"/>
        </w:rPr>
        <w:t>Land Use and Infrastructure Implementation Plan</w:t>
      </w:r>
      <w:r w:rsidR="00B4195C" w:rsidRPr="004279E6">
        <w:rPr>
          <w:szCs w:val="23"/>
        </w:rPr>
        <w:t xml:space="preserve"> and a Special Infrastructure Contribution scheme</w:t>
      </w:r>
      <w:r w:rsidR="00200B8D" w:rsidRPr="004279E6">
        <w:rPr>
          <w:szCs w:val="23"/>
        </w:rPr>
        <w:t xml:space="preserve"> for the Greater Penrith to Eastern Creek Growth Area</w:t>
      </w:r>
      <w:r w:rsidR="004A79FE" w:rsidRPr="004279E6">
        <w:t>;</w:t>
      </w:r>
    </w:p>
    <w:p w:rsidR="00782AD7" w:rsidRPr="004279E6" w:rsidRDefault="00730824" w:rsidP="008F3AF2">
      <w:pPr>
        <w:pStyle w:val="AlphaParagraph"/>
        <w:numPr>
          <w:ilvl w:val="0"/>
          <w:numId w:val="30"/>
        </w:numPr>
        <w:ind w:left="1134" w:hanging="567"/>
      </w:pPr>
      <w:r w:rsidRPr="004279E6">
        <w:t>e</w:t>
      </w:r>
      <w:r w:rsidR="0099247B" w:rsidRPr="004279E6">
        <w:t xml:space="preserve">stablishing </w:t>
      </w:r>
      <w:r w:rsidR="00200B8D" w:rsidRPr="004279E6">
        <w:rPr>
          <w:szCs w:val="23"/>
        </w:rPr>
        <w:t xml:space="preserve">a pilot Growth Infrastructure Compact for the Western Sydney </w:t>
      </w:r>
      <w:proofErr w:type="spellStart"/>
      <w:r w:rsidR="002F498A" w:rsidRPr="004279E6">
        <w:rPr>
          <w:szCs w:val="23"/>
        </w:rPr>
        <w:t>Aerotropolis</w:t>
      </w:r>
      <w:proofErr w:type="spellEnd"/>
      <w:r w:rsidR="0099247B" w:rsidRPr="004279E6">
        <w:rPr>
          <w:szCs w:val="23"/>
        </w:rPr>
        <w:t>, informed by</w:t>
      </w:r>
      <w:r w:rsidR="00200B8D" w:rsidRPr="004279E6">
        <w:rPr>
          <w:szCs w:val="23"/>
        </w:rPr>
        <w:t xml:space="preserve"> published </w:t>
      </w:r>
      <w:r w:rsidR="008E609B">
        <w:rPr>
          <w:szCs w:val="23"/>
        </w:rPr>
        <w:t xml:space="preserve">results of </w:t>
      </w:r>
      <w:r w:rsidR="00200B8D" w:rsidRPr="004279E6">
        <w:rPr>
          <w:szCs w:val="23"/>
        </w:rPr>
        <w:t>sub-regional models for future transport and water infrastructure needs</w:t>
      </w:r>
      <w:r w:rsidR="00782AD7" w:rsidRPr="004279E6">
        <w:t>;</w:t>
      </w:r>
    </w:p>
    <w:p w:rsidR="004A79FE" w:rsidRPr="004279E6" w:rsidRDefault="00730824" w:rsidP="008F3AF2">
      <w:pPr>
        <w:pStyle w:val="AlphaParagraph"/>
        <w:numPr>
          <w:ilvl w:val="0"/>
          <w:numId w:val="30"/>
        </w:numPr>
        <w:tabs>
          <w:tab w:val="clear" w:pos="283"/>
        </w:tabs>
        <w:ind w:left="1134" w:hanging="567"/>
      </w:pPr>
      <w:r w:rsidRPr="004279E6">
        <w:rPr>
          <w:szCs w:val="23"/>
        </w:rPr>
        <w:t>m</w:t>
      </w:r>
      <w:r w:rsidR="0099247B" w:rsidRPr="004279E6">
        <w:rPr>
          <w:szCs w:val="23"/>
        </w:rPr>
        <w:t>aking new Local Environment Plans for six local governments in the City Deal area facing higher housing growth within two years</w:t>
      </w:r>
      <w:r w:rsidR="0099247B" w:rsidRPr="004279E6">
        <w:t xml:space="preserve"> rather than three</w:t>
      </w:r>
      <w:r w:rsidR="0099247B" w:rsidRPr="004279E6">
        <w:rPr>
          <w:szCs w:val="23"/>
        </w:rPr>
        <w:t xml:space="preserve"> that reflect the new Local Housing Strategies and the </w:t>
      </w:r>
      <w:r w:rsidR="00B07FA8" w:rsidRPr="004279E6">
        <w:rPr>
          <w:szCs w:val="23"/>
        </w:rPr>
        <w:t>five</w:t>
      </w:r>
      <w:r w:rsidR="0099247B" w:rsidRPr="004279E6">
        <w:rPr>
          <w:szCs w:val="23"/>
        </w:rPr>
        <w:t xml:space="preserve"> and </w:t>
      </w:r>
      <w:r w:rsidRPr="004279E6">
        <w:rPr>
          <w:szCs w:val="23"/>
        </w:rPr>
        <w:t>20</w:t>
      </w:r>
      <w:r w:rsidR="009D1F91" w:rsidRPr="004279E6">
        <w:rPr>
          <w:szCs w:val="23"/>
        </w:rPr>
        <w:t xml:space="preserve"> </w:t>
      </w:r>
      <w:r w:rsidRPr="004279E6">
        <w:rPr>
          <w:szCs w:val="23"/>
        </w:rPr>
        <w:t>year</w:t>
      </w:r>
      <w:r w:rsidR="0099247B" w:rsidRPr="004279E6">
        <w:rPr>
          <w:szCs w:val="23"/>
        </w:rPr>
        <w:t xml:space="preserve"> local government </w:t>
      </w:r>
      <w:r w:rsidR="00CE291E" w:rsidRPr="004279E6">
        <w:rPr>
          <w:szCs w:val="23"/>
        </w:rPr>
        <w:t xml:space="preserve">area and district </w:t>
      </w:r>
      <w:r w:rsidR="0099247B" w:rsidRPr="004279E6">
        <w:rPr>
          <w:szCs w:val="23"/>
        </w:rPr>
        <w:t>housing targets</w:t>
      </w:r>
      <w:r w:rsidR="0099247B" w:rsidRPr="004279E6">
        <w:t>.</w:t>
      </w:r>
    </w:p>
    <w:p w:rsidR="004A79FE" w:rsidRPr="004279E6" w:rsidRDefault="004A79FE" w:rsidP="008F3AF2">
      <w:pPr>
        <w:pStyle w:val="Normalnumbered"/>
        <w:numPr>
          <w:ilvl w:val="0"/>
          <w:numId w:val="20"/>
        </w:numPr>
        <w:jc w:val="left"/>
      </w:pPr>
      <w:r w:rsidRPr="004279E6">
        <w:t xml:space="preserve">The </w:t>
      </w:r>
      <w:r w:rsidR="00A23F94" w:rsidRPr="004279E6">
        <w:t>Western</w:t>
      </w:r>
      <w:r w:rsidR="007C4629" w:rsidRPr="004279E6">
        <w:t xml:space="preserve"> Parkland</w:t>
      </w:r>
      <w:r w:rsidR="00A23F94" w:rsidRPr="004279E6">
        <w:t xml:space="preserve"> </w:t>
      </w:r>
      <w:r w:rsidRPr="004279E6">
        <w:t xml:space="preserve">City </w:t>
      </w:r>
      <w:r w:rsidR="00AF3616" w:rsidRPr="004279E6">
        <w:t xml:space="preserve">Liveability </w:t>
      </w:r>
      <w:r w:rsidR="00730824" w:rsidRPr="004279E6">
        <w:t>Program will</w:t>
      </w:r>
      <w:r w:rsidR="00BE3D6D" w:rsidRPr="004279E6">
        <w:t xml:space="preserve"> </w:t>
      </w:r>
      <w:r w:rsidR="006F76B5" w:rsidRPr="004279E6">
        <w:t>support local government</w:t>
      </w:r>
      <w:r w:rsidR="00AF3616" w:rsidRPr="004279E6">
        <w:t>s</w:t>
      </w:r>
      <w:r w:rsidR="006F76B5" w:rsidRPr="004279E6">
        <w:t xml:space="preserve"> </w:t>
      </w:r>
      <w:r w:rsidR="003925D3" w:rsidRPr="004279E6">
        <w:t>to</w:t>
      </w:r>
      <w:r w:rsidR="006F76B5" w:rsidRPr="004279E6">
        <w:t xml:space="preserve"> deliver community infrastructure</w:t>
      </w:r>
      <w:r w:rsidR="00AF3616" w:rsidRPr="004279E6">
        <w:t xml:space="preserve"> to </w:t>
      </w:r>
      <w:r w:rsidR="00C60F24" w:rsidRPr="004279E6">
        <w:t>improve</w:t>
      </w:r>
      <w:r w:rsidR="00AF3616" w:rsidRPr="004279E6">
        <w:t xml:space="preserve"> liveability in the Western City</w:t>
      </w:r>
      <w:r w:rsidR="006F76B5" w:rsidRPr="004279E6">
        <w:t>.</w:t>
      </w:r>
    </w:p>
    <w:p w:rsidR="008F44F1" w:rsidRPr="004279E6" w:rsidRDefault="008F44F1">
      <w:pPr>
        <w:pStyle w:val="Heading1"/>
      </w:pPr>
      <w:r w:rsidRPr="004279E6">
        <w:t>Part 3 — roles and responsibilities of each party</w:t>
      </w:r>
    </w:p>
    <w:p w:rsidR="008F44F1" w:rsidRPr="004279E6" w:rsidRDefault="008F44F1" w:rsidP="008F44F1">
      <w:pPr>
        <w:pStyle w:val="Heading2"/>
      </w:pPr>
      <w:r w:rsidRPr="004279E6">
        <w:t>Role of the Commonwealth</w:t>
      </w:r>
    </w:p>
    <w:p w:rsidR="008F44F1" w:rsidRPr="004279E6" w:rsidRDefault="008F44F1" w:rsidP="008F3AF2">
      <w:pPr>
        <w:pStyle w:val="Normalnumbered"/>
        <w:numPr>
          <w:ilvl w:val="0"/>
          <w:numId w:val="20"/>
        </w:numPr>
        <w:jc w:val="left"/>
      </w:pPr>
      <w:r w:rsidRPr="004279E6">
        <w:t>The Commonwealth will be responsible for:</w:t>
      </w:r>
    </w:p>
    <w:p w:rsidR="005B6CAC" w:rsidRPr="004279E6" w:rsidRDefault="005B6CAC" w:rsidP="008F3AF2">
      <w:pPr>
        <w:pStyle w:val="OutlineNumbered1"/>
        <w:numPr>
          <w:ilvl w:val="0"/>
          <w:numId w:val="32"/>
        </w:numPr>
        <w:tabs>
          <w:tab w:val="clear" w:pos="543"/>
          <w:tab w:val="num" w:pos="1701"/>
        </w:tabs>
        <w:ind w:left="1134"/>
      </w:pPr>
      <w:r w:rsidRPr="004279E6">
        <w:t xml:space="preserve">monitoring and assessing achievement against milestones in the delivery of the </w:t>
      </w:r>
      <w:r w:rsidR="003D6FC2" w:rsidRPr="004279E6">
        <w:t xml:space="preserve">projects </w:t>
      </w:r>
      <w:r w:rsidRPr="004279E6">
        <w:t>under this Agreement to ensure that outputs are delivered within the agreed timeframe;</w:t>
      </w:r>
    </w:p>
    <w:p w:rsidR="00C104A7" w:rsidRPr="004279E6" w:rsidRDefault="00C104A7" w:rsidP="008F3AF2">
      <w:pPr>
        <w:pStyle w:val="OutlineNumbered1"/>
        <w:numPr>
          <w:ilvl w:val="0"/>
          <w:numId w:val="32"/>
        </w:numPr>
        <w:tabs>
          <w:tab w:val="clear" w:pos="543"/>
          <w:tab w:val="num" w:pos="1701"/>
        </w:tabs>
        <w:ind w:left="1134"/>
        <w:rPr>
          <w:color w:val="auto"/>
        </w:rPr>
      </w:pPr>
      <w:r w:rsidRPr="004279E6">
        <w:rPr>
          <w:color w:val="auto"/>
        </w:rPr>
        <w:t>providing a financial contribution to N</w:t>
      </w:r>
      <w:r w:rsidR="00937733" w:rsidRPr="004279E6">
        <w:rPr>
          <w:color w:val="auto"/>
        </w:rPr>
        <w:t xml:space="preserve">ew </w:t>
      </w:r>
      <w:r w:rsidRPr="004279E6">
        <w:rPr>
          <w:color w:val="auto"/>
        </w:rPr>
        <w:t>S</w:t>
      </w:r>
      <w:r w:rsidR="00937733" w:rsidRPr="004279E6">
        <w:rPr>
          <w:color w:val="auto"/>
        </w:rPr>
        <w:t xml:space="preserve">outh </w:t>
      </w:r>
      <w:r w:rsidRPr="004279E6">
        <w:rPr>
          <w:color w:val="auto"/>
        </w:rPr>
        <w:t>W</w:t>
      </w:r>
      <w:r w:rsidR="00937733" w:rsidRPr="004279E6">
        <w:rPr>
          <w:color w:val="auto"/>
        </w:rPr>
        <w:t>ales</w:t>
      </w:r>
      <w:r w:rsidRPr="004279E6">
        <w:rPr>
          <w:color w:val="auto"/>
        </w:rPr>
        <w:t xml:space="preserve"> to support the </w:t>
      </w:r>
      <w:r w:rsidRPr="004279E6">
        <w:t>implementation</w:t>
      </w:r>
      <w:r w:rsidRPr="004279E6">
        <w:rPr>
          <w:color w:val="auto"/>
        </w:rPr>
        <w:t xml:space="preserve"> of </w:t>
      </w:r>
      <w:r w:rsidR="00111070" w:rsidRPr="004279E6">
        <w:rPr>
          <w:color w:val="auto"/>
        </w:rPr>
        <w:t>this Agreement and its Schedules;</w:t>
      </w:r>
    </w:p>
    <w:p w:rsidR="00C104A7" w:rsidRPr="004279E6" w:rsidRDefault="00C104A7" w:rsidP="008F3AF2">
      <w:pPr>
        <w:pStyle w:val="OutlineNumbered1"/>
        <w:numPr>
          <w:ilvl w:val="0"/>
          <w:numId w:val="32"/>
        </w:numPr>
        <w:tabs>
          <w:tab w:val="clear" w:pos="543"/>
          <w:tab w:val="num" w:pos="1701"/>
        </w:tabs>
        <w:ind w:left="1134"/>
        <w:rPr>
          <w:color w:val="auto"/>
        </w:rPr>
      </w:pPr>
      <w:r w:rsidRPr="004279E6">
        <w:rPr>
          <w:color w:val="auto"/>
          <w:szCs w:val="23"/>
        </w:rPr>
        <w:t xml:space="preserve">in accordance with the </w:t>
      </w:r>
      <w:r w:rsidRPr="004279E6">
        <w:rPr>
          <w:i/>
          <w:color w:val="auto"/>
          <w:szCs w:val="23"/>
        </w:rPr>
        <w:t>Building and Construction Industry (Improving Productivity) Act 2016</w:t>
      </w:r>
      <w:r w:rsidRPr="004279E6">
        <w:rPr>
          <w:color w:val="auto"/>
        </w:rPr>
        <w:t xml:space="preserve">, </w:t>
      </w:r>
      <w:r w:rsidRPr="004279E6">
        <w:rPr>
          <w:color w:val="auto"/>
          <w:szCs w:val="23"/>
        </w:rPr>
        <w:t xml:space="preserve">ensuring that </w:t>
      </w:r>
      <w:r w:rsidRPr="004279E6">
        <w:rPr>
          <w:color w:val="auto"/>
        </w:rPr>
        <w:t xml:space="preserve">financial contributions to a building project or projects as defined under the </w:t>
      </w:r>
      <w:r w:rsidRPr="004279E6">
        <w:rPr>
          <w:color w:val="auto"/>
          <w:szCs w:val="23"/>
        </w:rPr>
        <w:t xml:space="preserve">Fair Work (Building Industry – Accreditation Scheme) </w:t>
      </w:r>
      <w:r w:rsidRPr="004279E6">
        <w:rPr>
          <w:color w:val="auto"/>
        </w:rPr>
        <w:t>Regulations 2016 are only made where a builder or builders accredited under the Australian Government Building and Construction WHS Accreditation Scheme is contracted</w:t>
      </w:r>
      <w:r w:rsidR="002F498A" w:rsidRPr="004279E6">
        <w:rPr>
          <w:color w:val="auto"/>
        </w:rPr>
        <w:t xml:space="preserve"> (</w:t>
      </w:r>
      <w:r w:rsidR="002F498A" w:rsidRPr="004279E6">
        <w:t>subject to the financial thresholds defined in the Scheme)</w:t>
      </w:r>
      <w:r w:rsidRPr="004279E6">
        <w:rPr>
          <w:color w:val="auto"/>
        </w:rPr>
        <w:t>; and</w:t>
      </w:r>
    </w:p>
    <w:p w:rsidR="00C104A7" w:rsidRPr="004279E6" w:rsidRDefault="00C104A7" w:rsidP="008F3AF2">
      <w:pPr>
        <w:pStyle w:val="OutlineNumbered1"/>
        <w:numPr>
          <w:ilvl w:val="0"/>
          <w:numId w:val="32"/>
        </w:numPr>
        <w:tabs>
          <w:tab w:val="clear" w:pos="543"/>
          <w:tab w:val="num" w:pos="1701"/>
        </w:tabs>
        <w:ind w:left="1134"/>
        <w:rPr>
          <w:color w:val="auto"/>
        </w:rPr>
      </w:pPr>
      <w:r w:rsidRPr="004279E6">
        <w:rPr>
          <w:color w:val="auto"/>
        </w:rPr>
        <w:t>ensuring that compliance with the Code for the Tendering and Performance of Building Work 2016 (Building Code 2016) is a condition of Australian Government funding</w:t>
      </w:r>
      <w:r w:rsidR="002F498A" w:rsidRPr="004279E6">
        <w:rPr>
          <w:color w:val="auto"/>
        </w:rPr>
        <w:t xml:space="preserve"> (</w:t>
      </w:r>
      <w:r w:rsidR="002F498A" w:rsidRPr="004279E6">
        <w:t>subject to the financial thresholds defined in the Scheme)</w:t>
      </w:r>
      <w:r w:rsidR="00B07FA8" w:rsidRPr="004279E6">
        <w:t>.</w:t>
      </w:r>
    </w:p>
    <w:p w:rsidR="008F44F1" w:rsidRPr="004279E6" w:rsidRDefault="008F44F1" w:rsidP="008F44F1">
      <w:pPr>
        <w:pStyle w:val="Heading2"/>
      </w:pPr>
      <w:r w:rsidRPr="004279E6">
        <w:t xml:space="preserve">Role of </w:t>
      </w:r>
      <w:r w:rsidR="00836867" w:rsidRPr="004279E6">
        <w:t>N</w:t>
      </w:r>
      <w:r w:rsidR="00937733" w:rsidRPr="004279E6">
        <w:t xml:space="preserve">ew </w:t>
      </w:r>
      <w:r w:rsidR="00836867" w:rsidRPr="004279E6">
        <w:t>S</w:t>
      </w:r>
      <w:r w:rsidR="00937733" w:rsidRPr="004279E6">
        <w:t xml:space="preserve">outh </w:t>
      </w:r>
      <w:r w:rsidR="00836867" w:rsidRPr="004279E6">
        <w:t>W</w:t>
      </w:r>
      <w:r w:rsidR="00937733" w:rsidRPr="004279E6">
        <w:t>ales</w:t>
      </w:r>
    </w:p>
    <w:p w:rsidR="008F44F1" w:rsidRPr="004279E6" w:rsidRDefault="00836867" w:rsidP="008F3AF2">
      <w:pPr>
        <w:pStyle w:val="Normalnumbered"/>
        <w:numPr>
          <w:ilvl w:val="0"/>
          <w:numId w:val="20"/>
        </w:numPr>
        <w:jc w:val="left"/>
      </w:pPr>
      <w:r w:rsidRPr="004279E6">
        <w:t>N</w:t>
      </w:r>
      <w:r w:rsidR="007D4C33" w:rsidRPr="004279E6">
        <w:t xml:space="preserve">ew </w:t>
      </w:r>
      <w:r w:rsidRPr="004279E6">
        <w:t>S</w:t>
      </w:r>
      <w:r w:rsidR="007D4C33" w:rsidRPr="004279E6">
        <w:t xml:space="preserve">outh </w:t>
      </w:r>
      <w:r w:rsidRPr="004279E6">
        <w:t>W</w:t>
      </w:r>
      <w:r w:rsidR="007D4C33" w:rsidRPr="004279E6">
        <w:t>ales</w:t>
      </w:r>
      <w:r w:rsidR="00545DF7" w:rsidRPr="004279E6">
        <w:t xml:space="preserve"> </w:t>
      </w:r>
      <w:r w:rsidR="008F44F1" w:rsidRPr="004279E6">
        <w:t>will be responsible for</w:t>
      </w:r>
      <w:r w:rsidR="00545DF7" w:rsidRPr="004279E6">
        <w:t>:</w:t>
      </w:r>
    </w:p>
    <w:p w:rsidR="00044E25" w:rsidRPr="004279E6" w:rsidRDefault="00D41544" w:rsidP="008F3AF2">
      <w:pPr>
        <w:pStyle w:val="OutlineNumbered1"/>
        <w:numPr>
          <w:ilvl w:val="0"/>
          <w:numId w:val="33"/>
        </w:numPr>
        <w:tabs>
          <w:tab w:val="clear" w:pos="543"/>
          <w:tab w:val="num" w:pos="1701"/>
        </w:tabs>
        <w:ind w:left="1134"/>
      </w:pPr>
      <w:r w:rsidRPr="004279E6">
        <w:t>providing a financial contribution to support the implementation of this Agreement;</w:t>
      </w:r>
    </w:p>
    <w:p w:rsidR="00C60F24" w:rsidRPr="004279E6" w:rsidRDefault="005C218F" w:rsidP="008F3AF2">
      <w:pPr>
        <w:pStyle w:val="OutlineNumbered1"/>
        <w:numPr>
          <w:ilvl w:val="0"/>
          <w:numId w:val="33"/>
        </w:numPr>
        <w:tabs>
          <w:tab w:val="clear" w:pos="543"/>
          <w:tab w:val="num" w:pos="1701"/>
        </w:tabs>
        <w:ind w:left="1134"/>
      </w:pPr>
      <w:r w:rsidRPr="004279E6">
        <w:t xml:space="preserve">ensuring the delivery of </w:t>
      </w:r>
      <w:r w:rsidR="008F44F1" w:rsidRPr="004279E6">
        <w:t>all aspects of the project outputs set out in this Agreement</w:t>
      </w:r>
      <w:r w:rsidR="00C60F24" w:rsidRPr="004279E6">
        <w:t>;</w:t>
      </w:r>
    </w:p>
    <w:p w:rsidR="005205E7" w:rsidRPr="004279E6" w:rsidRDefault="005205E7" w:rsidP="008F3AF2">
      <w:pPr>
        <w:pStyle w:val="OutlineNumbered1"/>
        <w:numPr>
          <w:ilvl w:val="0"/>
          <w:numId w:val="33"/>
        </w:numPr>
        <w:tabs>
          <w:tab w:val="clear" w:pos="543"/>
          <w:tab w:val="num" w:pos="1701"/>
        </w:tabs>
        <w:ind w:left="1134"/>
      </w:pPr>
      <w:r w:rsidRPr="004279E6">
        <w:t xml:space="preserve">administering the Western </w:t>
      </w:r>
      <w:r w:rsidR="007C4629" w:rsidRPr="004279E6">
        <w:t xml:space="preserve">Parkland </w:t>
      </w:r>
      <w:r w:rsidRPr="004279E6">
        <w:t>City Liveability Program;</w:t>
      </w:r>
    </w:p>
    <w:p w:rsidR="00A15E8E" w:rsidRPr="004279E6" w:rsidRDefault="00C60F24" w:rsidP="008F3AF2">
      <w:pPr>
        <w:pStyle w:val="OutlineNumbered1"/>
        <w:numPr>
          <w:ilvl w:val="0"/>
          <w:numId w:val="33"/>
        </w:numPr>
        <w:tabs>
          <w:tab w:val="clear" w:pos="543"/>
          <w:tab w:val="num" w:pos="1701"/>
        </w:tabs>
        <w:ind w:left="1134"/>
      </w:pPr>
      <w:r w:rsidRPr="004279E6">
        <w:t xml:space="preserve">working with and funding local governments to support the delivery of </w:t>
      </w:r>
      <w:r w:rsidR="00A15E8E" w:rsidRPr="004279E6">
        <w:t>the Western Sydney Housing Package;</w:t>
      </w:r>
    </w:p>
    <w:p w:rsidR="008F44F1" w:rsidRPr="004279E6" w:rsidRDefault="00A15E8E" w:rsidP="008F3AF2">
      <w:pPr>
        <w:pStyle w:val="OutlineNumbered1"/>
        <w:numPr>
          <w:ilvl w:val="0"/>
          <w:numId w:val="33"/>
        </w:numPr>
        <w:tabs>
          <w:tab w:val="clear" w:pos="543"/>
          <w:tab w:val="num" w:pos="1701"/>
        </w:tabs>
        <w:ind w:left="1134"/>
      </w:pPr>
      <w:r w:rsidRPr="004279E6">
        <w:t xml:space="preserve">making </w:t>
      </w:r>
      <w:r w:rsidR="00C60F24" w:rsidRPr="004279E6">
        <w:t xml:space="preserve">relevant </w:t>
      </w:r>
      <w:r w:rsidRPr="004279E6">
        <w:t>payments to local governments as they meet relevant performance milestones as set out in Part 4;</w:t>
      </w:r>
    </w:p>
    <w:p w:rsidR="00A6719E" w:rsidRPr="004279E6" w:rsidRDefault="00A6719E" w:rsidP="008F3AF2">
      <w:pPr>
        <w:pStyle w:val="OutlineNumbered1"/>
        <w:numPr>
          <w:ilvl w:val="0"/>
          <w:numId w:val="33"/>
        </w:numPr>
        <w:tabs>
          <w:tab w:val="clear" w:pos="543"/>
          <w:tab w:val="num" w:pos="1701"/>
        </w:tabs>
        <w:ind w:left="1134"/>
      </w:pPr>
      <w:r w:rsidRPr="004279E6">
        <w:t>reporting on the delivery of outputs as set out in Part 4 – Project Milestones, Reporting and Payments</w:t>
      </w:r>
      <w:r w:rsidR="006B43AF" w:rsidRPr="004279E6">
        <w:t>;</w:t>
      </w:r>
    </w:p>
    <w:p w:rsidR="00946A3C" w:rsidRPr="004279E6" w:rsidRDefault="00C7495E" w:rsidP="008F3AF2">
      <w:pPr>
        <w:pStyle w:val="OutlineNumbered1"/>
        <w:numPr>
          <w:ilvl w:val="0"/>
          <w:numId w:val="33"/>
        </w:numPr>
        <w:tabs>
          <w:tab w:val="clear" w:pos="543"/>
          <w:tab w:val="num" w:pos="1701"/>
        </w:tabs>
        <w:ind w:left="1134"/>
      </w:pPr>
      <w:r w:rsidRPr="004279E6">
        <w:rPr>
          <w:szCs w:val="23"/>
        </w:rPr>
        <w:t xml:space="preserve">ensuring that </w:t>
      </w:r>
      <w:r w:rsidRPr="004279E6">
        <w:t>only a builder or builders accredited under the Australian Government Building and Construction WHS Accreditation Scheme is contracted</w:t>
      </w:r>
      <w:r w:rsidR="002F498A" w:rsidRPr="004279E6">
        <w:t xml:space="preserve"> </w:t>
      </w:r>
      <w:r w:rsidR="002F498A" w:rsidRPr="004279E6">
        <w:rPr>
          <w:color w:val="auto"/>
        </w:rPr>
        <w:t>(</w:t>
      </w:r>
      <w:r w:rsidR="002F498A" w:rsidRPr="004279E6">
        <w:t>subject to the financial thresholds defined in the Scheme)</w:t>
      </w:r>
      <w:r w:rsidRPr="004279E6">
        <w:t>, and providing the necessary assurances to the Commonwealth; and</w:t>
      </w:r>
    </w:p>
    <w:p w:rsidR="002C0E5C" w:rsidRPr="004279E6" w:rsidRDefault="00C7495E" w:rsidP="008F3AF2">
      <w:pPr>
        <w:pStyle w:val="OutlineNumbered1"/>
        <w:numPr>
          <w:ilvl w:val="0"/>
          <w:numId w:val="33"/>
        </w:numPr>
        <w:tabs>
          <w:tab w:val="clear" w:pos="543"/>
          <w:tab w:val="num" w:pos="1701"/>
        </w:tabs>
        <w:ind w:left="1134"/>
      </w:pPr>
      <w:r w:rsidRPr="004279E6">
        <w:rPr>
          <w:szCs w:val="23"/>
        </w:rPr>
        <w:t>ensuring that compliance with the Building Code 2016</w:t>
      </w:r>
      <w:r w:rsidRPr="004279E6">
        <w:t xml:space="preserve"> is made a condition of tender for and performance of building work by all contractors and subcontractors</w:t>
      </w:r>
      <w:r w:rsidR="002F498A" w:rsidRPr="004279E6">
        <w:t xml:space="preserve"> </w:t>
      </w:r>
      <w:r w:rsidR="002F498A" w:rsidRPr="004279E6">
        <w:rPr>
          <w:color w:val="auto"/>
        </w:rPr>
        <w:t>(</w:t>
      </w:r>
      <w:r w:rsidR="002F498A" w:rsidRPr="004279E6">
        <w:t>subject to the financial thresholds defined in the Scheme)</w:t>
      </w:r>
      <w:r w:rsidRPr="004279E6">
        <w:t>, and providing</w:t>
      </w:r>
      <w:r w:rsidRPr="004279E6">
        <w:rPr>
          <w:szCs w:val="23"/>
        </w:rPr>
        <w:t xml:space="preserve"> the necessary assurances to the Commonwealth</w:t>
      </w:r>
      <w:r w:rsidR="00946A3C" w:rsidRPr="004279E6">
        <w:t>.</w:t>
      </w:r>
    </w:p>
    <w:p w:rsidR="008F44F1" w:rsidRPr="004279E6" w:rsidRDefault="008F44F1" w:rsidP="004F5DCD">
      <w:pPr>
        <w:pStyle w:val="Heading2"/>
      </w:pPr>
      <w:r w:rsidRPr="004279E6">
        <w:t>Shared roles</w:t>
      </w:r>
    </w:p>
    <w:p w:rsidR="008F44F1" w:rsidRPr="004279E6" w:rsidRDefault="008F44F1" w:rsidP="008F3AF2">
      <w:pPr>
        <w:pStyle w:val="Normalnumbered"/>
        <w:numPr>
          <w:ilvl w:val="0"/>
          <w:numId w:val="20"/>
        </w:numPr>
        <w:spacing w:after="480"/>
      </w:pPr>
      <w:r w:rsidRPr="004279E6">
        <w:rPr>
          <w:color w:val="auto"/>
        </w:rPr>
        <w:t xml:space="preserve">The Parties will </w:t>
      </w:r>
      <w:r w:rsidRPr="004279E6">
        <w:t xml:space="preserve">meet the requirements of Schedule E, Clause 26 of </w:t>
      </w:r>
      <w:r w:rsidRPr="004279E6">
        <w:rPr>
          <w:color w:val="auto"/>
        </w:rPr>
        <w:t xml:space="preserve">the </w:t>
      </w:r>
      <w:r w:rsidR="00C41265" w:rsidRPr="004279E6">
        <w:rPr>
          <w:color w:val="auto"/>
        </w:rPr>
        <w:t>IGA FFR</w:t>
      </w:r>
      <w:r w:rsidRPr="004279E6">
        <w:rPr>
          <w:color w:val="auto"/>
        </w:rPr>
        <w:t>, by ensuring that prior agreemen</w:t>
      </w:r>
      <w:r w:rsidRPr="004279E6">
        <w:t>t is reached on the nature and content of any events, announcements, promotional material or publicity relating to activities under this Agreement, and that the roles of both Parties will be acknowledged and recognised appropriately.</w:t>
      </w:r>
    </w:p>
    <w:p w:rsidR="00814667" w:rsidRPr="004279E6" w:rsidRDefault="00814667">
      <w:pPr>
        <w:pStyle w:val="Heading1"/>
      </w:pPr>
      <w:r w:rsidRPr="004279E6">
        <w:t xml:space="preserve">Part 4 — </w:t>
      </w:r>
      <w:r w:rsidR="0095223D" w:rsidRPr="004279E6">
        <w:t xml:space="preserve">Project </w:t>
      </w:r>
      <w:r w:rsidR="00F8684A" w:rsidRPr="004279E6">
        <w:t>milestones</w:t>
      </w:r>
      <w:r w:rsidR="0095223D" w:rsidRPr="004279E6">
        <w:t xml:space="preserve">, </w:t>
      </w:r>
      <w:r w:rsidRPr="004279E6">
        <w:t>reporting</w:t>
      </w:r>
      <w:r w:rsidR="00B8096A" w:rsidRPr="004279E6">
        <w:t xml:space="preserve"> and Payment</w:t>
      </w:r>
      <w:r w:rsidR="0095223D" w:rsidRPr="004279E6">
        <w:t>s</w:t>
      </w:r>
    </w:p>
    <w:p w:rsidR="00AF6744" w:rsidRPr="004279E6" w:rsidRDefault="00545DF7" w:rsidP="008F3AF2">
      <w:pPr>
        <w:pStyle w:val="Normalnumbered"/>
        <w:numPr>
          <w:ilvl w:val="0"/>
          <w:numId w:val="20"/>
        </w:numPr>
      </w:pPr>
      <w:r w:rsidRPr="004279E6">
        <w:t>T</w:t>
      </w:r>
      <w:r w:rsidR="007C4F31" w:rsidRPr="004279E6">
        <w:t xml:space="preserve">able </w:t>
      </w:r>
      <w:r w:rsidRPr="004279E6">
        <w:t xml:space="preserve">1 </w:t>
      </w:r>
      <w:r w:rsidR="007C4F31" w:rsidRPr="004279E6">
        <w:t xml:space="preserve">summarises the milestones for the project, their relationship to the outputs, expected completion dates, relevant reporting dates and expected payments </w:t>
      </w:r>
      <w:r w:rsidR="0077685D" w:rsidRPr="004279E6">
        <w:t>to be made</w:t>
      </w:r>
      <w:r w:rsidR="00ED2AC4" w:rsidRPr="004279E6">
        <w:t>. The Commonwealth wil</w:t>
      </w:r>
      <w:r w:rsidR="00EA1D0F" w:rsidRPr="004279E6">
        <w:t>l make payments subject to the relevant</w:t>
      </w:r>
      <w:r w:rsidR="00ED2AC4" w:rsidRPr="004279E6">
        <w:t xml:space="preserve"> performance report</w:t>
      </w:r>
      <w:r w:rsidR="00EA1D0F" w:rsidRPr="004279E6">
        <w:t>s</w:t>
      </w:r>
      <w:r w:rsidR="00ED2AC4" w:rsidRPr="004279E6">
        <w:t xml:space="preserve"> demonstrating the relevant </w:t>
      </w:r>
      <w:r w:rsidR="00ED2AC4" w:rsidRPr="004279E6">
        <w:rPr>
          <w:szCs w:val="23"/>
        </w:rPr>
        <w:t xml:space="preserve">milestone </w:t>
      </w:r>
      <w:r w:rsidR="00ED2AC4" w:rsidRPr="004279E6">
        <w:t>has been met.</w:t>
      </w:r>
    </w:p>
    <w:p w:rsidR="00AF6744" w:rsidRPr="004279E6" w:rsidRDefault="00AF6744" w:rsidP="00AF6744">
      <w:r w:rsidRPr="004279E6">
        <w:br w:type="page"/>
      </w:r>
    </w:p>
    <w:p w:rsidR="00CE076B" w:rsidRPr="004279E6" w:rsidRDefault="0095223D" w:rsidP="008008B5">
      <w:pPr>
        <w:pStyle w:val="Normalnumbered"/>
        <w:keepNext/>
        <w:numPr>
          <w:ilvl w:val="0"/>
          <w:numId w:val="0"/>
        </w:numPr>
        <w:spacing w:after="120"/>
        <w:rPr>
          <w:b/>
        </w:rPr>
      </w:pPr>
      <w:r w:rsidRPr="004279E6">
        <w:rPr>
          <w:b/>
        </w:rPr>
        <w:t xml:space="preserve">Table </w:t>
      </w:r>
      <w:r w:rsidR="00E204BB" w:rsidRPr="004279E6">
        <w:rPr>
          <w:b/>
        </w:rPr>
        <w:t>1</w:t>
      </w:r>
      <w:r w:rsidRPr="004279E6">
        <w:t xml:space="preserve">: </w:t>
      </w:r>
      <w:r w:rsidR="00806D94" w:rsidRPr="004279E6">
        <w:rPr>
          <w:b/>
        </w:rPr>
        <w:t>Performance requirements</w:t>
      </w:r>
      <w:r w:rsidRPr="004279E6">
        <w:rPr>
          <w:b/>
        </w:rPr>
        <w:t>, reporting and payment summary</w:t>
      </w:r>
    </w:p>
    <w:tbl>
      <w:tblPr>
        <w:tblStyle w:val="TableGrid1"/>
        <w:tblW w:w="9634" w:type="dxa"/>
        <w:tblLayout w:type="fixed"/>
        <w:tblLook w:val="04A0" w:firstRow="1" w:lastRow="0" w:firstColumn="1" w:lastColumn="0" w:noHBand="0" w:noVBand="1"/>
      </w:tblPr>
      <w:tblGrid>
        <w:gridCol w:w="6658"/>
        <w:gridCol w:w="1275"/>
        <w:gridCol w:w="1701"/>
      </w:tblGrid>
      <w:tr w:rsidR="00CE076B" w:rsidRPr="004279E6" w:rsidTr="004279E6">
        <w:tc>
          <w:tcPr>
            <w:tcW w:w="6658" w:type="dxa"/>
          </w:tcPr>
          <w:p w:rsidR="00CE076B" w:rsidRPr="004279E6" w:rsidRDefault="00CE076B" w:rsidP="00C34C48">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Performance milestones or benchmarks</w:t>
            </w:r>
          </w:p>
        </w:tc>
        <w:tc>
          <w:tcPr>
            <w:tcW w:w="1275" w:type="dxa"/>
          </w:tcPr>
          <w:p w:rsidR="00CE076B" w:rsidRPr="004279E6" w:rsidRDefault="00CE076B" w:rsidP="00C34C48">
            <w:pPr>
              <w:keepNext/>
              <w:spacing w:before="180" w:after="120" w:line="240" w:lineRule="auto"/>
              <w:jc w:val="left"/>
              <w:outlineLvl w:val="1"/>
              <w:rPr>
                <w:rFonts w:cs="Arial"/>
                <w:b/>
                <w:bCs/>
                <w:iCs/>
                <w:color w:val="3D4B67"/>
                <w:sz w:val="18"/>
                <w:szCs w:val="18"/>
              </w:rPr>
            </w:pPr>
            <w:r w:rsidRPr="004279E6">
              <w:rPr>
                <w:rFonts w:cs="Arial"/>
                <w:b/>
                <w:iCs/>
                <w:color w:val="3D4B67"/>
                <w:sz w:val="24"/>
                <w:szCs w:val="24"/>
              </w:rPr>
              <w:t xml:space="preserve">Report due </w:t>
            </w:r>
          </w:p>
        </w:tc>
        <w:tc>
          <w:tcPr>
            <w:tcW w:w="1701" w:type="dxa"/>
          </w:tcPr>
          <w:p w:rsidR="00CE076B" w:rsidRPr="004279E6" w:rsidRDefault="00CE076B" w:rsidP="00C34C48">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 xml:space="preserve">Payment </w:t>
            </w:r>
          </w:p>
        </w:tc>
      </w:tr>
      <w:tr w:rsidR="00CE076B" w:rsidRPr="004279E6" w:rsidTr="004279E6">
        <w:tc>
          <w:tcPr>
            <w:tcW w:w="9634" w:type="dxa"/>
            <w:gridSpan w:val="3"/>
          </w:tcPr>
          <w:p w:rsidR="00CE076B" w:rsidRPr="004279E6" w:rsidRDefault="00CE076B" w:rsidP="004279E6">
            <w:pPr>
              <w:spacing w:line="240" w:lineRule="auto"/>
              <w:jc w:val="left"/>
              <w:rPr>
                <w:b/>
              </w:rPr>
            </w:pPr>
            <w:r w:rsidRPr="004279E6">
              <w:rPr>
                <w:b/>
                <w:i/>
                <w:szCs w:val="23"/>
              </w:rPr>
              <w:t>Western Parkland City housing package</w:t>
            </w:r>
          </w:p>
        </w:tc>
      </w:tr>
      <w:tr w:rsidR="00CE076B" w:rsidRPr="004279E6" w:rsidTr="004279E6">
        <w:trPr>
          <w:trHeight w:val="1390"/>
        </w:trPr>
        <w:tc>
          <w:tcPr>
            <w:tcW w:w="6658" w:type="dxa"/>
          </w:tcPr>
          <w:p w:rsidR="00CE076B" w:rsidRPr="004279E6" w:rsidRDefault="00CE076B" w:rsidP="004279E6">
            <w:pPr>
              <w:spacing w:before="120" w:after="120" w:line="240" w:lineRule="auto"/>
              <w:jc w:val="left"/>
              <w:rPr>
                <w:color w:val="auto"/>
              </w:rPr>
            </w:pPr>
            <w:r w:rsidRPr="004279E6">
              <w:rPr>
                <w:color w:val="auto"/>
              </w:rPr>
              <w:t>The Western Sydney Planning Partnership (WSPP) has undertaken an inventory of existing engineering and design standards, identified best practice, made an assessment against District Plan objectives, and undertaken stakeholder engagement.</w:t>
            </w:r>
          </w:p>
        </w:tc>
        <w:tc>
          <w:tcPr>
            <w:tcW w:w="1275"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1/05/2019</w:t>
            </w:r>
          </w:p>
          <w:p w:rsidR="00CE076B" w:rsidRPr="004279E6" w:rsidRDefault="00CE076B" w:rsidP="004279E6">
            <w:pPr>
              <w:spacing w:line="240" w:lineRule="auto"/>
              <w:jc w:val="left"/>
              <w:rPr>
                <w:color w:val="auto"/>
              </w:rPr>
            </w:pPr>
          </w:p>
        </w:tc>
        <w:tc>
          <w:tcPr>
            <w:tcW w:w="1701"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$1m</w:t>
            </w:r>
          </w:p>
          <w:p w:rsidR="00CE076B" w:rsidRPr="004279E6" w:rsidRDefault="00CE076B" w:rsidP="004279E6">
            <w:pPr>
              <w:spacing w:line="240" w:lineRule="auto"/>
              <w:jc w:val="left"/>
              <w:rPr>
                <w:color w:val="auto"/>
              </w:rPr>
            </w:pPr>
          </w:p>
        </w:tc>
      </w:tr>
      <w:tr w:rsidR="00CE076B" w:rsidRPr="004279E6" w:rsidTr="004279E6">
        <w:tc>
          <w:tcPr>
            <w:tcW w:w="6658" w:type="dxa"/>
          </w:tcPr>
          <w:p w:rsidR="00CE076B" w:rsidRPr="004279E6" w:rsidRDefault="00CE076B" w:rsidP="004279E6">
            <w:pPr>
              <w:spacing w:line="240" w:lineRule="auto"/>
              <w:jc w:val="left"/>
              <w:rPr>
                <w:b/>
                <w:color w:val="auto"/>
              </w:rPr>
            </w:pPr>
            <w:r w:rsidRPr="004279E6">
              <w:rPr>
                <w:color w:val="auto"/>
                <w:szCs w:val="23"/>
              </w:rPr>
              <w:t>The uniform engineering and design standards have been submitted to local governments for a decision on their application.</w:t>
            </w:r>
          </w:p>
        </w:tc>
        <w:tc>
          <w:tcPr>
            <w:tcW w:w="1275" w:type="dxa"/>
          </w:tcPr>
          <w:p w:rsidR="00CE076B" w:rsidRPr="004279E6" w:rsidRDefault="00CE076B" w:rsidP="004279E6">
            <w:pPr>
              <w:spacing w:line="240" w:lineRule="auto"/>
              <w:jc w:val="left"/>
              <w:rPr>
                <w:b/>
                <w:color w:val="auto"/>
              </w:rPr>
            </w:pPr>
            <w:r w:rsidRPr="004279E6">
              <w:rPr>
                <w:color w:val="auto"/>
              </w:rPr>
              <w:t>30/10/2019</w:t>
            </w:r>
          </w:p>
        </w:tc>
        <w:tc>
          <w:tcPr>
            <w:tcW w:w="1701" w:type="dxa"/>
          </w:tcPr>
          <w:p w:rsidR="00CE076B" w:rsidRPr="004279E6" w:rsidRDefault="00CE076B" w:rsidP="004279E6">
            <w:pPr>
              <w:spacing w:line="240" w:lineRule="auto"/>
              <w:jc w:val="left"/>
              <w:rPr>
                <w:b/>
                <w:color w:val="auto"/>
              </w:rPr>
            </w:pPr>
            <w:r w:rsidRPr="004279E6">
              <w:rPr>
                <w:color w:val="auto"/>
              </w:rPr>
              <w:t>$0.25m</w:t>
            </w:r>
          </w:p>
        </w:tc>
      </w:tr>
      <w:tr w:rsidR="00CE076B" w:rsidRPr="004279E6" w:rsidTr="004279E6">
        <w:trPr>
          <w:trHeight w:val="1400"/>
        </w:trPr>
        <w:tc>
          <w:tcPr>
            <w:tcW w:w="6658" w:type="dxa"/>
            <w:shd w:val="clear" w:color="auto" w:fill="auto"/>
          </w:tcPr>
          <w:p w:rsidR="00CE076B" w:rsidRPr="004279E6" w:rsidRDefault="00CE076B" w:rsidP="004279E6">
            <w:pPr>
              <w:spacing w:before="120" w:after="120" w:line="240" w:lineRule="auto"/>
              <w:jc w:val="left"/>
              <w:rPr>
                <w:color w:val="auto"/>
                <w:szCs w:val="23"/>
              </w:rPr>
            </w:pPr>
            <w:r w:rsidRPr="004279E6">
              <w:rPr>
                <w:color w:val="auto"/>
                <w:szCs w:val="23"/>
              </w:rPr>
              <w:t>New South Wales has made a Ministerial Direction under the Planning Legislation and established a Special Infrastructure Contribution scheme that gives effect to a Land Use and Infrastructure Implementation Plan for the Greater Penrith to Eastern Creek Growth Area</w:t>
            </w:r>
            <w:r w:rsidR="00B07FA8" w:rsidRPr="004279E6">
              <w:rPr>
                <w:color w:val="auto"/>
                <w:szCs w:val="23"/>
              </w:rPr>
              <w:t xml:space="preserve">. </w:t>
            </w:r>
          </w:p>
        </w:tc>
        <w:tc>
          <w:tcPr>
            <w:tcW w:w="1275" w:type="dxa"/>
            <w:shd w:val="clear" w:color="auto" w:fill="auto"/>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1/05/2020</w:t>
            </w:r>
          </w:p>
        </w:tc>
        <w:tc>
          <w:tcPr>
            <w:tcW w:w="1701" w:type="dxa"/>
            <w:shd w:val="clear" w:color="auto" w:fill="auto"/>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$1.25m</w:t>
            </w:r>
          </w:p>
          <w:p w:rsidR="00CE076B" w:rsidRPr="004279E6" w:rsidRDefault="00CE076B" w:rsidP="004279E6">
            <w:pPr>
              <w:spacing w:line="240" w:lineRule="auto"/>
              <w:jc w:val="left"/>
            </w:pPr>
          </w:p>
        </w:tc>
      </w:tr>
      <w:tr w:rsidR="00CE076B" w:rsidRPr="004279E6" w:rsidTr="004279E6">
        <w:trPr>
          <w:trHeight w:val="1627"/>
        </w:trPr>
        <w:tc>
          <w:tcPr>
            <w:tcW w:w="6658" w:type="dxa"/>
          </w:tcPr>
          <w:p w:rsidR="00CE076B" w:rsidRPr="004279E6" w:rsidRDefault="00CE076B" w:rsidP="004279E6">
            <w:pPr>
              <w:spacing w:line="240" w:lineRule="auto"/>
              <w:jc w:val="left"/>
              <w:rPr>
                <w:color w:val="auto"/>
              </w:rPr>
            </w:pPr>
            <w:r w:rsidRPr="004279E6">
              <w:rPr>
                <w:color w:val="auto"/>
              </w:rPr>
              <w:t>To inform the development of sub regional models for transport and water infrastructure to undertake land use forecasting, New South Wales has finalised growth scenarios and a baseline assessment of existing infrastructure and services and the scenarios and baseline assessments have been endorsed by the Commission’s Infrastructure Delivery Committee (or relevant Sub-Committee)</w:t>
            </w:r>
            <w:r w:rsidR="00B07FA8" w:rsidRPr="004279E6">
              <w:rPr>
                <w:color w:val="auto"/>
              </w:rPr>
              <w:t>.</w:t>
            </w:r>
          </w:p>
        </w:tc>
        <w:tc>
          <w:tcPr>
            <w:tcW w:w="1275" w:type="dxa"/>
          </w:tcPr>
          <w:p w:rsidR="00CE076B" w:rsidRPr="004279E6" w:rsidRDefault="00CE076B" w:rsidP="004279E6">
            <w:pPr>
              <w:spacing w:line="240" w:lineRule="auto"/>
              <w:jc w:val="left"/>
              <w:rPr>
                <w:color w:val="auto"/>
              </w:rPr>
            </w:pPr>
            <w:r w:rsidRPr="004279E6">
              <w:rPr>
                <w:color w:val="auto"/>
              </w:rPr>
              <w:t>1/05/2019</w:t>
            </w:r>
          </w:p>
          <w:p w:rsidR="00CE076B" w:rsidRPr="004279E6" w:rsidRDefault="00CE076B" w:rsidP="004279E6">
            <w:pPr>
              <w:spacing w:line="240" w:lineRule="auto"/>
              <w:jc w:val="left"/>
              <w:rPr>
                <w:color w:val="auto"/>
              </w:rPr>
            </w:pPr>
          </w:p>
        </w:tc>
        <w:tc>
          <w:tcPr>
            <w:tcW w:w="1701" w:type="dxa"/>
          </w:tcPr>
          <w:p w:rsidR="00CE076B" w:rsidRPr="004279E6" w:rsidRDefault="00CE076B" w:rsidP="004279E6">
            <w:pPr>
              <w:spacing w:line="240" w:lineRule="auto"/>
              <w:jc w:val="left"/>
              <w:rPr>
                <w:color w:val="auto"/>
              </w:rPr>
            </w:pPr>
            <w:r w:rsidRPr="004279E6">
              <w:rPr>
                <w:color w:val="auto"/>
              </w:rPr>
              <w:t>$2m</w:t>
            </w:r>
          </w:p>
          <w:p w:rsidR="00CE076B" w:rsidRPr="004279E6" w:rsidRDefault="00CE076B" w:rsidP="004279E6">
            <w:pPr>
              <w:spacing w:line="240" w:lineRule="auto"/>
              <w:jc w:val="left"/>
              <w:rPr>
                <w:color w:val="auto"/>
              </w:rPr>
            </w:pPr>
          </w:p>
        </w:tc>
      </w:tr>
      <w:tr w:rsidR="00CE076B" w:rsidRPr="004279E6" w:rsidTr="004279E6">
        <w:trPr>
          <w:trHeight w:val="1334"/>
        </w:trPr>
        <w:tc>
          <w:tcPr>
            <w:tcW w:w="6658" w:type="dxa"/>
          </w:tcPr>
          <w:p w:rsidR="00CE076B" w:rsidRPr="004279E6" w:rsidRDefault="00CE076B" w:rsidP="004279E6">
            <w:pPr>
              <w:spacing w:line="240" w:lineRule="auto"/>
              <w:jc w:val="left"/>
              <w:rPr>
                <w:b/>
                <w:color w:val="auto"/>
              </w:rPr>
            </w:pPr>
            <w:r w:rsidRPr="004279E6">
              <w:rPr>
                <w:color w:val="auto"/>
              </w:rPr>
              <w:t>Using the developed transport and water infrastructure sub</w:t>
            </w:r>
            <w:r w:rsidRPr="004279E6">
              <w:rPr>
                <w:color w:val="auto"/>
              </w:rPr>
              <w:noBreakHyphen/>
              <w:t xml:space="preserve">regional models, New South Wales has completed and is implementing a pilot Growth Infrastructure Compact for the Western Sydney Airport Growth Area and has made results of the sub-regional models for future transport and water </w:t>
            </w:r>
            <w:r w:rsidRPr="004279E6">
              <w:t>infrastructure needs publicly available.</w:t>
            </w:r>
          </w:p>
        </w:tc>
        <w:tc>
          <w:tcPr>
            <w:tcW w:w="1275" w:type="dxa"/>
          </w:tcPr>
          <w:p w:rsidR="00CE076B" w:rsidRPr="004279E6" w:rsidRDefault="00CE076B" w:rsidP="004279E6">
            <w:pPr>
              <w:spacing w:line="240" w:lineRule="auto"/>
              <w:jc w:val="left"/>
              <w:rPr>
                <w:color w:val="auto"/>
              </w:rPr>
            </w:pPr>
            <w:r w:rsidRPr="004279E6">
              <w:rPr>
                <w:color w:val="auto"/>
              </w:rPr>
              <w:t>1/05/2020</w:t>
            </w:r>
          </w:p>
          <w:p w:rsidR="00CE076B" w:rsidRPr="004279E6" w:rsidRDefault="00CE076B" w:rsidP="004279E6">
            <w:pPr>
              <w:spacing w:line="240" w:lineRule="auto"/>
              <w:jc w:val="left"/>
              <w:rPr>
                <w:color w:val="auto"/>
              </w:rPr>
            </w:pPr>
          </w:p>
        </w:tc>
        <w:tc>
          <w:tcPr>
            <w:tcW w:w="1701" w:type="dxa"/>
          </w:tcPr>
          <w:p w:rsidR="00CE076B" w:rsidRPr="004279E6" w:rsidRDefault="00CE076B" w:rsidP="004279E6">
            <w:pPr>
              <w:spacing w:line="240" w:lineRule="auto"/>
              <w:jc w:val="left"/>
              <w:rPr>
                <w:color w:val="auto"/>
              </w:rPr>
            </w:pPr>
            <w:r w:rsidRPr="004279E6">
              <w:rPr>
                <w:color w:val="auto"/>
              </w:rPr>
              <w:t>$3m</w:t>
            </w:r>
          </w:p>
          <w:p w:rsidR="00CE076B" w:rsidRPr="004279E6" w:rsidRDefault="00CE076B" w:rsidP="004279E6">
            <w:pPr>
              <w:spacing w:line="240" w:lineRule="auto"/>
              <w:jc w:val="left"/>
              <w:rPr>
                <w:color w:val="auto"/>
              </w:rPr>
            </w:pPr>
          </w:p>
        </w:tc>
      </w:tr>
      <w:tr w:rsidR="00CE076B" w:rsidRPr="004279E6" w:rsidTr="004279E6">
        <w:tc>
          <w:tcPr>
            <w:tcW w:w="6658" w:type="dxa"/>
          </w:tcPr>
          <w:p w:rsidR="00CE076B" w:rsidRPr="004279E6" w:rsidRDefault="00CE076B" w:rsidP="004279E6">
            <w:pPr>
              <w:spacing w:line="240" w:lineRule="auto"/>
              <w:jc w:val="left"/>
              <w:rPr>
                <w:b/>
                <w:color w:val="auto"/>
              </w:rPr>
            </w:pPr>
            <w:r w:rsidRPr="004279E6">
              <w:rPr>
                <w:color w:val="auto"/>
                <w:szCs w:val="23"/>
              </w:rPr>
              <w:t xml:space="preserve">New Local Environment Plans are </w:t>
            </w:r>
            <w:r w:rsidRPr="004279E6">
              <w:rPr>
                <w:color w:val="auto"/>
              </w:rPr>
              <w:t xml:space="preserve">submitted to the Department </w:t>
            </w:r>
            <w:r w:rsidR="00560EB0" w:rsidRPr="004279E6">
              <w:rPr>
                <w:color w:val="auto"/>
              </w:rPr>
              <w:t xml:space="preserve">of </w:t>
            </w:r>
            <w:r w:rsidRPr="004279E6">
              <w:rPr>
                <w:color w:val="auto"/>
              </w:rPr>
              <w:t xml:space="preserve">Planning and Environment </w:t>
            </w:r>
            <w:r w:rsidRPr="004279E6">
              <w:rPr>
                <w:color w:val="auto"/>
                <w:szCs w:val="23"/>
              </w:rPr>
              <w:t xml:space="preserve">for six local governments in the City Deal area facing higher housing growth that reflect the new Local Housing Strategies and the </w:t>
            </w:r>
            <w:r w:rsidR="00560EB0" w:rsidRPr="004279E6">
              <w:rPr>
                <w:color w:val="auto"/>
                <w:szCs w:val="23"/>
              </w:rPr>
              <w:t>five</w:t>
            </w:r>
            <w:r w:rsidRPr="004279E6">
              <w:rPr>
                <w:color w:val="auto"/>
                <w:szCs w:val="23"/>
              </w:rPr>
              <w:t xml:space="preserve"> and 20 year local government area and district housing targets within two years.</w:t>
            </w:r>
          </w:p>
        </w:tc>
        <w:tc>
          <w:tcPr>
            <w:tcW w:w="1275" w:type="dxa"/>
          </w:tcPr>
          <w:p w:rsidR="00CE076B" w:rsidRPr="004279E6" w:rsidRDefault="00CE076B" w:rsidP="004279E6">
            <w:pPr>
              <w:spacing w:line="240" w:lineRule="auto"/>
              <w:jc w:val="left"/>
              <w:rPr>
                <w:color w:val="auto"/>
              </w:rPr>
            </w:pPr>
            <w:r w:rsidRPr="004279E6">
              <w:rPr>
                <w:color w:val="auto"/>
              </w:rPr>
              <w:t>31/07/2020</w:t>
            </w:r>
          </w:p>
        </w:tc>
        <w:tc>
          <w:tcPr>
            <w:tcW w:w="1701" w:type="dxa"/>
          </w:tcPr>
          <w:p w:rsidR="00560EB0" w:rsidRPr="004279E6" w:rsidRDefault="00CE076B" w:rsidP="004279E6">
            <w:pPr>
              <w:spacing w:line="240" w:lineRule="auto"/>
              <w:jc w:val="left"/>
              <w:rPr>
                <w:color w:val="auto"/>
              </w:rPr>
            </w:pPr>
            <w:r w:rsidRPr="004279E6">
              <w:rPr>
                <w:color w:val="auto"/>
              </w:rPr>
              <w:t xml:space="preserve">$7.5m </w:t>
            </w:r>
          </w:p>
          <w:p w:rsidR="00CE076B" w:rsidRPr="004279E6" w:rsidRDefault="00CE076B" w:rsidP="004279E6">
            <w:pPr>
              <w:spacing w:line="240" w:lineRule="auto"/>
              <w:jc w:val="left"/>
              <w:rPr>
                <w:color w:val="auto"/>
              </w:rPr>
            </w:pPr>
            <w:r w:rsidRPr="004279E6">
              <w:rPr>
                <w:color w:val="auto"/>
              </w:rPr>
              <w:t xml:space="preserve">($2.5m per </w:t>
            </w:r>
            <w:r w:rsidR="00560EB0" w:rsidRPr="004279E6">
              <w:rPr>
                <w:color w:val="auto"/>
              </w:rPr>
              <w:t>local government</w:t>
            </w:r>
            <w:r w:rsidRPr="004279E6">
              <w:rPr>
                <w:color w:val="auto"/>
              </w:rPr>
              <w:t>)</w:t>
            </w:r>
          </w:p>
        </w:tc>
      </w:tr>
      <w:tr w:rsidR="00CE076B" w:rsidRPr="004279E6" w:rsidTr="004279E6">
        <w:tc>
          <w:tcPr>
            <w:tcW w:w="9634" w:type="dxa"/>
            <w:gridSpan w:val="3"/>
          </w:tcPr>
          <w:p w:rsidR="00CE076B" w:rsidRPr="004279E6" w:rsidRDefault="00CE076B" w:rsidP="004279E6">
            <w:pPr>
              <w:spacing w:line="240" w:lineRule="auto"/>
              <w:jc w:val="left"/>
              <w:rPr>
                <w:b/>
                <w:color w:val="auto"/>
              </w:rPr>
            </w:pPr>
            <w:r w:rsidRPr="004279E6">
              <w:rPr>
                <w:b/>
                <w:i/>
                <w:color w:val="auto"/>
                <w:szCs w:val="23"/>
              </w:rPr>
              <w:t>Western Parkland City Liveability Program*</w:t>
            </w:r>
          </w:p>
        </w:tc>
      </w:tr>
      <w:tr w:rsidR="00CE076B" w:rsidRPr="004279E6" w:rsidTr="004279E6">
        <w:tc>
          <w:tcPr>
            <w:tcW w:w="6658" w:type="dxa"/>
          </w:tcPr>
          <w:p w:rsidR="00CE076B" w:rsidRPr="004279E6" w:rsidRDefault="00CE076B" w:rsidP="004279E6">
            <w:pPr>
              <w:spacing w:before="120" w:after="120" w:line="240" w:lineRule="auto"/>
              <w:jc w:val="left"/>
              <w:rPr>
                <w:color w:val="auto"/>
                <w:szCs w:val="23"/>
              </w:rPr>
            </w:pPr>
            <w:r w:rsidRPr="004279E6">
              <w:rPr>
                <w:color w:val="auto"/>
                <w:szCs w:val="23"/>
              </w:rPr>
              <w:t xml:space="preserve">Joint Commonwealth and </w:t>
            </w:r>
            <w:r w:rsidR="00C34C48" w:rsidRPr="004279E6">
              <w:t>New South Wales</w:t>
            </w:r>
            <w:r w:rsidR="00C34C48" w:rsidRPr="004279E6" w:rsidDel="00C34C48">
              <w:rPr>
                <w:color w:val="auto"/>
                <w:szCs w:val="23"/>
              </w:rPr>
              <w:t xml:space="preserve"> </w:t>
            </w:r>
            <w:r w:rsidRPr="004279E6">
              <w:rPr>
                <w:color w:val="auto"/>
                <w:szCs w:val="23"/>
              </w:rPr>
              <w:t xml:space="preserve">agreement to eligibility criteria and program guidelines and announcement of projects. </w:t>
            </w:r>
          </w:p>
          <w:p w:rsidR="00CE076B" w:rsidRPr="004279E6" w:rsidRDefault="00CE076B" w:rsidP="004279E6">
            <w:pPr>
              <w:spacing w:before="120" w:after="120" w:line="240" w:lineRule="auto"/>
              <w:ind w:left="36"/>
              <w:jc w:val="left"/>
              <w:rPr>
                <w:color w:val="auto"/>
                <w:szCs w:val="23"/>
              </w:rPr>
            </w:pPr>
            <w:r w:rsidRPr="004279E6">
              <w:rPr>
                <w:color w:val="auto"/>
                <w:szCs w:val="23"/>
              </w:rPr>
              <w:t>Individual project agreements executed with successful applicants.</w:t>
            </w:r>
          </w:p>
        </w:tc>
        <w:tc>
          <w:tcPr>
            <w:tcW w:w="1275"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30/04/2019</w:t>
            </w:r>
          </w:p>
        </w:tc>
        <w:tc>
          <w:tcPr>
            <w:tcW w:w="1701" w:type="dxa"/>
          </w:tcPr>
          <w:p w:rsidR="00CE076B" w:rsidRPr="004279E6" w:rsidRDefault="00CE076B" w:rsidP="00C34C48">
            <w:pPr>
              <w:keepNext/>
              <w:spacing w:before="180" w:after="120" w:line="240" w:lineRule="auto"/>
              <w:jc w:val="left"/>
              <w:outlineLvl w:val="1"/>
              <w:rPr>
                <w:rFonts w:cs="Arial"/>
                <w:b/>
                <w:bCs/>
                <w:iCs/>
                <w:color w:val="auto"/>
                <w:sz w:val="29"/>
                <w:szCs w:val="28"/>
              </w:rPr>
            </w:pPr>
            <w:r w:rsidRPr="004279E6">
              <w:rPr>
                <w:rFonts w:cs="Arial"/>
                <w:bCs/>
                <w:iCs/>
                <w:color w:val="auto"/>
                <w:szCs w:val="23"/>
              </w:rPr>
              <w:t>Up to $</w:t>
            </w:r>
            <w:r w:rsidR="00560EB0" w:rsidRPr="004279E6">
              <w:rPr>
                <w:rFonts w:cs="Arial"/>
                <w:bCs/>
                <w:iCs/>
                <w:color w:val="auto"/>
                <w:szCs w:val="23"/>
              </w:rPr>
              <w:t>4.75</w:t>
            </w:r>
            <w:r w:rsidRPr="004279E6">
              <w:rPr>
                <w:rFonts w:cs="Arial"/>
                <w:bCs/>
                <w:iCs/>
                <w:color w:val="auto"/>
                <w:szCs w:val="23"/>
              </w:rPr>
              <w:t>m</w:t>
            </w:r>
          </w:p>
        </w:tc>
      </w:tr>
      <w:tr w:rsidR="00CE076B" w:rsidRPr="004279E6" w:rsidTr="004279E6">
        <w:tc>
          <w:tcPr>
            <w:tcW w:w="6658" w:type="dxa"/>
          </w:tcPr>
          <w:p w:rsidR="00CE076B" w:rsidRPr="004279E6" w:rsidRDefault="00CE076B" w:rsidP="004279E6">
            <w:pPr>
              <w:spacing w:before="120" w:after="120" w:line="240" w:lineRule="auto"/>
              <w:jc w:val="left"/>
              <w:rPr>
                <w:color w:val="auto"/>
                <w:szCs w:val="23"/>
              </w:rPr>
            </w:pPr>
            <w:r w:rsidRPr="004279E6">
              <w:rPr>
                <w:color w:val="auto"/>
                <w:szCs w:val="23"/>
              </w:rPr>
              <w:t>Payments made to successful applicants for achievement of relevant milestones under individual project agreements.</w:t>
            </w:r>
          </w:p>
        </w:tc>
        <w:tc>
          <w:tcPr>
            <w:tcW w:w="1275"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30/04/2020</w:t>
            </w:r>
          </w:p>
        </w:tc>
        <w:tc>
          <w:tcPr>
            <w:tcW w:w="1701"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Up to $27.</w:t>
            </w:r>
            <w:r w:rsidR="00560EB0" w:rsidRPr="004279E6">
              <w:rPr>
                <w:rFonts w:cs="Arial"/>
                <w:bCs/>
                <w:iCs/>
                <w:color w:val="auto"/>
                <w:szCs w:val="23"/>
              </w:rPr>
              <w:t>7</w:t>
            </w:r>
            <w:r w:rsidRPr="004279E6">
              <w:rPr>
                <w:rFonts w:cs="Arial"/>
                <w:bCs/>
                <w:iCs/>
                <w:color w:val="auto"/>
                <w:szCs w:val="23"/>
              </w:rPr>
              <w:t>5m</w:t>
            </w:r>
          </w:p>
        </w:tc>
      </w:tr>
      <w:tr w:rsidR="00CE076B" w:rsidRPr="004279E6" w:rsidTr="004279E6">
        <w:tc>
          <w:tcPr>
            <w:tcW w:w="6658" w:type="dxa"/>
          </w:tcPr>
          <w:p w:rsidR="00CE076B" w:rsidRPr="004279E6" w:rsidRDefault="00CE076B" w:rsidP="004279E6">
            <w:pPr>
              <w:spacing w:before="120" w:after="120" w:line="240" w:lineRule="auto"/>
              <w:jc w:val="left"/>
              <w:rPr>
                <w:color w:val="auto"/>
                <w:szCs w:val="23"/>
              </w:rPr>
            </w:pPr>
            <w:r w:rsidRPr="004279E6">
              <w:rPr>
                <w:color w:val="auto"/>
                <w:szCs w:val="23"/>
              </w:rPr>
              <w:t>Payments made to successful applicants for achievement of relevant milestones under individual project agreements.</w:t>
            </w:r>
          </w:p>
        </w:tc>
        <w:tc>
          <w:tcPr>
            <w:tcW w:w="1275"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30/04/2021</w:t>
            </w:r>
          </w:p>
        </w:tc>
        <w:tc>
          <w:tcPr>
            <w:tcW w:w="1701"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Up to $22.5m</w:t>
            </w:r>
          </w:p>
        </w:tc>
      </w:tr>
      <w:tr w:rsidR="00CE076B" w:rsidRPr="004279E6" w:rsidTr="004279E6">
        <w:tc>
          <w:tcPr>
            <w:tcW w:w="6658" w:type="dxa"/>
          </w:tcPr>
          <w:p w:rsidR="00CE076B" w:rsidRPr="004279E6" w:rsidRDefault="00CE076B" w:rsidP="004279E6">
            <w:pPr>
              <w:spacing w:before="120" w:after="120" w:line="240" w:lineRule="auto"/>
              <w:jc w:val="left"/>
              <w:rPr>
                <w:color w:val="auto"/>
                <w:szCs w:val="23"/>
              </w:rPr>
            </w:pPr>
            <w:r w:rsidRPr="004279E6">
              <w:rPr>
                <w:color w:val="auto"/>
                <w:szCs w:val="23"/>
              </w:rPr>
              <w:t>Successful applicants have delivered on all milestones under individual project agreements.</w:t>
            </w:r>
          </w:p>
        </w:tc>
        <w:tc>
          <w:tcPr>
            <w:tcW w:w="1275" w:type="dxa"/>
          </w:tcPr>
          <w:p w:rsidR="00CE076B" w:rsidRPr="004279E6" w:rsidRDefault="00CE076B" w:rsidP="00C34C48">
            <w:pPr>
              <w:keepNext/>
              <w:spacing w:before="180" w:after="120" w:line="240" w:lineRule="auto"/>
              <w:jc w:val="left"/>
              <w:outlineLvl w:val="1"/>
              <w:rPr>
                <w:rFonts w:cs="Arial"/>
                <w:bCs/>
                <w:iCs/>
                <w:color w:val="auto"/>
                <w:szCs w:val="23"/>
              </w:rPr>
            </w:pPr>
            <w:r w:rsidRPr="004279E6">
              <w:rPr>
                <w:rFonts w:cs="Arial"/>
                <w:bCs/>
                <w:iCs/>
                <w:color w:val="auto"/>
                <w:szCs w:val="23"/>
              </w:rPr>
              <w:t>31/03/2022</w:t>
            </w:r>
          </w:p>
        </w:tc>
        <w:tc>
          <w:tcPr>
            <w:tcW w:w="1701" w:type="dxa"/>
          </w:tcPr>
          <w:p w:rsidR="00CE076B" w:rsidRPr="004279E6" w:rsidRDefault="00CE076B" w:rsidP="00C34C48">
            <w:pPr>
              <w:keepNext/>
              <w:spacing w:before="180" w:after="120" w:line="240" w:lineRule="auto"/>
              <w:ind w:firstLine="33"/>
              <w:jc w:val="left"/>
              <w:outlineLvl w:val="1"/>
              <w:rPr>
                <w:rFonts w:cs="Arial"/>
                <w:bCs/>
                <w:iCs/>
                <w:color w:val="auto"/>
                <w:szCs w:val="23"/>
              </w:rPr>
            </w:pPr>
            <w:r w:rsidRPr="004279E6">
              <w:rPr>
                <w:rFonts w:cs="Arial"/>
                <w:bCs/>
                <w:iCs/>
                <w:color w:val="auto"/>
                <w:szCs w:val="23"/>
              </w:rPr>
              <w:t>Up to $5.0m</w:t>
            </w:r>
          </w:p>
        </w:tc>
      </w:tr>
    </w:tbl>
    <w:p w:rsidR="00F3297A" w:rsidRPr="004279E6" w:rsidRDefault="00CE076B" w:rsidP="00F3297A">
      <w:pPr>
        <w:pStyle w:val="Normalnumbered"/>
        <w:numPr>
          <w:ilvl w:val="0"/>
          <w:numId w:val="0"/>
        </w:numPr>
        <w:rPr>
          <w:sz w:val="18"/>
          <w:szCs w:val="18"/>
        </w:rPr>
      </w:pPr>
      <w:r w:rsidRPr="004279E6">
        <w:rPr>
          <w:b/>
          <w:i/>
          <w:color w:val="auto"/>
          <w:szCs w:val="23"/>
        </w:rPr>
        <w:t>*</w:t>
      </w:r>
      <w:r w:rsidR="00F3297A" w:rsidRPr="004279E6">
        <w:rPr>
          <w:sz w:val="18"/>
          <w:szCs w:val="18"/>
        </w:rPr>
        <w:t>actual payment made to N</w:t>
      </w:r>
      <w:r w:rsidR="00B07FA8" w:rsidRPr="004279E6">
        <w:rPr>
          <w:sz w:val="18"/>
          <w:szCs w:val="18"/>
        </w:rPr>
        <w:t>ew South Wales</w:t>
      </w:r>
      <w:r w:rsidR="00F3297A" w:rsidRPr="004279E6">
        <w:rPr>
          <w:sz w:val="18"/>
          <w:szCs w:val="18"/>
        </w:rPr>
        <w:t xml:space="preserve"> will be half the relevant grant payments made to successful projects in the relevant period, up to the maximum amount shown.</w:t>
      </w:r>
    </w:p>
    <w:p w:rsidR="00172360" w:rsidRPr="004279E6" w:rsidRDefault="002E144A" w:rsidP="008F3AF2">
      <w:pPr>
        <w:pStyle w:val="Normalnumbered"/>
        <w:numPr>
          <w:ilvl w:val="0"/>
          <w:numId w:val="20"/>
        </w:numPr>
      </w:pPr>
      <w:r w:rsidRPr="004279E6">
        <w:t>If</w:t>
      </w:r>
      <w:r w:rsidR="00172360" w:rsidRPr="004279E6">
        <w:t xml:space="preserve"> a milestone is met in advance of the due date, </w:t>
      </w:r>
      <w:r w:rsidRPr="004279E6">
        <w:t xml:space="preserve">where </w:t>
      </w:r>
      <w:r w:rsidR="00172360" w:rsidRPr="004279E6">
        <w:t>the relevant performance report demonstrat</w:t>
      </w:r>
      <w:r w:rsidRPr="004279E6">
        <w:t>es</w:t>
      </w:r>
      <w:r w:rsidR="00172360" w:rsidRPr="004279E6">
        <w:t xml:space="preserve"> </w:t>
      </w:r>
      <w:r w:rsidR="00413E74" w:rsidRPr="004279E6">
        <w:t xml:space="preserve">that </w:t>
      </w:r>
      <w:r w:rsidR="00172360" w:rsidRPr="004279E6">
        <w:t xml:space="preserve">the milestone has been met, the Commonwealth may make the associated payment earlier than scheduled provided it falls within the same financial year as the original milestone date. </w:t>
      </w:r>
    </w:p>
    <w:p w:rsidR="00F3245D" w:rsidRPr="004279E6" w:rsidRDefault="00F3245D" w:rsidP="00F3245D">
      <w:pPr>
        <w:pStyle w:val="Heading2"/>
      </w:pPr>
      <w:r w:rsidRPr="004279E6">
        <w:t>Reporting arrangements</w:t>
      </w:r>
    </w:p>
    <w:p w:rsidR="00ED2AC4" w:rsidRPr="004279E6" w:rsidRDefault="005D41D8" w:rsidP="008F3AF2">
      <w:pPr>
        <w:pStyle w:val="Normalnumbered"/>
        <w:numPr>
          <w:ilvl w:val="0"/>
          <w:numId w:val="20"/>
        </w:numPr>
        <w:spacing w:before="120" w:line="240" w:lineRule="auto"/>
        <w:rPr>
          <w:szCs w:val="23"/>
        </w:rPr>
      </w:pPr>
      <w:r w:rsidRPr="004279E6">
        <w:t>N</w:t>
      </w:r>
      <w:r w:rsidR="007A672C" w:rsidRPr="004279E6">
        <w:t xml:space="preserve">ew </w:t>
      </w:r>
      <w:r w:rsidRPr="004279E6">
        <w:t>S</w:t>
      </w:r>
      <w:r w:rsidR="007A672C" w:rsidRPr="004279E6">
        <w:t xml:space="preserve">outh </w:t>
      </w:r>
      <w:r w:rsidRPr="004279E6">
        <w:t>W</w:t>
      </w:r>
      <w:r w:rsidR="007A672C" w:rsidRPr="004279E6">
        <w:t>ales</w:t>
      </w:r>
      <w:r w:rsidR="0076361C" w:rsidRPr="004279E6">
        <w:t xml:space="preserve"> </w:t>
      </w:r>
      <w:r w:rsidR="009E151E" w:rsidRPr="004279E6">
        <w:t xml:space="preserve">will </w:t>
      </w:r>
      <w:r w:rsidR="0095223D" w:rsidRPr="004279E6">
        <w:t xml:space="preserve">provide performance reports in accordance with </w:t>
      </w:r>
      <w:r w:rsidR="00C2605C" w:rsidRPr="004279E6">
        <w:t>T</w:t>
      </w:r>
      <w:r w:rsidR="0095223D" w:rsidRPr="004279E6">
        <w:t xml:space="preserve">able </w:t>
      </w:r>
      <w:r w:rsidR="00C2605C" w:rsidRPr="004279E6">
        <w:t xml:space="preserve">1 </w:t>
      </w:r>
      <w:r w:rsidR="009E151E" w:rsidRPr="004279E6">
        <w:t>during</w:t>
      </w:r>
      <w:r w:rsidR="00C42ACA" w:rsidRPr="004279E6">
        <w:t xml:space="preserve"> </w:t>
      </w:r>
      <w:r w:rsidR="009E151E" w:rsidRPr="004279E6">
        <w:t>t</w:t>
      </w:r>
      <w:r w:rsidR="00515AF2" w:rsidRPr="004279E6">
        <w:t>he operation of the Agreement.</w:t>
      </w:r>
      <w:r w:rsidR="00B07FA8" w:rsidRPr="004279E6">
        <w:t xml:space="preserve">  </w:t>
      </w:r>
      <w:r w:rsidR="0095223D" w:rsidRPr="004279E6">
        <w:t>Each performance report is to contai</w:t>
      </w:r>
      <w:r w:rsidR="00ED2AC4" w:rsidRPr="004279E6">
        <w:t>n a description of actual performance in the period to date against the project milestones.</w:t>
      </w:r>
    </w:p>
    <w:p w:rsidR="008E7527" w:rsidRPr="004279E6" w:rsidRDefault="008E7527" w:rsidP="009E093C">
      <w:pPr>
        <w:pStyle w:val="Heading1"/>
      </w:pPr>
      <w:r w:rsidRPr="004279E6">
        <w:t>Part 5 — financial arrangements</w:t>
      </w:r>
    </w:p>
    <w:p w:rsidR="007267AA" w:rsidRPr="004279E6" w:rsidRDefault="007267AA" w:rsidP="008F3AF2">
      <w:pPr>
        <w:pStyle w:val="Normalnumbered"/>
        <w:numPr>
          <w:ilvl w:val="0"/>
          <w:numId w:val="20"/>
        </w:numPr>
      </w:pPr>
      <w:r w:rsidRPr="004279E6">
        <w:t>The Commonwealth will provide</w:t>
      </w:r>
      <w:r w:rsidR="00B812A2" w:rsidRPr="004279E6">
        <w:t xml:space="preserve"> </w:t>
      </w:r>
      <w:r w:rsidR="00EA6FC8" w:rsidRPr="004279E6">
        <w:t xml:space="preserve">an estimated </w:t>
      </w:r>
      <w:r w:rsidRPr="004279E6">
        <w:t>total financial contribution to N</w:t>
      </w:r>
      <w:r w:rsidR="00320B12" w:rsidRPr="004279E6">
        <w:t xml:space="preserve">ew </w:t>
      </w:r>
      <w:r w:rsidRPr="004279E6">
        <w:t>S</w:t>
      </w:r>
      <w:r w:rsidR="00320B12" w:rsidRPr="004279E6">
        <w:t xml:space="preserve">outh </w:t>
      </w:r>
      <w:r w:rsidRPr="004279E6">
        <w:t>W</w:t>
      </w:r>
      <w:r w:rsidR="00320B12" w:rsidRPr="004279E6">
        <w:t>ales</w:t>
      </w:r>
      <w:r w:rsidRPr="004279E6">
        <w:t xml:space="preserve"> of</w:t>
      </w:r>
      <w:r w:rsidR="00782AD7" w:rsidRPr="004279E6">
        <w:t xml:space="preserve"> up to</w:t>
      </w:r>
      <w:r w:rsidRPr="004279E6">
        <w:t xml:space="preserve"> </w:t>
      </w:r>
      <w:r w:rsidR="008C1308" w:rsidRPr="004279E6">
        <w:t>$</w:t>
      </w:r>
      <w:r w:rsidR="00047607" w:rsidRPr="004279E6">
        <w:t>1</w:t>
      </w:r>
      <w:r w:rsidR="008C1308" w:rsidRPr="004279E6">
        <w:t xml:space="preserve">5 million for the </w:t>
      </w:r>
      <w:r w:rsidR="008B5E50" w:rsidRPr="004279E6">
        <w:t xml:space="preserve">Western Parkland City housing package and up to $60 million </w:t>
      </w:r>
      <w:r w:rsidR="00CE291E" w:rsidRPr="004279E6">
        <w:t xml:space="preserve">to </w:t>
      </w:r>
      <w:r w:rsidR="008B5E50" w:rsidRPr="004279E6">
        <w:t xml:space="preserve">the Western Parkland City Liveability Program, </w:t>
      </w:r>
      <w:r w:rsidR="00316EB9" w:rsidRPr="004279E6">
        <w:t xml:space="preserve">in </w:t>
      </w:r>
      <w:r w:rsidRPr="004279E6">
        <w:t xml:space="preserve">respect of this Agreement.  All </w:t>
      </w:r>
      <w:r w:rsidR="00316EB9" w:rsidRPr="004279E6">
        <w:t xml:space="preserve">Commonwealth </w:t>
      </w:r>
      <w:r w:rsidRPr="004279E6">
        <w:t>payments are GST exclusive.</w:t>
      </w:r>
    </w:p>
    <w:p w:rsidR="008E7527" w:rsidRPr="004279E6" w:rsidRDefault="005A5E7A" w:rsidP="008F3AF2">
      <w:pPr>
        <w:pStyle w:val="Normalnumbered"/>
        <w:numPr>
          <w:ilvl w:val="0"/>
          <w:numId w:val="20"/>
        </w:numPr>
      </w:pPr>
      <w:r w:rsidRPr="004279E6">
        <w:t>T</w:t>
      </w:r>
      <w:r w:rsidR="008E7527" w:rsidRPr="004279E6">
        <w:t xml:space="preserve">he Commonwealth’s funding contribution will not be reduced where </w:t>
      </w:r>
      <w:r w:rsidR="006A73F0" w:rsidRPr="004279E6">
        <w:t xml:space="preserve">New South Wales </w:t>
      </w:r>
      <w:r w:rsidR="008E7527" w:rsidRPr="004279E6">
        <w:t>secure</w:t>
      </w:r>
      <w:r w:rsidR="006A73F0" w:rsidRPr="004279E6">
        <w:t>s</w:t>
      </w:r>
      <w:r w:rsidR="008E7527" w:rsidRPr="004279E6">
        <w:t xml:space="preserve"> funding from other activity partners</w:t>
      </w:r>
      <w:r w:rsidR="002E144A" w:rsidRPr="004279E6">
        <w:t>.</w:t>
      </w:r>
    </w:p>
    <w:p w:rsidR="00841EA6" w:rsidRPr="004279E6" w:rsidRDefault="008F6817" w:rsidP="008F3AF2">
      <w:pPr>
        <w:pStyle w:val="Normalnumbered"/>
        <w:numPr>
          <w:ilvl w:val="0"/>
          <w:numId w:val="20"/>
        </w:numPr>
      </w:pPr>
      <w:r w:rsidRPr="004279E6">
        <w:t>I</w:t>
      </w:r>
      <w:r w:rsidR="00454FD0" w:rsidRPr="004279E6">
        <w:t>f the Commonwealth</w:t>
      </w:r>
      <w:r w:rsidR="00B812A2" w:rsidRPr="004279E6">
        <w:t xml:space="preserve"> and New South Wales’ </w:t>
      </w:r>
      <w:r w:rsidR="00454FD0" w:rsidRPr="004279E6">
        <w:t xml:space="preserve">funding contribution to </w:t>
      </w:r>
      <w:r w:rsidR="00841EA6" w:rsidRPr="004279E6">
        <w:t xml:space="preserve">the </w:t>
      </w:r>
      <w:r w:rsidR="00A23F94" w:rsidRPr="004279E6">
        <w:t xml:space="preserve">Western </w:t>
      </w:r>
      <w:r w:rsidR="007C4629" w:rsidRPr="004279E6">
        <w:t xml:space="preserve">Parkland </w:t>
      </w:r>
      <w:r w:rsidR="00841EA6" w:rsidRPr="004279E6">
        <w:t xml:space="preserve">City </w:t>
      </w:r>
      <w:r w:rsidR="008368B2" w:rsidRPr="004279E6">
        <w:t xml:space="preserve">Liveability </w:t>
      </w:r>
      <w:r w:rsidR="00841EA6" w:rsidRPr="004279E6">
        <w:t xml:space="preserve">Program </w:t>
      </w:r>
      <w:r w:rsidR="002928D8" w:rsidRPr="004279E6">
        <w:t>is</w:t>
      </w:r>
      <w:r w:rsidR="00841EA6" w:rsidRPr="004279E6">
        <w:t xml:space="preserve"> not fully </w:t>
      </w:r>
      <w:r w:rsidR="003B1ADD" w:rsidRPr="004279E6">
        <w:t>allocated</w:t>
      </w:r>
      <w:r w:rsidR="00841EA6" w:rsidRPr="004279E6">
        <w:t xml:space="preserve">, the Commonwealth will only </w:t>
      </w:r>
      <w:r w:rsidR="002928D8" w:rsidRPr="004279E6">
        <w:t xml:space="preserve">contribute </w:t>
      </w:r>
      <w:r w:rsidR="00841EA6" w:rsidRPr="004279E6">
        <w:t>50</w:t>
      </w:r>
      <w:r w:rsidR="003B1ADD" w:rsidRPr="004279E6">
        <w:t xml:space="preserve"> per cent</w:t>
      </w:r>
      <w:r w:rsidR="00841EA6" w:rsidRPr="004279E6">
        <w:t xml:space="preserve"> of the total value of the grants </w:t>
      </w:r>
      <w:r w:rsidR="003B1ADD" w:rsidRPr="004279E6">
        <w:t>allocated</w:t>
      </w:r>
      <w:r w:rsidR="00841EA6" w:rsidRPr="004279E6">
        <w:t xml:space="preserve"> </w:t>
      </w:r>
      <w:r w:rsidR="003B1ADD" w:rsidRPr="004279E6">
        <w:t>in support of the Program.</w:t>
      </w:r>
    </w:p>
    <w:p w:rsidR="008E7527" w:rsidRPr="004279E6" w:rsidRDefault="008E7527" w:rsidP="008F3AF2">
      <w:pPr>
        <w:pStyle w:val="Normalnumbered"/>
        <w:keepNext/>
        <w:keepLines/>
        <w:numPr>
          <w:ilvl w:val="0"/>
          <w:numId w:val="20"/>
        </w:numPr>
      </w:pPr>
      <w:r w:rsidRPr="004279E6">
        <w:t xml:space="preserve">The Commonwealth’s and </w:t>
      </w:r>
      <w:r w:rsidR="00730808" w:rsidRPr="004279E6">
        <w:t>New South Wales</w:t>
      </w:r>
      <w:r w:rsidR="005D41D8" w:rsidRPr="004279E6">
        <w:t>’</w:t>
      </w:r>
      <w:r w:rsidRPr="004279E6">
        <w:t xml:space="preserve"> estimated financial contribution</w:t>
      </w:r>
      <w:r w:rsidR="002E144A" w:rsidRPr="004279E6">
        <w:t>s</w:t>
      </w:r>
      <w:r w:rsidRPr="004279E6">
        <w:t xml:space="preserve"> to the operation of this Agreement, including through National Partnership payments to the States paid in accordance with </w:t>
      </w:r>
      <w:r w:rsidRPr="004279E6">
        <w:rPr>
          <w:i/>
        </w:rPr>
        <w:t>Schedule D — Payment Arrangements</w:t>
      </w:r>
      <w:r w:rsidRPr="004279E6">
        <w:t xml:space="preserve"> of the </w:t>
      </w:r>
      <w:r w:rsidR="00C41265" w:rsidRPr="004279E6">
        <w:t>IGA FFR</w:t>
      </w:r>
      <w:r w:rsidR="00C2605C" w:rsidRPr="004279E6">
        <w:t>, are shown in Table 2</w:t>
      </w:r>
      <w:r w:rsidRPr="004279E6">
        <w:t>.</w:t>
      </w:r>
    </w:p>
    <w:p w:rsidR="00973DB5" w:rsidRPr="004279E6" w:rsidRDefault="00973DB5" w:rsidP="00082B41">
      <w:pPr>
        <w:pStyle w:val="Normalnumbered"/>
        <w:numPr>
          <w:ilvl w:val="0"/>
          <w:numId w:val="0"/>
        </w:num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057"/>
        <w:gridCol w:w="1564"/>
        <w:gridCol w:w="1843"/>
        <w:gridCol w:w="2056"/>
      </w:tblGrid>
      <w:tr w:rsidR="00EE0F4C" w:rsidRPr="004279E6" w:rsidTr="004279E6">
        <w:trPr>
          <w:trHeight w:val="274"/>
        </w:trPr>
        <w:tc>
          <w:tcPr>
            <w:tcW w:w="9603" w:type="dxa"/>
            <w:gridSpan w:val="5"/>
            <w:tcBorders>
              <w:top w:val="nil"/>
              <w:left w:val="nil"/>
              <w:bottom w:val="single" w:sz="4" w:space="0" w:color="auto"/>
              <w:right w:val="nil"/>
            </w:tcBorders>
            <w:shd w:val="clear" w:color="auto" w:fill="auto"/>
          </w:tcPr>
          <w:p w:rsidR="00EE0F4C" w:rsidRPr="004279E6" w:rsidRDefault="00EE0F4C" w:rsidP="004279E6">
            <w:pPr>
              <w:keepNext/>
              <w:spacing w:before="60" w:after="60" w:line="240" w:lineRule="auto"/>
              <w:jc w:val="left"/>
              <w:outlineLvl w:val="1"/>
              <w:rPr>
                <w:rFonts w:cs="Arial"/>
                <w:b/>
                <w:bCs/>
                <w:iCs/>
                <w:color w:val="auto"/>
                <w:sz w:val="21"/>
                <w:szCs w:val="21"/>
              </w:rPr>
            </w:pPr>
            <w:r w:rsidRPr="004279E6">
              <w:rPr>
                <w:b/>
              </w:rPr>
              <w:t>Table 2: Estimated financial contributions</w:t>
            </w:r>
          </w:p>
        </w:tc>
      </w:tr>
      <w:tr w:rsidR="00C34C48" w:rsidRPr="004279E6" w:rsidTr="004279E6">
        <w:trPr>
          <w:trHeight w:val="1141"/>
        </w:trPr>
        <w:tc>
          <w:tcPr>
            <w:tcW w:w="3083" w:type="dxa"/>
            <w:tcBorders>
              <w:top w:val="single" w:sz="4" w:space="0" w:color="auto"/>
            </w:tcBorders>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Western Parkland City housing package</w:t>
            </w:r>
          </w:p>
        </w:tc>
        <w:tc>
          <w:tcPr>
            <w:tcW w:w="1057" w:type="dxa"/>
            <w:tcBorders>
              <w:top w:val="single" w:sz="4" w:space="0" w:color="auto"/>
            </w:tcBorders>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Year</w:t>
            </w:r>
          </w:p>
        </w:tc>
        <w:tc>
          <w:tcPr>
            <w:tcW w:w="1564" w:type="dxa"/>
            <w:tcBorders>
              <w:top w:val="single" w:sz="4" w:space="0" w:color="auto"/>
            </w:tcBorders>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Estimated total budget</w:t>
            </w:r>
          </w:p>
        </w:tc>
        <w:tc>
          <w:tcPr>
            <w:tcW w:w="1843" w:type="dxa"/>
            <w:tcBorders>
              <w:top w:val="single" w:sz="4" w:space="0" w:color="auto"/>
            </w:tcBorders>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Less estimated National Partnership Payments</w:t>
            </w:r>
          </w:p>
        </w:tc>
        <w:tc>
          <w:tcPr>
            <w:tcW w:w="2056" w:type="dxa"/>
            <w:tcBorders>
              <w:top w:val="single" w:sz="4" w:space="0" w:color="auto"/>
            </w:tcBorders>
            <w:shd w:val="clear" w:color="auto" w:fill="auto"/>
          </w:tcPr>
          <w:p w:rsidR="00973DB5" w:rsidRPr="004279E6" w:rsidRDefault="00973DB5" w:rsidP="004279E6">
            <w:pPr>
              <w:pStyle w:val="Heading3"/>
              <w:rPr>
                <w:b w:val="0"/>
                <w:bCs w:val="0"/>
              </w:rPr>
            </w:pPr>
            <w:r w:rsidRPr="004279E6">
              <w:t>Balance of non-Commonwealth contributions</w:t>
            </w:r>
          </w:p>
        </w:tc>
      </w:tr>
      <w:tr w:rsidR="00973DB5" w:rsidRPr="004279E6" w:rsidTr="004279E6">
        <w:trPr>
          <w:trHeight w:val="637"/>
        </w:trPr>
        <w:tc>
          <w:tcPr>
            <w:tcW w:w="3083" w:type="dxa"/>
            <w:vMerge w:val="restart"/>
          </w:tcPr>
          <w:p w:rsidR="00973DB5" w:rsidRPr="004279E6" w:rsidRDefault="00973DB5" w:rsidP="00C34C48">
            <w:pPr>
              <w:keepNext/>
              <w:spacing w:before="60" w:after="60" w:line="240" w:lineRule="auto"/>
              <w:jc w:val="left"/>
              <w:outlineLvl w:val="1"/>
              <w:rPr>
                <w:color w:val="auto"/>
              </w:rPr>
            </w:pPr>
            <w:r w:rsidRPr="004279E6">
              <w:rPr>
                <w:color w:val="auto"/>
              </w:rPr>
              <w:t>Uniform best-practice local government engineering design standards</w:t>
            </w:r>
          </w:p>
        </w:tc>
        <w:tc>
          <w:tcPr>
            <w:tcW w:w="1057" w:type="dxa"/>
          </w:tcPr>
          <w:p w:rsidR="00973DB5" w:rsidRPr="004279E6" w:rsidRDefault="00973DB5" w:rsidP="004279E6">
            <w:pPr>
              <w:keepNext/>
              <w:keepLines/>
              <w:spacing w:before="60" w:after="60" w:line="240" w:lineRule="auto"/>
              <w:jc w:val="left"/>
              <w:outlineLvl w:val="1"/>
              <w:rPr>
                <w:color w:val="auto"/>
              </w:rPr>
            </w:pPr>
            <w:r w:rsidRPr="004279E6">
              <w:rPr>
                <w:color w:val="auto"/>
              </w:rPr>
              <w:t>2018-19</w:t>
            </w:r>
          </w:p>
        </w:tc>
        <w:tc>
          <w:tcPr>
            <w:tcW w:w="1564" w:type="dxa"/>
          </w:tcPr>
          <w:p w:rsidR="00973DB5" w:rsidRPr="004279E6" w:rsidRDefault="00973DB5" w:rsidP="004279E6">
            <w:pPr>
              <w:keepNext/>
              <w:keepLines/>
              <w:spacing w:before="60" w:after="60" w:line="240" w:lineRule="auto"/>
              <w:jc w:val="left"/>
              <w:outlineLvl w:val="1"/>
              <w:rPr>
                <w:color w:val="auto"/>
              </w:rPr>
            </w:pPr>
            <w:r w:rsidRPr="004279E6">
              <w:rPr>
                <w:color w:val="auto"/>
              </w:rPr>
              <w:t>$1m</w:t>
            </w:r>
          </w:p>
        </w:tc>
        <w:tc>
          <w:tcPr>
            <w:tcW w:w="1843" w:type="dxa"/>
          </w:tcPr>
          <w:p w:rsidR="00973DB5" w:rsidRPr="004279E6" w:rsidRDefault="00973DB5" w:rsidP="004279E6">
            <w:pPr>
              <w:keepNext/>
              <w:keepLines/>
              <w:spacing w:before="60" w:after="60" w:line="240" w:lineRule="auto"/>
              <w:jc w:val="left"/>
              <w:outlineLvl w:val="1"/>
              <w:rPr>
                <w:color w:val="auto"/>
              </w:rPr>
            </w:pPr>
            <w:r w:rsidRPr="004279E6">
              <w:rPr>
                <w:color w:val="auto"/>
              </w:rPr>
              <w:t>$1m</w:t>
            </w:r>
          </w:p>
        </w:tc>
        <w:tc>
          <w:tcPr>
            <w:tcW w:w="2056" w:type="dxa"/>
          </w:tcPr>
          <w:p w:rsidR="00973DB5" w:rsidRPr="004279E6" w:rsidRDefault="00973DB5" w:rsidP="004279E6">
            <w:pPr>
              <w:keepNext/>
              <w:keepLines/>
              <w:spacing w:before="60" w:after="60" w:line="240" w:lineRule="auto"/>
              <w:jc w:val="left"/>
              <w:outlineLvl w:val="1"/>
              <w:rPr>
                <w:color w:val="auto"/>
              </w:rPr>
            </w:pPr>
            <w:r w:rsidRPr="004279E6">
              <w:rPr>
                <w:color w:val="auto"/>
              </w:rPr>
              <w:t>Nil</w:t>
            </w:r>
          </w:p>
        </w:tc>
      </w:tr>
      <w:tr w:rsidR="00973DB5" w:rsidRPr="004279E6" w:rsidTr="004279E6">
        <w:trPr>
          <w:trHeight w:val="637"/>
        </w:trPr>
        <w:tc>
          <w:tcPr>
            <w:tcW w:w="3083" w:type="dxa"/>
            <w:vMerge/>
          </w:tcPr>
          <w:p w:rsidR="00973DB5" w:rsidRPr="004279E6" w:rsidRDefault="00973DB5" w:rsidP="00C34C48">
            <w:pPr>
              <w:keepNext/>
              <w:spacing w:before="60" w:after="60" w:line="240" w:lineRule="auto"/>
              <w:jc w:val="left"/>
              <w:outlineLvl w:val="1"/>
              <w:rPr>
                <w:color w:val="auto"/>
              </w:rPr>
            </w:pPr>
          </w:p>
        </w:tc>
        <w:tc>
          <w:tcPr>
            <w:tcW w:w="1057" w:type="dxa"/>
          </w:tcPr>
          <w:p w:rsidR="00973DB5" w:rsidRPr="004279E6" w:rsidRDefault="00973DB5" w:rsidP="004279E6">
            <w:pPr>
              <w:keepNext/>
              <w:keepLines/>
              <w:spacing w:before="60" w:after="60" w:line="240" w:lineRule="auto"/>
              <w:jc w:val="left"/>
              <w:outlineLvl w:val="1"/>
              <w:rPr>
                <w:color w:val="auto"/>
              </w:rPr>
            </w:pPr>
            <w:r w:rsidRPr="004279E6">
              <w:rPr>
                <w:color w:val="auto"/>
              </w:rPr>
              <w:t>2019-20</w:t>
            </w:r>
          </w:p>
        </w:tc>
        <w:tc>
          <w:tcPr>
            <w:tcW w:w="1564" w:type="dxa"/>
          </w:tcPr>
          <w:p w:rsidR="00973DB5" w:rsidRPr="004279E6" w:rsidRDefault="00973DB5" w:rsidP="004279E6">
            <w:pPr>
              <w:keepNext/>
              <w:keepLines/>
              <w:spacing w:before="60" w:after="60" w:line="240" w:lineRule="auto"/>
              <w:jc w:val="left"/>
              <w:outlineLvl w:val="1"/>
              <w:rPr>
                <w:color w:val="auto"/>
              </w:rPr>
            </w:pPr>
            <w:r w:rsidRPr="004279E6">
              <w:rPr>
                <w:color w:val="auto"/>
              </w:rPr>
              <w:t>$0.25m</w:t>
            </w:r>
          </w:p>
        </w:tc>
        <w:tc>
          <w:tcPr>
            <w:tcW w:w="1843" w:type="dxa"/>
          </w:tcPr>
          <w:p w:rsidR="00973DB5" w:rsidRPr="004279E6" w:rsidRDefault="00973DB5" w:rsidP="004279E6">
            <w:pPr>
              <w:keepNext/>
              <w:keepLines/>
              <w:spacing w:before="60" w:after="60" w:line="240" w:lineRule="auto"/>
              <w:jc w:val="left"/>
              <w:outlineLvl w:val="1"/>
              <w:rPr>
                <w:color w:val="auto"/>
              </w:rPr>
            </w:pPr>
            <w:r w:rsidRPr="004279E6">
              <w:rPr>
                <w:color w:val="auto"/>
              </w:rPr>
              <w:t>$0.25m</w:t>
            </w:r>
          </w:p>
        </w:tc>
        <w:tc>
          <w:tcPr>
            <w:tcW w:w="2056" w:type="dxa"/>
          </w:tcPr>
          <w:p w:rsidR="00973DB5" w:rsidRPr="004279E6" w:rsidRDefault="00973DB5" w:rsidP="004279E6">
            <w:pPr>
              <w:keepNext/>
              <w:keepLines/>
              <w:spacing w:before="60" w:after="60" w:line="240" w:lineRule="auto"/>
              <w:jc w:val="left"/>
              <w:outlineLvl w:val="1"/>
              <w:rPr>
                <w:color w:val="auto"/>
              </w:rPr>
            </w:pPr>
            <w:r w:rsidRPr="004279E6">
              <w:rPr>
                <w:color w:val="auto"/>
              </w:rPr>
              <w:t>Nil</w:t>
            </w:r>
          </w:p>
        </w:tc>
      </w:tr>
      <w:tr w:rsidR="00973DB5" w:rsidRPr="004279E6" w:rsidTr="004279E6">
        <w:trPr>
          <w:trHeight w:val="637"/>
        </w:trPr>
        <w:tc>
          <w:tcPr>
            <w:tcW w:w="3083" w:type="dxa"/>
          </w:tcPr>
          <w:p w:rsidR="00973DB5" w:rsidRPr="004279E6" w:rsidRDefault="00973DB5" w:rsidP="00C34C48">
            <w:pPr>
              <w:keepNext/>
              <w:spacing w:before="60" w:after="60" w:line="240" w:lineRule="auto"/>
              <w:jc w:val="left"/>
              <w:outlineLvl w:val="1"/>
              <w:rPr>
                <w:color w:val="auto"/>
              </w:rPr>
            </w:pPr>
            <w:r w:rsidRPr="004279E6">
              <w:rPr>
                <w:color w:val="auto"/>
              </w:rPr>
              <w:t>Land Use and Infrastructure Implementation Plan for the Greater Penrith to Eastern Creek Growth Area</w:t>
            </w:r>
          </w:p>
        </w:tc>
        <w:tc>
          <w:tcPr>
            <w:tcW w:w="1057" w:type="dxa"/>
          </w:tcPr>
          <w:p w:rsidR="00973DB5" w:rsidRPr="004279E6" w:rsidRDefault="00973DB5" w:rsidP="004279E6">
            <w:pPr>
              <w:keepNext/>
              <w:keepLines/>
              <w:spacing w:before="60" w:after="60" w:line="240" w:lineRule="auto"/>
              <w:jc w:val="left"/>
              <w:outlineLvl w:val="1"/>
              <w:rPr>
                <w:color w:val="auto"/>
              </w:rPr>
            </w:pPr>
            <w:r w:rsidRPr="004279E6">
              <w:rPr>
                <w:color w:val="auto"/>
              </w:rPr>
              <w:t>2019-20</w:t>
            </w:r>
          </w:p>
        </w:tc>
        <w:tc>
          <w:tcPr>
            <w:tcW w:w="1564" w:type="dxa"/>
          </w:tcPr>
          <w:p w:rsidR="00973DB5" w:rsidRPr="004279E6" w:rsidRDefault="00973DB5" w:rsidP="004279E6">
            <w:pPr>
              <w:keepNext/>
              <w:keepLines/>
              <w:spacing w:before="60" w:after="60" w:line="240" w:lineRule="auto"/>
              <w:jc w:val="left"/>
              <w:outlineLvl w:val="1"/>
              <w:rPr>
                <w:color w:val="auto"/>
              </w:rPr>
            </w:pPr>
            <w:r w:rsidRPr="004279E6">
              <w:rPr>
                <w:color w:val="auto"/>
              </w:rPr>
              <w:t>$2.50m</w:t>
            </w:r>
          </w:p>
        </w:tc>
        <w:tc>
          <w:tcPr>
            <w:tcW w:w="1843" w:type="dxa"/>
          </w:tcPr>
          <w:p w:rsidR="00973DB5" w:rsidRPr="004279E6" w:rsidRDefault="00973DB5" w:rsidP="004279E6">
            <w:pPr>
              <w:keepNext/>
              <w:keepLines/>
              <w:spacing w:before="60" w:after="60" w:line="240" w:lineRule="auto"/>
              <w:jc w:val="left"/>
              <w:outlineLvl w:val="1"/>
              <w:rPr>
                <w:color w:val="auto"/>
              </w:rPr>
            </w:pPr>
            <w:r w:rsidRPr="004279E6">
              <w:rPr>
                <w:color w:val="auto"/>
              </w:rPr>
              <w:t>$1.25m</w:t>
            </w:r>
          </w:p>
        </w:tc>
        <w:tc>
          <w:tcPr>
            <w:tcW w:w="2056" w:type="dxa"/>
          </w:tcPr>
          <w:p w:rsidR="00973DB5" w:rsidRPr="004279E6" w:rsidRDefault="00973DB5" w:rsidP="004279E6">
            <w:pPr>
              <w:keepNext/>
              <w:keepLines/>
              <w:spacing w:before="60" w:after="60" w:line="240" w:lineRule="auto"/>
              <w:jc w:val="left"/>
              <w:outlineLvl w:val="1"/>
              <w:rPr>
                <w:color w:val="auto"/>
              </w:rPr>
            </w:pPr>
            <w:r w:rsidRPr="004279E6">
              <w:rPr>
                <w:color w:val="auto"/>
              </w:rPr>
              <w:t>$1.25m</w:t>
            </w:r>
          </w:p>
        </w:tc>
      </w:tr>
      <w:tr w:rsidR="00C34C48" w:rsidRPr="004279E6" w:rsidTr="004279E6">
        <w:trPr>
          <w:trHeight w:val="637"/>
        </w:trPr>
        <w:tc>
          <w:tcPr>
            <w:tcW w:w="3083" w:type="dxa"/>
            <w:vMerge w:val="restart"/>
          </w:tcPr>
          <w:p w:rsidR="00C34C48" w:rsidRPr="004279E6" w:rsidRDefault="00C34C48" w:rsidP="00C34C48">
            <w:pPr>
              <w:keepNext/>
              <w:spacing w:before="60" w:after="60" w:line="240" w:lineRule="auto"/>
              <w:jc w:val="left"/>
              <w:outlineLvl w:val="1"/>
              <w:rPr>
                <w:color w:val="auto"/>
              </w:rPr>
            </w:pPr>
            <w:r w:rsidRPr="004279E6">
              <w:rPr>
                <w:color w:val="auto"/>
              </w:rPr>
              <w:t xml:space="preserve">Development and publication of the </w:t>
            </w:r>
            <w:r w:rsidR="00D10752">
              <w:rPr>
                <w:color w:val="auto"/>
              </w:rPr>
              <w:t xml:space="preserve">results of </w:t>
            </w:r>
            <w:r w:rsidRPr="004279E6">
              <w:rPr>
                <w:color w:val="auto"/>
              </w:rPr>
              <w:t xml:space="preserve">Sub-regional transport and water infrastructure models, </w:t>
            </w:r>
            <w:r w:rsidR="00D10752">
              <w:t xml:space="preserve">and delivery of the Growth Infrastructure Compact for the Western Sydney </w:t>
            </w:r>
            <w:proofErr w:type="spellStart"/>
            <w:r w:rsidR="00D10752">
              <w:t>Aerotropolis</w:t>
            </w:r>
            <w:proofErr w:type="spellEnd"/>
            <w:r w:rsidR="00D10752">
              <w:t xml:space="preserve"> Growth Area informed by the sub-regional modelling</w:t>
            </w:r>
          </w:p>
        </w:tc>
        <w:tc>
          <w:tcPr>
            <w:tcW w:w="1057" w:type="dxa"/>
          </w:tcPr>
          <w:p w:rsidR="00C34C48" w:rsidRPr="004279E6" w:rsidRDefault="00C34C48" w:rsidP="00C34C48">
            <w:pPr>
              <w:keepNext/>
              <w:keepLines/>
              <w:spacing w:before="60" w:after="60" w:line="240" w:lineRule="auto"/>
              <w:jc w:val="left"/>
              <w:outlineLvl w:val="1"/>
              <w:rPr>
                <w:color w:val="auto"/>
              </w:rPr>
            </w:pPr>
            <w:r w:rsidRPr="004279E6">
              <w:rPr>
                <w:color w:val="auto"/>
              </w:rPr>
              <w:t>2018-19</w:t>
            </w:r>
          </w:p>
          <w:p w:rsidR="00C34C48" w:rsidRPr="004279E6" w:rsidRDefault="00C34C48" w:rsidP="004279E6">
            <w:pPr>
              <w:jc w:val="left"/>
              <w:rPr>
                <w:color w:val="auto"/>
              </w:rPr>
            </w:pPr>
          </w:p>
        </w:tc>
        <w:tc>
          <w:tcPr>
            <w:tcW w:w="1564" w:type="dxa"/>
            <w:vMerge w:val="restart"/>
          </w:tcPr>
          <w:p w:rsidR="00C34C48" w:rsidRPr="004279E6" w:rsidRDefault="00C34C48" w:rsidP="004279E6">
            <w:pPr>
              <w:keepNext/>
              <w:keepLines/>
              <w:spacing w:before="60" w:after="60" w:line="240" w:lineRule="auto"/>
              <w:jc w:val="left"/>
              <w:outlineLvl w:val="1"/>
              <w:rPr>
                <w:color w:val="auto"/>
              </w:rPr>
            </w:pPr>
            <w:r w:rsidRPr="004279E6">
              <w:rPr>
                <w:color w:val="auto"/>
              </w:rPr>
              <w:t>$1</w:t>
            </w:r>
            <w:r w:rsidR="00095733" w:rsidRPr="004279E6">
              <w:rPr>
                <w:color w:val="auto"/>
              </w:rPr>
              <w:t>5.00</w:t>
            </w:r>
            <w:r w:rsidRPr="004279E6">
              <w:rPr>
                <w:color w:val="auto"/>
              </w:rPr>
              <w:t>m</w:t>
            </w:r>
          </w:p>
        </w:tc>
        <w:tc>
          <w:tcPr>
            <w:tcW w:w="1843" w:type="dxa"/>
          </w:tcPr>
          <w:p w:rsidR="00C34C48" w:rsidRPr="004279E6" w:rsidRDefault="00C34C48" w:rsidP="004279E6">
            <w:pPr>
              <w:keepNext/>
              <w:keepLines/>
              <w:spacing w:before="60" w:after="60" w:line="240" w:lineRule="auto"/>
              <w:jc w:val="left"/>
              <w:outlineLvl w:val="1"/>
              <w:rPr>
                <w:color w:val="auto"/>
              </w:rPr>
            </w:pPr>
            <w:r w:rsidRPr="004279E6">
              <w:rPr>
                <w:color w:val="auto"/>
              </w:rPr>
              <w:t>$2m</w:t>
            </w:r>
          </w:p>
          <w:p w:rsidR="00C34C48" w:rsidRPr="004279E6" w:rsidRDefault="00C34C48" w:rsidP="004279E6">
            <w:pPr>
              <w:jc w:val="left"/>
              <w:rPr>
                <w:color w:val="auto"/>
              </w:rPr>
            </w:pPr>
            <w:r w:rsidRPr="004279E6">
              <w:rPr>
                <w:color w:val="auto"/>
              </w:rPr>
              <w:t xml:space="preserve">             </w:t>
            </w:r>
          </w:p>
        </w:tc>
        <w:tc>
          <w:tcPr>
            <w:tcW w:w="2056" w:type="dxa"/>
            <w:vMerge w:val="restart"/>
          </w:tcPr>
          <w:p w:rsidR="00C34C48" w:rsidRPr="004279E6" w:rsidRDefault="00C34C48" w:rsidP="004279E6">
            <w:pPr>
              <w:keepNext/>
              <w:keepLines/>
              <w:spacing w:before="60" w:after="60" w:line="240" w:lineRule="auto"/>
              <w:jc w:val="left"/>
              <w:outlineLvl w:val="1"/>
              <w:rPr>
                <w:color w:val="auto"/>
              </w:rPr>
            </w:pPr>
            <w:r w:rsidRPr="004279E6">
              <w:rPr>
                <w:color w:val="auto"/>
              </w:rPr>
              <w:t>$</w:t>
            </w:r>
            <w:r w:rsidR="00095733" w:rsidRPr="004279E6">
              <w:rPr>
                <w:color w:val="auto"/>
              </w:rPr>
              <w:t>10.00</w:t>
            </w:r>
            <w:r w:rsidRPr="004279E6">
              <w:rPr>
                <w:color w:val="auto"/>
              </w:rPr>
              <w:t>m</w:t>
            </w:r>
          </w:p>
          <w:p w:rsidR="00C34C48" w:rsidRPr="004279E6" w:rsidRDefault="00C34C48" w:rsidP="004279E6">
            <w:pPr>
              <w:jc w:val="left"/>
              <w:rPr>
                <w:color w:val="auto"/>
              </w:rPr>
            </w:pPr>
          </w:p>
        </w:tc>
      </w:tr>
      <w:tr w:rsidR="00C34C48" w:rsidRPr="004279E6" w:rsidTr="004279E6">
        <w:trPr>
          <w:trHeight w:val="637"/>
        </w:trPr>
        <w:tc>
          <w:tcPr>
            <w:tcW w:w="3083" w:type="dxa"/>
            <w:vMerge/>
          </w:tcPr>
          <w:p w:rsidR="00C34C48" w:rsidRPr="004279E6" w:rsidRDefault="00C34C48" w:rsidP="00C34C48">
            <w:pPr>
              <w:keepNext/>
              <w:spacing w:before="60" w:after="60" w:line="240" w:lineRule="auto"/>
              <w:jc w:val="left"/>
              <w:outlineLvl w:val="1"/>
              <w:rPr>
                <w:color w:val="auto"/>
              </w:rPr>
            </w:pPr>
          </w:p>
        </w:tc>
        <w:tc>
          <w:tcPr>
            <w:tcW w:w="1057" w:type="dxa"/>
          </w:tcPr>
          <w:p w:rsidR="00C34C48" w:rsidRPr="004279E6" w:rsidRDefault="00C34C48" w:rsidP="004279E6">
            <w:pPr>
              <w:jc w:val="left"/>
              <w:rPr>
                <w:color w:val="auto"/>
              </w:rPr>
            </w:pPr>
            <w:r w:rsidRPr="004279E6">
              <w:rPr>
                <w:color w:val="auto"/>
              </w:rPr>
              <w:t>2019-20</w:t>
            </w:r>
          </w:p>
          <w:p w:rsidR="00C34C48" w:rsidRPr="004279E6" w:rsidRDefault="00C34C48" w:rsidP="004279E6">
            <w:pPr>
              <w:keepNext/>
              <w:keepLines/>
              <w:spacing w:before="60" w:after="60" w:line="240" w:lineRule="auto"/>
              <w:jc w:val="left"/>
              <w:outlineLvl w:val="1"/>
              <w:rPr>
                <w:color w:val="auto"/>
              </w:rPr>
            </w:pPr>
          </w:p>
        </w:tc>
        <w:tc>
          <w:tcPr>
            <w:tcW w:w="1564" w:type="dxa"/>
            <w:vMerge/>
          </w:tcPr>
          <w:p w:rsidR="00C34C48" w:rsidRPr="004279E6" w:rsidRDefault="00C34C48" w:rsidP="004279E6">
            <w:pPr>
              <w:keepNext/>
              <w:keepLines/>
              <w:spacing w:before="60" w:after="60" w:line="240" w:lineRule="auto"/>
              <w:jc w:val="left"/>
              <w:outlineLvl w:val="1"/>
              <w:rPr>
                <w:color w:val="auto"/>
              </w:rPr>
            </w:pPr>
          </w:p>
        </w:tc>
        <w:tc>
          <w:tcPr>
            <w:tcW w:w="1843" w:type="dxa"/>
          </w:tcPr>
          <w:p w:rsidR="00C34C48" w:rsidRPr="004279E6" w:rsidRDefault="00C34C48" w:rsidP="004279E6">
            <w:pPr>
              <w:keepNext/>
              <w:keepLines/>
              <w:spacing w:before="60" w:after="60" w:line="240" w:lineRule="auto"/>
              <w:jc w:val="left"/>
              <w:outlineLvl w:val="1"/>
              <w:rPr>
                <w:color w:val="auto"/>
              </w:rPr>
            </w:pPr>
            <w:r w:rsidRPr="004279E6">
              <w:rPr>
                <w:color w:val="auto"/>
              </w:rPr>
              <w:t>$3m</w:t>
            </w:r>
          </w:p>
        </w:tc>
        <w:tc>
          <w:tcPr>
            <w:tcW w:w="2056" w:type="dxa"/>
            <w:vMerge/>
          </w:tcPr>
          <w:p w:rsidR="00C34C48" w:rsidRPr="004279E6" w:rsidRDefault="00C34C48" w:rsidP="004279E6">
            <w:pPr>
              <w:keepNext/>
              <w:keepLines/>
              <w:spacing w:before="60" w:after="60" w:line="240" w:lineRule="auto"/>
              <w:jc w:val="left"/>
              <w:outlineLvl w:val="1"/>
              <w:rPr>
                <w:color w:val="auto"/>
              </w:rPr>
            </w:pPr>
          </w:p>
        </w:tc>
      </w:tr>
      <w:tr w:rsidR="00973DB5" w:rsidRPr="004279E6" w:rsidTr="004279E6">
        <w:trPr>
          <w:trHeight w:val="370"/>
        </w:trPr>
        <w:tc>
          <w:tcPr>
            <w:tcW w:w="3083" w:type="dxa"/>
          </w:tcPr>
          <w:p w:rsidR="00973DB5" w:rsidRPr="004279E6" w:rsidRDefault="00973DB5" w:rsidP="00C34C48">
            <w:pPr>
              <w:keepNext/>
              <w:spacing w:before="60" w:after="60" w:line="240" w:lineRule="auto"/>
              <w:jc w:val="left"/>
              <w:outlineLvl w:val="1"/>
              <w:rPr>
                <w:color w:val="auto"/>
              </w:rPr>
            </w:pPr>
            <w:r w:rsidRPr="004279E6">
              <w:rPr>
                <w:color w:val="auto"/>
              </w:rPr>
              <w:t>Fast-tracked new local environment plans to reflect the local housing strategies and housing targets</w:t>
            </w:r>
          </w:p>
        </w:tc>
        <w:tc>
          <w:tcPr>
            <w:tcW w:w="1057" w:type="dxa"/>
          </w:tcPr>
          <w:p w:rsidR="00973DB5" w:rsidRPr="004279E6" w:rsidRDefault="00973DB5" w:rsidP="004279E6">
            <w:pPr>
              <w:keepNext/>
              <w:keepLines/>
              <w:spacing w:before="60" w:after="60" w:line="240" w:lineRule="auto"/>
              <w:jc w:val="left"/>
              <w:outlineLvl w:val="1"/>
              <w:rPr>
                <w:color w:val="auto"/>
              </w:rPr>
            </w:pPr>
            <w:r w:rsidRPr="004279E6">
              <w:rPr>
                <w:color w:val="auto"/>
              </w:rPr>
              <w:t>2020-21</w:t>
            </w:r>
          </w:p>
        </w:tc>
        <w:tc>
          <w:tcPr>
            <w:tcW w:w="1564" w:type="dxa"/>
          </w:tcPr>
          <w:p w:rsidR="00973DB5" w:rsidRPr="004279E6" w:rsidRDefault="00973DB5" w:rsidP="004279E6">
            <w:pPr>
              <w:keepNext/>
              <w:keepLines/>
              <w:spacing w:before="60" w:after="60" w:line="240" w:lineRule="auto"/>
              <w:jc w:val="left"/>
              <w:outlineLvl w:val="1"/>
              <w:rPr>
                <w:color w:val="auto"/>
              </w:rPr>
            </w:pPr>
            <w:r w:rsidRPr="004279E6">
              <w:rPr>
                <w:color w:val="auto"/>
              </w:rPr>
              <w:t>$15.00m</w:t>
            </w:r>
          </w:p>
        </w:tc>
        <w:tc>
          <w:tcPr>
            <w:tcW w:w="1843" w:type="dxa"/>
          </w:tcPr>
          <w:p w:rsidR="00973DB5" w:rsidRPr="004279E6" w:rsidRDefault="00973DB5" w:rsidP="004279E6">
            <w:pPr>
              <w:keepNext/>
              <w:keepLines/>
              <w:spacing w:before="60" w:after="60" w:line="240" w:lineRule="auto"/>
              <w:jc w:val="left"/>
              <w:outlineLvl w:val="1"/>
              <w:rPr>
                <w:color w:val="auto"/>
              </w:rPr>
            </w:pPr>
            <w:r w:rsidRPr="004279E6">
              <w:rPr>
                <w:color w:val="auto"/>
              </w:rPr>
              <w:t>$7.50m</w:t>
            </w:r>
          </w:p>
        </w:tc>
        <w:tc>
          <w:tcPr>
            <w:tcW w:w="2056" w:type="dxa"/>
          </w:tcPr>
          <w:p w:rsidR="00973DB5" w:rsidRPr="004279E6" w:rsidRDefault="00973DB5" w:rsidP="004279E6">
            <w:pPr>
              <w:keepNext/>
              <w:keepLines/>
              <w:spacing w:before="60" w:after="60" w:line="240" w:lineRule="auto"/>
              <w:jc w:val="left"/>
              <w:outlineLvl w:val="1"/>
              <w:rPr>
                <w:color w:val="auto"/>
              </w:rPr>
            </w:pPr>
            <w:r w:rsidRPr="004279E6">
              <w:rPr>
                <w:color w:val="auto"/>
              </w:rPr>
              <w:t>$7.50m</w:t>
            </w:r>
          </w:p>
        </w:tc>
      </w:tr>
      <w:tr w:rsidR="00973DB5" w:rsidRPr="004279E6" w:rsidTr="004279E6">
        <w:trPr>
          <w:trHeight w:val="370"/>
        </w:trPr>
        <w:tc>
          <w:tcPr>
            <w:tcW w:w="4140" w:type="dxa"/>
            <w:gridSpan w:val="2"/>
          </w:tcPr>
          <w:p w:rsidR="00973DB5" w:rsidRPr="004279E6" w:rsidRDefault="00973DB5" w:rsidP="00C34C48">
            <w:pPr>
              <w:keepNext/>
              <w:spacing w:before="60" w:after="60" w:line="240" w:lineRule="auto"/>
              <w:jc w:val="left"/>
              <w:outlineLvl w:val="1"/>
              <w:rPr>
                <w:b/>
                <w:color w:val="auto"/>
              </w:rPr>
            </w:pPr>
            <w:r w:rsidRPr="004279E6">
              <w:rPr>
                <w:b/>
                <w:color w:val="auto"/>
              </w:rPr>
              <w:t>Western Parkland City housing package sub-total</w:t>
            </w:r>
          </w:p>
        </w:tc>
        <w:tc>
          <w:tcPr>
            <w:tcW w:w="1564" w:type="dxa"/>
          </w:tcPr>
          <w:p w:rsidR="00973DB5" w:rsidRPr="004279E6" w:rsidRDefault="00973DB5" w:rsidP="004279E6">
            <w:pPr>
              <w:keepNext/>
              <w:spacing w:before="60" w:after="60" w:line="240" w:lineRule="auto"/>
              <w:jc w:val="left"/>
              <w:outlineLvl w:val="1"/>
              <w:rPr>
                <w:b/>
                <w:color w:val="auto"/>
              </w:rPr>
            </w:pPr>
            <w:r w:rsidRPr="004279E6">
              <w:rPr>
                <w:b/>
                <w:color w:val="auto"/>
              </w:rPr>
              <w:t>$3</w:t>
            </w:r>
            <w:r w:rsidR="00095733" w:rsidRPr="004279E6">
              <w:rPr>
                <w:b/>
                <w:color w:val="auto"/>
              </w:rPr>
              <w:t>3.75</w:t>
            </w:r>
            <w:r w:rsidRPr="004279E6">
              <w:rPr>
                <w:b/>
                <w:color w:val="auto"/>
              </w:rPr>
              <w:t>m</w:t>
            </w:r>
          </w:p>
        </w:tc>
        <w:tc>
          <w:tcPr>
            <w:tcW w:w="1843" w:type="dxa"/>
          </w:tcPr>
          <w:p w:rsidR="00973DB5" w:rsidRPr="004279E6" w:rsidRDefault="00973DB5" w:rsidP="004279E6">
            <w:pPr>
              <w:keepNext/>
              <w:spacing w:before="60" w:after="60" w:line="240" w:lineRule="auto"/>
              <w:jc w:val="left"/>
              <w:outlineLvl w:val="1"/>
              <w:rPr>
                <w:b/>
                <w:color w:val="auto"/>
              </w:rPr>
            </w:pPr>
            <w:r w:rsidRPr="004279E6">
              <w:rPr>
                <w:b/>
                <w:color w:val="auto"/>
              </w:rPr>
              <w:t>$15.00m</w:t>
            </w:r>
          </w:p>
        </w:tc>
        <w:tc>
          <w:tcPr>
            <w:tcW w:w="2056" w:type="dxa"/>
          </w:tcPr>
          <w:p w:rsidR="00973DB5" w:rsidRPr="004279E6" w:rsidRDefault="00973DB5" w:rsidP="004279E6">
            <w:pPr>
              <w:keepNext/>
              <w:spacing w:before="60" w:after="60" w:line="240" w:lineRule="auto"/>
              <w:jc w:val="left"/>
              <w:outlineLvl w:val="1"/>
              <w:rPr>
                <w:b/>
                <w:color w:val="auto"/>
              </w:rPr>
            </w:pPr>
            <w:r w:rsidRPr="004279E6">
              <w:rPr>
                <w:b/>
                <w:color w:val="auto"/>
              </w:rPr>
              <w:t>$1</w:t>
            </w:r>
            <w:r w:rsidR="00095733" w:rsidRPr="004279E6">
              <w:rPr>
                <w:b/>
                <w:color w:val="auto"/>
              </w:rPr>
              <w:t>8.75</w:t>
            </w:r>
            <w:r w:rsidRPr="004279E6">
              <w:rPr>
                <w:b/>
                <w:color w:val="auto"/>
              </w:rPr>
              <w:t>m</w:t>
            </w:r>
          </w:p>
        </w:tc>
      </w:tr>
      <w:tr w:rsidR="00C34C48" w:rsidRPr="004279E6" w:rsidTr="00C34C48">
        <w:trPr>
          <w:trHeight w:val="1141"/>
        </w:trPr>
        <w:tc>
          <w:tcPr>
            <w:tcW w:w="3083" w:type="dxa"/>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Western Parkland City Liveability Program</w:t>
            </w:r>
          </w:p>
        </w:tc>
        <w:tc>
          <w:tcPr>
            <w:tcW w:w="1057" w:type="dxa"/>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Year</w:t>
            </w:r>
          </w:p>
        </w:tc>
        <w:tc>
          <w:tcPr>
            <w:tcW w:w="1564" w:type="dxa"/>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Estimated total budget</w:t>
            </w:r>
          </w:p>
        </w:tc>
        <w:tc>
          <w:tcPr>
            <w:tcW w:w="1843" w:type="dxa"/>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Less estimated National Partnership Payments</w:t>
            </w:r>
          </w:p>
        </w:tc>
        <w:tc>
          <w:tcPr>
            <w:tcW w:w="2056" w:type="dxa"/>
            <w:shd w:val="clear" w:color="auto" w:fill="auto"/>
          </w:tcPr>
          <w:p w:rsidR="00973DB5" w:rsidRPr="004279E6" w:rsidRDefault="00973DB5" w:rsidP="004279E6">
            <w:pPr>
              <w:keepNext/>
              <w:spacing w:before="180" w:after="120" w:line="240" w:lineRule="auto"/>
              <w:jc w:val="left"/>
              <w:outlineLvl w:val="1"/>
              <w:rPr>
                <w:rFonts w:cs="Arial"/>
                <w:b/>
                <w:iCs/>
                <w:color w:val="3D4B67"/>
                <w:sz w:val="24"/>
                <w:szCs w:val="24"/>
              </w:rPr>
            </w:pPr>
            <w:r w:rsidRPr="004279E6">
              <w:rPr>
                <w:rFonts w:cs="Arial"/>
                <w:b/>
                <w:iCs/>
                <w:color w:val="3D4B67"/>
                <w:sz w:val="24"/>
                <w:szCs w:val="24"/>
              </w:rPr>
              <w:t>Balance of non-Commonwealth contributions</w:t>
            </w:r>
          </w:p>
        </w:tc>
      </w:tr>
      <w:tr w:rsidR="00973DB5" w:rsidRPr="004279E6" w:rsidTr="004279E6">
        <w:trPr>
          <w:trHeight w:val="370"/>
        </w:trPr>
        <w:tc>
          <w:tcPr>
            <w:tcW w:w="3083" w:type="dxa"/>
          </w:tcPr>
          <w:p w:rsidR="00973DB5" w:rsidRPr="004279E6" w:rsidRDefault="00973DB5" w:rsidP="00C34C48">
            <w:pPr>
              <w:keepNext/>
              <w:spacing w:before="60" w:after="60" w:line="240" w:lineRule="auto"/>
              <w:jc w:val="left"/>
              <w:outlineLvl w:val="1"/>
              <w:rPr>
                <w:color w:val="auto"/>
              </w:rPr>
            </w:pPr>
            <w:r w:rsidRPr="004279E6">
              <w:rPr>
                <w:color w:val="auto"/>
              </w:rPr>
              <w:t xml:space="preserve">Joint Commonwealth and </w:t>
            </w:r>
            <w:r w:rsidR="00C34C48" w:rsidRPr="004279E6">
              <w:t>New South Wales</w:t>
            </w:r>
            <w:r w:rsidR="00C34C48" w:rsidRPr="004279E6" w:rsidDel="00C34C48">
              <w:rPr>
                <w:color w:val="auto"/>
              </w:rPr>
              <w:t xml:space="preserve"> </w:t>
            </w:r>
            <w:r w:rsidRPr="004279E6">
              <w:rPr>
                <w:color w:val="auto"/>
              </w:rPr>
              <w:t xml:space="preserve">agreement to eligibility criteria and program guidelines and announcement of projects. </w:t>
            </w:r>
          </w:p>
          <w:p w:rsidR="00973DB5" w:rsidRPr="004279E6" w:rsidRDefault="00973DB5" w:rsidP="00C34C48">
            <w:pPr>
              <w:keepNext/>
              <w:spacing w:before="60" w:after="60" w:line="240" w:lineRule="auto"/>
              <w:jc w:val="left"/>
              <w:outlineLvl w:val="1"/>
              <w:rPr>
                <w:color w:val="auto"/>
              </w:rPr>
            </w:pPr>
            <w:r w:rsidRPr="004279E6">
              <w:rPr>
                <w:color w:val="auto"/>
              </w:rPr>
              <w:t>Individual project agreements executed with successful applicants.</w:t>
            </w:r>
          </w:p>
        </w:tc>
        <w:tc>
          <w:tcPr>
            <w:tcW w:w="1057" w:type="dxa"/>
          </w:tcPr>
          <w:p w:rsidR="00973DB5" w:rsidRPr="004279E6" w:rsidRDefault="00973DB5" w:rsidP="004279E6">
            <w:pPr>
              <w:keepNext/>
              <w:spacing w:before="60" w:after="60" w:line="240" w:lineRule="auto"/>
              <w:jc w:val="left"/>
              <w:outlineLvl w:val="1"/>
              <w:rPr>
                <w:color w:val="auto"/>
              </w:rPr>
            </w:pPr>
            <w:r w:rsidRPr="004279E6">
              <w:rPr>
                <w:color w:val="auto"/>
              </w:rPr>
              <w:t>2018-19</w:t>
            </w:r>
          </w:p>
        </w:tc>
        <w:tc>
          <w:tcPr>
            <w:tcW w:w="1564" w:type="dxa"/>
          </w:tcPr>
          <w:p w:rsidR="00973DB5" w:rsidRPr="004279E6" w:rsidRDefault="00973DB5" w:rsidP="004279E6">
            <w:pPr>
              <w:keepNext/>
              <w:spacing w:before="60" w:after="60" w:line="240" w:lineRule="auto"/>
              <w:jc w:val="left"/>
              <w:outlineLvl w:val="1"/>
              <w:rPr>
                <w:color w:val="auto"/>
              </w:rPr>
            </w:pPr>
            <w:r w:rsidRPr="004279E6">
              <w:rPr>
                <w:color w:val="auto"/>
              </w:rPr>
              <w:t>$</w:t>
            </w:r>
            <w:r w:rsidR="00F302F4" w:rsidRPr="004279E6">
              <w:rPr>
                <w:color w:val="auto"/>
              </w:rPr>
              <w:t>9.5</w:t>
            </w:r>
            <w:r w:rsidRPr="004279E6">
              <w:rPr>
                <w:color w:val="auto"/>
              </w:rPr>
              <w:t>m</w:t>
            </w:r>
          </w:p>
        </w:tc>
        <w:tc>
          <w:tcPr>
            <w:tcW w:w="1843" w:type="dxa"/>
          </w:tcPr>
          <w:p w:rsidR="00973DB5" w:rsidRPr="004279E6" w:rsidRDefault="00973DB5" w:rsidP="004279E6">
            <w:pPr>
              <w:keepNext/>
              <w:spacing w:before="60" w:after="60" w:line="240" w:lineRule="auto"/>
              <w:jc w:val="left"/>
              <w:outlineLvl w:val="1"/>
              <w:rPr>
                <w:color w:val="auto"/>
              </w:rPr>
            </w:pPr>
            <w:r w:rsidRPr="004279E6">
              <w:rPr>
                <w:color w:val="auto"/>
              </w:rPr>
              <w:t>$</w:t>
            </w:r>
            <w:r w:rsidR="00F302F4" w:rsidRPr="004279E6">
              <w:rPr>
                <w:color w:val="auto"/>
              </w:rPr>
              <w:t>4.75</w:t>
            </w:r>
            <w:r w:rsidRPr="004279E6">
              <w:rPr>
                <w:color w:val="auto"/>
              </w:rPr>
              <w:t>m</w:t>
            </w:r>
          </w:p>
        </w:tc>
        <w:tc>
          <w:tcPr>
            <w:tcW w:w="2056" w:type="dxa"/>
          </w:tcPr>
          <w:p w:rsidR="00973DB5" w:rsidRPr="004279E6" w:rsidRDefault="00F302F4" w:rsidP="004279E6">
            <w:pPr>
              <w:keepNext/>
              <w:spacing w:before="60" w:after="60" w:line="240" w:lineRule="auto"/>
              <w:jc w:val="left"/>
              <w:outlineLvl w:val="1"/>
              <w:rPr>
                <w:color w:val="auto"/>
              </w:rPr>
            </w:pPr>
            <w:r w:rsidRPr="004279E6">
              <w:rPr>
                <w:color w:val="auto"/>
              </w:rPr>
              <w:t>$4.75m</w:t>
            </w:r>
          </w:p>
        </w:tc>
      </w:tr>
      <w:tr w:rsidR="00973DB5" w:rsidRPr="004279E6" w:rsidTr="004279E6">
        <w:trPr>
          <w:trHeight w:val="370"/>
        </w:trPr>
        <w:tc>
          <w:tcPr>
            <w:tcW w:w="3083" w:type="dxa"/>
          </w:tcPr>
          <w:p w:rsidR="00973DB5" w:rsidRPr="004279E6" w:rsidRDefault="00973DB5" w:rsidP="00C34C48">
            <w:pPr>
              <w:keepNext/>
              <w:spacing w:before="60" w:after="60" w:line="240" w:lineRule="auto"/>
              <w:jc w:val="left"/>
              <w:outlineLvl w:val="1"/>
              <w:rPr>
                <w:color w:val="auto"/>
              </w:rPr>
            </w:pPr>
            <w:r w:rsidRPr="004279E6">
              <w:rPr>
                <w:color w:val="auto"/>
              </w:rPr>
              <w:t>Payments made to successful applicants for achievement of relevant milestones under individual project agreements.</w:t>
            </w:r>
          </w:p>
        </w:tc>
        <w:tc>
          <w:tcPr>
            <w:tcW w:w="1057" w:type="dxa"/>
          </w:tcPr>
          <w:p w:rsidR="00973DB5" w:rsidRPr="004279E6" w:rsidRDefault="00973DB5" w:rsidP="004279E6">
            <w:pPr>
              <w:keepNext/>
              <w:spacing w:before="60" w:after="60" w:line="240" w:lineRule="auto"/>
              <w:jc w:val="left"/>
              <w:outlineLvl w:val="1"/>
              <w:rPr>
                <w:color w:val="auto"/>
              </w:rPr>
            </w:pPr>
            <w:r w:rsidRPr="004279E6">
              <w:rPr>
                <w:color w:val="auto"/>
              </w:rPr>
              <w:t>2019-20</w:t>
            </w:r>
          </w:p>
        </w:tc>
        <w:tc>
          <w:tcPr>
            <w:tcW w:w="1564" w:type="dxa"/>
          </w:tcPr>
          <w:p w:rsidR="00973DB5" w:rsidRPr="004279E6" w:rsidRDefault="00973DB5" w:rsidP="004279E6">
            <w:pPr>
              <w:keepNext/>
              <w:spacing w:before="60" w:after="60" w:line="240" w:lineRule="auto"/>
              <w:jc w:val="left"/>
              <w:outlineLvl w:val="1"/>
              <w:rPr>
                <w:color w:val="auto"/>
              </w:rPr>
            </w:pPr>
            <w:r w:rsidRPr="004279E6">
              <w:rPr>
                <w:color w:val="auto"/>
              </w:rPr>
              <w:t>$55.</w:t>
            </w:r>
            <w:r w:rsidR="00F302F4" w:rsidRPr="004279E6">
              <w:rPr>
                <w:color w:val="auto"/>
              </w:rPr>
              <w:t>5</w:t>
            </w:r>
            <w:r w:rsidRPr="004279E6">
              <w:rPr>
                <w:color w:val="auto"/>
              </w:rPr>
              <w:t>0m</w:t>
            </w:r>
          </w:p>
        </w:tc>
        <w:tc>
          <w:tcPr>
            <w:tcW w:w="1843" w:type="dxa"/>
          </w:tcPr>
          <w:p w:rsidR="00973DB5" w:rsidRPr="004279E6" w:rsidRDefault="00973DB5" w:rsidP="004279E6">
            <w:pPr>
              <w:keepNext/>
              <w:spacing w:before="60" w:after="60" w:line="240" w:lineRule="auto"/>
              <w:jc w:val="left"/>
              <w:outlineLvl w:val="1"/>
              <w:rPr>
                <w:color w:val="auto"/>
              </w:rPr>
            </w:pPr>
            <w:r w:rsidRPr="004279E6">
              <w:rPr>
                <w:color w:val="auto"/>
              </w:rPr>
              <w:t>$27.</w:t>
            </w:r>
            <w:r w:rsidR="00F302F4" w:rsidRPr="004279E6">
              <w:rPr>
                <w:color w:val="auto"/>
              </w:rPr>
              <w:t>75</w:t>
            </w:r>
            <w:r w:rsidRPr="004279E6">
              <w:rPr>
                <w:color w:val="auto"/>
              </w:rPr>
              <w:t>m</w:t>
            </w:r>
          </w:p>
        </w:tc>
        <w:tc>
          <w:tcPr>
            <w:tcW w:w="2056" w:type="dxa"/>
          </w:tcPr>
          <w:p w:rsidR="00973DB5" w:rsidRPr="004279E6" w:rsidRDefault="00F302F4" w:rsidP="004279E6">
            <w:pPr>
              <w:keepNext/>
              <w:spacing w:before="60" w:after="60" w:line="240" w:lineRule="auto"/>
              <w:jc w:val="left"/>
              <w:outlineLvl w:val="1"/>
              <w:rPr>
                <w:color w:val="auto"/>
              </w:rPr>
            </w:pPr>
            <w:r w:rsidRPr="004279E6">
              <w:rPr>
                <w:color w:val="auto"/>
              </w:rPr>
              <w:t>$27.75m</w:t>
            </w:r>
          </w:p>
        </w:tc>
      </w:tr>
      <w:tr w:rsidR="00973DB5" w:rsidRPr="004279E6" w:rsidTr="004279E6">
        <w:trPr>
          <w:trHeight w:val="370"/>
        </w:trPr>
        <w:tc>
          <w:tcPr>
            <w:tcW w:w="3083" w:type="dxa"/>
          </w:tcPr>
          <w:p w:rsidR="00973DB5" w:rsidRPr="004279E6" w:rsidRDefault="00973DB5" w:rsidP="00C34C48">
            <w:pPr>
              <w:keepNext/>
              <w:spacing w:before="60" w:after="60" w:line="240" w:lineRule="auto"/>
              <w:jc w:val="left"/>
              <w:outlineLvl w:val="1"/>
              <w:rPr>
                <w:color w:val="auto"/>
              </w:rPr>
            </w:pPr>
            <w:r w:rsidRPr="004279E6">
              <w:rPr>
                <w:color w:val="auto"/>
              </w:rPr>
              <w:t>Payments made to successful applicants for achievement of relevant milestones under individual project agreements.</w:t>
            </w:r>
          </w:p>
        </w:tc>
        <w:tc>
          <w:tcPr>
            <w:tcW w:w="1057" w:type="dxa"/>
          </w:tcPr>
          <w:p w:rsidR="00973DB5" w:rsidRPr="004279E6" w:rsidRDefault="00973DB5" w:rsidP="004279E6">
            <w:pPr>
              <w:keepNext/>
              <w:spacing w:before="60" w:after="60" w:line="240" w:lineRule="auto"/>
              <w:jc w:val="left"/>
              <w:outlineLvl w:val="1"/>
              <w:rPr>
                <w:color w:val="auto"/>
              </w:rPr>
            </w:pPr>
            <w:r w:rsidRPr="004279E6">
              <w:rPr>
                <w:color w:val="auto"/>
              </w:rPr>
              <w:t>2020-21</w:t>
            </w:r>
          </w:p>
        </w:tc>
        <w:tc>
          <w:tcPr>
            <w:tcW w:w="1564" w:type="dxa"/>
          </w:tcPr>
          <w:p w:rsidR="00973DB5" w:rsidRPr="004279E6" w:rsidRDefault="00973DB5" w:rsidP="004279E6">
            <w:pPr>
              <w:keepNext/>
              <w:spacing w:before="60" w:after="60" w:line="240" w:lineRule="auto"/>
              <w:jc w:val="left"/>
              <w:outlineLvl w:val="1"/>
              <w:rPr>
                <w:color w:val="auto"/>
              </w:rPr>
            </w:pPr>
            <w:r w:rsidRPr="004279E6">
              <w:rPr>
                <w:color w:val="auto"/>
              </w:rPr>
              <w:t>$45.00m</w:t>
            </w:r>
          </w:p>
        </w:tc>
        <w:tc>
          <w:tcPr>
            <w:tcW w:w="1843" w:type="dxa"/>
          </w:tcPr>
          <w:p w:rsidR="00973DB5" w:rsidRPr="004279E6" w:rsidRDefault="00973DB5" w:rsidP="004279E6">
            <w:pPr>
              <w:keepNext/>
              <w:spacing w:before="60" w:after="60" w:line="240" w:lineRule="auto"/>
              <w:jc w:val="left"/>
              <w:outlineLvl w:val="1"/>
              <w:rPr>
                <w:color w:val="auto"/>
              </w:rPr>
            </w:pPr>
            <w:r w:rsidRPr="004279E6">
              <w:rPr>
                <w:color w:val="auto"/>
              </w:rPr>
              <w:t>$22.50m</w:t>
            </w:r>
          </w:p>
        </w:tc>
        <w:tc>
          <w:tcPr>
            <w:tcW w:w="2056" w:type="dxa"/>
          </w:tcPr>
          <w:p w:rsidR="00973DB5" w:rsidRPr="004279E6" w:rsidRDefault="00973DB5" w:rsidP="004279E6">
            <w:pPr>
              <w:keepNext/>
              <w:spacing w:before="60" w:after="60" w:line="240" w:lineRule="auto"/>
              <w:jc w:val="left"/>
              <w:outlineLvl w:val="1"/>
              <w:rPr>
                <w:color w:val="auto"/>
              </w:rPr>
            </w:pPr>
            <w:r w:rsidRPr="004279E6">
              <w:rPr>
                <w:color w:val="auto"/>
              </w:rPr>
              <w:t>$22.50m</w:t>
            </w:r>
          </w:p>
        </w:tc>
      </w:tr>
      <w:tr w:rsidR="00973DB5" w:rsidRPr="004279E6" w:rsidTr="004279E6">
        <w:trPr>
          <w:trHeight w:val="370"/>
        </w:trPr>
        <w:tc>
          <w:tcPr>
            <w:tcW w:w="3083" w:type="dxa"/>
          </w:tcPr>
          <w:p w:rsidR="00973DB5" w:rsidRPr="004279E6" w:rsidRDefault="00973DB5" w:rsidP="00C34C48">
            <w:pPr>
              <w:keepNext/>
              <w:spacing w:before="60" w:after="60" w:line="240" w:lineRule="auto"/>
              <w:jc w:val="left"/>
              <w:outlineLvl w:val="1"/>
              <w:rPr>
                <w:color w:val="auto"/>
              </w:rPr>
            </w:pPr>
            <w:r w:rsidRPr="004279E6">
              <w:rPr>
                <w:color w:val="auto"/>
              </w:rPr>
              <w:t>Successful applicants have delivered on all milestones under individual project agreements.</w:t>
            </w:r>
          </w:p>
        </w:tc>
        <w:tc>
          <w:tcPr>
            <w:tcW w:w="1057" w:type="dxa"/>
          </w:tcPr>
          <w:p w:rsidR="00973DB5" w:rsidRPr="004279E6" w:rsidRDefault="00973DB5" w:rsidP="004279E6">
            <w:pPr>
              <w:keepNext/>
              <w:spacing w:before="60" w:after="60" w:line="240" w:lineRule="auto"/>
              <w:jc w:val="left"/>
              <w:outlineLvl w:val="1"/>
              <w:rPr>
                <w:color w:val="auto"/>
              </w:rPr>
            </w:pPr>
            <w:r w:rsidRPr="004279E6">
              <w:rPr>
                <w:color w:val="auto"/>
              </w:rPr>
              <w:t>2021-22</w:t>
            </w:r>
          </w:p>
        </w:tc>
        <w:tc>
          <w:tcPr>
            <w:tcW w:w="1564" w:type="dxa"/>
          </w:tcPr>
          <w:p w:rsidR="00973DB5" w:rsidRPr="004279E6" w:rsidRDefault="00973DB5" w:rsidP="004279E6">
            <w:pPr>
              <w:keepNext/>
              <w:spacing w:before="60" w:after="60" w:line="240" w:lineRule="auto"/>
              <w:jc w:val="left"/>
              <w:outlineLvl w:val="1"/>
              <w:rPr>
                <w:color w:val="auto"/>
              </w:rPr>
            </w:pPr>
            <w:r w:rsidRPr="004279E6">
              <w:rPr>
                <w:color w:val="auto"/>
              </w:rPr>
              <w:t>$10.00m</w:t>
            </w:r>
          </w:p>
        </w:tc>
        <w:tc>
          <w:tcPr>
            <w:tcW w:w="1843" w:type="dxa"/>
          </w:tcPr>
          <w:p w:rsidR="00973DB5" w:rsidRPr="004279E6" w:rsidRDefault="00973DB5" w:rsidP="004279E6">
            <w:pPr>
              <w:keepNext/>
              <w:spacing w:before="60" w:after="60" w:line="240" w:lineRule="auto"/>
              <w:jc w:val="left"/>
              <w:outlineLvl w:val="1"/>
              <w:rPr>
                <w:color w:val="auto"/>
              </w:rPr>
            </w:pPr>
            <w:r w:rsidRPr="004279E6">
              <w:rPr>
                <w:color w:val="auto"/>
              </w:rPr>
              <w:t>$5.00m</w:t>
            </w:r>
          </w:p>
        </w:tc>
        <w:tc>
          <w:tcPr>
            <w:tcW w:w="2056" w:type="dxa"/>
          </w:tcPr>
          <w:p w:rsidR="00973DB5" w:rsidRPr="004279E6" w:rsidRDefault="00973DB5" w:rsidP="004279E6">
            <w:pPr>
              <w:keepNext/>
              <w:spacing w:before="60" w:after="60" w:line="240" w:lineRule="auto"/>
              <w:jc w:val="left"/>
              <w:outlineLvl w:val="1"/>
              <w:rPr>
                <w:color w:val="auto"/>
              </w:rPr>
            </w:pPr>
            <w:r w:rsidRPr="004279E6">
              <w:rPr>
                <w:color w:val="auto"/>
              </w:rPr>
              <w:t>$5.00m</w:t>
            </w:r>
          </w:p>
        </w:tc>
      </w:tr>
      <w:tr w:rsidR="00973DB5" w:rsidRPr="004279E6" w:rsidTr="004279E6">
        <w:trPr>
          <w:trHeight w:val="370"/>
        </w:trPr>
        <w:tc>
          <w:tcPr>
            <w:tcW w:w="4140" w:type="dxa"/>
            <w:gridSpan w:val="2"/>
          </w:tcPr>
          <w:p w:rsidR="00973DB5" w:rsidRPr="004279E6" w:rsidRDefault="00973DB5" w:rsidP="00C34C48">
            <w:pPr>
              <w:keepNext/>
              <w:spacing w:before="60" w:after="60" w:line="240" w:lineRule="auto"/>
              <w:jc w:val="left"/>
              <w:outlineLvl w:val="1"/>
              <w:rPr>
                <w:b/>
                <w:color w:val="auto"/>
              </w:rPr>
            </w:pPr>
            <w:r w:rsidRPr="004279E6">
              <w:rPr>
                <w:b/>
                <w:color w:val="auto"/>
              </w:rPr>
              <w:t>Western Parkland City Liveability Program sub-total</w:t>
            </w:r>
          </w:p>
        </w:tc>
        <w:tc>
          <w:tcPr>
            <w:tcW w:w="1564" w:type="dxa"/>
          </w:tcPr>
          <w:p w:rsidR="00973DB5" w:rsidRPr="004279E6" w:rsidRDefault="00973DB5" w:rsidP="004279E6">
            <w:pPr>
              <w:keepNext/>
              <w:spacing w:before="60" w:after="60" w:line="240" w:lineRule="auto"/>
              <w:jc w:val="left"/>
              <w:outlineLvl w:val="1"/>
              <w:rPr>
                <w:b/>
                <w:color w:val="auto"/>
              </w:rPr>
            </w:pPr>
            <w:r w:rsidRPr="004279E6">
              <w:rPr>
                <w:b/>
                <w:color w:val="auto"/>
              </w:rPr>
              <w:t>$120.00m</w:t>
            </w:r>
          </w:p>
        </w:tc>
        <w:tc>
          <w:tcPr>
            <w:tcW w:w="1843" w:type="dxa"/>
          </w:tcPr>
          <w:p w:rsidR="00973DB5" w:rsidRPr="004279E6" w:rsidRDefault="00973DB5" w:rsidP="004279E6">
            <w:pPr>
              <w:keepNext/>
              <w:spacing w:before="60" w:after="60" w:line="240" w:lineRule="auto"/>
              <w:jc w:val="left"/>
              <w:outlineLvl w:val="1"/>
              <w:rPr>
                <w:b/>
                <w:color w:val="auto"/>
              </w:rPr>
            </w:pPr>
            <w:r w:rsidRPr="004279E6">
              <w:rPr>
                <w:b/>
                <w:color w:val="auto"/>
              </w:rPr>
              <w:t>$60.00m</w:t>
            </w:r>
          </w:p>
        </w:tc>
        <w:tc>
          <w:tcPr>
            <w:tcW w:w="2056" w:type="dxa"/>
          </w:tcPr>
          <w:p w:rsidR="00973DB5" w:rsidRPr="004279E6" w:rsidRDefault="00973DB5" w:rsidP="004279E6">
            <w:pPr>
              <w:keepNext/>
              <w:spacing w:before="60" w:after="60" w:line="240" w:lineRule="auto"/>
              <w:jc w:val="left"/>
              <w:outlineLvl w:val="1"/>
              <w:rPr>
                <w:b/>
                <w:color w:val="auto"/>
              </w:rPr>
            </w:pPr>
            <w:r w:rsidRPr="004279E6">
              <w:rPr>
                <w:b/>
                <w:color w:val="auto"/>
              </w:rPr>
              <w:t>$90.00m*</w:t>
            </w:r>
          </w:p>
        </w:tc>
      </w:tr>
      <w:tr w:rsidR="00973DB5" w:rsidRPr="004279E6" w:rsidTr="004279E6">
        <w:trPr>
          <w:trHeight w:val="563"/>
        </w:trPr>
        <w:tc>
          <w:tcPr>
            <w:tcW w:w="4140" w:type="dxa"/>
            <w:gridSpan w:val="2"/>
          </w:tcPr>
          <w:p w:rsidR="00973DB5" w:rsidRPr="004279E6" w:rsidRDefault="00973DB5" w:rsidP="00C34C48">
            <w:pPr>
              <w:keepNext/>
              <w:spacing w:before="60" w:after="60" w:line="240" w:lineRule="auto"/>
              <w:jc w:val="left"/>
              <w:outlineLvl w:val="1"/>
              <w:rPr>
                <w:b/>
                <w:i/>
                <w:color w:val="auto"/>
              </w:rPr>
            </w:pPr>
            <w:r w:rsidRPr="004279E6">
              <w:rPr>
                <w:b/>
                <w:i/>
                <w:color w:val="auto"/>
              </w:rPr>
              <w:t>Estimated total budget</w:t>
            </w:r>
          </w:p>
        </w:tc>
        <w:tc>
          <w:tcPr>
            <w:tcW w:w="1564" w:type="dxa"/>
          </w:tcPr>
          <w:p w:rsidR="00973DB5" w:rsidRPr="004279E6" w:rsidRDefault="00973DB5" w:rsidP="004279E6">
            <w:pPr>
              <w:keepNext/>
              <w:spacing w:before="60" w:after="60" w:line="240" w:lineRule="auto"/>
              <w:jc w:val="left"/>
              <w:outlineLvl w:val="1"/>
              <w:rPr>
                <w:b/>
                <w:i/>
                <w:color w:val="auto"/>
              </w:rPr>
            </w:pPr>
            <w:r w:rsidRPr="004279E6">
              <w:rPr>
                <w:b/>
                <w:i/>
                <w:color w:val="auto"/>
              </w:rPr>
              <w:t>$15</w:t>
            </w:r>
            <w:r w:rsidR="00095733" w:rsidRPr="004279E6">
              <w:rPr>
                <w:b/>
                <w:i/>
                <w:color w:val="auto"/>
              </w:rPr>
              <w:t>3.75</w:t>
            </w:r>
            <w:r w:rsidRPr="004279E6">
              <w:rPr>
                <w:b/>
                <w:i/>
                <w:color w:val="auto"/>
              </w:rPr>
              <w:t>m</w:t>
            </w:r>
          </w:p>
        </w:tc>
        <w:tc>
          <w:tcPr>
            <w:tcW w:w="1843" w:type="dxa"/>
          </w:tcPr>
          <w:p w:rsidR="00973DB5" w:rsidRPr="004279E6" w:rsidRDefault="00973DB5" w:rsidP="004279E6">
            <w:pPr>
              <w:keepNext/>
              <w:spacing w:before="60" w:after="60" w:line="240" w:lineRule="auto"/>
              <w:jc w:val="left"/>
              <w:outlineLvl w:val="1"/>
              <w:rPr>
                <w:b/>
                <w:i/>
                <w:color w:val="auto"/>
              </w:rPr>
            </w:pPr>
            <w:r w:rsidRPr="004279E6">
              <w:rPr>
                <w:b/>
                <w:i/>
                <w:color w:val="auto"/>
              </w:rPr>
              <w:t>$75.00m</w:t>
            </w:r>
          </w:p>
        </w:tc>
        <w:tc>
          <w:tcPr>
            <w:tcW w:w="2056" w:type="dxa"/>
          </w:tcPr>
          <w:p w:rsidR="00973DB5" w:rsidRPr="004279E6" w:rsidRDefault="00973DB5" w:rsidP="004279E6">
            <w:pPr>
              <w:keepNext/>
              <w:spacing w:before="60" w:after="60" w:line="240" w:lineRule="auto"/>
              <w:jc w:val="left"/>
              <w:outlineLvl w:val="1"/>
              <w:rPr>
                <w:b/>
                <w:i/>
                <w:color w:val="auto"/>
              </w:rPr>
            </w:pPr>
            <w:r w:rsidRPr="004279E6">
              <w:rPr>
                <w:b/>
                <w:i/>
                <w:color w:val="auto"/>
              </w:rPr>
              <w:t>$10</w:t>
            </w:r>
            <w:r w:rsidR="00095733" w:rsidRPr="004279E6">
              <w:rPr>
                <w:b/>
                <w:i/>
                <w:color w:val="auto"/>
              </w:rPr>
              <w:t>8</w:t>
            </w:r>
            <w:r w:rsidRPr="004279E6">
              <w:rPr>
                <w:b/>
                <w:i/>
                <w:color w:val="auto"/>
              </w:rPr>
              <w:t>.</w:t>
            </w:r>
            <w:r w:rsidR="00095733" w:rsidRPr="004279E6">
              <w:rPr>
                <w:b/>
                <w:i/>
                <w:color w:val="auto"/>
              </w:rPr>
              <w:t>75</w:t>
            </w:r>
            <w:r w:rsidRPr="004279E6">
              <w:rPr>
                <w:b/>
                <w:i/>
                <w:color w:val="auto"/>
              </w:rPr>
              <w:t>m*</w:t>
            </w:r>
          </w:p>
        </w:tc>
      </w:tr>
    </w:tbl>
    <w:p w:rsidR="009D754D" w:rsidRPr="004279E6" w:rsidRDefault="009D754D" w:rsidP="00082B41">
      <w:pPr>
        <w:pStyle w:val="Normalnumbered"/>
        <w:numPr>
          <w:ilvl w:val="0"/>
          <w:numId w:val="0"/>
        </w:numPr>
        <w:rPr>
          <w:sz w:val="18"/>
          <w:szCs w:val="18"/>
        </w:rPr>
      </w:pPr>
      <w:r w:rsidRPr="004279E6">
        <w:rPr>
          <w:sz w:val="22"/>
          <w:szCs w:val="22"/>
        </w:rPr>
        <w:t xml:space="preserve">* Includes $30 million contribution from City Deal Councils under the </w:t>
      </w:r>
      <w:r w:rsidR="00C34C48" w:rsidRPr="004279E6">
        <w:rPr>
          <w:sz w:val="22"/>
          <w:szCs w:val="22"/>
        </w:rPr>
        <w:t xml:space="preserve">Western Parkland City </w:t>
      </w:r>
      <w:r w:rsidRPr="004279E6">
        <w:rPr>
          <w:sz w:val="22"/>
          <w:szCs w:val="22"/>
        </w:rPr>
        <w:t>Liveability Program.</w:t>
      </w:r>
    </w:p>
    <w:p w:rsidR="008E7527" w:rsidRPr="004279E6" w:rsidRDefault="008E7527" w:rsidP="008F3AF2">
      <w:pPr>
        <w:pStyle w:val="Normalnumbered"/>
        <w:numPr>
          <w:ilvl w:val="0"/>
          <w:numId w:val="20"/>
        </w:numPr>
      </w:pPr>
      <w:r w:rsidRPr="004279E6">
        <w:t xml:space="preserve">Having regard to the agreed estimated costs of projects specified in </w:t>
      </w:r>
      <w:r w:rsidR="006B43AF" w:rsidRPr="004279E6">
        <w:t>this</w:t>
      </w:r>
      <w:r w:rsidRPr="004279E6">
        <w:t xml:space="preserve"> Agreement, </w:t>
      </w:r>
      <w:r w:rsidR="008236D6" w:rsidRPr="004279E6">
        <w:t>and subject to the limitation in clause 19,</w:t>
      </w:r>
      <w:r w:rsidR="00295C49" w:rsidRPr="004279E6">
        <w:t xml:space="preserve"> </w:t>
      </w:r>
      <w:r w:rsidR="002B0712" w:rsidRPr="004279E6">
        <w:t xml:space="preserve">New South Wales </w:t>
      </w:r>
      <w:r w:rsidRPr="004279E6">
        <w:t>will not be required to pay a refund to the Commonwealth if the actual cost of the project is less than the agreed</w:t>
      </w:r>
      <w:r w:rsidR="00515AF2" w:rsidRPr="004279E6">
        <w:t xml:space="preserve"> estimated cost of the project.  </w:t>
      </w:r>
      <w:r w:rsidRPr="004279E6">
        <w:t xml:space="preserve">Similarly, </w:t>
      </w:r>
      <w:r w:rsidR="00216BA0" w:rsidRPr="004279E6">
        <w:t>N</w:t>
      </w:r>
      <w:r w:rsidR="002C1193" w:rsidRPr="004279E6">
        <w:t xml:space="preserve">ew </w:t>
      </w:r>
      <w:r w:rsidR="00216BA0" w:rsidRPr="004279E6">
        <w:t>S</w:t>
      </w:r>
      <w:r w:rsidR="002C1193" w:rsidRPr="004279E6">
        <w:t xml:space="preserve">outh </w:t>
      </w:r>
      <w:r w:rsidR="00216BA0" w:rsidRPr="004279E6">
        <w:t>W</w:t>
      </w:r>
      <w:r w:rsidR="002C1193" w:rsidRPr="004279E6">
        <w:t>ales</w:t>
      </w:r>
      <w:r w:rsidRPr="004279E6">
        <w:t xml:space="preserve"> bear</w:t>
      </w:r>
      <w:r w:rsidR="002C1193" w:rsidRPr="004279E6">
        <w:t>s</w:t>
      </w:r>
      <w:r w:rsidRPr="004279E6">
        <w:t xml:space="preserve"> all risk should the costs of a project exceed the agreed estimated costs. The Parties acknowledge that this arrangement provides the maximum incentive for </w:t>
      </w:r>
      <w:r w:rsidR="000B612B" w:rsidRPr="004279E6">
        <w:t>N</w:t>
      </w:r>
      <w:r w:rsidR="002C1193" w:rsidRPr="004279E6">
        <w:t xml:space="preserve">ew </w:t>
      </w:r>
      <w:r w:rsidR="000B612B" w:rsidRPr="004279E6">
        <w:t>S</w:t>
      </w:r>
      <w:r w:rsidR="002C1193" w:rsidRPr="004279E6">
        <w:t xml:space="preserve">outh </w:t>
      </w:r>
      <w:r w:rsidR="000B612B" w:rsidRPr="004279E6">
        <w:t>W</w:t>
      </w:r>
      <w:r w:rsidR="002C1193" w:rsidRPr="004279E6">
        <w:t>ales</w:t>
      </w:r>
      <w:r w:rsidR="00F0763A" w:rsidRPr="004279E6">
        <w:t xml:space="preserve"> to deliver projects cost-</w:t>
      </w:r>
      <w:r w:rsidRPr="004279E6">
        <w:t>effectively and efficiently.</w:t>
      </w:r>
      <w:r w:rsidR="00482DAF" w:rsidRPr="004279E6">
        <w:t xml:space="preserve"> </w:t>
      </w:r>
    </w:p>
    <w:p w:rsidR="00814667" w:rsidRPr="004279E6" w:rsidRDefault="003A2157">
      <w:pPr>
        <w:pStyle w:val="Heading1"/>
      </w:pPr>
      <w:bookmarkStart w:id="3" w:name="top"/>
      <w:bookmarkEnd w:id="3"/>
      <w:r w:rsidRPr="004279E6">
        <w:t xml:space="preserve">Part </w:t>
      </w:r>
      <w:r w:rsidR="000B4080" w:rsidRPr="004279E6">
        <w:t>6</w:t>
      </w:r>
      <w:r w:rsidR="00814667" w:rsidRPr="004279E6">
        <w:t xml:space="preserve"> — governance arrangements</w:t>
      </w:r>
    </w:p>
    <w:p w:rsidR="00BC4728" w:rsidRPr="004279E6" w:rsidRDefault="00BC4728" w:rsidP="00BC4728">
      <w:pPr>
        <w:pStyle w:val="Heading2"/>
      </w:pPr>
      <w:r w:rsidRPr="004279E6">
        <w:t>Enforceability of the Agreement</w:t>
      </w:r>
    </w:p>
    <w:p w:rsidR="00BC4728" w:rsidRPr="004279E6" w:rsidRDefault="00BC4728" w:rsidP="008F3AF2">
      <w:pPr>
        <w:pStyle w:val="Normalnumbered"/>
        <w:numPr>
          <w:ilvl w:val="0"/>
          <w:numId w:val="20"/>
        </w:numPr>
        <w:spacing w:line="240" w:lineRule="auto"/>
      </w:pPr>
      <w:r w:rsidRPr="004279E6">
        <w:rPr>
          <w:szCs w:val="23"/>
        </w:rPr>
        <w:t>The Parties do not intend any of the provisions of this Agreement to be legally enforceable. However, that does not lessen the Parties’ commitment to this Agreement.</w:t>
      </w:r>
    </w:p>
    <w:p w:rsidR="00814667" w:rsidRPr="004279E6" w:rsidRDefault="00814667">
      <w:pPr>
        <w:pStyle w:val="Heading2"/>
      </w:pPr>
      <w:r w:rsidRPr="004279E6">
        <w:t>Variation of the Agreement</w:t>
      </w:r>
    </w:p>
    <w:p w:rsidR="00814667" w:rsidRPr="004279E6" w:rsidRDefault="00607B03" w:rsidP="008F3AF2">
      <w:pPr>
        <w:pStyle w:val="Normalnumbered"/>
        <w:numPr>
          <w:ilvl w:val="0"/>
          <w:numId w:val="20"/>
        </w:numPr>
      </w:pPr>
      <w:r w:rsidRPr="004279E6">
        <w:t>The A</w:t>
      </w:r>
      <w:r w:rsidR="00814667" w:rsidRPr="004279E6">
        <w:t xml:space="preserve">greement may be amended at any time by agreement in writing by </w:t>
      </w:r>
      <w:r w:rsidR="00F81B3B" w:rsidRPr="004279E6">
        <w:t>both</w:t>
      </w:r>
      <w:r w:rsidR="002B1C50" w:rsidRPr="004279E6">
        <w:t xml:space="preserve"> </w:t>
      </w:r>
      <w:r w:rsidR="00814667" w:rsidRPr="004279E6">
        <w:t>the Parties.</w:t>
      </w:r>
    </w:p>
    <w:p w:rsidR="00EA1D0F" w:rsidRPr="004279E6" w:rsidRDefault="00EA1D0F" w:rsidP="008F3AF2">
      <w:pPr>
        <w:pStyle w:val="Normalnumbered"/>
        <w:numPr>
          <w:ilvl w:val="0"/>
          <w:numId w:val="20"/>
        </w:numPr>
      </w:pPr>
      <w:r w:rsidRPr="004279E6">
        <w:t>Schedules may be added to the Agreement at any time by agreement in writing by both the Parties.</w:t>
      </w:r>
    </w:p>
    <w:p w:rsidR="00292587" w:rsidRPr="004279E6" w:rsidRDefault="00C2605C" w:rsidP="008F3AF2">
      <w:pPr>
        <w:pStyle w:val="Normalnumbered"/>
        <w:numPr>
          <w:ilvl w:val="0"/>
          <w:numId w:val="20"/>
        </w:numPr>
      </w:pPr>
      <w:r w:rsidRPr="004279E6">
        <w:t xml:space="preserve">Either </w:t>
      </w:r>
      <w:r w:rsidR="00814667" w:rsidRPr="004279E6">
        <w:t>Party to the Agreement may terminate their participation in the Agreement at any time by notifying the other Part</w:t>
      </w:r>
      <w:r w:rsidR="00F81B3B" w:rsidRPr="004279E6">
        <w:t>y</w:t>
      </w:r>
      <w:r w:rsidRPr="004279E6">
        <w:rPr>
          <w:i/>
        </w:rPr>
        <w:t xml:space="preserve"> </w:t>
      </w:r>
      <w:r w:rsidR="00814667" w:rsidRPr="004279E6">
        <w:t>in writing.</w:t>
      </w:r>
    </w:p>
    <w:p w:rsidR="009526E4" w:rsidRPr="004279E6" w:rsidRDefault="009526E4" w:rsidP="0036119D">
      <w:pPr>
        <w:pStyle w:val="Heading2"/>
      </w:pPr>
      <w:r w:rsidRPr="004279E6">
        <w:t>Delegations</w:t>
      </w:r>
    </w:p>
    <w:p w:rsidR="009526E4" w:rsidRPr="004279E6" w:rsidRDefault="009526E4" w:rsidP="008F3AF2">
      <w:pPr>
        <w:pStyle w:val="Normalnumbered"/>
        <w:numPr>
          <w:ilvl w:val="0"/>
          <w:numId w:val="20"/>
        </w:numPr>
      </w:pPr>
      <w:r w:rsidRPr="004279E6">
        <w:t xml:space="preserve">The Commonwealth Minister may delegate the assessment of performance </w:t>
      </w:r>
      <w:r w:rsidR="00115A97" w:rsidRPr="004279E6">
        <w:t>against</w:t>
      </w:r>
      <w:r w:rsidRPr="004279E6">
        <w:t xml:space="preserve"> milestones and the authorisation of related project payments to senior Commonwealth officials, having regard to the financial and policy risks associated with those payments.</w:t>
      </w:r>
    </w:p>
    <w:p w:rsidR="0036119D" w:rsidRPr="004279E6" w:rsidRDefault="0036119D" w:rsidP="0036119D">
      <w:pPr>
        <w:pStyle w:val="Heading2"/>
      </w:pPr>
      <w:r w:rsidRPr="004279E6">
        <w:t>Dispute resolution</w:t>
      </w:r>
    </w:p>
    <w:p w:rsidR="0036119D" w:rsidRPr="004279E6" w:rsidRDefault="00697494" w:rsidP="008F3AF2">
      <w:pPr>
        <w:pStyle w:val="Normalnumbered"/>
        <w:numPr>
          <w:ilvl w:val="0"/>
          <w:numId w:val="20"/>
        </w:numPr>
      </w:pPr>
      <w:r w:rsidRPr="004279E6">
        <w:t>E</w:t>
      </w:r>
      <w:r w:rsidR="00F81B3B" w:rsidRPr="004279E6">
        <w:t xml:space="preserve">ither </w:t>
      </w:r>
      <w:r w:rsidR="0036119D" w:rsidRPr="004279E6">
        <w:t xml:space="preserve">Party may give notice to </w:t>
      </w:r>
      <w:r w:rsidR="00F81B3B" w:rsidRPr="004279E6">
        <w:t xml:space="preserve">the </w:t>
      </w:r>
      <w:r w:rsidR="0036119D" w:rsidRPr="004279E6">
        <w:t xml:space="preserve">other </w:t>
      </w:r>
      <w:r w:rsidR="00F81B3B" w:rsidRPr="004279E6">
        <w:t>Party</w:t>
      </w:r>
      <w:r w:rsidR="00684EC1" w:rsidRPr="004279E6">
        <w:t xml:space="preserve"> </w:t>
      </w:r>
      <w:r w:rsidR="0036119D" w:rsidRPr="004279E6">
        <w:t>of a dispute under this Agreement.</w:t>
      </w:r>
    </w:p>
    <w:p w:rsidR="0036119D" w:rsidRPr="004279E6" w:rsidRDefault="0036119D" w:rsidP="008F3AF2">
      <w:pPr>
        <w:pStyle w:val="Normalnumbered"/>
        <w:numPr>
          <w:ilvl w:val="0"/>
          <w:numId w:val="20"/>
        </w:numPr>
      </w:pPr>
      <w:r w:rsidRPr="004279E6">
        <w:t xml:space="preserve">Officials of </w:t>
      </w:r>
      <w:r w:rsidR="00F81B3B" w:rsidRPr="004279E6">
        <w:t>both</w:t>
      </w:r>
      <w:r w:rsidR="002B1C50" w:rsidRPr="004279E6">
        <w:rPr>
          <w:i/>
        </w:rPr>
        <w:t xml:space="preserve"> </w:t>
      </w:r>
      <w:r w:rsidRPr="004279E6">
        <w:t>Parties will attempt to resolve any dispute in the first instance.</w:t>
      </w:r>
    </w:p>
    <w:p w:rsidR="000F7C7F" w:rsidRPr="004279E6" w:rsidRDefault="0036119D" w:rsidP="008F3AF2">
      <w:pPr>
        <w:pStyle w:val="Normalnumbered"/>
        <w:numPr>
          <w:ilvl w:val="0"/>
          <w:numId w:val="20"/>
        </w:numPr>
      </w:pPr>
      <w:r w:rsidRPr="004279E6">
        <w:t>If a dispute cannot be resolved by officials, it may be escalated to the relevant Ministers.</w:t>
      </w:r>
    </w:p>
    <w:p w:rsidR="000F7C7F" w:rsidRPr="004279E6" w:rsidRDefault="000F7C7F" w:rsidP="000F7C7F">
      <w:pPr>
        <w:pStyle w:val="Heading2"/>
      </w:pPr>
      <w:r w:rsidRPr="004279E6">
        <w:t>Interpretation</w:t>
      </w:r>
    </w:p>
    <w:p w:rsidR="000F7C7F" w:rsidRPr="004279E6" w:rsidRDefault="000F7C7F" w:rsidP="008F3AF2">
      <w:pPr>
        <w:pStyle w:val="Normalnumbered"/>
        <w:numPr>
          <w:ilvl w:val="0"/>
          <w:numId w:val="20"/>
        </w:numPr>
      </w:pPr>
      <w:r w:rsidRPr="004279E6">
        <w:t>For the purposes of this Agreement:</w:t>
      </w:r>
    </w:p>
    <w:p w:rsidR="006177BA" w:rsidRPr="004279E6" w:rsidRDefault="006177BA" w:rsidP="00EC6DCE">
      <w:pPr>
        <w:pStyle w:val="Normalnumbered"/>
        <w:numPr>
          <w:ilvl w:val="0"/>
          <w:numId w:val="34"/>
        </w:numPr>
        <w:ind w:left="1134" w:hanging="567"/>
      </w:pPr>
      <w:r w:rsidRPr="004279E6">
        <w:t xml:space="preserve">the </w:t>
      </w:r>
      <w:r w:rsidRPr="004279E6">
        <w:rPr>
          <w:b/>
        </w:rPr>
        <w:t>Western City</w:t>
      </w:r>
      <w:r w:rsidRPr="004279E6">
        <w:t xml:space="preserve"> is the planning district covering the City Deal area as defined by the Greater Sydney Commission</w:t>
      </w:r>
      <w:r w:rsidR="0099247B" w:rsidRPr="004279E6">
        <w:t>. It includes the local government areas of the Blue Mountains, Camden, Campbelltown, Fairfield, Hawkesbury, Liverpool, Penrith, and Wollondilly</w:t>
      </w:r>
      <w:r w:rsidR="004A0EC8" w:rsidRPr="004279E6">
        <w:t>;</w:t>
      </w:r>
    </w:p>
    <w:p w:rsidR="006177BA" w:rsidRPr="004279E6" w:rsidRDefault="00B85417" w:rsidP="00EC6DCE">
      <w:pPr>
        <w:pStyle w:val="Normalnumbered"/>
        <w:numPr>
          <w:ilvl w:val="0"/>
          <w:numId w:val="34"/>
        </w:numPr>
        <w:ind w:left="1134" w:hanging="567"/>
      </w:pPr>
      <w:r w:rsidRPr="004279E6">
        <w:t>t</w:t>
      </w:r>
      <w:r w:rsidR="006177BA" w:rsidRPr="004279E6">
        <w:t xml:space="preserve">he </w:t>
      </w:r>
      <w:r w:rsidR="006177BA" w:rsidRPr="004279E6">
        <w:rPr>
          <w:b/>
        </w:rPr>
        <w:t>Western City District Plan</w:t>
      </w:r>
      <w:r w:rsidR="006177BA" w:rsidRPr="004279E6">
        <w:t xml:space="preserve"> is the 20-year plan for the Western </w:t>
      </w:r>
      <w:r w:rsidR="008E4F7A" w:rsidRPr="004279E6">
        <w:t xml:space="preserve">City </w:t>
      </w:r>
      <w:r w:rsidR="006177BA" w:rsidRPr="004279E6">
        <w:t>developed by the Greater Sydney Commission</w:t>
      </w:r>
      <w:r w:rsidR="004A0EC8" w:rsidRPr="004279E6">
        <w:t>;</w:t>
      </w:r>
    </w:p>
    <w:p w:rsidR="0055487E" w:rsidRPr="004279E6" w:rsidRDefault="00C34C48" w:rsidP="00057B0E">
      <w:pPr>
        <w:pStyle w:val="Normalnumbered"/>
        <w:numPr>
          <w:ilvl w:val="0"/>
          <w:numId w:val="34"/>
        </w:numPr>
        <w:ind w:left="1134" w:hanging="567"/>
      </w:pPr>
      <w:r w:rsidRPr="004279E6">
        <w:t>t</w:t>
      </w:r>
      <w:r w:rsidR="0055487E" w:rsidRPr="004279E6">
        <w:t xml:space="preserve">he </w:t>
      </w:r>
      <w:r w:rsidR="0055487E" w:rsidRPr="004279E6">
        <w:rPr>
          <w:b/>
        </w:rPr>
        <w:t>Planning Partnership</w:t>
      </w:r>
      <w:r w:rsidR="0055487E" w:rsidRPr="004279E6">
        <w:t xml:space="preserve"> is a partnership between </w:t>
      </w:r>
      <w:r w:rsidRPr="004279E6">
        <w:t xml:space="preserve"> New South Wales</w:t>
      </w:r>
      <w:r w:rsidR="0055487E" w:rsidRPr="004279E6">
        <w:t xml:space="preserve"> government agencies and the </w:t>
      </w:r>
      <w:r w:rsidRPr="004279E6">
        <w:t xml:space="preserve">eight </w:t>
      </w:r>
      <w:r w:rsidR="0055487E" w:rsidRPr="004279E6">
        <w:t>local governments in the Western City focussed on streamlining and coordinating planning and development;</w:t>
      </w:r>
    </w:p>
    <w:p w:rsidR="004A0EC8" w:rsidRPr="004279E6" w:rsidRDefault="00391F9C" w:rsidP="00391F9C">
      <w:pPr>
        <w:pStyle w:val="Normalnumbered"/>
        <w:numPr>
          <w:ilvl w:val="0"/>
          <w:numId w:val="34"/>
        </w:numPr>
        <w:ind w:left="1134" w:hanging="567"/>
      </w:pPr>
      <w:r w:rsidRPr="004279E6">
        <w:t xml:space="preserve">a </w:t>
      </w:r>
      <w:r w:rsidRPr="004279E6">
        <w:rPr>
          <w:b/>
        </w:rPr>
        <w:t>Growth Area</w:t>
      </w:r>
      <w:r w:rsidRPr="004279E6">
        <w:t xml:space="preserve"> refers to an area designated </w:t>
      </w:r>
      <w:r w:rsidR="008E4F7A" w:rsidRPr="004279E6">
        <w:t>for new development (either greenfield or infill) wher</w:t>
      </w:r>
      <w:r w:rsidR="00560EB0" w:rsidRPr="004279E6">
        <w:t xml:space="preserve">e </w:t>
      </w:r>
      <w:r w:rsidR="008E4F7A" w:rsidRPr="004279E6">
        <w:t xml:space="preserve">integrated land use and </w:t>
      </w:r>
      <w:r w:rsidR="007C4629" w:rsidRPr="004279E6">
        <w:t>infrastructure</w:t>
      </w:r>
      <w:r w:rsidR="008E4F7A" w:rsidRPr="004279E6">
        <w:t xml:space="preserve"> planning is led by </w:t>
      </w:r>
      <w:r w:rsidRPr="004279E6">
        <w:t xml:space="preserve">the </w:t>
      </w:r>
      <w:r w:rsidR="00C34C48" w:rsidRPr="004279E6">
        <w:t xml:space="preserve"> New South Wales </w:t>
      </w:r>
      <w:r w:rsidRPr="004279E6">
        <w:t>Department of Planning and Environment</w:t>
      </w:r>
      <w:r w:rsidR="004A0EC8" w:rsidRPr="004279E6">
        <w:t>;</w:t>
      </w:r>
      <w:r w:rsidRPr="004279E6">
        <w:t xml:space="preserve"> </w:t>
      </w:r>
    </w:p>
    <w:p w:rsidR="00332430" w:rsidRPr="004279E6" w:rsidRDefault="00261804">
      <w:pPr>
        <w:pStyle w:val="Normalnumbered"/>
        <w:numPr>
          <w:ilvl w:val="0"/>
          <w:numId w:val="34"/>
        </w:numPr>
        <w:ind w:left="1134" w:hanging="567"/>
      </w:pPr>
      <w:r w:rsidRPr="004279E6">
        <w:t>a</w:t>
      </w:r>
      <w:r w:rsidRPr="004279E6">
        <w:rPr>
          <w:b/>
        </w:rPr>
        <w:t xml:space="preserve"> </w:t>
      </w:r>
      <w:r w:rsidR="002E0B1E" w:rsidRPr="004279E6">
        <w:rPr>
          <w:b/>
        </w:rPr>
        <w:t xml:space="preserve">Land Use and </w:t>
      </w:r>
      <w:r w:rsidR="006F6379" w:rsidRPr="004279E6">
        <w:rPr>
          <w:b/>
        </w:rPr>
        <w:t xml:space="preserve">Infrastructure </w:t>
      </w:r>
      <w:r w:rsidR="002E0B1E" w:rsidRPr="004279E6">
        <w:rPr>
          <w:b/>
        </w:rPr>
        <w:t>Implementation Plan</w:t>
      </w:r>
      <w:r w:rsidR="006F6379" w:rsidRPr="004279E6">
        <w:t xml:space="preserve"> </w:t>
      </w:r>
      <w:r w:rsidR="008E4F7A" w:rsidRPr="004279E6">
        <w:t xml:space="preserve">is a structure plan for a Growth Area that </w:t>
      </w:r>
      <w:r w:rsidR="006F6379" w:rsidRPr="004279E6">
        <w:t xml:space="preserve">defines broad land uses, </w:t>
      </w:r>
      <w:r w:rsidR="00B45BA4" w:rsidRPr="004279E6">
        <w:t>establishes</w:t>
      </w:r>
      <w:r w:rsidR="006F6379" w:rsidRPr="004279E6">
        <w:t xml:space="preserve"> development precincts and staging</w:t>
      </w:r>
      <w:r w:rsidR="00B45BA4" w:rsidRPr="004279E6">
        <w:t>,</w:t>
      </w:r>
      <w:r w:rsidR="006F6379" w:rsidRPr="004279E6">
        <w:t xml:space="preserve"> identifies likely</w:t>
      </w:r>
      <w:r w:rsidR="008C423B" w:rsidRPr="004279E6">
        <w:t xml:space="preserve"> needed</w:t>
      </w:r>
      <w:r w:rsidR="006F6379" w:rsidRPr="004279E6">
        <w:t xml:space="preserve"> infrastructure </w:t>
      </w:r>
      <w:r w:rsidR="00B45BA4" w:rsidRPr="004279E6">
        <w:t>and services</w:t>
      </w:r>
      <w:r w:rsidR="00C34C48" w:rsidRPr="004279E6">
        <w:t xml:space="preserve">. </w:t>
      </w:r>
      <w:r w:rsidR="00332430" w:rsidRPr="004279E6">
        <w:t xml:space="preserve">It informs </w:t>
      </w:r>
      <w:r w:rsidR="00D84DBF" w:rsidRPr="004279E6">
        <w:t>the rezoning of land</w:t>
      </w:r>
      <w:r w:rsidR="00332430" w:rsidRPr="004279E6">
        <w:t xml:space="preserve"> usually implemented by a State Environmental Planning Policy</w:t>
      </w:r>
      <w:r w:rsidR="002E0B1E" w:rsidRPr="004279E6">
        <w:t>;</w:t>
      </w:r>
    </w:p>
    <w:p w:rsidR="002E0B1E" w:rsidRPr="004279E6" w:rsidRDefault="00337989" w:rsidP="006F4456">
      <w:pPr>
        <w:pStyle w:val="Normalnumbered"/>
        <w:numPr>
          <w:ilvl w:val="0"/>
          <w:numId w:val="34"/>
        </w:numPr>
        <w:ind w:left="1134" w:hanging="567"/>
      </w:pPr>
      <w:r w:rsidRPr="004279E6">
        <w:t>a</w:t>
      </w:r>
      <w:r w:rsidR="00B85417" w:rsidRPr="004279E6">
        <w:t xml:space="preserve"> </w:t>
      </w:r>
      <w:r w:rsidR="00B85417" w:rsidRPr="004279E6">
        <w:rPr>
          <w:b/>
        </w:rPr>
        <w:t>Ministerial Direction</w:t>
      </w:r>
      <w:r w:rsidR="00B85417" w:rsidRPr="004279E6">
        <w:t xml:space="preserve"> is</w:t>
      </w:r>
      <w:r w:rsidR="006F4456" w:rsidRPr="004279E6">
        <w:t xml:space="preserve"> a direction given by the relevant </w:t>
      </w:r>
      <w:r w:rsidR="00C34C48" w:rsidRPr="004279E6">
        <w:t xml:space="preserve"> New South Wales</w:t>
      </w:r>
      <w:r w:rsidR="006F4456" w:rsidRPr="004279E6">
        <w:t xml:space="preserve"> Minister under section 7.17 of the </w:t>
      </w:r>
      <w:r w:rsidR="006F4456" w:rsidRPr="004279E6">
        <w:rPr>
          <w:i/>
        </w:rPr>
        <w:t>Environmental Planning and Assessment Act 1979 (NSW)</w:t>
      </w:r>
      <w:r w:rsidR="006F4456" w:rsidRPr="004279E6">
        <w:t>.</w:t>
      </w:r>
      <w:r w:rsidRPr="004279E6">
        <w:t xml:space="preserve"> A</w:t>
      </w:r>
      <w:r w:rsidR="002E0B1E" w:rsidRPr="004279E6">
        <w:t xml:space="preserve"> </w:t>
      </w:r>
      <w:r w:rsidR="002E0B1E" w:rsidRPr="004279E6">
        <w:rPr>
          <w:b/>
        </w:rPr>
        <w:t>Special Infrastructure Contribution</w:t>
      </w:r>
      <w:r w:rsidR="00B45BA4" w:rsidRPr="004279E6">
        <w:t xml:space="preserve"> system is </w:t>
      </w:r>
      <w:r w:rsidR="00D84DBF" w:rsidRPr="004279E6">
        <w:t>an infrastructure charge levied</w:t>
      </w:r>
      <w:r w:rsidR="00B45BA4" w:rsidRPr="004279E6">
        <w:t xml:space="preserve"> by the</w:t>
      </w:r>
      <w:r w:rsidR="00C34C48" w:rsidRPr="004279E6">
        <w:t xml:space="preserve"> New South Wales </w:t>
      </w:r>
      <w:r w:rsidR="00B45BA4" w:rsidRPr="004279E6">
        <w:t xml:space="preserve">Government </w:t>
      </w:r>
      <w:r w:rsidR="00D84DBF" w:rsidRPr="004279E6">
        <w:t xml:space="preserve">in certain areas </w:t>
      </w:r>
      <w:r w:rsidR="00B45BA4" w:rsidRPr="004279E6">
        <w:t>to help fund the delivery of key infrastructure such as roads, transport facilities, open space, and social infrastructure such as schools, healthcare</w:t>
      </w:r>
      <w:r w:rsidR="008E4F7A" w:rsidRPr="004279E6">
        <w:t>,</w:t>
      </w:r>
      <w:r w:rsidR="00B45BA4" w:rsidRPr="004279E6">
        <w:t xml:space="preserve"> emergency services</w:t>
      </w:r>
      <w:r w:rsidR="008E4F7A" w:rsidRPr="004279E6">
        <w:t xml:space="preserve"> and affordable housing</w:t>
      </w:r>
      <w:r w:rsidR="004A0EC8" w:rsidRPr="004279E6">
        <w:t>;</w:t>
      </w:r>
    </w:p>
    <w:p w:rsidR="000C3AD3" w:rsidRPr="004279E6" w:rsidRDefault="000C3AD3" w:rsidP="008F3AF2">
      <w:pPr>
        <w:pStyle w:val="Normalnumbered"/>
        <w:numPr>
          <w:ilvl w:val="0"/>
          <w:numId w:val="34"/>
        </w:numPr>
        <w:ind w:left="1134" w:hanging="567"/>
      </w:pPr>
      <w:r w:rsidRPr="004279E6">
        <w:rPr>
          <w:b/>
          <w:szCs w:val="23"/>
        </w:rPr>
        <w:t>uniform engineering design standards</w:t>
      </w:r>
      <w:r w:rsidRPr="004279E6">
        <w:rPr>
          <w:szCs w:val="23"/>
        </w:rPr>
        <w:t xml:space="preserve"> refers to new, consistent </w:t>
      </w:r>
      <w:r w:rsidR="004A0EC8" w:rsidRPr="004279E6">
        <w:rPr>
          <w:szCs w:val="23"/>
        </w:rPr>
        <w:t xml:space="preserve">engineering design </w:t>
      </w:r>
      <w:r w:rsidRPr="004279E6">
        <w:rPr>
          <w:szCs w:val="23"/>
        </w:rPr>
        <w:t>standards developed for local infrastructure (e.g. local roads, footpaths, and storm water management) by local governments</w:t>
      </w:r>
      <w:r w:rsidR="004A0EC8" w:rsidRPr="004279E6">
        <w:rPr>
          <w:szCs w:val="23"/>
        </w:rPr>
        <w:t>;</w:t>
      </w:r>
    </w:p>
    <w:p w:rsidR="000C3AD3" w:rsidRPr="004279E6" w:rsidRDefault="00822AB8" w:rsidP="008F3AF2">
      <w:pPr>
        <w:pStyle w:val="Normalnumbered"/>
        <w:numPr>
          <w:ilvl w:val="0"/>
          <w:numId w:val="34"/>
        </w:numPr>
        <w:ind w:left="1134" w:hanging="567"/>
      </w:pPr>
      <w:r w:rsidRPr="004279E6">
        <w:rPr>
          <w:b/>
        </w:rPr>
        <w:t>h</w:t>
      </w:r>
      <w:r w:rsidR="000C3AD3" w:rsidRPr="004279E6">
        <w:rPr>
          <w:b/>
        </w:rPr>
        <w:t>ousing targets</w:t>
      </w:r>
      <w:r w:rsidR="000C3AD3" w:rsidRPr="004279E6">
        <w:t xml:space="preserve"> refers to the </w:t>
      </w:r>
      <w:r w:rsidR="00337989" w:rsidRPr="004279E6">
        <w:t>five</w:t>
      </w:r>
      <w:r w:rsidR="00CE291E" w:rsidRPr="004279E6">
        <w:t xml:space="preserve"> and </w:t>
      </w:r>
      <w:r w:rsidR="00082B41" w:rsidRPr="004279E6">
        <w:t>20</w:t>
      </w:r>
      <w:r w:rsidR="00A6338E" w:rsidRPr="004279E6">
        <w:t xml:space="preserve"> </w:t>
      </w:r>
      <w:r w:rsidR="00082B41" w:rsidRPr="004279E6">
        <w:t>year</w:t>
      </w:r>
      <w:r w:rsidR="000C3AD3" w:rsidRPr="004279E6">
        <w:rPr>
          <w:szCs w:val="23"/>
        </w:rPr>
        <w:t xml:space="preserve"> housing targets at the </w:t>
      </w:r>
      <w:r w:rsidR="004A0EC8" w:rsidRPr="004279E6">
        <w:rPr>
          <w:szCs w:val="23"/>
        </w:rPr>
        <w:t>l</w:t>
      </w:r>
      <w:r w:rsidR="000C3AD3" w:rsidRPr="004279E6">
        <w:rPr>
          <w:szCs w:val="23"/>
        </w:rPr>
        <w:t xml:space="preserve">ocal </w:t>
      </w:r>
      <w:r w:rsidR="004A0EC8" w:rsidRPr="004279E6">
        <w:rPr>
          <w:szCs w:val="23"/>
        </w:rPr>
        <w:t>g</w:t>
      </w:r>
      <w:r w:rsidR="000C3AD3" w:rsidRPr="004279E6">
        <w:rPr>
          <w:szCs w:val="23"/>
        </w:rPr>
        <w:t xml:space="preserve">overnment </w:t>
      </w:r>
      <w:r w:rsidR="00CE291E" w:rsidRPr="004279E6">
        <w:rPr>
          <w:szCs w:val="23"/>
        </w:rPr>
        <w:t xml:space="preserve">area and district </w:t>
      </w:r>
      <w:r w:rsidR="000C3AD3" w:rsidRPr="004279E6">
        <w:rPr>
          <w:szCs w:val="23"/>
        </w:rPr>
        <w:t xml:space="preserve">level that New South Wales will negotiate and agree with local governments to deliver at least 184,500 homes </w:t>
      </w:r>
      <w:r w:rsidR="00CE291E" w:rsidRPr="004279E6">
        <w:rPr>
          <w:szCs w:val="23"/>
        </w:rPr>
        <w:t xml:space="preserve">in the Western City </w:t>
      </w:r>
      <w:r w:rsidR="000C3AD3" w:rsidRPr="004279E6">
        <w:rPr>
          <w:szCs w:val="23"/>
        </w:rPr>
        <w:t>in the next 20 years as set out in the greater Sydney Commission’s Western City District Plan</w:t>
      </w:r>
      <w:r w:rsidR="004A0EC8" w:rsidRPr="004279E6">
        <w:rPr>
          <w:szCs w:val="23"/>
        </w:rPr>
        <w:t>;</w:t>
      </w:r>
    </w:p>
    <w:p w:rsidR="003E03B4" w:rsidRPr="004279E6" w:rsidRDefault="00822AB8" w:rsidP="008F3AF2">
      <w:pPr>
        <w:pStyle w:val="Normalnumbered"/>
        <w:numPr>
          <w:ilvl w:val="0"/>
          <w:numId w:val="34"/>
        </w:numPr>
        <w:ind w:left="1134" w:hanging="567"/>
      </w:pPr>
      <w:r w:rsidRPr="004279E6">
        <w:rPr>
          <w:b/>
          <w:szCs w:val="23"/>
        </w:rPr>
        <w:t>s</w:t>
      </w:r>
      <w:r w:rsidR="003E03B4" w:rsidRPr="004279E6">
        <w:rPr>
          <w:b/>
          <w:szCs w:val="23"/>
        </w:rPr>
        <w:t>ub-regional models</w:t>
      </w:r>
      <w:r w:rsidR="003E03B4" w:rsidRPr="004279E6">
        <w:rPr>
          <w:szCs w:val="23"/>
        </w:rPr>
        <w:t xml:space="preserve"> will be developed by New South Wales </w:t>
      </w:r>
      <w:r w:rsidR="004A0EC8" w:rsidRPr="004279E6">
        <w:rPr>
          <w:szCs w:val="23"/>
        </w:rPr>
        <w:t xml:space="preserve">to project future transport and water infrastructure needs </w:t>
      </w:r>
      <w:r w:rsidR="003E03B4" w:rsidRPr="004279E6">
        <w:rPr>
          <w:szCs w:val="23"/>
        </w:rPr>
        <w:t>and used in ongoing network and asset management processes by state utilities to align delivery of critical infrastructure with development assessment processes and achievement of housing targets</w:t>
      </w:r>
      <w:r w:rsidR="00B85417" w:rsidRPr="004279E6">
        <w:rPr>
          <w:szCs w:val="23"/>
        </w:rPr>
        <w:t xml:space="preserve"> as well as to inform the Growth Infrastructure Compact</w:t>
      </w:r>
      <w:r w:rsidR="004A0EC8" w:rsidRPr="004279E6">
        <w:rPr>
          <w:szCs w:val="23"/>
        </w:rPr>
        <w:t>;</w:t>
      </w:r>
    </w:p>
    <w:p w:rsidR="002E0B1E" w:rsidRPr="004279E6" w:rsidRDefault="00261804" w:rsidP="00D10752">
      <w:pPr>
        <w:pStyle w:val="Normalnumbered"/>
        <w:numPr>
          <w:ilvl w:val="0"/>
          <w:numId w:val="34"/>
        </w:numPr>
        <w:ind w:left="1134" w:hanging="567"/>
      </w:pPr>
      <w:r w:rsidRPr="004279E6">
        <w:t>a</w:t>
      </w:r>
      <w:r w:rsidR="002E0B1E" w:rsidRPr="004279E6">
        <w:t xml:space="preserve"> </w:t>
      </w:r>
      <w:r w:rsidR="002E0B1E" w:rsidRPr="00D10752">
        <w:rPr>
          <w:b/>
          <w:szCs w:val="23"/>
        </w:rPr>
        <w:t xml:space="preserve">Growth Infrastructure Compact </w:t>
      </w:r>
      <w:r w:rsidR="00B45BA4" w:rsidRPr="00D10752">
        <w:rPr>
          <w:szCs w:val="23"/>
        </w:rPr>
        <w:t xml:space="preserve">is a mechanism to coordinate planning and delivery of </w:t>
      </w:r>
      <w:r w:rsidR="00D10752" w:rsidRPr="005D7116">
        <w:rPr>
          <w:szCs w:val="23"/>
        </w:rPr>
        <w:t>infrastructure and government services</w:t>
      </w:r>
      <w:r w:rsidR="00D10752" w:rsidRPr="00E5494D">
        <w:rPr>
          <w:szCs w:val="23"/>
        </w:rPr>
        <w:t xml:space="preserve"> aligned to growth scenarios, including the delivery of new housing supply aligned to future infrastructure needs by New South Wales agencies</w:t>
      </w:r>
      <w:r w:rsidR="004A0EC8" w:rsidRPr="004279E6">
        <w:t xml:space="preserve">; </w:t>
      </w:r>
    </w:p>
    <w:p w:rsidR="003E03B4" w:rsidRPr="004279E6" w:rsidRDefault="00822AB8" w:rsidP="008F3AF2">
      <w:pPr>
        <w:pStyle w:val="Normalnumbered"/>
        <w:numPr>
          <w:ilvl w:val="0"/>
          <w:numId w:val="34"/>
        </w:numPr>
        <w:ind w:left="1134" w:hanging="567"/>
      </w:pPr>
      <w:r w:rsidRPr="004279E6">
        <w:rPr>
          <w:b/>
        </w:rPr>
        <w:t>h</w:t>
      </w:r>
      <w:r w:rsidR="003E03B4" w:rsidRPr="004279E6">
        <w:rPr>
          <w:b/>
        </w:rPr>
        <w:t>ousing strategies</w:t>
      </w:r>
      <w:r w:rsidR="003E03B4" w:rsidRPr="004279E6">
        <w:t xml:space="preserve"> </w:t>
      </w:r>
      <w:r w:rsidR="00261804" w:rsidRPr="004279E6">
        <w:t xml:space="preserve">will set out how the </w:t>
      </w:r>
      <w:r w:rsidR="00261804" w:rsidRPr="004279E6">
        <w:rPr>
          <w:szCs w:val="23"/>
        </w:rPr>
        <w:t xml:space="preserve">housing targets for each local government area will be achieved and the liveability of neighbourhoods maintained and enhanced. They will be </w:t>
      </w:r>
      <w:r w:rsidR="003E03B4" w:rsidRPr="004279E6">
        <w:t xml:space="preserve">developed by local governments </w:t>
      </w:r>
      <w:r w:rsidR="00261804" w:rsidRPr="004279E6">
        <w:t>and completed within two years rather than three years through this funding support</w:t>
      </w:r>
      <w:r w:rsidR="007C7147" w:rsidRPr="004279E6">
        <w:rPr>
          <w:szCs w:val="23"/>
        </w:rPr>
        <w:t>;</w:t>
      </w:r>
    </w:p>
    <w:p w:rsidR="002E0B1E" w:rsidRPr="004279E6" w:rsidRDefault="002E0B1E" w:rsidP="008F3AF2">
      <w:pPr>
        <w:pStyle w:val="Normalnumbered"/>
        <w:numPr>
          <w:ilvl w:val="0"/>
          <w:numId w:val="34"/>
        </w:numPr>
        <w:ind w:left="1134" w:hanging="567"/>
      </w:pPr>
      <w:r w:rsidRPr="004279E6">
        <w:t>the</w:t>
      </w:r>
      <w:r w:rsidRPr="004279E6">
        <w:rPr>
          <w:b/>
        </w:rPr>
        <w:t xml:space="preserve"> Western </w:t>
      </w:r>
      <w:r w:rsidR="007C7147" w:rsidRPr="004279E6">
        <w:rPr>
          <w:b/>
        </w:rPr>
        <w:t>Parkland City</w:t>
      </w:r>
      <w:r w:rsidRPr="004279E6">
        <w:rPr>
          <w:b/>
        </w:rPr>
        <w:t xml:space="preserve"> Liveability Program</w:t>
      </w:r>
      <w:r w:rsidRPr="004279E6">
        <w:t xml:space="preserve"> </w:t>
      </w:r>
      <w:r w:rsidR="00EC6DCE" w:rsidRPr="004279E6">
        <w:t xml:space="preserve">is a grants program for local governments </w:t>
      </w:r>
      <w:r w:rsidR="0099247B" w:rsidRPr="004279E6">
        <w:t xml:space="preserve">that are party to the City Deal </w:t>
      </w:r>
      <w:r w:rsidR="00EC6DCE" w:rsidRPr="004279E6">
        <w:t>to deliver improved community facilities</w:t>
      </w:r>
      <w:r w:rsidR="007615F1" w:rsidRPr="004279E6">
        <w:t xml:space="preserve">, </w:t>
      </w:r>
      <w:r w:rsidR="00EC6DCE" w:rsidRPr="004279E6">
        <w:t>urban amenity</w:t>
      </w:r>
      <w:r w:rsidR="006177BA" w:rsidRPr="004279E6">
        <w:t xml:space="preserve"> and enable and complement new housing supply</w:t>
      </w:r>
      <w:r w:rsidR="00EC6DCE" w:rsidRPr="004279E6">
        <w:t xml:space="preserve"> in the Western City</w:t>
      </w:r>
      <w:r w:rsidR="007615F1" w:rsidRPr="004279E6">
        <w:t>.</w:t>
      </w:r>
      <w:r w:rsidR="006177BA" w:rsidRPr="004279E6">
        <w:t xml:space="preserve"> The </w:t>
      </w:r>
      <w:r w:rsidR="00057B0E" w:rsidRPr="004279E6">
        <w:t>Commonwealth</w:t>
      </w:r>
      <w:r w:rsidR="006177BA" w:rsidRPr="004279E6">
        <w:t xml:space="preserve"> and </w:t>
      </w:r>
      <w:r w:rsidR="00C34C48" w:rsidRPr="004279E6">
        <w:t xml:space="preserve">New South Wales </w:t>
      </w:r>
      <w:r w:rsidR="006177BA" w:rsidRPr="004279E6">
        <w:t>Government will each provide $60 million, with $30</w:t>
      </w:r>
      <w:r w:rsidR="00A6338E" w:rsidRPr="004279E6">
        <w:t> </w:t>
      </w:r>
      <w:r w:rsidR="006177BA" w:rsidRPr="004279E6">
        <w:t>million provided through matched contributions to projects by local governments.</w:t>
      </w:r>
      <w:r w:rsidR="00E42570" w:rsidRPr="004279E6">
        <w:t xml:space="preserve"> </w:t>
      </w:r>
      <w:r w:rsidR="00E42570" w:rsidRPr="004279E6">
        <w:rPr>
          <w:color w:val="auto"/>
          <w:szCs w:val="23"/>
        </w:rPr>
        <w:t xml:space="preserve">The </w:t>
      </w:r>
      <w:r w:rsidR="00C34C48" w:rsidRPr="004279E6">
        <w:t>New South Wales</w:t>
      </w:r>
      <w:r w:rsidR="00E42570" w:rsidRPr="004279E6">
        <w:rPr>
          <w:color w:val="auto"/>
          <w:szCs w:val="23"/>
        </w:rPr>
        <w:t xml:space="preserve"> and Commonwealth Ministers overseeing the Western Sydney City Deal will </w:t>
      </w:r>
      <w:r w:rsidR="00AF0A19" w:rsidRPr="004279E6">
        <w:rPr>
          <w:color w:val="auto"/>
          <w:szCs w:val="23"/>
        </w:rPr>
        <w:t xml:space="preserve">agree guidelines, </w:t>
      </w:r>
      <w:r w:rsidR="00E42570" w:rsidRPr="004279E6">
        <w:rPr>
          <w:color w:val="auto"/>
          <w:szCs w:val="23"/>
        </w:rPr>
        <w:t>select and announce the grants.</w:t>
      </w:r>
      <w:r w:rsidR="00E42570" w:rsidRPr="004279E6">
        <w:rPr>
          <w:b/>
          <w:color w:val="auto"/>
          <w:szCs w:val="23"/>
        </w:rPr>
        <w:t xml:space="preserve">  </w:t>
      </w:r>
    </w:p>
    <w:p w:rsidR="000F7C7F" w:rsidRPr="004279E6" w:rsidRDefault="000F7C7F" w:rsidP="000F7C7F">
      <w:pPr>
        <w:pStyle w:val="Normalnumbered"/>
        <w:numPr>
          <w:ilvl w:val="0"/>
          <w:numId w:val="0"/>
        </w:numPr>
        <w:ind w:left="360" w:hanging="360"/>
      </w:pPr>
    </w:p>
    <w:p w:rsidR="0036119D" w:rsidRPr="004279E6" w:rsidRDefault="0036119D" w:rsidP="000614F9">
      <w:pPr>
        <w:pStyle w:val="Normalnumbered"/>
        <w:numPr>
          <w:ilvl w:val="0"/>
          <w:numId w:val="0"/>
        </w:numPr>
        <w:jc w:val="left"/>
        <w:sectPr w:rsidR="0036119D" w:rsidRPr="004279E6" w:rsidSect="00CB670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titlePg/>
          <w:docGrid w:linePitch="360"/>
        </w:sectPr>
      </w:pPr>
    </w:p>
    <w:p w:rsidR="00814667" w:rsidRPr="004279E6" w:rsidRDefault="00814667">
      <w:pPr>
        <w:rPr>
          <w:lang w:val="en-GB"/>
        </w:rPr>
      </w:pPr>
      <w:r w:rsidRPr="004279E6">
        <w:rPr>
          <w:lang w:val="en-GB"/>
        </w:rPr>
        <w:t xml:space="preserve">The </w:t>
      </w:r>
      <w:r w:rsidRPr="004279E6">
        <w:rPr>
          <w:sz w:val="24"/>
          <w:szCs w:val="24"/>
        </w:rPr>
        <w:t>Parties</w:t>
      </w:r>
      <w:r w:rsidRPr="004279E6">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4279E6">
        <w:trPr>
          <w:cantSplit/>
          <w:jc w:val="center"/>
        </w:trPr>
        <w:tc>
          <w:tcPr>
            <w:tcW w:w="4536" w:type="dxa"/>
          </w:tcPr>
          <w:p w:rsidR="00814667" w:rsidRPr="004279E6" w:rsidRDefault="00814667">
            <w:pPr>
              <w:pStyle w:val="Signed"/>
            </w:pPr>
            <w:r w:rsidRPr="004279E6">
              <w:rPr>
                <w:rStyle w:val="SignedBold"/>
              </w:rPr>
              <w:t>Signed</w:t>
            </w:r>
            <w:r w:rsidRPr="004279E6">
              <w:t xml:space="preserve"> for and on behalf of the Commonwealth of </w:t>
            </w:r>
            <w:smartTag w:uri="urn:schemas-microsoft-com:office:smarttags" w:element="country-region">
              <w:smartTag w:uri="urn:schemas-microsoft-com:office:smarttags" w:element="place">
                <w:r w:rsidRPr="004279E6">
                  <w:t>Australia</w:t>
                </w:r>
              </w:smartTag>
            </w:smartTag>
            <w:r w:rsidRPr="004279E6">
              <w:t xml:space="preserve"> by</w:t>
            </w:r>
          </w:p>
          <w:p w:rsidR="00814667" w:rsidRPr="004279E6" w:rsidRDefault="00814667">
            <w:pPr>
              <w:pStyle w:val="LineForSignature"/>
            </w:pPr>
            <w:r w:rsidRPr="004279E6">
              <w:tab/>
            </w:r>
          </w:p>
          <w:p w:rsidR="00814667" w:rsidRPr="004279E6" w:rsidRDefault="00814667">
            <w:pPr>
              <w:pStyle w:val="SingleParagraph"/>
              <w:rPr>
                <w:rStyle w:val="Bold"/>
              </w:rPr>
            </w:pPr>
            <w:r w:rsidRPr="004279E6">
              <w:rPr>
                <w:rStyle w:val="Bold"/>
              </w:rPr>
              <w:t xml:space="preserve">The Honourable </w:t>
            </w:r>
            <w:r w:rsidR="00EC75C1">
              <w:rPr>
                <w:rStyle w:val="Bold"/>
              </w:rPr>
              <w:t xml:space="preserve">Alan </w:t>
            </w:r>
            <w:proofErr w:type="spellStart"/>
            <w:r w:rsidR="00EC75C1">
              <w:rPr>
                <w:rStyle w:val="Bold"/>
              </w:rPr>
              <w:t>Tudge</w:t>
            </w:r>
            <w:proofErr w:type="spellEnd"/>
            <w:r w:rsidR="00EC75C1">
              <w:rPr>
                <w:rStyle w:val="Bold"/>
              </w:rPr>
              <w:t xml:space="preserve"> </w:t>
            </w:r>
            <w:r w:rsidRPr="004279E6">
              <w:rPr>
                <w:rStyle w:val="Bold"/>
              </w:rPr>
              <w:t>MP</w:t>
            </w:r>
          </w:p>
          <w:p w:rsidR="00814667" w:rsidRPr="004279E6" w:rsidRDefault="00EC75C1">
            <w:pPr>
              <w:pStyle w:val="Position"/>
              <w:rPr>
                <w:lang w:val="en-GB"/>
              </w:rPr>
            </w:pPr>
            <w:r>
              <w:rPr>
                <w:lang w:val="en-GB"/>
              </w:rPr>
              <w:t>Minister for Cities, Urban Infrastructure and Population</w:t>
            </w:r>
          </w:p>
          <w:p w:rsidR="00814667" w:rsidRPr="004279E6" w:rsidRDefault="008B74A1">
            <w:pPr>
              <w:pStyle w:val="SingleParagraph"/>
              <w:tabs>
                <w:tab w:val="num" w:pos="1134"/>
              </w:tabs>
              <w:spacing w:after="240"/>
              <w:ind w:left="1134" w:hanging="567"/>
              <w:rPr>
                <w:b/>
                <w:lang w:val="en-GB"/>
              </w:rPr>
            </w:pPr>
            <w:r w:rsidRPr="004279E6" w:rsidDel="00542A8C">
              <w:rPr>
                <w:bCs/>
                <w:lang w:val="en-GB"/>
              </w:rPr>
              <w:t xml:space="preserve"> </w:t>
            </w:r>
            <w:r w:rsidRPr="004279E6">
              <w:rPr>
                <w:lang w:val="en-GB"/>
              </w:rPr>
              <w:t xml:space="preserve">  </w:t>
            </w:r>
            <w:r>
              <w:rPr>
                <w:lang w:val="en-GB"/>
              </w:rPr>
              <w:t xml:space="preserve">  /                /</w:t>
            </w:r>
          </w:p>
        </w:tc>
        <w:tc>
          <w:tcPr>
            <w:tcW w:w="284" w:type="dxa"/>
            <w:tcMar>
              <w:left w:w="0" w:type="dxa"/>
              <w:right w:w="0" w:type="dxa"/>
            </w:tcMar>
          </w:tcPr>
          <w:p w:rsidR="00814667" w:rsidRPr="004279E6" w:rsidRDefault="00814667">
            <w:pPr>
              <w:rPr>
                <w:rFonts w:ascii="Book Antiqua" w:hAnsi="Book Antiqua"/>
                <w:lang w:val="en-GB"/>
              </w:rPr>
            </w:pPr>
          </w:p>
        </w:tc>
        <w:tc>
          <w:tcPr>
            <w:tcW w:w="4536" w:type="dxa"/>
          </w:tcPr>
          <w:p w:rsidR="00814667" w:rsidRPr="004279E6" w:rsidRDefault="00814667">
            <w:pPr>
              <w:rPr>
                <w:rFonts w:ascii="Book Antiqua" w:hAnsi="Book Antiqua"/>
                <w:lang w:val="en-GB"/>
              </w:rPr>
            </w:pPr>
          </w:p>
        </w:tc>
      </w:tr>
      <w:tr w:rsidR="00814667" w:rsidRPr="004279E6">
        <w:trPr>
          <w:cantSplit/>
          <w:jc w:val="center"/>
        </w:trPr>
        <w:tc>
          <w:tcPr>
            <w:tcW w:w="4536" w:type="dxa"/>
          </w:tcPr>
          <w:p w:rsidR="00814667" w:rsidRPr="004279E6" w:rsidRDefault="00814667">
            <w:pPr>
              <w:pStyle w:val="SingleParagraph"/>
              <w:rPr>
                <w:rFonts w:ascii="Book Antiqua" w:hAnsi="Book Antiqua"/>
                <w:lang w:val="en-GB"/>
              </w:rPr>
            </w:pPr>
          </w:p>
        </w:tc>
        <w:tc>
          <w:tcPr>
            <w:tcW w:w="284" w:type="dxa"/>
            <w:tcMar>
              <w:left w:w="0" w:type="dxa"/>
              <w:right w:w="0" w:type="dxa"/>
            </w:tcMar>
          </w:tcPr>
          <w:p w:rsidR="00814667" w:rsidRPr="004279E6" w:rsidRDefault="00814667">
            <w:pPr>
              <w:pStyle w:val="SingleParagraph"/>
              <w:rPr>
                <w:rFonts w:ascii="Book Antiqua" w:hAnsi="Book Antiqua"/>
                <w:lang w:val="en-GB"/>
              </w:rPr>
            </w:pPr>
          </w:p>
        </w:tc>
        <w:tc>
          <w:tcPr>
            <w:tcW w:w="4536" w:type="dxa"/>
          </w:tcPr>
          <w:p w:rsidR="00814667" w:rsidRPr="004279E6" w:rsidRDefault="00814667">
            <w:pPr>
              <w:pStyle w:val="SingleParagraph"/>
              <w:rPr>
                <w:rFonts w:ascii="Book Antiqua" w:hAnsi="Book Antiqua"/>
                <w:lang w:val="en-GB"/>
              </w:rPr>
            </w:pPr>
          </w:p>
        </w:tc>
      </w:tr>
      <w:tr w:rsidR="00814667" w:rsidRPr="00A50751">
        <w:trPr>
          <w:cantSplit/>
          <w:jc w:val="center"/>
        </w:trPr>
        <w:tc>
          <w:tcPr>
            <w:tcW w:w="4536" w:type="dxa"/>
          </w:tcPr>
          <w:p w:rsidR="00814667" w:rsidRPr="004279E6" w:rsidRDefault="00814667">
            <w:pPr>
              <w:pStyle w:val="Signed"/>
            </w:pPr>
            <w:r w:rsidRPr="004279E6">
              <w:rPr>
                <w:rStyle w:val="SignedBold"/>
              </w:rPr>
              <w:t>Signed</w:t>
            </w:r>
            <w:r w:rsidRPr="004279E6">
              <w:t xml:space="preserve"> for and on behalf of the </w:t>
            </w:r>
            <w:r w:rsidRPr="004279E6">
              <w:br/>
              <w:t xml:space="preserve">State of </w:t>
            </w:r>
            <w:smartTag w:uri="urn:schemas-microsoft-com:office:smarttags" w:element="State">
              <w:smartTag w:uri="urn:schemas-microsoft-com:office:smarttags" w:element="place">
                <w:r w:rsidRPr="004279E6">
                  <w:t>New South Wales</w:t>
                </w:r>
              </w:smartTag>
            </w:smartTag>
            <w:r w:rsidRPr="004279E6">
              <w:t xml:space="preserve"> by</w:t>
            </w:r>
          </w:p>
          <w:p w:rsidR="00814667" w:rsidRPr="004279E6" w:rsidRDefault="00814667">
            <w:pPr>
              <w:pStyle w:val="LineForSignature"/>
            </w:pPr>
            <w:r w:rsidRPr="004279E6">
              <w:tab/>
            </w:r>
          </w:p>
          <w:p w:rsidR="00814667" w:rsidRPr="004279E6" w:rsidRDefault="00814667">
            <w:pPr>
              <w:pStyle w:val="SingleParagraph"/>
              <w:rPr>
                <w:rStyle w:val="Bold"/>
              </w:rPr>
            </w:pPr>
            <w:r w:rsidRPr="004279E6">
              <w:rPr>
                <w:rStyle w:val="Bold"/>
              </w:rPr>
              <w:t xml:space="preserve">The Honourable </w:t>
            </w:r>
            <w:r w:rsidR="001D5D9B">
              <w:rPr>
                <w:rStyle w:val="Bold"/>
              </w:rPr>
              <w:t>Stuart Ayres</w:t>
            </w:r>
            <w:r w:rsidR="0099742A" w:rsidRPr="004279E6">
              <w:rPr>
                <w:rStyle w:val="Bold"/>
              </w:rPr>
              <w:t xml:space="preserve"> </w:t>
            </w:r>
            <w:r w:rsidRPr="004279E6">
              <w:rPr>
                <w:rStyle w:val="Bold"/>
              </w:rPr>
              <w:t>MP</w:t>
            </w:r>
          </w:p>
          <w:p w:rsidR="00542A8C" w:rsidRPr="004279E6" w:rsidRDefault="00542A8C" w:rsidP="00542A8C">
            <w:pPr>
              <w:pStyle w:val="Position"/>
              <w:rPr>
                <w:lang w:val="en-GB"/>
              </w:rPr>
            </w:pPr>
            <w:r w:rsidRPr="004279E6">
              <w:rPr>
                <w:lang w:val="en-GB"/>
              </w:rPr>
              <w:t xml:space="preserve">Minister for </w:t>
            </w:r>
            <w:r w:rsidR="008B74A1">
              <w:rPr>
                <w:lang w:val="en-GB"/>
              </w:rPr>
              <w:t>Western Sydney</w:t>
            </w:r>
          </w:p>
          <w:p w:rsidR="00814667" w:rsidRPr="00A50751" w:rsidRDefault="008B74A1">
            <w:pPr>
              <w:pStyle w:val="SingleParagraph"/>
              <w:tabs>
                <w:tab w:val="num" w:pos="1134"/>
              </w:tabs>
              <w:spacing w:after="240"/>
              <w:ind w:left="1134" w:hanging="567"/>
              <w:rPr>
                <w:szCs w:val="22"/>
                <w:lang w:val="en-GB"/>
              </w:rPr>
            </w:pPr>
            <w:r w:rsidRPr="004279E6" w:rsidDel="00542A8C">
              <w:rPr>
                <w:bCs/>
                <w:lang w:val="en-GB"/>
              </w:rPr>
              <w:t xml:space="preserve"> </w:t>
            </w:r>
            <w:r w:rsidRPr="004279E6">
              <w:rPr>
                <w:lang w:val="en-GB"/>
              </w:rPr>
              <w:t xml:space="preserve">  </w:t>
            </w:r>
            <w:r>
              <w:rPr>
                <w:lang w:val="en-GB"/>
              </w:rPr>
              <w:t xml:space="preserve">  /                /</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pStyle w:val="SingleParagraph"/>
              <w:tabs>
                <w:tab w:val="num" w:pos="1134"/>
              </w:tabs>
              <w:spacing w:after="240"/>
              <w:ind w:left="1134" w:hanging="567"/>
              <w:rPr>
                <w:lang w:val="en-GB"/>
              </w:rPr>
            </w:pP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bl>
    <w:p w:rsidR="008843EE" w:rsidRDefault="008843EE" w:rsidP="0020144E"/>
    <w:sectPr w:rsidR="008843EE" w:rsidSect="00C606F6">
      <w:headerReference w:type="first" r:id="rId21"/>
      <w:footerReference w:type="first" r:id="rId22"/>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34" w:rsidRDefault="002C6B34">
      <w:r>
        <w:separator/>
      </w:r>
    </w:p>
  </w:endnote>
  <w:endnote w:type="continuationSeparator" w:id="0">
    <w:p w:rsidR="002C6B34" w:rsidRDefault="002C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rbel">
    <w:panose1 w:val="020B0503020204020204"/>
    <w:charset w:val="00"/>
    <w:family w:val="swiss"/>
    <w:pitch w:val="variable"/>
    <w:sig w:usb0="A00002EF" w:usb1="4000A4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Default="00EC35B5">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1249">
      <w:rPr>
        <w:rStyle w:val="PageNumber"/>
        <w:noProof/>
      </w:rPr>
      <w:t>1</w:t>
    </w:r>
    <w:r>
      <w:rPr>
        <w:rStyle w:val="PageNumber"/>
      </w:rPr>
      <w:fldChar w:fldCharType="end"/>
    </w:r>
  </w:p>
  <w:p w:rsidR="00EC35B5" w:rsidRDefault="00EC35B5">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Default="00EC35B5">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781">
      <w:rPr>
        <w:rStyle w:val="PageNumber"/>
        <w:noProof/>
      </w:rPr>
      <w:t>10</w:t>
    </w:r>
    <w:r>
      <w:rPr>
        <w:rStyle w:val="PageNumber"/>
      </w:rPr>
      <w:fldChar w:fldCharType="end"/>
    </w:r>
  </w:p>
  <w:p w:rsidR="00EC35B5" w:rsidRPr="00324374" w:rsidRDefault="00EC35B5" w:rsidP="00324374">
    <w:pPr>
      <w:pStyle w:val="Header"/>
      <w:jc w:val="center"/>
      <w:rPr>
        <w:color w:val="FF0000"/>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Default="00EC35B5">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781">
      <w:rPr>
        <w:rStyle w:val="PageNumber"/>
        <w:noProof/>
      </w:rPr>
      <w:t>1</w:t>
    </w:r>
    <w:r>
      <w:rPr>
        <w:rStyle w:val="PageNumber"/>
      </w:rPr>
      <w:fldChar w:fldCharType="end"/>
    </w:r>
  </w:p>
  <w:p w:rsidR="00EC35B5" w:rsidRDefault="00EC35B5">
    <w:pPr>
      <w:pStyle w:val="FooterOdd"/>
      <w:keepNext/>
      <w:tabs>
        <w:tab w:val="num" w:pos="567"/>
      </w:tabs>
    </w:pPr>
    <w:r>
      <w:t xml:space="preserve">Version of template: </w:t>
    </w:r>
    <w:r>
      <w:fldChar w:fldCharType="begin"/>
    </w:r>
    <w:r>
      <w:instrText xml:space="preserve"> DATE \@ "d/MM/yyyy" </w:instrText>
    </w:r>
    <w:r>
      <w:fldChar w:fldCharType="separate"/>
    </w:r>
    <w:r w:rsidR="00FA3781">
      <w:rPr>
        <w:noProof/>
      </w:rPr>
      <w:t>28/02/2019</w:t>
    </w:r>
    <w:r>
      <w:fldChar w:fldCharType="end"/>
    </w:r>
  </w:p>
  <w:p w:rsidR="00EC35B5" w:rsidRPr="00324374" w:rsidRDefault="00EC35B5" w:rsidP="00324374">
    <w:pPr>
      <w:pStyle w:val="Header"/>
      <w:jc w:val="center"/>
      <w:rPr>
        <w:color w:val="FF0000"/>
        <w:sz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Default="00EC35B5"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3781">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34" w:rsidRDefault="002C6B34">
      <w:r>
        <w:separator/>
      </w:r>
    </w:p>
  </w:footnote>
  <w:footnote w:type="continuationSeparator" w:id="0">
    <w:p w:rsidR="002C6B34" w:rsidRDefault="002C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Pr="00814590" w:rsidRDefault="00EC35B5">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Pr="00814590" w:rsidRDefault="00EC35B5">
    <w:pPr>
      <w:pStyle w:val="HeaderOdd"/>
      <w:tabs>
        <w:tab w:val="num" w:pos="1134"/>
      </w:tabs>
      <w:rPr>
        <w:color w:val="800000"/>
      </w:rPr>
    </w:pPr>
    <w:r>
      <w:rPr>
        <w:color w:val="800000"/>
      </w:rPr>
      <w:t>Project Agreement for the Western Sydney City Deal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Pr="00324374" w:rsidRDefault="00EC35B5" w:rsidP="00324374">
    <w:pPr>
      <w:pStyle w:val="Header"/>
      <w:jc w:val="center"/>
      <w:rPr>
        <w:color w:val="FF0000"/>
        <w:sz w:val="2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5" w:rsidRPr="00751725" w:rsidRDefault="00EC35B5" w:rsidP="00281874">
    <w:pPr>
      <w:pStyle w:val="Header"/>
      <w:jc w:val="right"/>
    </w:pPr>
    <w:r>
      <w:rPr>
        <w:color w:val="800000"/>
      </w:rPr>
      <w:t>Project Agreement for the Western Sydney City Deal</w:t>
    </w:r>
    <w:r w:rsidDel="00DC0300">
      <w:rPr>
        <w:color w:val="8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0F1F48D4"/>
    <w:multiLevelType w:val="hybridMultilevel"/>
    <w:tmpl w:val="3C5E4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8">
    <w:nsid w:val="2CD64CE9"/>
    <w:multiLevelType w:val="hybridMultilevel"/>
    <w:tmpl w:val="97FAC3EE"/>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46C44D1"/>
    <w:multiLevelType w:val="hybridMultilevel"/>
    <w:tmpl w:val="A4AE4DB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4A7E25"/>
    <w:multiLevelType w:val="hybridMultilevel"/>
    <w:tmpl w:val="A1001E04"/>
    <w:lvl w:ilvl="0" w:tplc="CA465AA2">
      <w:start w:val="1"/>
      <w:numFmt w:val="bullet"/>
      <w:lvlText w:val=""/>
      <w:lvlJc w:val="left"/>
      <w:pPr>
        <w:ind w:left="720" w:hanging="360"/>
      </w:pPr>
      <w:rPr>
        <w:rFonts w:ascii="Symbol" w:hAnsi="Symbol" w:hint="default"/>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59B70749"/>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nsid w:val="5A106824"/>
    <w:multiLevelType w:val="hybridMultilevel"/>
    <w:tmpl w:val="05B2C6A0"/>
    <w:lvl w:ilvl="0" w:tplc="29BEA516">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7">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nsid w:val="5E63376E"/>
    <w:multiLevelType w:val="hybridMultilevel"/>
    <w:tmpl w:val="5584F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E250E1"/>
    <w:multiLevelType w:val="multilevel"/>
    <w:tmpl w:val="220C81A8"/>
    <w:name w:val="StandardNumberedList"/>
    <w:lvl w:ilvl="0">
      <w:start w:val="1"/>
      <w:numFmt w:val="decimal"/>
      <w:pStyle w:val="OutlineNumbered1"/>
      <w:lvlText w:val="%1."/>
      <w:lvlJc w:val="left"/>
      <w:pPr>
        <w:tabs>
          <w:tab w:val="num" w:pos="543"/>
        </w:tabs>
        <w:ind w:left="543" w:hanging="543"/>
      </w:pPr>
      <w:rPr>
        <w:rFonts w:cs="Times New Roman"/>
      </w:rPr>
    </w:lvl>
    <w:lvl w:ilvl="1">
      <w:start w:val="1"/>
      <w:numFmt w:val="decimal"/>
      <w:pStyle w:val="OutlineNumbered2"/>
      <w:lvlText w:val="%1.%2."/>
      <w:lvlJc w:val="left"/>
      <w:pPr>
        <w:tabs>
          <w:tab w:val="num" w:pos="1086"/>
        </w:tabs>
        <w:ind w:left="1086" w:hanging="543"/>
      </w:pPr>
      <w:rPr>
        <w:rFonts w:cs="Times New Roman"/>
      </w:rPr>
    </w:lvl>
    <w:lvl w:ilvl="2">
      <w:start w:val="1"/>
      <w:numFmt w:val="decimal"/>
      <w:pStyle w:val="OutlineNumbered3"/>
      <w:lvlText w:val="%1.%2.%3."/>
      <w:lvlJc w:val="left"/>
      <w:pPr>
        <w:tabs>
          <w:tab w:val="num" w:pos="1629"/>
        </w:tabs>
        <w:ind w:left="1629" w:hanging="543"/>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CC62FA5"/>
    <w:multiLevelType w:val="multilevel"/>
    <w:tmpl w:val="1F543008"/>
    <w:lvl w:ilvl="0">
      <w:start w:val="1"/>
      <w:numFmt w:val="lowerLetter"/>
      <w:lvlText w:val="(%1)"/>
      <w:lvlJc w:val="left"/>
      <w:pPr>
        <w:tabs>
          <w:tab w:val="num" w:pos="543"/>
        </w:tabs>
        <w:ind w:left="543" w:hanging="543"/>
      </w:pPr>
      <w:rPr>
        <w:rFonts w:ascii="Corbel" w:hAnsi="Corbel" w:cs="Times New Roman" w:hint="default"/>
        <w:b w:val="0"/>
        <w:color w:val="auto"/>
        <w:sz w:val="23"/>
        <w:szCs w:val="23"/>
      </w:rPr>
    </w:lvl>
    <w:lvl w:ilvl="1">
      <w:start w:val="1"/>
      <w:numFmt w:val="decimal"/>
      <w:lvlText w:val="%1.%2."/>
      <w:lvlJc w:val="left"/>
      <w:pPr>
        <w:tabs>
          <w:tab w:val="num" w:pos="1086"/>
        </w:tabs>
        <w:ind w:left="1086" w:hanging="543"/>
      </w:pPr>
      <w:rPr>
        <w:rFonts w:cs="Times New Roman"/>
      </w:rPr>
    </w:lvl>
    <w:lvl w:ilvl="2">
      <w:start w:val="1"/>
      <w:numFmt w:val="decimal"/>
      <w:lvlText w:val="%1.%2.%3."/>
      <w:lvlJc w:val="left"/>
      <w:pPr>
        <w:tabs>
          <w:tab w:val="num" w:pos="1629"/>
        </w:tabs>
        <w:ind w:left="1629" w:hanging="543"/>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nsid w:val="707805A4"/>
    <w:multiLevelType w:val="multilevel"/>
    <w:tmpl w:val="30E29700"/>
    <w:lvl w:ilvl="0">
      <w:start w:val="1"/>
      <w:numFmt w:val="lowerLetter"/>
      <w:lvlText w:val="(%1)"/>
      <w:lvlJc w:val="left"/>
      <w:pPr>
        <w:tabs>
          <w:tab w:val="num" w:pos="543"/>
        </w:tabs>
        <w:ind w:left="543" w:hanging="543"/>
      </w:pPr>
      <w:rPr>
        <w:rFonts w:ascii="Corbel" w:hAnsi="Corbel" w:cs="Times New Roman" w:hint="default"/>
        <w:b w:val="0"/>
        <w:color w:val="auto"/>
        <w:sz w:val="23"/>
        <w:szCs w:val="23"/>
      </w:rPr>
    </w:lvl>
    <w:lvl w:ilvl="1">
      <w:start w:val="1"/>
      <w:numFmt w:val="decimal"/>
      <w:lvlText w:val="%1.%2."/>
      <w:lvlJc w:val="left"/>
      <w:pPr>
        <w:tabs>
          <w:tab w:val="num" w:pos="1086"/>
        </w:tabs>
        <w:ind w:left="1086" w:hanging="543"/>
      </w:pPr>
      <w:rPr>
        <w:rFonts w:cs="Times New Roman"/>
      </w:rPr>
    </w:lvl>
    <w:lvl w:ilvl="2">
      <w:start w:val="1"/>
      <w:numFmt w:val="decimal"/>
      <w:lvlText w:val="%1.%2.%3."/>
      <w:lvlJc w:val="left"/>
      <w:pPr>
        <w:tabs>
          <w:tab w:val="num" w:pos="1629"/>
        </w:tabs>
        <w:ind w:left="1629" w:hanging="543"/>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nsid w:val="78854AAC"/>
    <w:multiLevelType w:val="hybridMultilevel"/>
    <w:tmpl w:val="1B109B96"/>
    <w:lvl w:ilvl="0" w:tplc="5928CE76">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2"/>
  </w:num>
  <w:num w:numId="15">
    <w:abstractNumId w:val="14"/>
  </w:num>
  <w:num w:numId="16">
    <w:abstractNumId w:val="3"/>
  </w:num>
  <w:num w:numId="17">
    <w:abstractNumId w:val="17"/>
  </w:num>
  <w:num w:numId="18">
    <w:abstractNumId w:val="4"/>
  </w:num>
  <w:num w:numId="19">
    <w:abstractNumId w:val="6"/>
  </w:num>
  <w:num w:numId="20">
    <w:abstractNumId w:val="24"/>
  </w:num>
  <w:num w:numId="21">
    <w:abstractNumId w:val="1"/>
  </w:num>
  <w:num w:numId="22">
    <w:abstractNumId w:val="13"/>
  </w:num>
  <w:num w:numId="23">
    <w:abstractNumId w:val="21"/>
  </w:num>
  <w:num w:numId="24">
    <w:abstractNumId w:val="11"/>
  </w:num>
  <w:num w:numId="25">
    <w:abstractNumId w:val="23"/>
  </w:num>
  <w:num w:numId="26">
    <w:abstractNumId w:val="5"/>
  </w:num>
  <w:num w:numId="27">
    <w:abstractNumId w:val="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9"/>
  </w:num>
  <w:num w:numId="32">
    <w:abstractNumId w:val="22"/>
  </w:num>
  <w:num w:numId="33">
    <w:abstractNumId w:val="20"/>
  </w:num>
  <w:num w:numId="34">
    <w:abstractNumId w:val="8"/>
  </w:num>
  <w:num w:numId="35">
    <w:abstractNumId w:val="0"/>
  </w:num>
  <w:num w:numId="36">
    <w:abstractNumId w:val="18"/>
  </w:num>
  <w:num w:numId="37">
    <w:abstractNumId w:val="2"/>
  </w:num>
  <w:num w:numId="38">
    <w:abstractNumId w:val="9"/>
  </w:num>
  <w:num w:numId="39">
    <w:abstractNumId w:val="0"/>
  </w:num>
  <w:num w:numId="4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3481"/>
    <w:rsid w:val="00003A7A"/>
    <w:rsid w:val="00005A5D"/>
    <w:rsid w:val="000076D9"/>
    <w:rsid w:val="00013D0C"/>
    <w:rsid w:val="00017688"/>
    <w:rsid w:val="00021708"/>
    <w:rsid w:val="00023486"/>
    <w:rsid w:val="00030012"/>
    <w:rsid w:val="00030CB2"/>
    <w:rsid w:val="000343F1"/>
    <w:rsid w:val="00044359"/>
    <w:rsid w:val="00044700"/>
    <w:rsid w:val="00044E25"/>
    <w:rsid w:val="000450ED"/>
    <w:rsid w:val="00046DD9"/>
    <w:rsid w:val="00047607"/>
    <w:rsid w:val="00057452"/>
    <w:rsid w:val="00057B0E"/>
    <w:rsid w:val="0006051B"/>
    <w:rsid w:val="000614F9"/>
    <w:rsid w:val="0006451A"/>
    <w:rsid w:val="00064E56"/>
    <w:rsid w:val="0006551D"/>
    <w:rsid w:val="00065679"/>
    <w:rsid w:val="0007004C"/>
    <w:rsid w:val="000724F6"/>
    <w:rsid w:val="00074611"/>
    <w:rsid w:val="00074A62"/>
    <w:rsid w:val="00075FE2"/>
    <w:rsid w:val="000768C8"/>
    <w:rsid w:val="00077671"/>
    <w:rsid w:val="00082B41"/>
    <w:rsid w:val="000833AE"/>
    <w:rsid w:val="00086712"/>
    <w:rsid w:val="000873D3"/>
    <w:rsid w:val="00091DF8"/>
    <w:rsid w:val="00093CB6"/>
    <w:rsid w:val="00093DD8"/>
    <w:rsid w:val="00095733"/>
    <w:rsid w:val="00097794"/>
    <w:rsid w:val="00097A41"/>
    <w:rsid w:val="000A0C9E"/>
    <w:rsid w:val="000A211A"/>
    <w:rsid w:val="000A5191"/>
    <w:rsid w:val="000B4080"/>
    <w:rsid w:val="000B612B"/>
    <w:rsid w:val="000B6220"/>
    <w:rsid w:val="000B7685"/>
    <w:rsid w:val="000C3AD3"/>
    <w:rsid w:val="000C4ECC"/>
    <w:rsid w:val="000C5BEE"/>
    <w:rsid w:val="000C6937"/>
    <w:rsid w:val="000C714F"/>
    <w:rsid w:val="000C761B"/>
    <w:rsid w:val="000D19D8"/>
    <w:rsid w:val="000D1C37"/>
    <w:rsid w:val="000D4377"/>
    <w:rsid w:val="000D7ECB"/>
    <w:rsid w:val="000E075D"/>
    <w:rsid w:val="000E092B"/>
    <w:rsid w:val="000E2AF6"/>
    <w:rsid w:val="000E36B7"/>
    <w:rsid w:val="000E3C70"/>
    <w:rsid w:val="000E48C3"/>
    <w:rsid w:val="000F0880"/>
    <w:rsid w:val="000F0DEB"/>
    <w:rsid w:val="000F25D5"/>
    <w:rsid w:val="000F6CF6"/>
    <w:rsid w:val="000F7C7F"/>
    <w:rsid w:val="00103FD6"/>
    <w:rsid w:val="001065EE"/>
    <w:rsid w:val="00110ABE"/>
    <w:rsid w:val="00110F5D"/>
    <w:rsid w:val="00111070"/>
    <w:rsid w:val="001128FA"/>
    <w:rsid w:val="001134AC"/>
    <w:rsid w:val="00115166"/>
    <w:rsid w:val="00115A97"/>
    <w:rsid w:val="00122DBA"/>
    <w:rsid w:val="001250C9"/>
    <w:rsid w:val="001262B5"/>
    <w:rsid w:val="00132587"/>
    <w:rsid w:val="001404A9"/>
    <w:rsid w:val="00140F43"/>
    <w:rsid w:val="00145D5C"/>
    <w:rsid w:val="00151133"/>
    <w:rsid w:val="001516CF"/>
    <w:rsid w:val="00153BA7"/>
    <w:rsid w:val="00160506"/>
    <w:rsid w:val="0016131F"/>
    <w:rsid w:val="001629FA"/>
    <w:rsid w:val="0016547E"/>
    <w:rsid w:val="00165CAB"/>
    <w:rsid w:val="00166179"/>
    <w:rsid w:val="00166312"/>
    <w:rsid w:val="00167BB8"/>
    <w:rsid w:val="00172360"/>
    <w:rsid w:val="00172E3A"/>
    <w:rsid w:val="00173F81"/>
    <w:rsid w:val="00174C2A"/>
    <w:rsid w:val="00175FB9"/>
    <w:rsid w:val="00177596"/>
    <w:rsid w:val="00177A0A"/>
    <w:rsid w:val="00180F76"/>
    <w:rsid w:val="00183EAB"/>
    <w:rsid w:val="00185917"/>
    <w:rsid w:val="00185CC1"/>
    <w:rsid w:val="00187BEB"/>
    <w:rsid w:val="001931E8"/>
    <w:rsid w:val="00194232"/>
    <w:rsid w:val="00194587"/>
    <w:rsid w:val="001A1422"/>
    <w:rsid w:val="001A14C1"/>
    <w:rsid w:val="001A2015"/>
    <w:rsid w:val="001A3A9A"/>
    <w:rsid w:val="001A3F52"/>
    <w:rsid w:val="001A4093"/>
    <w:rsid w:val="001A70D1"/>
    <w:rsid w:val="001A79C1"/>
    <w:rsid w:val="001A7A15"/>
    <w:rsid w:val="001B1971"/>
    <w:rsid w:val="001B19A0"/>
    <w:rsid w:val="001B1CA3"/>
    <w:rsid w:val="001B447F"/>
    <w:rsid w:val="001B580E"/>
    <w:rsid w:val="001B7933"/>
    <w:rsid w:val="001C346E"/>
    <w:rsid w:val="001C3717"/>
    <w:rsid w:val="001C5CC5"/>
    <w:rsid w:val="001D2C27"/>
    <w:rsid w:val="001D3CAD"/>
    <w:rsid w:val="001D5D9B"/>
    <w:rsid w:val="001D6C26"/>
    <w:rsid w:val="001D6E9A"/>
    <w:rsid w:val="001E20EC"/>
    <w:rsid w:val="001E4479"/>
    <w:rsid w:val="001E6999"/>
    <w:rsid w:val="001E7173"/>
    <w:rsid w:val="001E74D0"/>
    <w:rsid w:val="001E7803"/>
    <w:rsid w:val="001F0F9E"/>
    <w:rsid w:val="001F1D48"/>
    <w:rsid w:val="001F4869"/>
    <w:rsid w:val="001F6F39"/>
    <w:rsid w:val="001F6FE8"/>
    <w:rsid w:val="00200B8D"/>
    <w:rsid w:val="0020144E"/>
    <w:rsid w:val="00205E18"/>
    <w:rsid w:val="00206773"/>
    <w:rsid w:val="002069F9"/>
    <w:rsid w:val="00212869"/>
    <w:rsid w:val="00214905"/>
    <w:rsid w:val="00216BA0"/>
    <w:rsid w:val="00217A74"/>
    <w:rsid w:val="00221308"/>
    <w:rsid w:val="00222C97"/>
    <w:rsid w:val="002253E4"/>
    <w:rsid w:val="00225761"/>
    <w:rsid w:val="00233835"/>
    <w:rsid w:val="00235E69"/>
    <w:rsid w:val="00241EE9"/>
    <w:rsid w:val="00244500"/>
    <w:rsid w:val="00247D45"/>
    <w:rsid w:val="00252551"/>
    <w:rsid w:val="002565F3"/>
    <w:rsid w:val="00261508"/>
    <w:rsid w:val="00261804"/>
    <w:rsid w:val="00261ABA"/>
    <w:rsid w:val="00262E18"/>
    <w:rsid w:val="0026571E"/>
    <w:rsid w:val="002708C1"/>
    <w:rsid w:val="002730E2"/>
    <w:rsid w:val="00281874"/>
    <w:rsid w:val="00282C25"/>
    <w:rsid w:val="00284884"/>
    <w:rsid w:val="00285003"/>
    <w:rsid w:val="002869F5"/>
    <w:rsid w:val="00287DCC"/>
    <w:rsid w:val="00291CF1"/>
    <w:rsid w:val="00292587"/>
    <w:rsid w:val="002928D8"/>
    <w:rsid w:val="00292996"/>
    <w:rsid w:val="00293023"/>
    <w:rsid w:val="00295C49"/>
    <w:rsid w:val="00296280"/>
    <w:rsid w:val="002A143D"/>
    <w:rsid w:val="002A3717"/>
    <w:rsid w:val="002A3DE9"/>
    <w:rsid w:val="002A493A"/>
    <w:rsid w:val="002A52E5"/>
    <w:rsid w:val="002A530A"/>
    <w:rsid w:val="002A5884"/>
    <w:rsid w:val="002A6981"/>
    <w:rsid w:val="002B0712"/>
    <w:rsid w:val="002B1C50"/>
    <w:rsid w:val="002B207C"/>
    <w:rsid w:val="002B7922"/>
    <w:rsid w:val="002B7E1B"/>
    <w:rsid w:val="002C0E5C"/>
    <w:rsid w:val="002C1193"/>
    <w:rsid w:val="002C2529"/>
    <w:rsid w:val="002C25CC"/>
    <w:rsid w:val="002C2A03"/>
    <w:rsid w:val="002C62B3"/>
    <w:rsid w:val="002C6B34"/>
    <w:rsid w:val="002C7620"/>
    <w:rsid w:val="002D122C"/>
    <w:rsid w:val="002D7CF9"/>
    <w:rsid w:val="002D7EF7"/>
    <w:rsid w:val="002E0B1E"/>
    <w:rsid w:val="002E144A"/>
    <w:rsid w:val="002E2DE2"/>
    <w:rsid w:val="002E4B66"/>
    <w:rsid w:val="002F498A"/>
    <w:rsid w:val="002F576E"/>
    <w:rsid w:val="002F5B29"/>
    <w:rsid w:val="002F5B54"/>
    <w:rsid w:val="002F5C6C"/>
    <w:rsid w:val="002F7E40"/>
    <w:rsid w:val="00300478"/>
    <w:rsid w:val="003012DA"/>
    <w:rsid w:val="00302D64"/>
    <w:rsid w:val="00307C5C"/>
    <w:rsid w:val="00312CFE"/>
    <w:rsid w:val="00313480"/>
    <w:rsid w:val="00313889"/>
    <w:rsid w:val="00313C98"/>
    <w:rsid w:val="00313E23"/>
    <w:rsid w:val="00313FD9"/>
    <w:rsid w:val="003155BD"/>
    <w:rsid w:val="00316164"/>
    <w:rsid w:val="00316EB9"/>
    <w:rsid w:val="003177B9"/>
    <w:rsid w:val="00320B12"/>
    <w:rsid w:val="00321E0A"/>
    <w:rsid w:val="00324374"/>
    <w:rsid w:val="00332430"/>
    <w:rsid w:val="00333506"/>
    <w:rsid w:val="00337989"/>
    <w:rsid w:val="00340987"/>
    <w:rsid w:val="003410AA"/>
    <w:rsid w:val="0034465F"/>
    <w:rsid w:val="00344DA0"/>
    <w:rsid w:val="003464A5"/>
    <w:rsid w:val="00350A77"/>
    <w:rsid w:val="00352807"/>
    <w:rsid w:val="00352A6B"/>
    <w:rsid w:val="00352EC1"/>
    <w:rsid w:val="00357C91"/>
    <w:rsid w:val="00361054"/>
    <w:rsid w:val="0036119D"/>
    <w:rsid w:val="003620FA"/>
    <w:rsid w:val="003637A0"/>
    <w:rsid w:val="0036471A"/>
    <w:rsid w:val="00364727"/>
    <w:rsid w:val="0036474E"/>
    <w:rsid w:val="00364CF3"/>
    <w:rsid w:val="003650AA"/>
    <w:rsid w:val="00365CAA"/>
    <w:rsid w:val="00367EAB"/>
    <w:rsid w:val="00372573"/>
    <w:rsid w:val="003757EA"/>
    <w:rsid w:val="00377AB2"/>
    <w:rsid w:val="003877C3"/>
    <w:rsid w:val="003901B6"/>
    <w:rsid w:val="00391F9C"/>
    <w:rsid w:val="003925D3"/>
    <w:rsid w:val="0039283B"/>
    <w:rsid w:val="00392E47"/>
    <w:rsid w:val="00395C65"/>
    <w:rsid w:val="00396EA4"/>
    <w:rsid w:val="00396F7A"/>
    <w:rsid w:val="003A05F1"/>
    <w:rsid w:val="003A2157"/>
    <w:rsid w:val="003A3363"/>
    <w:rsid w:val="003A3905"/>
    <w:rsid w:val="003A3AFB"/>
    <w:rsid w:val="003A3CC1"/>
    <w:rsid w:val="003A4305"/>
    <w:rsid w:val="003A6635"/>
    <w:rsid w:val="003A6B0E"/>
    <w:rsid w:val="003A78C6"/>
    <w:rsid w:val="003B0905"/>
    <w:rsid w:val="003B1ADD"/>
    <w:rsid w:val="003B2ADB"/>
    <w:rsid w:val="003B5562"/>
    <w:rsid w:val="003B5F1C"/>
    <w:rsid w:val="003B6363"/>
    <w:rsid w:val="003B737F"/>
    <w:rsid w:val="003C0CF7"/>
    <w:rsid w:val="003C1FA9"/>
    <w:rsid w:val="003C2E5D"/>
    <w:rsid w:val="003C4D35"/>
    <w:rsid w:val="003C59E0"/>
    <w:rsid w:val="003C6F2A"/>
    <w:rsid w:val="003D141B"/>
    <w:rsid w:val="003D6CD3"/>
    <w:rsid w:val="003D6FC2"/>
    <w:rsid w:val="003D743C"/>
    <w:rsid w:val="003E03B4"/>
    <w:rsid w:val="003E1570"/>
    <w:rsid w:val="003E33BA"/>
    <w:rsid w:val="003E6BA0"/>
    <w:rsid w:val="003E73DB"/>
    <w:rsid w:val="003F0ADC"/>
    <w:rsid w:val="003F383D"/>
    <w:rsid w:val="003F4E13"/>
    <w:rsid w:val="003F59E6"/>
    <w:rsid w:val="003F5BE6"/>
    <w:rsid w:val="003F6C00"/>
    <w:rsid w:val="004008D8"/>
    <w:rsid w:val="004034B1"/>
    <w:rsid w:val="004119C0"/>
    <w:rsid w:val="004120B1"/>
    <w:rsid w:val="00413E74"/>
    <w:rsid w:val="0041421D"/>
    <w:rsid w:val="0041490D"/>
    <w:rsid w:val="00414A5C"/>
    <w:rsid w:val="004156B4"/>
    <w:rsid w:val="0041697F"/>
    <w:rsid w:val="00420235"/>
    <w:rsid w:val="004223AA"/>
    <w:rsid w:val="00423104"/>
    <w:rsid w:val="00423C89"/>
    <w:rsid w:val="004267D3"/>
    <w:rsid w:val="004279E6"/>
    <w:rsid w:val="00427E2A"/>
    <w:rsid w:val="00433E65"/>
    <w:rsid w:val="004374B2"/>
    <w:rsid w:val="00442AB8"/>
    <w:rsid w:val="004436EA"/>
    <w:rsid w:val="00443F90"/>
    <w:rsid w:val="0044456C"/>
    <w:rsid w:val="00445BEB"/>
    <w:rsid w:val="00450B39"/>
    <w:rsid w:val="00453BC6"/>
    <w:rsid w:val="00454498"/>
    <w:rsid w:val="00454FD0"/>
    <w:rsid w:val="00456C59"/>
    <w:rsid w:val="00465796"/>
    <w:rsid w:val="00475151"/>
    <w:rsid w:val="00476288"/>
    <w:rsid w:val="00477931"/>
    <w:rsid w:val="0048034D"/>
    <w:rsid w:val="00481885"/>
    <w:rsid w:val="00482DAF"/>
    <w:rsid w:val="00483082"/>
    <w:rsid w:val="00490198"/>
    <w:rsid w:val="00490D02"/>
    <w:rsid w:val="00490E28"/>
    <w:rsid w:val="00497362"/>
    <w:rsid w:val="00497C77"/>
    <w:rsid w:val="004A0AE7"/>
    <w:rsid w:val="004A0EC8"/>
    <w:rsid w:val="004A301F"/>
    <w:rsid w:val="004A523F"/>
    <w:rsid w:val="004A6062"/>
    <w:rsid w:val="004A673A"/>
    <w:rsid w:val="004A770F"/>
    <w:rsid w:val="004A79FE"/>
    <w:rsid w:val="004B0813"/>
    <w:rsid w:val="004B0CDB"/>
    <w:rsid w:val="004B136A"/>
    <w:rsid w:val="004B1718"/>
    <w:rsid w:val="004B1F38"/>
    <w:rsid w:val="004B21C5"/>
    <w:rsid w:val="004B2EF6"/>
    <w:rsid w:val="004B34A6"/>
    <w:rsid w:val="004B5612"/>
    <w:rsid w:val="004B5AA7"/>
    <w:rsid w:val="004B6083"/>
    <w:rsid w:val="004B6927"/>
    <w:rsid w:val="004B7280"/>
    <w:rsid w:val="004B7E5C"/>
    <w:rsid w:val="004C3CC4"/>
    <w:rsid w:val="004C4D5E"/>
    <w:rsid w:val="004D097D"/>
    <w:rsid w:val="004D11ED"/>
    <w:rsid w:val="004D310E"/>
    <w:rsid w:val="004D37D8"/>
    <w:rsid w:val="004D4B81"/>
    <w:rsid w:val="004E3F03"/>
    <w:rsid w:val="004F3410"/>
    <w:rsid w:val="004F5DCD"/>
    <w:rsid w:val="004F6B2B"/>
    <w:rsid w:val="005005DF"/>
    <w:rsid w:val="00505045"/>
    <w:rsid w:val="005060A3"/>
    <w:rsid w:val="0051040B"/>
    <w:rsid w:val="00510B96"/>
    <w:rsid w:val="00511501"/>
    <w:rsid w:val="00511B5B"/>
    <w:rsid w:val="00515AF2"/>
    <w:rsid w:val="0051640E"/>
    <w:rsid w:val="00516741"/>
    <w:rsid w:val="0051684E"/>
    <w:rsid w:val="005205E7"/>
    <w:rsid w:val="00521249"/>
    <w:rsid w:val="00522D89"/>
    <w:rsid w:val="00523B5B"/>
    <w:rsid w:val="00527ABC"/>
    <w:rsid w:val="00532ABB"/>
    <w:rsid w:val="0054193D"/>
    <w:rsid w:val="00542A8C"/>
    <w:rsid w:val="00542D59"/>
    <w:rsid w:val="00543637"/>
    <w:rsid w:val="00545616"/>
    <w:rsid w:val="005456C5"/>
    <w:rsid w:val="00545DF7"/>
    <w:rsid w:val="00546CA2"/>
    <w:rsid w:val="005539F5"/>
    <w:rsid w:val="0055415C"/>
    <w:rsid w:val="0055487E"/>
    <w:rsid w:val="00554AAC"/>
    <w:rsid w:val="0055503F"/>
    <w:rsid w:val="00555BFB"/>
    <w:rsid w:val="005572D7"/>
    <w:rsid w:val="00560EB0"/>
    <w:rsid w:val="00563054"/>
    <w:rsid w:val="00563797"/>
    <w:rsid w:val="005651B5"/>
    <w:rsid w:val="00566234"/>
    <w:rsid w:val="0057262B"/>
    <w:rsid w:val="00575918"/>
    <w:rsid w:val="005815B3"/>
    <w:rsid w:val="00582A03"/>
    <w:rsid w:val="00587E37"/>
    <w:rsid w:val="005903C6"/>
    <w:rsid w:val="00591A0B"/>
    <w:rsid w:val="00593821"/>
    <w:rsid w:val="00594CE0"/>
    <w:rsid w:val="00596E88"/>
    <w:rsid w:val="00597CBD"/>
    <w:rsid w:val="005A0969"/>
    <w:rsid w:val="005A1E02"/>
    <w:rsid w:val="005A5E7A"/>
    <w:rsid w:val="005B0DEF"/>
    <w:rsid w:val="005B2A03"/>
    <w:rsid w:val="005B4C1B"/>
    <w:rsid w:val="005B6CAC"/>
    <w:rsid w:val="005C218F"/>
    <w:rsid w:val="005C2684"/>
    <w:rsid w:val="005C2DDC"/>
    <w:rsid w:val="005C5620"/>
    <w:rsid w:val="005C578C"/>
    <w:rsid w:val="005D194F"/>
    <w:rsid w:val="005D1F0F"/>
    <w:rsid w:val="005D29DB"/>
    <w:rsid w:val="005D334C"/>
    <w:rsid w:val="005D35DC"/>
    <w:rsid w:val="005D41D8"/>
    <w:rsid w:val="005D41F9"/>
    <w:rsid w:val="005D517D"/>
    <w:rsid w:val="005D6F8C"/>
    <w:rsid w:val="005D7116"/>
    <w:rsid w:val="005E128E"/>
    <w:rsid w:val="005E4143"/>
    <w:rsid w:val="005E724B"/>
    <w:rsid w:val="005F7454"/>
    <w:rsid w:val="00601BBE"/>
    <w:rsid w:val="00601F7C"/>
    <w:rsid w:val="006020ED"/>
    <w:rsid w:val="00602A48"/>
    <w:rsid w:val="00602EF7"/>
    <w:rsid w:val="00606F11"/>
    <w:rsid w:val="00607B03"/>
    <w:rsid w:val="0061059D"/>
    <w:rsid w:val="0061326F"/>
    <w:rsid w:val="00614393"/>
    <w:rsid w:val="006146F2"/>
    <w:rsid w:val="00614C00"/>
    <w:rsid w:val="006177BA"/>
    <w:rsid w:val="00623567"/>
    <w:rsid w:val="006259EE"/>
    <w:rsid w:val="00627B59"/>
    <w:rsid w:val="00630443"/>
    <w:rsid w:val="0063110E"/>
    <w:rsid w:val="00632005"/>
    <w:rsid w:val="00633A15"/>
    <w:rsid w:val="006364AA"/>
    <w:rsid w:val="006412B5"/>
    <w:rsid w:val="00641932"/>
    <w:rsid w:val="00644083"/>
    <w:rsid w:val="0064429B"/>
    <w:rsid w:val="0064477C"/>
    <w:rsid w:val="00647941"/>
    <w:rsid w:val="00650903"/>
    <w:rsid w:val="006543D9"/>
    <w:rsid w:val="00661534"/>
    <w:rsid w:val="00662F59"/>
    <w:rsid w:val="0066432B"/>
    <w:rsid w:val="006650A8"/>
    <w:rsid w:val="006679C0"/>
    <w:rsid w:val="00680ED5"/>
    <w:rsid w:val="00681956"/>
    <w:rsid w:val="00681C78"/>
    <w:rsid w:val="00682FBA"/>
    <w:rsid w:val="00683370"/>
    <w:rsid w:val="00684EC1"/>
    <w:rsid w:val="00686F23"/>
    <w:rsid w:val="006903F9"/>
    <w:rsid w:val="00691BE2"/>
    <w:rsid w:val="006923C8"/>
    <w:rsid w:val="00696843"/>
    <w:rsid w:val="00696AB4"/>
    <w:rsid w:val="00696EBC"/>
    <w:rsid w:val="00697494"/>
    <w:rsid w:val="006976BF"/>
    <w:rsid w:val="006A05D7"/>
    <w:rsid w:val="006A2F50"/>
    <w:rsid w:val="006A4628"/>
    <w:rsid w:val="006A551C"/>
    <w:rsid w:val="006A73F0"/>
    <w:rsid w:val="006B3F39"/>
    <w:rsid w:val="006B4213"/>
    <w:rsid w:val="006B43AF"/>
    <w:rsid w:val="006B4DF0"/>
    <w:rsid w:val="006C1013"/>
    <w:rsid w:val="006C163A"/>
    <w:rsid w:val="006C228B"/>
    <w:rsid w:val="006C2931"/>
    <w:rsid w:val="006C75CA"/>
    <w:rsid w:val="006D466E"/>
    <w:rsid w:val="006D4B70"/>
    <w:rsid w:val="006D4C35"/>
    <w:rsid w:val="006D60BC"/>
    <w:rsid w:val="006D7A92"/>
    <w:rsid w:val="006E06EE"/>
    <w:rsid w:val="006E2616"/>
    <w:rsid w:val="006E3B48"/>
    <w:rsid w:val="006E6184"/>
    <w:rsid w:val="006E631B"/>
    <w:rsid w:val="006F096A"/>
    <w:rsid w:val="006F22E3"/>
    <w:rsid w:val="006F3095"/>
    <w:rsid w:val="006F4456"/>
    <w:rsid w:val="006F4EC5"/>
    <w:rsid w:val="006F5455"/>
    <w:rsid w:val="006F5CB6"/>
    <w:rsid w:val="006F6379"/>
    <w:rsid w:val="006F76B5"/>
    <w:rsid w:val="006F79D3"/>
    <w:rsid w:val="00703194"/>
    <w:rsid w:val="007044D7"/>
    <w:rsid w:val="0070676C"/>
    <w:rsid w:val="00706E50"/>
    <w:rsid w:val="0070737C"/>
    <w:rsid w:val="007107F7"/>
    <w:rsid w:val="00711229"/>
    <w:rsid w:val="00715018"/>
    <w:rsid w:val="007167EC"/>
    <w:rsid w:val="007179FE"/>
    <w:rsid w:val="00717F25"/>
    <w:rsid w:val="007201B1"/>
    <w:rsid w:val="007201D7"/>
    <w:rsid w:val="0072328E"/>
    <w:rsid w:val="00724E14"/>
    <w:rsid w:val="00725AD5"/>
    <w:rsid w:val="0072629A"/>
    <w:rsid w:val="007267AA"/>
    <w:rsid w:val="00726DB5"/>
    <w:rsid w:val="00726EB4"/>
    <w:rsid w:val="00730808"/>
    <w:rsid w:val="00730824"/>
    <w:rsid w:val="00730A87"/>
    <w:rsid w:val="00731945"/>
    <w:rsid w:val="007363DE"/>
    <w:rsid w:val="0073698D"/>
    <w:rsid w:val="00736C0B"/>
    <w:rsid w:val="00744D93"/>
    <w:rsid w:val="00745A5C"/>
    <w:rsid w:val="00746531"/>
    <w:rsid w:val="00750F59"/>
    <w:rsid w:val="00751725"/>
    <w:rsid w:val="00752028"/>
    <w:rsid w:val="0075450A"/>
    <w:rsid w:val="00756513"/>
    <w:rsid w:val="0075717D"/>
    <w:rsid w:val="0076017E"/>
    <w:rsid w:val="00760DB6"/>
    <w:rsid w:val="007615F1"/>
    <w:rsid w:val="00761BE1"/>
    <w:rsid w:val="00762E41"/>
    <w:rsid w:val="0076361C"/>
    <w:rsid w:val="007661AE"/>
    <w:rsid w:val="00766A51"/>
    <w:rsid w:val="00771FFF"/>
    <w:rsid w:val="00772818"/>
    <w:rsid w:val="0077685D"/>
    <w:rsid w:val="00776CD9"/>
    <w:rsid w:val="0077788E"/>
    <w:rsid w:val="00781747"/>
    <w:rsid w:val="0078194A"/>
    <w:rsid w:val="00782AD7"/>
    <w:rsid w:val="00784439"/>
    <w:rsid w:val="00786225"/>
    <w:rsid w:val="00787E75"/>
    <w:rsid w:val="0079407B"/>
    <w:rsid w:val="00797257"/>
    <w:rsid w:val="007A157D"/>
    <w:rsid w:val="007A1FF3"/>
    <w:rsid w:val="007A2794"/>
    <w:rsid w:val="007A3157"/>
    <w:rsid w:val="007A672C"/>
    <w:rsid w:val="007A6E20"/>
    <w:rsid w:val="007B10ED"/>
    <w:rsid w:val="007B2B2E"/>
    <w:rsid w:val="007B3BFC"/>
    <w:rsid w:val="007B4B03"/>
    <w:rsid w:val="007B6CD6"/>
    <w:rsid w:val="007C4629"/>
    <w:rsid w:val="007C4F31"/>
    <w:rsid w:val="007C7147"/>
    <w:rsid w:val="007D3B40"/>
    <w:rsid w:val="007D4C33"/>
    <w:rsid w:val="007E5257"/>
    <w:rsid w:val="007E5391"/>
    <w:rsid w:val="007F2818"/>
    <w:rsid w:val="007F3B5C"/>
    <w:rsid w:val="007F45AD"/>
    <w:rsid w:val="007F4EF5"/>
    <w:rsid w:val="008008B5"/>
    <w:rsid w:val="00804105"/>
    <w:rsid w:val="00806D94"/>
    <w:rsid w:val="00807AD8"/>
    <w:rsid w:val="00811800"/>
    <w:rsid w:val="00812E1C"/>
    <w:rsid w:val="00813CFF"/>
    <w:rsid w:val="00813E7F"/>
    <w:rsid w:val="008140C5"/>
    <w:rsid w:val="00814590"/>
    <w:rsid w:val="00814667"/>
    <w:rsid w:val="008148E2"/>
    <w:rsid w:val="008149E4"/>
    <w:rsid w:val="008156B7"/>
    <w:rsid w:val="00817732"/>
    <w:rsid w:val="00817745"/>
    <w:rsid w:val="00817D90"/>
    <w:rsid w:val="00822355"/>
    <w:rsid w:val="00822AB8"/>
    <w:rsid w:val="0082332D"/>
    <w:rsid w:val="008236D6"/>
    <w:rsid w:val="0082402C"/>
    <w:rsid w:val="00825AB1"/>
    <w:rsid w:val="00825FF5"/>
    <w:rsid w:val="008262F1"/>
    <w:rsid w:val="00830642"/>
    <w:rsid w:val="008311FA"/>
    <w:rsid w:val="008317EF"/>
    <w:rsid w:val="00835C99"/>
    <w:rsid w:val="00836867"/>
    <w:rsid w:val="008368B2"/>
    <w:rsid w:val="00840748"/>
    <w:rsid w:val="00841EA6"/>
    <w:rsid w:val="00845BCC"/>
    <w:rsid w:val="00851465"/>
    <w:rsid w:val="008514B8"/>
    <w:rsid w:val="00852ED8"/>
    <w:rsid w:val="0085330A"/>
    <w:rsid w:val="00854F15"/>
    <w:rsid w:val="008550CA"/>
    <w:rsid w:val="0085533A"/>
    <w:rsid w:val="00855543"/>
    <w:rsid w:val="0085738D"/>
    <w:rsid w:val="00862395"/>
    <w:rsid w:val="00864DD3"/>
    <w:rsid w:val="00865694"/>
    <w:rsid w:val="008708D6"/>
    <w:rsid w:val="0087109E"/>
    <w:rsid w:val="00874499"/>
    <w:rsid w:val="00874608"/>
    <w:rsid w:val="008760D0"/>
    <w:rsid w:val="00880220"/>
    <w:rsid w:val="00881310"/>
    <w:rsid w:val="00881317"/>
    <w:rsid w:val="00882930"/>
    <w:rsid w:val="008843EE"/>
    <w:rsid w:val="00892CA4"/>
    <w:rsid w:val="008942A9"/>
    <w:rsid w:val="00896477"/>
    <w:rsid w:val="00896BD6"/>
    <w:rsid w:val="00896F5A"/>
    <w:rsid w:val="008A263A"/>
    <w:rsid w:val="008A3C37"/>
    <w:rsid w:val="008A68EB"/>
    <w:rsid w:val="008A6F67"/>
    <w:rsid w:val="008B1840"/>
    <w:rsid w:val="008B1E92"/>
    <w:rsid w:val="008B30E5"/>
    <w:rsid w:val="008B5E50"/>
    <w:rsid w:val="008B70D3"/>
    <w:rsid w:val="008B73A2"/>
    <w:rsid w:val="008B74A1"/>
    <w:rsid w:val="008B7FE2"/>
    <w:rsid w:val="008C0B02"/>
    <w:rsid w:val="008C0BBA"/>
    <w:rsid w:val="008C1308"/>
    <w:rsid w:val="008C2450"/>
    <w:rsid w:val="008C423B"/>
    <w:rsid w:val="008C7817"/>
    <w:rsid w:val="008C7F5B"/>
    <w:rsid w:val="008D079A"/>
    <w:rsid w:val="008D2F40"/>
    <w:rsid w:val="008D5B52"/>
    <w:rsid w:val="008E0AD6"/>
    <w:rsid w:val="008E4209"/>
    <w:rsid w:val="008E48FC"/>
    <w:rsid w:val="008E4F7A"/>
    <w:rsid w:val="008E55BD"/>
    <w:rsid w:val="008E609B"/>
    <w:rsid w:val="008E7245"/>
    <w:rsid w:val="008E7527"/>
    <w:rsid w:val="008E7C64"/>
    <w:rsid w:val="008F2AD6"/>
    <w:rsid w:val="008F3AF2"/>
    <w:rsid w:val="008F44F1"/>
    <w:rsid w:val="008F4BA8"/>
    <w:rsid w:val="008F577E"/>
    <w:rsid w:val="008F5C07"/>
    <w:rsid w:val="008F6817"/>
    <w:rsid w:val="008F696D"/>
    <w:rsid w:val="008F7777"/>
    <w:rsid w:val="00901CF5"/>
    <w:rsid w:val="00901F53"/>
    <w:rsid w:val="009033B7"/>
    <w:rsid w:val="00904595"/>
    <w:rsid w:val="00905CFB"/>
    <w:rsid w:val="00906391"/>
    <w:rsid w:val="00906431"/>
    <w:rsid w:val="00910077"/>
    <w:rsid w:val="009115AF"/>
    <w:rsid w:val="00913276"/>
    <w:rsid w:val="00913DB8"/>
    <w:rsid w:val="009221DF"/>
    <w:rsid w:val="009224FD"/>
    <w:rsid w:val="00930494"/>
    <w:rsid w:val="00930BB1"/>
    <w:rsid w:val="0093296C"/>
    <w:rsid w:val="00933805"/>
    <w:rsid w:val="00935CC7"/>
    <w:rsid w:val="00937733"/>
    <w:rsid w:val="009377FD"/>
    <w:rsid w:val="0094002F"/>
    <w:rsid w:val="0094129D"/>
    <w:rsid w:val="00941917"/>
    <w:rsid w:val="00941BB7"/>
    <w:rsid w:val="00943833"/>
    <w:rsid w:val="00943FB6"/>
    <w:rsid w:val="00944760"/>
    <w:rsid w:val="00946A3C"/>
    <w:rsid w:val="00946A91"/>
    <w:rsid w:val="00946AE5"/>
    <w:rsid w:val="00950865"/>
    <w:rsid w:val="00951BAD"/>
    <w:rsid w:val="0095223D"/>
    <w:rsid w:val="009526E4"/>
    <w:rsid w:val="00953AA1"/>
    <w:rsid w:val="00954B44"/>
    <w:rsid w:val="009626AB"/>
    <w:rsid w:val="00962FE0"/>
    <w:rsid w:val="009644B8"/>
    <w:rsid w:val="0096732C"/>
    <w:rsid w:val="009703B6"/>
    <w:rsid w:val="00971A4C"/>
    <w:rsid w:val="00973DB5"/>
    <w:rsid w:val="00975EB5"/>
    <w:rsid w:val="0098354A"/>
    <w:rsid w:val="00983979"/>
    <w:rsid w:val="00983DC2"/>
    <w:rsid w:val="00983DF0"/>
    <w:rsid w:val="0099247B"/>
    <w:rsid w:val="0099742A"/>
    <w:rsid w:val="009A0446"/>
    <w:rsid w:val="009A062C"/>
    <w:rsid w:val="009A08D0"/>
    <w:rsid w:val="009A0A71"/>
    <w:rsid w:val="009A2335"/>
    <w:rsid w:val="009A48AF"/>
    <w:rsid w:val="009A522D"/>
    <w:rsid w:val="009A6C25"/>
    <w:rsid w:val="009B0C68"/>
    <w:rsid w:val="009B28A5"/>
    <w:rsid w:val="009B3606"/>
    <w:rsid w:val="009B3F77"/>
    <w:rsid w:val="009B5132"/>
    <w:rsid w:val="009C166A"/>
    <w:rsid w:val="009C2059"/>
    <w:rsid w:val="009C6F17"/>
    <w:rsid w:val="009C6FFB"/>
    <w:rsid w:val="009C7EF5"/>
    <w:rsid w:val="009D0442"/>
    <w:rsid w:val="009D0C93"/>
    <w:rsid w:val="009D16F6"/>
    <w:rsid w:val="009D1F91"/>
    <w:rsid w:val="009D2FAC"/>
    <w:rsid w:val="009D754D"/>
    <w:rsid w:val="009E093C"/>
    <w:rsid w:val="009E1311"/>
    <w:rsid w:val="009E151E"/>
    <w:rsid w:val="009E1BA1"/>
    <w:rsid w:val="009E22E5"/>
    <w:rsid w:val="009E3ACF"/>
    <w:rsid w:val="009E3E1B"/>
    <w:rsid w:val="009E44E2"/>
    <w:rsid w:val="009E44E8"/>
    <w:rsid w:val="009E5DB6"/>
    <w:rsid w:val="009F110C"/>
    <w:rsid w:val="009F777E"/>
    <w:rsid w:val="009F7F52"/>
    <w:rsid w:val="00A0202C"/>
    <w:rsid w:val="00A0227E"/>
    <w:rsid w:val="00A05C1E"/>
    <w:rsid w:val="00A0603F"/>
    <w:rsid w:val="00A07DE6"/>
    <w:rsid w:val="00A112E6"/>
    <w:rsid w:val="00A14966"/>
    <w:rsid w:val="00A15CAB"/>
    <w:rsid w:val="00A15E8E"/>
    <w:rsid w:val="00A16E8F"/>
    <w:rsid w:val="00A1719A"/>
    <w:rsid w:val="00A17CCB"/>
    <w:rsid w:val="00A201DE"/>
    <w:rsid w:val="00A211A9"/>
    <w:rsid w:val="00A23F94"/>
    <w:rsid w:val="00A2422A"/>
    <w:rsid w:val="00A25265"/>
    <w:rsid w:val="00A26C9A"/>
    <w:rsid w:val="00A26FC8"/>
    <w:rsid w:val="00A303A1"/>
    <w:rsid w:val="00A410D4"/>
    <w:rsid w:val="00A42386"/>
    <w:rsid w:val="00A46B4E"/>
    <w:rsid w:val="00A50751"/>
    <w:rsid w:val="00A50E72"/>
    <w:rsid w:val="00A52D7F"/>
    <w:rsid w:val="00A53BF1"/>
    <w:rsid w:val="00A54B81"/>
    <w:rsid w:val="00A54BE7"/>
    <w:rsid w:val="00A564EB"/>
    <w:rsid w:val="00A62C2D"/>
    <w:rsid w:val="00A6338E"/>
    <w:rsid w:val="00A6394E"/>
    <w:rsid w:val="00A6500A"/>
    <w:rsid w:val="00A65333"/>
    <w:rsid w:val="00A6719E"/>
    <w:rsid w:val="00A73104"/>
    <w:rsid w:val="00A739F1"/>
    <w:rsid w:val="00A747A9"/>
    <w:rsid w:val="00A758DE"/>
    <w:rsid w:val="00A8189A"/>
    <w:rsid w:val="00A81C2E"/>
    <w:rsid w:val="00A81EC4"/>
    <w:rsid w:val="00A83B8E"/>
    <w:rsid w:val="00A8478F"/>
    <w:rsid w:val="00A858C4"/>
    <w:rsid w:val="00A85BE8"/>
    <w:rsid w:val="00A9141E"/>
    <w:rsid w:val="00A9341B"/>
    <w:rsid w:val="00A9644A"/>
    <w:rsid w:val="00A974CA"/>
    <w:rsid w:val="00A97E12"/>
    <w:rsid w:val="00AA0E52"/>
    <w:rsid w:val="00AA2CD5"/>
    <w:rsid w:val="00AA4F6C"/>
    <w:rsid w:val="00AB16AE"/>
    <w:rsid w:val="00AB26A6"/>
    <w:rsid w:val="00AB392A"/>
    <w:rsid w:val="00AB3BE6"/>
    <w:rsid w:val="00AB5801"/>
    <w:rsid w:val="00AB5A64"/>
    <w:rsid w:val="00AB71A5"/>
    <w:rsid w:val="00AB76C6"/>
    <w:rsid w:val="00AB79E9"/>
    <w:rsid w:val="00AC5567"/>
    <w:rsid w:val="00AD04F4"/>
    <w:rsid w:val="00AD576C"/>
    <w:rsid w:val="00AD670F"/>
    <w:rsid w:val="00AD6C71"/>
    <w:rsid w:val="00AE1E4B"/>
    <w:rsid w:val="00AE1E54"/>
    <w:rsid w:val="00AE2AFD"/>
    <w:rsid w:val="00AE3765"/>
    <w:rsid w:val="00AE4372"/>
    <w:rsid w:val="00AE478A"/>
    <w:rsid w:val="00AE62EF"/>
    <w:rsid w:val="00AF0A19"/>
    <w:rsid w:val="00AF0C8D"/>
    <w:rsid w:val="00AF3616"/>
    <w:rsid w:val="00AF6744"/>
    <w:rsid w:val="00B00778"/>
    <w:rsid w:val="00B02918"/>
    <w:rsid w:val="00B04073"/>
    <w:rsid w:val="00B04E8C"/>
    <w:rsid w:val="00B050C0"/>
    <w:rsid w:val="00B05642"/>
    <w:rsid w:val="00B06097"/>
    <w:rsid w:val="00B07FA8"/>
    <w:rsid w:val="00B10045"/>
    <w:rsid w:val="00B100DF"/>
    <w:rsid w:val="00B10B8C"/>
    <w:rsid w:val="00B10CAE"/>
    <w:rsid w:val="00B12190"/>
    <w:rsid w:val="00B1294B"/>
    <w:rsid w:val="00B137C3"/>
    <w:rsid w:val="00B15433"/>
    <w:rsid w:val="00B171BB"/>
    <w:rsid w:val="00B2247A"/>
    <w:rsid w:val="00B3596C"/>
    <w:rsid w:val="00B36551"/>
    <w:rsid w:val="00B36E9E"/>
    <w:rsid w:val="00B40E38"/>
    <w:rsid w:val="00B4195C"/>
    <w:rsid w:val="00B45BA4"/>
    <w:rsid w:val="00B45C9E"/>
    <w:rsid w:val="00B51ACE"/>
    <w:rsid w:val="00B619AA"/>
    <w:rsid w:val="00B623D7"/>
    <w:rsid w:val="00B66E7A"/>
    <w:rsid w:val="00B743F1"/>
    <w:rsid w:val="00B8096A"/>
    <w:rsid w:val="00B812A2"/>
    <w:rsid w:val="00B841E9"/>
    <w:rsid w:val="00B85417"/>
    <w:rsid w:val="00B91564"/>
    <w:rsid w:val="00B9206A"/>
    <w:rsid w:val="00B9279E"/>
    <w:rsid w:val="00BA1CFA"/>
    <w:rsid w:val="00BA4284"/>
    <w:rsid w:val="00BA574F"/>
    <w:rsid w:val="00BB122F"/>
    <w:rsid w:val="00BB1B6C"/>
    <w:rsid w:val="00BB5EE7"/>
    <w:rsid w:val="00BB6D60"/>
    <w:rsid w:val="00BC0D85"/>
    <w:rsid w:val="00BC1029"/>
    <w:rsid w:val="00BC2720"/>
    <w:rsid w:val="00BC4728"/>
    <w:rsid w:val="00BC4BF4"/>
    <w:rsid w:val="00BC60B3"/>
    <w:rsid w:val="00BC6F53"/>
    <w:rsid w:val="00BC6FDB"/>
    <w:rsid w:val="00BD06E7"/>
    <w:rsid w:val="00BD0E56"/>
    <w:rsid w:val="00BD2253"/>
    <w:rsid w:val="00BD7496"/>
    <w:rsid w:val="00BE042D"/>
    <w:rsid w:val="00BE30C9"/>
    <w:rsid w:val="00BE3D6D"/>
    <w:rsid w:val="00BE4802"/>
    <w:rsid w:val="00BE66C5"/>
    <w:rsid w:val="00BE7212"/>
    <w:rsid w:val="00BE76C5"/>
    <w:rsid w:val="00BF0D7C"/>
    <w:rsid w:val="00BF12BD"/>
    <w:rsid w:val="00BF331F"/>
    <w:rsid w:val="00C01B21"/>
    <w:rsid w:val="00C02CF7"/>
    <w:rsid w:val="00C053A4"/>
    <w:rsid w:val="00C05CC6"/>
    <w:rsid w:val="00C068C7"/>
    <w:rsid w:val="00C073C2"/>
    <w:rsid w:val="00C104A7"/>
    <w:rsid w:val="00C13C12"/>
    <w:rsid w:val="00C160F4"/>
    <w:rsid w:val="00C20F99"/>
    <w:rsid w:val="00C2120D"/>
    <w:rsid w:val="00C215E7"/>
    <w:rsid w:val="00C233E9"/>
    <w:rsid w:val="00C2605C"/>
    <w:rsid w:val="00C26C5B"/>
    <w:rsid w:val="00C2711B"/>
    <w:rsid w:val="00C30051"/>
    <w:rsid w:val="00C303B4"/>
    <w:rsid w:val="00C30924"/>
    <w:rsid w:val="00C34C48"/>
    <w:rsid w:val="00C40EBC"/>
    <w:rsid w:val="00C41265"/>
    <w:rsid w:val="00C4202E"/>
    <w:rsid w:val="00C42ACA"/>
    <w:rsid w:val="00C42F15"/>
    <w:rsid w:val="00C4508D"/>
    <w:rsid w:val="00C47E1D"/>
    <w:rsid w:val="00C51308"/>
    <w:rsid w:val="00C51F78"/>
    <w:rsid w:val="00C539F8"/>
    <w:rsid w:val="00C53A47"/>
    <w:rsid w:val="00C56983"/>
    <w:rsid w:val="00C57BB9"/>
    <w:rsid w:val="00C606F6"/>
    <w:rsid w:val="00C6082E"/>
    <w:rsid w:val="00C60F24"/>
    <w:rsid w:val="00C61699"/>
    <w:rsid w:val="00C62B02"/>
    <w:rsid w:val="00C64908"/>
    <w:rsid w:val="00C705B5"/>
    <w:rsid w:val="00C7093C"/>
    <w:rsid w:val="00C70E5E"/>
    <w:rsid w:val="00C738BD"/>
    <w:rsid w:val="00C741E2"/>
    <w:rsid w:val="00C7495E"/>
    <w:rsid w:val="00C75D40"/>
    <w:rsid w:val="00C82E86"/>
    <w:rsid w:val="00C83627"/>
    <w:rsid w:val="00C85E44"/>
    <w:rsid w:val="00C86C45"/>
    <w:rsid w:val="00C92F94"/>
    <w:rsid w:val="00C95D81"/>
    <w:rsid w:val="00C960AA"/>
    <w:rsid w:val="00C97A76"/>
    <w:rsid w:val="00CA121E"/>
    <w:rsid w:val="00CA501D"/>
    <w:rsid w:val="00CA55C4"/>
    <w:rsid w:val="00CB1789"/>
    <w:rsid w:val="00CB1CB2"/>
    <w:rsid w:val="00CB2557"/>
    <w:rsid w:val="00CB36A8"/>
    <w:rsid w:val="00CB44C4"/>
    <w:rsid w:val="00CB47FE"/>
    <w:rsid w:val="00CB4D35"/>
    <w:rsid w:val="00CB63B7"/>
    <w:rsid w:val="00CB6703"/>
    <w:rsid w:val="00CC39B1"/>
    <w:rsid w:val="00CC3D90"/>
    <w:rsid w:val="00CC4C5C"/>
    <w:rsid w:val="00CD2573"/>
    <w:rsid w:val="00CD526B"/>
    <w:rsid w:val="00CD5B93"/>
    <w:rsid w:val="00CD63AB"/>
    <w:rsid w:val="00CD7039"/>
    <w:rsid w:val="00CE076B"/>
    <w:rsid w:val="00CE0AFE"/>
    <w:rsid w:val="00CE291E"/>
    <w:rsid w:val="00CE38FC"/>
    <w:rsid w:val="00CE3B32"/>
    <w:rsid w:val="00CE4A24"/>
    <w:rsid w:val="00CE613B"/>
    <w:rsid w:val="00CE7403"/>
    <w:rsid w:val="00CF0826"/>
    <w:rsid w:val="00CF0D8A"/>
    <w:rsid w:val="00CF267F"/>
    <w:rsid w:val="00CF4181"/>
    <w:rsid w:val="00CF7179"/>
    <w:rsid w:val="00CF7DA0"/>
    <w:rsid w:val="00D0312C"/>
    <w:rsid w:val="00D04614"/>
    <w:rsid w:val="00D071D0"/>
    <w:rsid w:val="00D10752"/>
    <w:rsid w:val="00D1723F"/>
    <w:rsid w:val="00D2029F"/>
    <w:rsid w:val="00D21F25"/>
    <w:rsid w:val="00D24178"/>
    <w:rsid w:val="00D26B64"/>
    <w:rsid w:val="00D30AA4"/>
    <w:rsid w:val="00D30C36"/>
    <w:rsid w:val="00D30CE5"/>
    <w:rsid w:val="00D3674A"/>
    <w:rsid w:val="00D36BDA"/>
    <w:rsid w:val="00D40383"/>
    <w:rsid w:val="00D4085D"/>
    <w:rsid w:val="00D40940"/>
    <w:rsid w:val="00D41544"/>
    <w:rsid w:val="00D428F4"/>
    <w:rsid w:val="00D434F3"/>
    <w:rsid w:val="00D46E83"/>
    <w:rsid w:val="00D51120"/>
    <w:rsid w:val="00D51386"/>
    <w:rsid w:val="00D52914"/>
    <w:rsid w:val="00D5485B"/>
    <w:rsid w:val="00D5516F"/>
    <w:rsid w:val="00D57346"/>
    <w:rsid w:val="00D61911"/>
    <w:rsid w:val="00D62258"/>
    <w:rsid w:val="00D625A7"/>
    <w:rsid w:val="00D62EB9"/>
    <w:rsid w:val="00D677F9"/>
    <w:rsid w:val="00D6783C"/>
    <w:rsid w:val="00D702F1"/>
    <w:rsid w:val="00D729FA"/>
    <w:rsid w:val="00D72E89"/>
    <w:rsid w:val="00D7336A"/>
    <w:rsid w:val="00D73591"/>
    <w:rsid w:val="00D75B14"/>
    <w:rsid w:val="00D76BA5"/>
    <w:rsid w:val="00D802FC"/>
    <w:rsid w:val="00D831F3"/>
    <w:rsid w:val="00D84ADE"/>
    <w:rsid w:val="00D84DBF"/>
    <w:rsid w:val="00D8532B"/>
    <w:rsid w:val="00D85463"/>
    <w:rsid w:val="00D9472D"/>
    <w:rsid w:val="00D973A5"/>
    <w:rsid w:val="00D97FC6"/>
    <w:rsid w:val="00DA205D"/>
    <w:rsid w:val="00DA7233"/>
    <w:rsid w:val="00DA782A"/>
    <w:rsid w:val="00DB1F84"/>
    <w:rsid w:val="00DC0300"/>
    <w:rsid w:val="00DC192A"/>
    <w:rsid w:val="00DC32B9"/>
    <w:rsid w:val="00DC4D62"/>
    <w:rsid w:val="00DC50E5"/>
    <w:rsid w:val="00DC583B"/>
    <w:rsid w:val="00DC76C7"/>
    <w:rsid w:val="00DD7771"/>
    <w:rsid w:val="00DE13E4"/>
    <w:rsid w:val="00DE1834"/>
    <w:rsid w:val="00DE19D6"/>
    <w:rsid w:val="00DE311A"/>
    <w:rsid w:val="00DE36EB"/>
    <w:rsid w:val="00DE3F3F"/>
    <w:rsid w:val="00DE44F3"/>
    <w:rsid w:val="00DE4A6C"/>
    <w:rsid w:val="00DE64C1"/>
    <w:rsid w:val="00DF1A22"/>
    <w:rsid w:val="00DF5BAB"/>
    <w:rsid w:val="00E01037"/>
    <w:rsid w:val="00E01D04"/>
    <w:rsid w:val="00E06490"/>
    <w:rsid w:val="00E10555"/>
    <w:rsid w:val="00E11087"/>
    <w:rsid w:val="00E1135A"/>
    <w:rsid w:val="00E16E0A"/>
    <w:rsid w:val="00E204BB"/>
    <w:rsid w:val="00E2085E"/>
    <w:rsid w:val="00E220BC"/>
    <w:rsid w:val="00E22F01"/>
    <w:rsid w:val="00E31096"/>
    <w:rsid w:val="00E33938"/>
    <w:rsid w:val="00E33F03"/>
    <w:rsid w:val="00E354D8"/>
    <w:rsid w:val="00E35CF1"/>
    <w:rsid w:val="00E3658A"/>
    <w:rsid w:val="00E3706A"/>
    <w:rsid w:val="00E3738B"/>
    <w:rsid w:val="00E37446"/>
    <w:rsid w:val="00E37730"/>
    <w:rsid w:val="00E40969"/>
    <w:rsid w:val="00E4099E"/>
    <w:rsid w:val="00E42534"/>
    <w:rsid w:val="00E42570"/>
    <w:rsid w:val="00E43821"/>
    <w:rsid w:val="00E456AA"/>
    <w:rsid w:val="00E5201F"/>
    <w:rsid w:val="00E54293"/>
    <w:rsid w:val="00E5494D"/>
    <w:rsid w:val="00E54D1A"/>
    <w:rsid w:val="00E579FF"/>
    <w:rsid w:val="00E6025A"/>
    <w:rsid w:val="00E65F2B"/>
    <w:rsid w:val="00E6698B"/>
    <w:rsid w:val="00E7139E"/>
    <w:rsid w:val="00E7195E"/>
    <w:rsid w:val="00E72F4A"/>
    <w:rsid w:val="00E7467D"/>
    <w:rsid w:val="00E82115"/>
    <w:rsid w:val="00E8285A"/>
    <w:rsid w:val="00E832FF"/>
    <w:rsid w:val="00E83448"/>
    <w:rsid w:val="00E838D3"/>
    <w:rsid w:val="00E84F27"/>
    <w:rsid w:val="00E90BF8"/>
    <w:rsid w:val="00E91F47"/>
    <w:rsid w:val="00E92C8A"/>
    <w:rsid w:val="00E9346D"/>
    <w:rsid w:val="00EA1D0F"/>
    <w:rsid w:val="00EA21BF"/>
    <w:rsid w:val="00EA4A13"/>
    <w:rsid w:val="00EA594C"/>
    <w:rsid w:val="00EA61EE"/>
    <w:rsid w:val="00EA6FC8"/>
    <w:rsid w:val="00EA7329"/>
    <w:rsid w:val="00EA7A1C"/>
    <w:rsid w:val="00EB5170"/>
    <w:rsid w:val="00EB7EDA"/>
    <w:rsid w:val="00EC35B5"/>
    <w:rsid w:val="00EC3E78"/>
    <w:rsid w:val="00EC5206"/>
    <w:rsid w:val="00EC5D22"/>
    <w:rsid w:val="00EC6DCE"/>
    <w:rsid w:val="00EC75C1"/>
    <w:rsid w:val="00ED0175"/>
    <w:rsid w:val="00ED0AC8"/>
    <w:rsid w:val="00ED2AC4"/>
    <w:rsid w:val="00ED4036"/>
    <w:rsid w:val="00EE041B"/>
    <w:rsid w:val="00EE0F4C"/>
    <w:rsid w:val="00EE298D"/>
    <w:rsid w:val="00EE57AC"/>
    <w:rsid w:val="00EE74C4"/>
    <w:rsid w:val="00EE7D29"/>
    <w:rsid w:val="00EF33DE"/>
    <w:rsid w:val="00EF6486"/>
    <w:rsid w:val="00EF72D4"/>
    <w:rsid w:val="00F029CE"/>
    <w:rsid w:val="00F05E42"/>
    <w:rsid w:val="00F069DE"/>
    <w:rsid w:val="00F0763A"/>
    <w:rsid w:val="00F10A99"/>
    <w:rsid w:val="00F11A23"/>
    <w:rsid w:val="00F11DDE"/>
    <w:rsid w:val="00F120E6"/>
    <w:rsid w:val="00F12ACD"/>
    <w:rsid w:val="00F16589"/>
    <w:rsid w:val="00F2068C"/>
    <w:rsid w:val="00F234AB"/>
    <w:rsid w:val="00F24478"/>
    <w:rsid w:val="00F302F4"/>
    <w:rsid w:val="00F31DE0"/>
    <w:rsid w:val="00F3245D"/>
    <w:rsid w:val="00F3297A"/>
    <w:rsid w:val="00F34E70"/>
    <w:rsid w:val="00F35FA8"/>
    <w:rsid w:val="00F4377A"/>
    <w:rsid w:val="00F46237"/>
    <w:rsid w:val="00F470FE"/>
    <w:rsid w:val="00F47765"/>
    <w:rsid w:val="00F501C6"/>
    <w:rsid w:val="00F5237B"/>
    <w:rsid w:val="00F55873"/>
    <w:rsid w:val="00F576F6"/>
    <w:rsid w:val="00F63092"/>
    <w:rsid w:val="00F630DB"/>
    <w:rsid w:val="00F630EF"/>
    <w:rsid w:val="00F6403E"/>
    <w:rsid w:val="00F652B4"/>
    <w:rsid w:val="00F66B9E"/>
    <w:rsid w:val="00F71346"/>
    <w:rsid w:val="00F715F2"/>
    <w:rsid w:val="00F730C7"/>
    <w:rsid w:val="00F7370E"/>
    <w:rsid w:val="00F767D3"/>
    <w:rsid w:val="00F76C87"/>
    <w:rsid w:val="00F81B3B"/>
    <w:rsid w:val="00F864B5"/>
    <w:rsid w:val="00F8684A"/>
    <w:rsid w:val="00F91DE8"/>
    <w:rsid w:val="00F925E2"/>
    <w:rsid w:val="00F94C3D"/>
    <w:rsid w:val="00F95D26"/>
    <w:rsid w:val="00F979C5"/>
    <w:rsid w:val="00FA0CBF"/>
    <w:rsid w:val="00FA0E45"/>
    <w:rsid w:val="00FA2EC0"/>
    <w:rsid w:val="00FA3781"/>
    <w:rsid w:val="00FA4E87"/>
    <w:rsid w:val="00FA64FD"/>
    <w:rsid w:val="00FB256A"/>
    <w:rsid w:val="00FB351E"/>
    <w:rsid w:val="00FB4200"/>
    <w:rsid w:val="00FB5709"/>
    <w:rsid w:val="00FB5750"/>
    <w:rsid w:val="00FB6A2E"/>
    <w:rsid w:val="00FC055C"/>
    <w:rsid w:val="00FD4437"/>
    <w:rsid w:val="00FE0347"/>
    <w:rsid w:val="00FE26A5"/>
    <w:rsid w:val="00FE347C"/>
    <w:rsid w:val="00FE4A16"/>
    <w:rsid w:val="00FF1583"/>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6"/>
      </w:numPr>
      <w:tabs>
        <w:tab w:val="num" w:pos="567"/>
        <w:tab w:val="num" w:pos="850"/>
      </w:tabs>
      <w:ind w:left="850" w:hanging="284"/>
    </w:pPr>
  </w:style>
  <w:style w:type="paragraph" w:customStyle="1" w:styleId="DoubleDot">
    <w:name w:val="Double Dot"/>
    <w:basedOn w:val="Normal"/>
    <w:rsid w:val="00D51386"/>
    <w:pPr>
      <w:numPr>
        <w:ilvl w:val="2"/>
        <w:numId w:val="16"/>
      </w:numPr>
      <w:tabs>
        <w:tab w:val="num" w:pos="850"/>
        <w:tab w:val="num" w:pos="1133"/>
      </w:tabs>
      <w:ind w:left="1133" w:hanging="283"/>
    </w:pPr>
  </w:style>
  <w:style w:type="paragraph" w:customStyle="1" w:styleId="OutlineNumbered1">
    <w:name w:val="Outline Numbered 1"/>
    <w:basedOn w:val="Normal"/>
    <w:rsid w:val="00D51386"/>
    <w:pPr>
      <w:numPr>
        <w:numId w:val="31"/>
      </w:numPr>
    </w:pPr>
  </w:style>
  <w:style w:type="paragraph" w:customStyle="1" w:styleId="OutlineNumbered2">
    <w:name w:val="Outline Numbered 2"/>
    <w:basedOn w:val="Normal"/>
    <w:rsid w:val="00D51386"/>
    <w:pPr>
      <w:numPr>
        <w:ilvl w:val="1"/>
        <w:numId w:val="31"/>
      </w:numPr>
    </w:pPr>
  </w:style>
  <w:style w:type="paragraph" w:customStyle="1" w:styleId="OutlineNumbered3">
    <w:name w:val="Outline Numbered 3"/>
    <w:basedOn w:val="Normal"/>
    <w:rsid w:val="00D51386"/>
    <w:pPr>
      <w:numPr>
        <w:ilvl w:val="2"/>
        <w:numId w:val="3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4"/>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6"/>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5"/>
      </w:numPr>
    </w:pPr>
  </w:style>
  <w:style w:type="paragraph" w:customStyle="1" w:styleId="BoxDash">
    <w:name w:val="Box Dash"/>
    <w:basedOn w:val="Normal"/>
    <w:uiPriority w:val="99"/>
    <w:rsid w:val="00D51386"/>
    <w:pPr>
      <w:numPr>
        <w:ilvl w:val="1"/>
        <w:numId w:val="15"/>
      </w:numPr>
    </w:pPr>
  </w:style>
  <w:style w:type="paragraph" w:customStyle="1" w:styleId="BoxDoubleDot">
    <w:name w:val="Box Double Dot"/>
    <w:basedOn w:val="BoxTextBase"/>
    <w:uiPriority w:val="99"/>
    <w:rsid w:val="00D51386"/>
    <w:pPr>
      <w:numPr>
        <w:ilvl w:val="2"/>
        <w:numId w:val="15"/>
      </w:numPr>
    </w:pPr>
  </w:style>
  <w:style w:type="paragraph" w:customStyle="1" w:styleId="RecommendationBullet">
    <w:name w:val="Recommendation Bullet"/>
    <w:basedOn w:val="RecommendationTextBase"/>
    <w:rsid w:val="00D51386"/>
    <w:pPr>
      <w:numPr>
        <w:numId w:val="17"/>
      </w:numPr>
    </w:pPr>
  </w:style>
  <w:style w:type="paragraph" w:customStyle="1" w:styleId="RecommendationDash">
    <w:name w:val="Recommendation Dash"/>
    <w:basedOn w:val="RecommendationTextBase"/>
    <w:rsid w:val="00D51386"/>
    <w:pPr>
      <w:numPr>
        <w:ilvl w:val="1"/>
        <w:numId w:val="17"/>
      </w:numPr>
    </w:pPr>
  </w:style>
  <w:style w:type="paragraph" w:customStyle="1" w:styleId="RecommendationDoubleDot">
    <w:name w:val="Recommendation Double Dot"/>
    <w:basedOn w:val="RecommendationTextBase"/>
    <w:rsid w:val="00D51386"/>
    <w:pPr>
      <w:numPr>
        <w:ilvl w:val="2"/>
        <w:numId w:val="17"/>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2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8"/>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9"/>
      </w:numPr>
    </w:pPr>
  </w:style>
  <w:style w:type="paragraph" w:customStyle="1" w:styleId="AgreementParties">
    <w:name w:val="AgreementParties"/>
    <w:rsid w:val="00D51386"/>
    <w:pPr>
      <w:numPr>
        <w:numId w:val="2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CE07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4C48"/>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6"/>
      </w:numPr>
      <w:tabs>
        <w:tab w:val="num" w:pos="567"/>
        <w:tab w:val="num" w:pos="850"/>
      </w:tabs>
      <w:ind w:left="850" w:hanging="284"/>
    </w:pPr>
  </w:style>
  <w:style w:type="paragraph" w:customStyle="1" w:styleId="DoubleDot">
    <w:name w:val="Double Dot"/>
    <w:basedOn w:val="Normal"/>
    <w:rsid w:val="00D51386"/>
    <w:pPr>
      <w:numPr>
        <w:ilvl w:val="2"/>
        <w:numId w:val="16"/>
      </w:numPr>
      <w:tabs>
        <w:tab w:val="num" w:pos="850"/>
        <w:tab w:val="num" w:pos="1133"/>
      </w:tabs>
      <w:ind w:left="1133" w:hanging="283"/>
    </w:pPr>
  </w:style>
  <w:style w:type="paragraph" w:customStyle="1" w:styleId="OutlineNumbered1">
    <w:name w:val="Outline Numbered 1"/>
    <w:basedOn w:val="Normal"/>
    <w:rsid w:val="00D51386"/>
    <w:pPr>
      <w:numPr>
        <w:numId w:val="31"/>
      </w:numPr>
    </w:pPr>
  </w:style>
  <w:style w:type="paragraph" w:customStyle="1" w:styleId="OutlineNumbered2">
    <w:name w:val="Outline Numbered 2"/>
    <w:basedOn w:val="Normal"/>
    <w:rsid w:val="00D51386"/>
    <w:pPr>
      <w:numPr>
        <w:ilvl w:val="1"/>
        <w:numId w:val="31"/>
      </w:numPr>
    </w:pPr>
  </w:style>
  <w:style w:type="paragraph" w:customStyle="1" w:styleId="OutlineNumbered3">
    <w:name w:val="Outline Numbered 3"/>
    <w:basedOn w:val="Normal"/>
    <w:rsid w:val="00D51386"/>
    <w:pPr>
      <w:numPr>
        <w:ilvl w:val="2"/>
        <w:numId w:val="3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4"/>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6"/>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5"/>
      </w:numPr>
    </w:pPr>
  </w:style>
  <w:style w:type="paragraph" w:customStyle="1" w:styleId="BoxDash">
    <w:name w:val="Box Dash"/>
    <w:basedOn w:val="Normal"/>
    <w:uiPriority w:val="99"/>
    <w:rsid w:val="00D51386"/>
    <w:pPr>
      <w:numPr>
        <w:ilvl w:val="1"/>
        <w:numId w:val="15"/>
      </w:numPr>
    </w:pPr>
  </w:style>
  <w:style w:type="paragraph" w:customStyle="1" w:styleId="BoxDoubleDot">
    <w:name w:val="Box Double Dot"/>
    <w:basedOn w:val="BoxTextBase"/>
    <w:uiPriority w:val="99"/>
    <w:rsid w:val="00D51386"/>
    <w:pPr>
      <w:numPr>
        <w:ilvl w:val="2"/>
        <w:numId w:val="15"/>
      </w:numPr>
    </w:pPr>
  </w:style>
  <w:style w:type="paragraph" w:customStyle="1" w:styleId="RecommendationBullet">
    <w:name w:val="Recommendation Bullet"/>
    <w:basedOn w:val="RecommendationTextBase"/>
    <w:rsid w:val="00D51386"/>
    <w:pPr>
      <w:numPr>
        <w:numId w:val="17"/>
      </w:numPr>
    </w:pPr>
  </w:style>
  <w:style w:type="paragraph" w:customStyle="1" w:styleId="RecommendationDash">
    <w:name w:val="Recommendation Dash"/>
    <w:basedOn w:val="RecommendationTextBase"/>
    <w:rsid w:val="00D51386"/>
    <w:pPr>
      <w:numPr>
        <w:ilvl w:val="1"/>
        <w:numId w:val="17"/>
      </w:numPr>
    </w:pPr>
  </w:style>
  <w:style w:type="paragraph" w:customStyle="1" w:styleId="RecommendationDoubleDot">
    <w:name w:val="Recommendation Double Dot"/>
    <w:basedOn w:val="RecommendationTextBase"/>
    <w:rsid w:val="00D51386"/>
    <w:pPr>
      <w:numPr>
        <w:ilvl w:val="2"/>
        <w:numId w:val="17"/>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2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8"/>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9"/>
      </w:numPr>
    </w:pPr>
  </w:style>
  <w:style w:type="paragraph" w:customStyle="1" w:styleId="AgreementParties">
    <w:name w:val="AgreementParties"/>
    <w:rsid w:val="00D51386"/>
    <w:pPr>
      <w:numPr>
        <w:numId w:val="2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CE07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4C48"/>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1291">
      <w:marLeft w:val="0"/>
      <w:marRight w:val="0"/>
      <w:marTop w:val="0"/>
      <w:marBottom w:val="0"/>
      <w:divBdr>
        <w:top w:val="none" w:sz="0" w:space="0" w:color="auto"/>
        <w:left w:val="none" w:sz="0" w:space="0" w:color="auto"/>
        <w:bottom w:val="none" w:sz="0" w:space="0" w:color="auto"/>
        <w:right w:val="none" w:sz="0" w:space="0" w:color="auto"/>
      </w:divBdr>
    </w:div>
    <w:div w:id="1414161292">
      <w:marLeft w:val="0"/>
      <w:marRight w:val="0"/>
      <w:marTop w:val="0"/>
      <w:marBottom w:val="0"/>
      <w:divBdr>
        <w:top w:val="none" w:sz="0" w:space="0" w:color="auto"/>
        <w:left w:val="none" w:sz="0" w:space="0" w:color="auto"/>
        <w:bottom w:val="none" w:sz="0" w:space="0" w:color="auto"/>
        <w:right w:val="none" w:sz="0" w:space="0" w:color="auto"/>
      </w:divBdr>
    </w:div>
    <w:div w:id="1414161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35" ma:contentTypeDescription=" " ma:contentTypeScope="" ma:versionID="631628baa2cd0761122b48b9e87bb5e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2019FG-64-56934</_dlc_DocId>
    <_dlc_DocIdUrl xmlns="0f563589-9cf9-4143-b1eb-fb0534803d38">
      <Url>http://tweb/sites/fg/csrd/_layouts/15/DocIdRedir.aspx?ID=2019FG-64-56934</Url>
      <Description>2019FG-64-56934</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D129-DC82-41D7-B373-EBAB82E5FD13}"/>
</file>

<file path=customXml/itemProps2.xml><?xml version="1.0" encoding="utf-8"?>
<ds:datastoreItem xmlns:ds="http://schemas.openxmlformats.org/officeDocument/2006/customXml" ds:itemID="{1E2E043E-2707-4DA4-9C7B-4BC611D014F3}">
  <ds:schemaRefs>
    <ds:schemaRef ds:uri="Microsoft.SharePoint.Taxonomy.ContentTypeSync"/>
  </ds:schemaRefs>
</ds:datastoreItem>
</file>

<file path=customXml/itemProps3.xml><?xml version="1.0" encoding="utf-8"?>
<ds:datastoreItem xmlns:ds="http://schemas.openxmlformats.org/officeDocument/2006/customXml" ds:itemID="{316EA6DC-49D2-4B24-A066-902097B57207}">
  <ds:schemaRefs>
    <ds:schemaRef ds:uri="http://schemas.microsoft.com/sharepoint/v3/contenttype/forms"/>
  </ds:schemaRefs>
</ds:datastoreItem>
</file>

<file path=customXml/itemProps4.xml><?xml version="1.0" encoding="utf-8"?>
<ds:datastoreItem xmlns:ds="http://schemas.openxmlformats.org/officeDocument/2006/customXml" ds:itemID="{FDA7D58C-A1E8-48E0-B395-5F84F8C34335}">
  <ds:schemaRefs>
    <ds:schemaRef ds:uri="0f563589-9cf9-4143-b1eb-fb0534803d38"/>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e544e5cc-ab70-42e1-849e-1a0f8bb1f4ef"/>
    <ds:schemaRef ds:uri="http://schemas.microsoft.com/sharepoint/v4"/>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BDECEF91-9ADF-4DA6-9F91-C21A025799B8}">
  <ds:schemaRefs>
    <ds:schemaRef ds:uri="office.server.policy"/>
  </ds:schemaRefs>
</ds:datastoreItem>
</file>

<file path=customXml/itemProps6.xml><?xml version="1.0" encoding="utf-8"?>
<ds:datastoreItem xmlns:ds="http://schemas.openxmlformats.org/officeDocument/2006/customXml" ds:itemID="{3BDC9E7B-E2DC-419A-988A-7ED894A732E6}">
  <ds:schemaRefs>
    <ds:schemaRef ds:uri="http://schemas.microsoft.com/sharepoint/events"/>
  </ds:schemaRefs>
</ds:datastoreItem>
</file>

<file path=customXml/itemProps7.xml><?xml version="1.0" encoding="utf-8"?>
<ds:datastoreItem xmlns:ds="http://schemas.openxmlformats.org/officeDocument/2006/customXml" ds:itemID="{F10408FC-17A0-4774-A28D-4728E842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2753</Words>
  <Characters>15745</Characters>
  <Application>Microsoft Office Word</Application>
  <DocSecurity>0</DocSecurity>
  <Lines>463</Lines>
  <Paragraphs>240</Paragraphs>
  <ScaleCrop>false</ScaleCrop>
  <HeadingPairs>
    <vt:vector size="2" baseType="variant">
      <vt:variant>
        <vt:lpstr>Title</vt:lpstr>
      </vt:variant>
      <vt:variant>
        <vt:i4>1</vt:i4>
      </vt:variant>
    </vt:vector>
  </HeadingPairs>
  <TitlesOfParts>
    <vt:vector size="1" baseType="lpstr">
      <vt:lpstr>Project Agreement for the Western Sydney City Deal</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for the Western Sydney City Deal</dc:title>
  <dc:subject/>
  <dc:creator/>
  <cp:keywords/>
  <dc:description/>
  <cp:lastModifiedBy/>
  <cp:revision>1</cp:revision>
  <dcterms:created xsi:type="dcterms:W3CDTF">2018-12-03T04:43:00Z</dcterms:created>
  <dcterms:modified xsi:type="dcterms:W3CDTF">2019-02-28T01:12:00Z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02986c8a-a337-40c4-911c-2c4487ee4083</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{02986c8a-a337-40c4-911c-2c4487ee4083}</vt:lpwstr>
  </property>
  <property fmtid="{D5CDD505-2E9C-101B-9397-08002B2CF9AE}" pid="9" name="RecordPoint_ActiveItemWebId">
    <vt:lpwstr>{a4589788-615f-4b8b-8296-7f9f6dfbab44}</vt:lpwstr>
  </property>
  <property fmtid="{D5CDD505-2E9C-101B-9397-08002B2CF9AE}" pid="10" name="RecordPoint_RecordNumberSubmitted">
    <vt:lpwstr>R0002259929</vt:lpwstr>
  </property>
  <property fmtid="{D5CDD505-2E9C-101B-9397-08002B2CF9AE}" pid="11" name="RecordPoint_SubmissionCompleted">
    <vt:lpwstr>2020-05-01T19:23:43.4987653+10:00</vt:lpwstr>
  </property>
</Properties>
</file>