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478"/>
        <w:gridCol w:w="8160"/>
      </w:tblGrid>
      <w:tr w:rsidR="00814667" w:rsidRPr="00EB51B8" w14:paraId="2C832032" w14:textId="77777777">
        <w:tc>
          <w:tcPr>
            <w:tcW w:w="5000" w:type="pct"/>
            <w:gridSpan w:val="2"/>
          </w:tcPr>
          <w:p w14:paraId="0FDD012F" w14:textId="4B60482C" w:rsidR="00814667" w:rsidRPr="00EB51B8" w:rsidRDefault="00814667" w:rsidP="00610828">
            <w:pPr>
              <w:pStyle w:val="CoverTitleMain"/>
            </w:pPr>
            <w:r w:rsidRPr="00EB51B8">
              <w:t>Nat</w:t>
            </w:r>
            <w:r w:rsidR="007A6E20" w:rsidRPr="00EB51B8">
              <w:t xml:space="preserve">ional partnership </w:t>
            </w:r>
            <w:r w:rsidR="00C7093C" w:rsidRPr="00EB51B8">
              <w:t>on</w:t>
            </w:r>
            <w:r w:rsidR="00C55A78">
              <w:t xml:space="preserve"> </w:t>
            </w:r>
            <w:r w:rsidR="00C7093C" w:rsidRPr="00EB51B8">
              <w:br/>
            </w:r>
            <w:r w:rsidR="00462094">
              <w:t>Northern Territory</w:t>
            </w:r>
            <w:r w:rsidR="00610828" w:rsidRPr="00EB51B8">
              <w:t xml:space="preserve"> remote aboriginal investment</w:t>
            </w:r>
            <w:r w:rsidR="00EE53B4">
              <w:t xml:space="preserve"> - Extension</w:t>
            </w:r>
          </w:p>
        </w:tc>
      </w:tr>
      <w:tr w:rsidR="00814667" w:rsidRPr="00EB51B8" w14:paraId="3FF559ED" w14:textId="77777777">
        <w:tc>
          <w:tcPr>
            <w:tcW w:w="767" w:type="pct"/>
          </w:tcPr>
          <w:p w14:paraId="3D76F9E0" w14:textId="77777777" w:rsidR="00814667" w:rsidRPr="00EB51B8" w:rsidRDefault="00814667">
            <w:pPr>
              <w:pStyle w:val="SingleParagraph"/>
              <w:tabs>
                <w:tab w:val="num" w:pos="1134"/>
              </w:tabs>
              <w:spacing w:after="240"/>
              <w:ind w:left="1134" w:hanging="567"/>
            </w:pPr>
          </w:p>
        </w:tc>
        <w:tc>
          <w:tcPr>
            <w:tcW w:w="4233" w:type="pct"/>
          </w:tcPr>
          <w:p w14:paraId="185CECCE" w14:textId="77777777" w:rsidR="00814667" w:rsidRPr="00EB51B8" w:rsidRDefault="00814667">
            <w:pPr>
              <w:pStyle w:val="SingleParagraph"/>
              <w:tabs>
                <w:tab w:val="num" w:pos="1134"/>
              </w:tabs>
              <w:spacing w:after="240"/>
              <w:ind w:left="1134" w:hanging="567"/>
            </w:pPr>
          </w:p>
        </w:tc>
      </w:tr>
      <w:tr w:rsidR="00814667" w:rsidRPr="00EB51B8" w14:paraId="064AD298" w14:textId="77777777">
        <w:tc>
          <w:tcPr>
            <w:tcW w:w="767" w:type="pct"/>
          </w:tcPr>
          <w:p w14:paraId="4287B0B0" w14:textId="77777777" w:rsidR="00814667" w:rsidRPr="00EB51B8" w:rsidRDefault="00814667">
            <w:pPr>
              <w:pStyle w:val="SingleParagraph"/>
              <w:tabs>
                <w:tab w:val="num" w:pos="1134"/>
              </w:tabs>
              <w:spacing w:after="240"/>
              <w:ind w:left="1134" w:hanging="567"/>
            </w:pPr>
          </w:p>
        </w:tc>
        <w:tc>
          <w:tcPr>
            <w:tcW w:w="4233" w:type="pct"/>
          </w:tcPr>
          <w:p w14:paraId="6A9236BD" w14:textId="77777777" w:rsidR="00814667" w:rsidRPr="00EB51B8" w:rsidRDefault="00814667">
            <w:pPr>
              <w:pStyle w:val="SingleParagraph"/>
              <w:tabs>
                <w:tab w:val="num" w:pos="1134"/>
              </w:tabs>
              <w:spacing w:after="240"/>
              <w:ind w:left="1134" w:hanging="567"/>
            </w:pPr>
          </w:p>
        </w:tc>
      </w:tr>
      <w:tr w:rsidR="00814667" w:rsidRPr="00EB51B8" w14:paraId="1942B791" w14:textId="77777777">
        <w:tc>
          <w:tcPr>
            <w:tcW w:w="5000" w:type="pct"/>
            <w:gridSpan w:val="2"/>
          </w:tcPr>
          <w:p w14:paraId="7F7DD433" w14:textId="77777777" w:rsidR="00814667" w:rsidRPr="00EB51B8" w:rsidRDefault="00814667">
            <w:pPr>
              <w:pStyle w:val="AgreementHeading"/>
              <w:tabs>
                <w:tab w:val="clear" w:pos="1134"/>
              </w:tabs>
            </w:pPr>
            <w:r w:rsidRPr="00EB51B8">
              <w:t>An agreement between</w:t>
            </w:r>
          </w:p>
        </w:tc>
      </w:tr>
      <w:tr w:rsidR="00814667" w:rsidRPr="00EB51B8" w14:paraId="39BA114B" w14:textId="77777777">
        <w:tc>
          <w:tcPr>
            <w:tcW w:w="767" w:type="pct"/>
          </w:tcPr>
          <w:p w14:paraId="2F890613" w14:textId="77777777" w:rsidR="00814667" w:rsidRPr="00EB51B8" w:rsidRDefault="00814667">
            <w:pPr>
              <w:pStyle w:val="AgreementHeading"/>
              <w:tabs>
                <w:tab w:val="clear" w:pos="1134"/>
              </w:tabs>
              <w:ind w:left="522"/>
            </w:pPr>
          </w:p>
        </w:tc>
        <w:tc>
          <w:tcPr>
            <w:tcW w:w="4233" w:type="pct"/>
          </w:tcPr>
          <w:p w14:paraId="36BADCEC" w14:textId="77777777" w:rsidR="00814667" w:rsidRPr="00EB51B8" w:rsidRDefault="00814667" w:rsidP="00913F06">
            <w:pPr>
              <w:pStyle w:val="AgreementParties"/>
            </w:pPr>
            <w:r w:rsidRPr="00EB51B8">
              <w:t xml:space="preserve">the </w:t>
            </w:r>
            <w:r w:rsidRPr="00EB51B8">
              <w:rPr>
                <w:rStyle w:val="Bold"/>
              </w:rPr>
              <w:t>Commonwealth of Australia</w:t>
            </w:r>
            <w:r w:rsidRPr="00EB51B8">
              <w:t xml:space="preserve"> and</w:t>
            </w:r>
          </w:p>
        </w:tc>
      </w:tr>
      <w:tr w:rsidR="00814667" w:rsidRPr="00EB51B8" w14:paraId="582E38AC" w14:textId="77777777">
        <w:tc>
          <w:tcPr>
            <w:tcW w:w="767" w:type="pct"/>
          </w:tcPr>
          <w:p w14:paraId="32362FA2" w14:textId="77777777" w:rsidR="00814667" w:rsidRPr="00EB51B8" w:rsidRDefault="00814667">
            <w:pPr>
              <w:pStyle w:val="SingleParagraph"/>
              <w:tabs>
                <w:tab w:val="num" w:pos="1134"/>
              </w:tabs>
              <w:spacing w:after="240"/>
              <w:ind w:left="1134" w:hanging="567"/>
            </w:pPr>
          </w:p>
        </w:tc>
        <w:tc>
          <w:tcPr>
            <w:tcW w:w="4233" w:type="pct"/>
            <w:tcBorders>
              <w:left w:val="nil"/>
            </w:tcBorders>
          </w:tcPr>
          <w:p w14:paraId="63CE14F8" w14:textId="77777777" w:rsidR="00814667" w:rsidRPr="00EB51B8" w:rsidRDefault="006B2D1B" w:rsidP="00011C09">
            <w:pPr>
              <w:pStyle w:val="AgreementParties"/>
            </w:pPr>
            <w:r w:rsidRPr="00EB51B8">
              <w:t xml:space="preserve">the </w:t>
            </w:r>
            <w:r w:rsidR="00462094">
              <w:t>Northern Territory</w:t>
            </w:r>
          </w:p>
          <w:p w14:paraId="740753FE" w14:textId="77777777" w:rsidR="00EB7EDA" w:rsidRPr="00EB51B8" w:rsidRDefault="00EB7EDA" w:rsidP="00EB7EDA">
            <w:pPr>
              <w:rPr>
                <w:i/>
              </w:rPr>
            </w:pPr>
          </w:p>
        </w:tc>
      </w:tr>
      <w:tr w:rsidR="00814667" w:rsidRPr="00EB51B8" w14:paraId="5B82ABC8" w14:textId="77777777">
        <w:tc>
          <w:tcPr>
            <w:tcW w:w="5000" w:type="pct"/>
            <w:gridSpan w:val="2"/>
          </w:tcPr>
          <w:p w14:paraId="00411301" w14:textId="77777777" w:rsidR="00814667" w:rsidRPr="00EB51B8" w:rsidRDefault="00814667">
            <w:pPr>
              <w:pStyle w:val="SingleParagraph"/>
              <w:tabs>
                <w:tab w:val="num" w:pos="1134"/>
              </w:tabs>
              <w:spacing w:after="240"/>
              <w:ind w:left="1134" w:hanging="567"/>
            </w:pPr>
          </w:p>
        </w:tc>
      </w:tr>
      <w:tr w:rsidR="00814667" w:rsidRPr="00EB51B8" w14:paraId="2EFBD5FE" w14:textId="77777777">
        <w:tc>
          <w:tcPr>
            <w:tcW w:w="5000" w:type="pct"/>
            <w:gridSpan w:val="2"/>
          </w:tcPr>
          <w:p w14:paraId="3F050E1F" w14:textId="77777777" w:rsidR="001A7A15" w:rsidRPr="00EB51B8" w:rsidRDefault="001A7A15">
            <w:pPr>
              <w:pStyle w:val="Abstract"/>
            </w:pPr>
          </w:p>
          <w:p w14:paraId="3FFB83CB" w14:textId="4E8A6BAF" w:rsidR="00814667" w:rsidRPr="00EB51B8" w:rsidRDefault="00C7093C" w:rsidP="004B21B1">
            <w:pPr>
              <w:pStyle w:val="Abstract"/>
            </w:pPr>
            <w:r w:rsidRPr="00EB51B8">
              <w:t xml:space="preserve">This Agreement will </w:t>
            </w:r>
            <w:r w:rsidR="00845BCC" w:rsidRPr="00EB51B8">
              <w:t xml:space="preserve">contribute to </w:t>
            </w:r>
            <w:r w:rsidR="00EB51B8" w:rsidRPr="00EB51B8">
              <w:t xml:space="preserve">improving schooling for </w:t>
            </w:r>
            <w:r w:rsidR="00610828" w:rsidRPr="00EB51B8">
              <w:t>Aboriginal children</w:t>
            </w:r>
            <w:r w:rsidR="004B21B1">
              <w:t>,</w:t>
            </w:r>
            <w:r w:rsidR="00EB51B8" w:rsidRPr="00EB51B8">
              <w:t xml:space="preserve"> making remote Aboriginal communities in the </w:t>
            </w:r>
            <w:r w:rsidR="00462094">
              <w:t>Northern Territory</w:t>
            </w:r>
            <w:r w:rsidR="00EB51B8" w:rsidRPr="00EB51B8">
              <w:t xml:space="preserve"> safer and healthier</w:t>
            </w:r>
            <w:r w:rsidR="00686BF3">
              <w:t>,</w:t>
            </w:r>
            <w:r w:rsidR="004B21B1">
              <w:t xml:space="preserve"> and providing </w:t>
            </w:r>
            <w:r w:rsidR="00EA001F">
              <w:t xml:space="preserve">access to </w:t>
            </w:r>
            <w:r w:rsidR="00B0103F">
              <w:t xml:space="preserve">interpreter </w:t>
            </w:r>
            <w:r w:rsidR="00EA001F">
              <w:t xml:space="preserve">services and </w:t>
            </w:r>
            <w:r w:rsidR="00610828" w:rsidRPr="00EB51B8">
              <w:t>job opportunities for adults</w:t>
            </w:r>
            <w:r w:rsidRPr="00EB51B8">
              <w:t xml:space="preserve">.  </w:t>
            </w:r>
          </w:p>
        </w:tc>
      </w:tr>
    </w:tbl>
    <w:p w14:paraId="0E4D438C" w14:textId="23E8A4EC" w:rsidR="00814667" w:rsidRPr="00EB51B8" w:rsidRDefault="007A6E20">
      <w:pPr>
        <w:pStyle w:val="Title"/>
        <w:pageBreakBefore/>
      </w:pPr>
      <w:r w:rsidRPr="00EB51B8">
        <w:lastRenderedPageBreak/>
        <w:t>National Partnership</w:t>
      </w:r>
      <w:r w:rsidR="00C55A78">
        <w:t xml:space="preserve"> </w:t>
      </w:r>
      <w:r w:rsidR="00814667" w:rsidRPr="00EB51B8">
        <w:t>on</w:t>
      </w:r>
      <w:r w:rsidR="00C7093C" w:rsidRPr="00EB51B8">
        <w:t xml:space="preserve"> </w:t>
      </w:r>
      <w:r w:rsidRPr="00EB51B8">
        <w:br/>
      </w:r>
      <w:r w:rsidR="00462094">
        <w:t>Northern Territory</w:t>
      </w:r>
      <w:r w:rsidR="00610828" w:rsidRPr="00EB51B8">
        <w:t xml:space="preserve"> Remote Aboriginal Investment</w:t>
      </w:r>
      <w:r w:rsidR="00EE53B4">
        <w:t xml:space="preserve"> - Extension</w:t>
      </w:r>
    </w:p>
    <w:p w14:paraId="45251645" w14:textId="77777777" w:rsidR="003D26BA" w:rsidRPr="00EB51B8" w:rsidRDefault="00F1611B" w:rsidP="00C74B1D">
      <w:pPr>
        <w:pStyle w:val="Heading1"/>
        <w:pBdr>
          <w:top w:val="single" w:sz="4" w:space="1" w:color="auto"/>
          <w:left w:val="single" w:sz="4" w:space="4" w:color="auto"/>
          <w:bottom w:val="single" w:sz="4" w:space="0" w:color="auto"/>
          <w:right w:val="single" w:sz="4" w:space="4" w:color="auto"/>
        </w:pBdr>
        <w:shd w:val="clear" w:color="auto" w:fill="DBE5F1" w:themeFill="accent1" w:themeFillTint="33"/>
        <w:spacing w:before="120" w:after="120"/>
      </w:pPr>
      <w:r w:rsidRPr="00EB51B8">
        <w:t>overview</w:t>
      </w:r>
    </w:p>
    <w:p w14:paraId="427D0746" w14:textId="2C1792BC" w:rsidR="00EE53B4" w:rsidRDefault="00EE53B4" w:rsidP="00EE53B4">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Pr>
          <w:color w:val="auto"/>
        </w:rPr>
        <w:t xml:space="preserve">The </w:t>
      </w:r>
      <w:r w:rsidR="00187847">
        <w:rPr>
          <w:color w:val="auto"/>
        </w:rPr>
        <w:t>National Partnership Extension (</w:t>
      </w:r>
      <w:r w:rsidR="00A416CC">
        <w:rPr>
          <w:color w:val="auto"/>
        </w:rPr>
        <w:t>t</w:t>
      </w:r>
      <w:r w:rsidR="00187847">
        <w:rPr>
          <w:color w:val="auto"/>
        </w:rPr>
        <w:t>he Agreement)</w:t>
      </w:r>
      <w:r w:rsidRPr="00EE53B4">
        <w:rPr>
          <w:color w:val="auto"/>
        </w:rPr>
        <w:t xml:space="preserve"> is an exten</w:t>
      </w:r>
      <w:r>
        <w:rPr>
          <w:color w:val="auto"/>
        </w:rPr>
        <w:t>sion to the National Partnership on Northern Territory Remote Aboriginal I</w:t>
      </w:r>
      <w:r w:rsidRPr="00EE53B4">
        <w:rPr>
          <w:color w:val="auto"/>
        </w:rPr>
        <w:t xml:space="preserve">nvestment and includes financial and </w:t>
      </w:r>
      <w:r w:rsidR="003E259D">
        <w:rPr>
          <w:color w:val="auto"/>
        </w:rPr>
        <w:t xml:space="preserve">performance monitoring and </w:t>
      </w:r>
      <w:r w:rsidRPr="00EE53B4">
        <w:rPr>
          <w:color w:val="auto"/>
        </w:rPr>
        <w:t xml:space="preserve">reporting </w:t>
      </w:r>
      <w:r w:rsidR="003E259D">
        <w:rPr>
          <w:color w:val="auto"/>
        </w:rPr>
        <w:t xml:space="preserve">arrangements </w:t>
      </w:r>
      <w:r w:rsidRPr="00EE53B4">
        <w:rPr>
          <w:color w:val="auto"/>
        </w:rPr>
        <w:t xml:space="preserve">for the </w:t>
      </w:r>
      <w:r>
        <w:rPr>
          <w:color w:val="auto"/>
        </w:rPr>
        <w:t>extension period, up to 30 June 2024.</w:t>
      </w:r>
      <w:r w:rsidR="00405372">
        <w:rPr>
          <w:color w:val="auto"/>
        </w:rPr>
        <w:t xml:space="preserve"> </w:t>
      </w:r>
    </w:p>
    <w:p w14:paraId="61992744" w14:textId="27447481" w:rsidR="00187847" w:rsidRPr="00EB51B8" w:rsidRDefault="00187847" w:rsidP="00EE53B4">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Pr>
          <w:color w:val="auto"/>
        </w:rPr>
        <w:t>This Agreement is a schedule to the Federation Funding Agreement – Affordable Housing, Community Services and Other and should be read in conjunction with that Agreement.</w:t>
      </w:r>
    </w:p>
    <w:p w14:paraId="7829B6AF" w14:textId="77777777" w:rsidR="00FE4A16" w:rsidRPr="00EB51B8" w:rsidRDefault="00FE4A16" w:rsidP="00C74B1D">
      <w:pPr>
        <w:pStyle w:val="Normalnumbered"/>
        <w:numPr>
          <w:ilvl w:val="0"/>
          <w:numId w:val="0"/>
        </w:numPr>
        <w:pBdr>
          <w:top w:val="single" w:sz="4" w:space="1" w:color="auto"/>
          <w:left w:val="single" w:sz="4" w:space="4" w:color="auto"/>
          <w:bottom w:val="single" w:sz="4" w:space="0" w:color="auto"/>
          <w:right w:val="single" w:sz="4" w:space="4" w:color="auto"/>
        </w:pBdr>
        <w:shd w:val="clear" w:color="auto" w:fill="DBE5F1" w:themeFill="accent1" w:themeFillTint="33"/>
        <w:spacing w:before="120" w:after="120"/>
        <w:jc w:val="left"/>
        <w:rPr>
          <w:color w:val="auto"/>
        </w:rPr>
      </w:pPr>
      <w:r w:rsidRPr="00EB51B8">
        <w:rPr>
          <w:rFonts w:cs="Arial"/>
          <w:b/>
          <w:bCs/>
          <w:iCs/>
          <w:color w:val="3D4B67"/>
          <w:sz w:val="29"/>
          <w:szCs w:val="28"/>
        </w:rPr>
        <w:t>Purpose</w:t>
      </w:r>
    </w:p>
    <w:p w14:paraId="7352541A" w14:textId="6BBC7565" w:rsidR="00E7195E" w:rsidRPr="00EB51B8" w:rsidRDefault="005F09DB"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Pr>
          <w:spacing w:val="-1"/>
        </w:rPr>
        <w:t>A</w:t>
      </w:r>
      <w:r w:rsidRPr="005F09DB">
        <w:rPr>
          <w:spacing w:val="-1"/>
        </w:rPr>
        <w:t xml:space="preserve">n End of Term Review conducted </w:t>
      </w:r>
      <w:r>
        <w:rPr>
          <w:spacing w:val="-1"/>
        </w:rPr>
        <w:t xml:space="preserve">in 2021 </w:t>
      </w:r>
      <w:r w:rsidRPr="005F09DB">
        <w:rPr>
          <w:spacing w:val="-1"/>
        </w:rPr>
        <w:t>on the performance of the National Partnership on Northern Territory Remote Aboriginal Investment found that the Northern Territory had met its performance and reporting requirement</w:t>
      </w:r>
      <w:r>
        <w:rPr>
          <w:spacing w:val="-1"/>
        </w:rPr>
        <w:t>s</w:t>
      </w:r>
      <w:r w:rsidRPr="005F09DB">
        <w:rPr>
          <w:spacing w:val="-1"/>
        </w:rPr>
        <w:t xml:space="preserve"> on improving outcomes in remote and very remote Aboriginal communities under the Partnership. While it found a need for some areas of improvement going forward, the parties recognise that continued support to those experiencing significantly poorer life outcomes than the rest of the nation, as measured by the National Agreement on Closing the Gap targets, and additional investment in services is required for action to address the still-prevalent high levels of need. </w:t>
      </w:r>
      <w:r w:rsidR="00610828" w:rsidRPr="00EB51B8">
        <w:rPr>
          <w:spacing w:val="-1"/>
        </w:rPr>
        <w:t xml:space="preserve">The Commonwealth and the </w:t>
      </w:r>
      <w:r w:rsidR="00462094">
        <w:rPr>
          <w:color w:val="auto"/>
        </w:rPr>
        <w:t>Northern Territory</w:t>
      </w:r>
      <w:r w:rsidR="004623C2" w:rsidRPr="00EB51B8">
        <w:rPr>
          <w:color w:val="auto"/>
        </w:rPr>
        <w:t xml:space="preserve"> </w:t>
      </w:r>
      <w:r w:rsidR="00E7195E" w:rsidRPr="00EB51B8">
        <w:rPr>
          <w:color w:val="auto"/>
        </w:rPr>
        <w:t xml:space="preserve">have a mutual interest in improving outcomes </w:t>
      </w:r>
      <w:r w:rsidR="00610828" w:rsidRPr="00EB51B8">
        <w:rPr>
          <w:color w:val="auto"/>
        </w:rPr>
        <w:t xml:space="preserve">for Aboriginal people </w:t>
      </w:r>
      <w:r w:rsidR="00E7195E" w:rsidRPr="00EB51B8">
        <w:rPr>
          <w:color w:val="auto"/>
        </w:rPr>
        <w:t>and need to work together to achieve those outcomes</w:t>
      </w:r>
      <w:r w:rsidR="00324EFA">
        <w:rPr>
          <w:color w:val="auto"/>
        </w:rPr>
        <w:t xml:space="preserve">, </w:t>
      </w:r>
      <w:r w:rsidR="00324EFA" w:rsidRPr="00EB51B8">
        <w:t>ensur</w:t>
      </w:r>
      <w:r w:rsidR="00324EFA">
        <w:t>ing</w:t>
      </w:r>
      <w:r w:rsidR="00324EFA" w:rsidRPr="00EB51B8">
        <w:t xml:space="preserve"> funding goes to programmes and services that deliver on the ground and benefit Aboriginal people in the </w:t>
      </w:r>
      <w:r w:rsidR="00324EFA">
        <w:t xml:space="preserve">remote </w:t>
      </w:r>
      <w:r w:rsidR="00462094">
        <w:t>Northern Territory</w:t>
      </w:r>
      <w:r w:rsidR="00324EFA">
        <w:t>.</w:t>
      </w:r>
      <w:r w:rsidR="00E7195E" w:rsidRPr="00EB51B8">
        <w:rPr>
          <w:color w:val="auto"/>
        </w:rPr>
        <w:t xml:space="preserve"> </w:t>
      </w:r>
    </w:p>
    <w:p w14:paraId="38716574" w14:textId="576C97A9" w:rsidR="00610828" w:rsidRPr="00EB51B8" w:rsidRDefault="00852ED8"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sidRPr="00EB51B8">
        <w:rPr>
          <w:color w:val="auto"/>
        </w:rPr>
        <w:t xml:space="preserve">This Agreement </w:t>
      </w:r>
      <w:r w:rsidR="00610828" w:rsidRPr="00EB51B8">
        <w:t>provides additional</w:t>
      </w:r>
      <w:r w:rsidR="005F09DB">
        <w:t>, short</w:t>
      </w:r>
      <w:r w:rsidR="005F09DB">
        <w:noBreakHyphen/>
        <w:t>term extension</w:t>
      </w:r>
      <w:r w:rsidR="00610828" w:rsidRPr="00EB51B8">
        <w:t xml:space="preserve"> </w:t>
      </w:r>
      <w:r w:rsidR="005F09DB" w:rsidRPr="005F09DB">
        <w:t>to the National Partnership on Northern Territory Remote Aboriginal Investment</w:t>
      </w:r>
      <w:r w:rsidR="00A71858">
        <w:t xml:space="preserve"> to</w:t>
      </w:r>
      <w:r w:rsidR="005F09DB" w:rsidRPr="005F09DB">
        <w:t xml:space="preserve"> </w:t>
      </w:r>
      <w:r w:rsidR="00610828" w:rsidRPr="00EB51B8">
        <w:t xml:space="preserve">support the </w:t>
      </w:r>
      <w:r w:rsidR="00462094">
        <w:rPr>
          <w:color w:val="auto"/>
        </w:rPr>
        <w:t>Northern Territory</w:t>
      </w:r>
      <w:r w:rsidR="004623C2" w:rsidRPr="00EB51B8">
        <w:rPr>
          <w:color w:val="auto"/>
        </w:rPr>
        <w:t xml:space="preserve"> </w:t>
      </w:r>
      <w:r w:rsidR="00A71858" w:rsidRPr="00A71858">
        <w:t xml:space="preserve">in providing continued funding to existing areas of service </w:t>
      </w:r>
      <w:proofErr w:type="gramStart"/>
      <w:r w:rsidR="00A71858" w:rsidRPr="00A71858">
        <w:t>delivery</w:t>
      </w:r>
      <w:r w:rsidR="00A71858">
        <w:t xml:space="preserve"> </w:t>
      </w:r>
      <w:r w:rsidR="00610828" w:rsidRPr="00EB51B8">
        <w:t xml:space="preserve"> to</w:t>
      </w:r>
      <w:proofErr w:type="gramEnd"/>
      <w:r w:rsidR="00610828" w:rsidRPr="00EB51B8">
        <w:t xml:space="preserve"> improve the lives of Aboriginal people. The Agreement </w:t>
      </w:r>
      <w:r w:rsidR="00A71858">
        <w:t>will carry on funding</w:t>
      </w:r>
      <w:r w:rsidR="00A71858" w:rsidRPr="00EB51B8">
        <w:t xml:space="preserve"> </w:t>
      </w:r>
      <w:r w:rsidR="00610828" w:rsidRPr="00EB51B8">
        <w:t xml:space="preserve">activities and services to improve outcomes in </w:t>
      </w:r>
      <w:r w:rsidR="000E1F26" w:rsidRPr="00EB51B8">
        <w:t xml:space="preserve">schooling, </w:t>
      </w:r>
      <w:r w:rsidR="00610828" w:rsidRPr="00EB51B8">
        <w:t xml:space="preserve">community safety, </w:t>
      </w:r>
      <w:r w:rsidR="000E1F26" w:rsidRPr="00EB51B8">
        <w:t>health</w:t>
      </w:r>
      <w:r w:rsidR="000E1F26">
        <w:t>,</w:t>
      </w:r>
      <w:r w:rsidR="000E1F26" w:rsidRPr="00EB51B8" w:rsidDel="000E1F26">
        <w:t xml:space="preserve"> </w:t>
      </w:r>
      <w:r w:rsidR="00EA001F">
        <w:t xml:space="preserve">and </w:t>
      </w:r>
      <w:r w:rsidR="00DD34B4">
        <w:t>provide</w:t>
      </w:r>
      <w:r w:rsidR="00F63F0A">
        <w:t xml:space="preserve"> access to interpret</w:t>
      </w:r>
      <w:r w:rsidR="00DD34B4">
        <w:t>er</w:t>
      </w:r>
      <w:r w:rsidR="00F63F0A">
        <w:t xml:space="preserve"> services </w:t>
      </w:r>
      <w:r w:rsidR="00EA001F">
        <w:t>and job opportunities for</w:t>
      </w:r>
      <w:r w:rsidR="00A71858">
        <w:t xml:space="preserve"> families and</w:t>
      </w:r>
      <w:r w:rsidR="00EA001F">
        <w:t xml:space="preserve"> adults</w:t>
      </w:r>
      <w:r w:rsidR="00462094">
        <w:t>, complementing Northern Territory activity in these areas</w:t>
      </w:r>
      <w:r w:rsidR="00836A75">
        <w:t>.</w:t>
      </w:r>
    </w:p>
    <w:p w14:paraId="714DDE4B" w14:textId="77777777" w:rsidR="00610828" w:rsidRPr="00EB51B8" w:rsidRDefault="00EB51B8"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Pr>
          <w:color w:val="auto"/>
        </w:rPr>
        <w:t>T</w:t>
      </w:r>
      <w:r w:rsidR="00610828" w:rsidRPr="00EB51B8">
        <w:rPr>
          <w:color w:val="auto"/>
        </w:rPr>
        <w:t xml:space="preserve">he Commonwealth and the </w:t>
      </w:r>
      <w:r w:rsidR="00462094">
        <w:rPr>
          <w:color w:val="auto"/>
        </w:rPr>
        <w:t>Northern Territory</w:t>
      </w:r>
      <w:r w:rsidR="004623C2" w:rsidRPr="00EB51B8">
        <w:rPr>
          <w:color w:val="auto"/>
        </w:rPr>
        <w:t xml:space="preserve"> </w:t>
      </w:r>
      <w:r w:rsidR="00610828" w:rsidRPr="00EB51B8">
        <w:rPr>
          <w:color w:val="auto"/>
        </w:rPr>
        <w:t xml:space="preserve">are committed to providing economic development </w:t>
      </w:r>
      <w:r w:rsidR="00DD34B4">
        <w:rPr>
          <w:color w:val="auto"/>
        </w:rPr>
        <w:t xml:space="preserve">and employment </w:t>
      </w:r>
      <w:r w:rsidR="00610828" w:rsidRPr="00EB51B8">
        <w:rPr>
          <w:color w:val="auto"/>
        </w:rPr>
        <w:t>opportunities for Aboriginal people</w:t>
      </w:r>
      <w:r w:rsidR="00011C09">
        <w:rPr>
          <w:color w:val="auto"/>
        </w:rPr>
        <w:t xml:space="preserve">, </w:t>
      </w:r>
      <w:r w:rsidR="00F63F0A">
        <w:rPr>
          <w:color w:val="auto"/>
        </w:rPr>
        <w:t>and</w:t>
      </w:r>
      <w:r w:rsidR="00324EFA">
        <w:rPr>
          <w:color w:val="auto"/>
        </w:rPr>
        <w:t xml:space="preserve"> </w:t>
      </w:r>
      <w:r w:rsidR="00011C09">
        <w:rPr>
          <w:color w:val="auto"/>
        </w:rPr>
        <w:t xml:space="preserve">the promotion of Indigenous business enterprises. </w:t>
      </w:r>
    </w:p>
    <w:p w14:paraId="5355C434" w14:textId="77777777" w:rsidR="00610828" w:rsidRPr="00EB51B8" w:rsidRDefault="00610828"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sidRPr="00EB51B8">
        <w:rPr>
          <w:color w:val="auto"/>
        </w:rPr>
        <w:t xml:space="preserve">This Agreement will build on investments made under the </w:t>
      </w:r>
      <w:r w:rsidR="00953F77" w:rsidRPr="00EB51B8">
        <w:rPr>
          <w:color w:val="auto"/>
        </w:rPr>
        <w:t xml:space="preserve">National Partnership Agreement </w:t>
      </w:r>
      <w:r w:rsidR="00953F77">
        <w:rPr>
          <w:color w:val="auto"/>
        </w:rPr>
        <w:t xml:space="preserve">on </w:t>
      </w:r>
      <w:r w:rsidRPr="00EB51B8">
        <w:rPr>
          <w:color w:val="auto"/>
        </w:rPr>
        <w:t xml:space="preserve">Stronger Futures in the </w:t>
      </w:r>
      <w:r w:rsidR="00462094">
        <w:rPr>
          <w:color w:val="auto"/>
        </w:rPr>
        <w:t>Northern Territory</w:t>
      </w:r>
      <w:r w:rsidRPr="00EB51B8">
        <w:rPr>
          <w:color w:val="auto"/>
        </w:rPr>
        <w:t xml:space="preserve"> and replaces that Agreement. </w:t>
      </w:r>
    </w:p>
    <w:p w14:paraId="4B35AF61" w14:textId="77777777" w:rsidR="007866CE" w:rsidRDefault="007866CE">
      <w:pPr>
        <w:spacing w:after="0" w:line="240" w:lineRule="auto"/>
        <w:jc w:val="left"/>
        <w:rPr>
          <w:rFonts w:cs="Arial"/>
          <w:b/>
          <w:bCs/>
          <w:iCs/>
          <w:color w:val="3D4B67"/>
          <w:sz w:val="29"/>
          <w:szCs w:val="28"/>
        </w:rPr>
      </w:pPr>
      <w:r>
        <w:rPr>
          <w:rFonts w:cs="Arial"/>
          <w:b/>
          <w:bCs/>
          <w:iCs/>
          <w:color w:val="3D4B67"/>
          <w:sz w:val="29"/>
          <w:szCs w:val="28"/>
        </w:rPr>
        <w:br w:type="page"/>
      </w:r>
    </w:p>
    <w:p w14:paraId="1C54DA88" w14:textId="39C4BA8E" w:rsidR="00FE4A16" w:rsidRPr="00EB51B8" w:rsidRDefault="00FE4A16" w:rsidP="00C74B1D">
      <w:pPr>
        <w:pStyle w:val="Normalnumbered"/>
        <w:numPr>
          <w:ilvl w:val="0"/>
          <w:numId w:val="0"/>
        </w:numPr>
        <w:pBdr>
          <w:top w:val="single" w:sz="4" w:space="1" w:color="auto"/>
          <w:left w:val="single" w:sz="4" w:space="4" w:color="auto"/>
          <w:bottom w:val="single" w:sz="4" w:space="0" w:color="auto"/>
          <w:right w:val="single" w:sz="4" w:space="4" w:color="auto"/>
        </w:pBdr>
        <w:shd w:val="clear" w:color="auto" w:fill="DBE5F1" w:themeFill="accent1" w:themeFillTint="33"/>
        <w:spacing w:before="120" w:after="120"/>
        <w:jc w:val="left"/>
        <w:rPr>
          <w:rFonts w:cs="Arial"/>
          <w:b/>
          <w:bCs/>
          <w:iCs/>
          <w:color w:val="3D4B67"/>
          <w:sz w:val="29"/>
          <w:szCs w:val="28"/>
        </w:rPr>
      </w:pPr>
      <w:r w:rsidRPr="00EB51B8">
        <w:rPr>
          <w:rFonts w:cs="Arial"/>
          <w:b/>
          <w:bCs/>
          <w:iCs/>
          <w:color w:val="3D4B67"/>
          <w:sz w:val="29"/>
          <w:szCs w:val="28"/>
        </w:rPr>
        <w:lastRenderedPageBreak/>
        <w:t>Reporting Arrangements</w:t>
      </w:r>
    </w:p>
    <w:p w14:paraId="7E504C80" w14:textId="77777777" w:rsidR="00FE4A16" w:rsidRPr="00451B9F" w:rsidRDefault="00FE4A16"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rsidRPr="00EB51B8">
        <w:t xml:space="preserve">The </w:t>
      </w:r>
      <w:r w:rsidR="00462094">
        <w:rPr>
          <w:color w:val="auto"/>
        </w:rPr>
        <w:t>Northern Territory</w:t>
      </w:r>
      <w:r w:rsidR="004623C2" w:rsidRPr="00EB51B8">
        <w:rPr>
          <w:color w:val="auto"/>
        </w:rPr>
        <w:t xml:space="preserve"> </w:t>
      </w:r>
      <w:r w:rsidRPr="00EB51B8">
        <w:t xml:space="preserve">will report </w:t>
      </w:r>
      <w:r w:rsidR="00E752FD" w:rsidRPr="00EB51B8">
        <w:t xml:space="preserve">the minimum required to demonstrate that milestones have been met, that is, </w:t>
      </w:r>
      <w:r w:rsidR="0043153F" w:rsidRPr="00EB51B8">
        <w:t xml:space="preserve">at least </w:t>
      </w:r>
      <w:r w:rsidR="00E752FD" w:rsidRPr="00EB51B8">
        <w:t xml:space="preserve">yearly </w:t>
      </w:r>
      <w:r w:rsidRPr="00EB51B8">
        <w:t xml:space="preserve">against the agreed </w:t>
      </w:r>
      <w:r w:rsidR="0032082B" w:rsidRPr="00EB51B8">
        <w:t>performance indicators</w:t>
      </w:r>
      <w:r w:rsidR="000E1F26">
        <w:t>,</w:t>
      </w:r>
      <w:r w:rsidRPr="00EB51B8">
        <w:t xml:space="preserve"> performance benchmarks</w:t>
      </w:r>
      <w:r w:rsidR="00335E2C" w:rsidRPr="00EB51B8">
        <w:t xml:space="preserve"> or milestones</w:t>
      </w:r>
      <w:r w:rsidRPr="00EB51B8">
        <w:t xml:space="preserve"> during the operation of the Agreement</w:t>
      </w:r>
      <w:r w:rsidR="00F1611B" w:rsidRPr="00EB51B8">
        <w:t>, as set out in Part 4 – Performance Monitoring and Reporting</w:t>
      </w:r>
      <w:r w:rsidRPr="00EB51B8">
        <w:t>.</w:t>
      </w:r>
    </w:p>
    <w:p w14:paraId="6993B412" w14:textId="77777777" w:rsidR="00451B9F" w:rsidRDefault="00451B9F" w:rsidP="00451B9F">
      <w:pPr>
        <w:pStyle w:val="Normalnumbered"/>
        <w:numPr>
          <w:ilvl w:val="0"/>
          <w:numId w:val="0"/>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rPr>
          <w:rFonts w:cs="Arial"/>
          <w:b/>
          <w:bCs/>
          <w:iCs/>
          <w:color w:val="3D4B67"/>
          <w:sz w:val="29"/>
          <w:szCs w:val="28"/>
        </w:rPr>
        <w:t xml:space="preserve">Financial Arrangements </w:t>
      </w:r>
    </w:p>
    <w:p w14:paraId="0FFF2FDD" w14:textId="535D66D3" w:rsidR="004530B0" w:rsidRPr="00891359" w:rsidRDefault="00556511" w:rsidP="004530B0">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t>T</w:t>
      </w:r>
      <w:r w:rsidR="00451B9F" w:rsidRPr="00EB51B8">
        <w:t xml:space="preserve">he Commonwealth will provide an estimated total financial contribution of </w:t>
      </w:r>
      <w:r w:rsidR="005304AF">
        <w:t>$</w:t>
      </w:r>
      <w:r w:rsidR="0093616D">
        <w:t>1028.7</w:t>
      </w:r>
      <w:r w:rsidR="00451B9F" w:rsidRPr="00EB51B8">
        <w:t xml:space="preserve"> million (GST exclusive) in respect of </w:t>
      </w:r>
      <w:r w:rsidR="0093616D">
        <w:t>the</w:t>
      </w:r>
      <w:r w:rsidR="0093616D" w:rsidRPr="00EB51B8">
        <w:t xml:space="preserve"> </w:t>
      </w:r>
      <w:r w:rsidR="00451B9F" w:rsidRPr="00EB51B8">
        <w:t>Agreement</w:t>
      </w:r>
      <w:r>
        <w:t xml:space="preserve"> from </w:t>
      </w:r>
      <w:r w:rsidR="00D921FF">
        <w:t>2015</w:t>
      </w:r>
      <w:r w:rsidR="00D921FF">
        <w:noBreakHyphen/>
        <w:t>16</w:t>
      </w:r>
      <w:r>
        <w:t xml:space="preserve"> to 2021-22 inclusive</w:t>
      </w:r>
      <w:r w:rsidR="00451B9F" w:rsidRPr="00EB51B8">
        <w:t>,</w:t>
      </w:r>
      <w:r w:rsidR="0093616D">
        <w:t xml:space="preserve"> including $42.6 million to non</w:t>
      </w:r>
      <w:r w:rsidR="0093616D">
        <w:noBreakHyphen/>
        <w:t>government schools in the Northern Territory</w:t>
      </w:r>
      <w:r w:rsidR="00451B9F" w:rsidRPr="00EB51B8">
        <w:t xml:space="preserve"> as set out in Part 5 – Financial Arrangements</w:t>
      </w:r>
      <w:r w:rsidR="00462094">
        <w:t>.</w:t>
      </w:r>
    </w:p>
    <w:p w14:paraId="41EA2117" w14:textId="3CEEC0A0" w:rsidR="004530B0" w:rsidRPr="00D418CB" w:rsidRDefault="00556511" w:rsidP="004530B0">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bookmarkStart w:id="0" w:name="_Hlk97709063"/>
      <w:r>
        <w:t>T</w:t>
      </w:r>
      <w:r w:rsidR="004530B0" w:rsidRPr="00EB51B8">
        <w:t>he Commonwealth will provide an estimated total financial contribution of $</w:t>
      </w:r>
      <w:r w:rsidR="00CF29C8">
        <w:t>173.2</w:t>
      </w:r>
      <w:r w:rsidR="004530B0" w:rsidRPr="00EB51B8">
        <w:t xml:space="preserve"> million (GST exclusive) in respect of this Agreemen</w:t>
      </w:r>
      <w:r>
        <w:t>t from 2022-23 to 2023-24 inclusive</w:t>
      </w:r>
      <w:r w:rsidR="0093616D">
        <w:t xml:space="preserve">, including </w:t>
      </w:r>
      <w:r w:rsidR="005304AF">
        <w:t>$</w:t>
      </w:r>
      <w:r w:rsidR="0093616D">
        <w:t>7.2 million to non</w:t>
      </w:r>
      <w:r w:rsidR="0093616D">
        <w:noBreakHyphen/>
        <w:t>government schools in the Northern Territory</w:t>
      </w:r>
      <w:r w:rsidR="004530B0" w:rsidRPr="00EB51B8">
        <w:t>, as set out in Part 5 – Financial Arrangements</w:t>
      </w:r>
      <w:r w:rsidR="004530B0">
        <w:t>.</w:t>
      </w:r>
    </w:p>
    <w:p w14:paraId="3519F117" w14:textId="26B1AF65" w:rsidR="00D418CB" w:rsidRPr="00113691" w:rsidRDefault="00D418CB" w:rsidP="004530B0">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t>This Agreement represents long-term investment by the Commonwealth in the Northern Territory to improve schooling for Aboriginal children, to make remote Aboriginal communities safer and healthier, and increase access to interpreter services and job opportunities for adults, given the depth of need experienced across remote Northern Territory.</w:t>
      </w:r>
    </w:p>
    <w:p w14:paraId="56D3674F" w14:textId="36323755" w:rsidR="00405372" w:rsidRPr="009B6DA6" w:rsidRDefault="00405372" w:rsidP="00405372">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pPr>
      <w:r w:rsidRPr="009B6DA6">
        <w:t>Th</w:t>
      </w:r>
      <w:r>
        <w:t>is Agreement, by providing funding to continue the delivery of critical services in remote Northern Territory,</w:t>
      </w:r>
      <w:r w:rsidRPr="009B6DA6">
        <w:t xml:space="preserve"> will allow a co-design process to be undertaken with the NT Government and Aboriginal stakeholders to establish options for future arrangements</w:t>
      </w:r>
      <w:r>
        <w:t xml:space="preserve"> for remote service delivery.</w:t>
      </w:r>
    </w:p>
    <w:bookmarkEnd w:id="0"/>
    <w:p w14:paraId="3C60C2BC" w14:textId="77777777" w:rsidR="00814667" w:rsidRPr="00EB51B8" w:rsidRDefault="00814667" w:rsidP="00C74B1D">
      <w:pPr>
        <w:pStyle w:val="Heading1"/>
        <w:spacing w:before="120" w:after="120"/>
      </w:pPr>
      <w:r w:rsidRPr="00EB51B8">
        <w:t>Part 1 — Formalities</w:t>
      </w:r>
    </w:p>
    <w:p w14:paraId="671B744C" w14:textId="77777777" w:rsidR="00814667" w:rsidRPr="00EB51B8" w:rsidRDefault="00814667" w:rsidP="00C74B1D">
      <w:pPr>
        <w:pStyle w:val="Heading2"/>
        <w:spacing w:before="120"/>
      </w:pPr>
      <w:r w:rsidRPr="00EB51B8">
        <w:t>Parties to this Agreement</w:t>
      </w:r>
    </w:p>
    <w:p w14:paraId="234964D2" w14:textId="77777777" w:rsidR="007B4B03" w:rsidRPr="00EB51B8" w:rsidRDefault="00E7195E" w:rsidP="00C73AE8">
      <w:pPr>
        <w:pStyle w:val="Normalnumbered"/>
        <w:numPr>
          <w:ilvl w:val="0"/>
          <w:numId w:val="11"/>
        </w:numPr>
        <w:jc w:val="left"/>
      </w:pPr>
      <w:r w:rsidRPr="00EB51B8">
        <w:t xml:space="preserve">This Agreement is between the Commonwealth of Australia (the Commonwealth) and the </w:t>
      </w:r>
      <w:r w:rsidR="00462094">
        <w:t>Northern Territory</w:t>
      </w:r>
      <w:r w:rsidRPr="00EB51B8">
        <w:t xml:space="preserve">. </w:t>
      </w:r>
    </w:p>
    <w:p w14:paraId="51ADA4A1" w14:textId="77777777" w:rsidR="00814667" w:rsidRPr="00EB51B8" w:rsidRDefault="00814667" w:rsidP="00C74B1D">
      <w:pPr>
        <w:pStyle w:val="Heading2"/>
        <w:spacing w:before="120"/>
      </w:pPr>
      <w:r w:rsidRPr="00EB51B8">
        <w:t>Term of the Agreement</w:t>
      </w:r>
    </w:p>
    <w:p w14:paraId="0D919440" w14:textId="7229003C" w:rsidR="00FE4A16" w:rsidRPr="00EB51B8" w:rsidRDefault="001D6C45" w:rsidP="00C73AE8">
      <w:pPr>
        <w:pStyle w:val="Normalnumbered"/>
        <w:numPr>
          <w:ilvl w:val="0"/>
          <w:numId w:val="11"/>
        </w:numPr>
      </w:pPr>
      <w:r w:rsidRPr="00EB51B8">
        <w:t xml:space="preserve">This Agreement will commence as soon as the Commonwealth and </w:t>
      </w:r>
      <w:r w:rsidR="00610828" w:rsidRPr="00EB51B8">
        <w:t xml:space="preserve">the </w:t>
      </w:r>
      <w:r w:rsidR="00462094">
        <w:rPr>
          <w:color w:val="auto"/>
        </w:rPr>
        <w:t>Northern Territory</w:t>
      </w:r>
      <w:r w:rsidR="004623C2" w:rsidRPr="00EB51B8">
        <w:rPr>
          <w:color w:val="auto"/>
        </w:rPr>
        <w:t xml:space="preserve"> </w:t>
      </w:r>
      <w:r w:rsidRPr="00EB51B8">
        <w:t xml:space="preserve">sign </w:t>
      </w:r>
      <w:r w:rsidR="00490352" w:rsidRPr="00EB51B8">
        <w:t xml:space="preserve">it </w:t>
      </w:r>
      <w:r w:rsidRPr="00EB51B8">
        <w:t xml:space="preserve">and will expire on </w:t>
      </w:r>
      <w:r w:rsidR="00610828" w:rsidRPr="00EB51B8">
        <w:t>30 June 202</w:t>
      </w:r>
      <w:r w:rsidR="00556511">
        <w:t>4</w:t>
      </w:r>
      <w:r w:rsidRPr="00EB51B8">
        <w:t>, or on completion of the project</w:t>
      </w:r>
      <w:r w:rsidR="00C55A78">
        <w:t>s</w:t>
      </w:r>
      <w:r w:rsidRPr="00EB51B8">
        <w:t xml:space="preserve"> </w:t>
      </w:r>
      <w:r w:rsidR="00C55A78">
        <w:t>and</w:t>
      </w:r>
      <w:r w:rsidR="00C55A78" w:rsidRPr="00EB51B8">
        <w:t xml:space="preserve"> </w:t>
      </w:r>
      <w:r w:rsidRPr="00EB51B8">
        <w:t>reform</w:t>
      </w:r>
      <w:r w:rsidR="00C55A78">
        <w:t>s</w:t>
      </w:r>
      <w:r w:rsidRPr="00EB51B8">
        <w:t>, including final performance reporting and processing of final payments against performance benchmarks or project milestones.  The Agreement may be terminated earlier or extended as agreed in writing by the Parties.</w:t>
      </w:r>
      <w:r w:rsidR="00FE4A16" w:rsidRPr="00EB51B8">
        <w:t xml:space="preserve"> </w:t>
      </w:r>
    </w:p>
    <w:p w14:paraId="24F113F9" w14:textId="77777777" w:rsidR="00814667" w:rsidRPr="00EB51B8" w:rsidRDefault="00814667" w:rsidP="00C74B1D">
      <w:pPr>
        <w:pStyle w:val="Heading1"/>
        <w:spacing w:before="120" w:after="120"/>
      </w:pPr>
      <w:r w:rsidRPr="00EB51B8">
        <w:t>part 2 — objectives, outcomes and outputs</w:t>
      </w:r>
    </w:p>
    <w:p w14:paraId="4F97FE30" w14:textId="77777777" w:rsidR="00F46237" w:rsidRPr="00EB51B8" w:rsidRDefault="00F46237" w:rsidP="00C74B1D">
      <w:pPr>
        <w:pStyle w:val="Heading2"/>
        <w:spacing w:before="120"/>
      </w:pPr>
      <w:r w:rsidRPr="00EB51B8">
        <w:t>Objectives</w:t>
      </w:r>
    </w:p>
    <w:p w14:paraId="14FF6343" w14:textId="77777777" w:rsidR="002F576E" w:rsidRPr="00EB51B8" w:rsidRDefault="002F576E" w:rsidP="001429B7">
      <w:pPr>
        <w:pStyle w:val="Normalnumbered"/>
        <w:numPr>
          <w:ilvl w:val="0"/>
          <w:numId w:val="11"/>
        </w:numPr>
      </w:pPr>
      <w:r w:rsidRPr="00EB51B8">
        <w:t xml:space="preserve">The </w:t>
      </w:r>
      <w:r w:rsidR="00490352" w:rsidRPr="00EB51B8">
        <w:t>objective</w:t>
      </w:r>
      <w:r w:rsidR="000E1F26">
        <w:t>s</w:t>
      </w:r>
      <w:r w:rsidR="00490352" w:rsidRPr="00EB51B8">
        <w:t xml:space="preserve"> of this Agreement </w:t>
      </w:r>
      <w:r w:rsidR="000E1F26">
        <w:t>are</w:t>
      </w:r>
      <w:r w:rsidR="004B27C1" w:rsidRPr="00EB51B8">
        <w:t xml:space="preserve"> to</w:t>
      </w:r>
      <w:r w:rsidR="00905E79">
        <w:t xml:space="preserve"> </w:t>
      </w:r>
      <w:r w:rsidR="00EB51B8">
        <w:t>improv</w:t>
      </w:r>
      <w:r w:rsidR="001125DB">
        <w:t>e</w:t>
      </w:r>
      <w:r w:rsidR="00EB51B8">
        <w:t xml:space="preserve"> schooling for </w:t>
      </w:r>
      <w:r w:rsidR="003A4B96" w:rsidRPr="00EB51B8">
        <w:t>Aboriginal children</w:t>
      </w:r>
      <w:r w:rsidR="00905E79">
        <w:t>,</w:t>
      </w:r>
      <w:r w:rsidR="006169FD">
        <w:t xml:space="preserve"> </w:t>
      </w:r>
      <w:r w:rsidR="00EB51B8">
        <w:t>mak</w:t>
      </w:r>
      <w:r w:rsidR="00905E79">
        <w:t>e</w:t>
      </w:r>
      <w:r w:rsidR="00EB51B8">
        <w:t xml:space="preserve"> remote Aboriginal communities in the </w:t>
      </w:r>
      <w:r w:rsidR="00462094">
        <w:t>Northern Territory</w:t>
      </w:r>
      <w:r w:rsidR="00EB51B8">
        <w:t xml:space="preserve"> safer and healthier</w:t>
      </w:r>
      <w:r w:rsidR="00EA001F">
        <w:t xml:space="preserve">, and </w:t>
      </w:r>
      <w:r w:rsidR="00F63F0A">
        <w:t xml:space="preserve">increase access to </w:t>
      </w:r>
      <w:r w:rsidR="00DD34B4">
        <w:t>interpreter services</w:t>
      </w:r>
      <w:r w:rsidR="00F63F0A">
        <w:t xml:space="preserve"> </w:t>
      </w:r>
      <w:r w:rsidR="00EA001F">
        <w:t>and job opportunities for adults</w:t>
      </w:r>
      <w:r w:rsidR="002E4B66" w:rsidRPr="00EB51B8">
        <w:t>.</w:t>
      </w:r>
    </w:p>
    <w:p w14:paraId="44EE905C" w14:textId="77777777" w:rsidR="007866CE" w:rsidRDefault="007866CE">
      <w:pPr>
        <w:spacing w:after="0" w:line="240" w:lineRule="auto"/>
        <w:jc w:val="left"/>
        <w:rPr>
          <w:rFonts w:cs="Arial"/>
          <w:b/>
          <w:bCs/>
          <w:iCs/>
          <w:color w:val="3D4B67"/>
          <w:sz w:val="29"/>
          <w:szCs w:val="28"/>
        </w:rPr>
      </w:pPr>
      <w:r>
        <w:br w:type="page"/>
      </w:r>
    </w:p>
    <w:p w14:paraId="248FC36E" w14:textId="6595F540" w:rsidR="00814667" w:rsidRPr="00EB51B8" w:rsidRDefault="00814667" w:rsidP="00C74B1D">
      <w:pPr>
        <w:pStyle w:val="Heading2"/>
        <w:spacing w:before="120"/>
      </w:pPr>
      <w:r w:rsidRPr="00EB51B8">
        <w:lastRenderedPageBreak/>
        <w:t>Outcomes</w:t>
      </w:r>
    </w:p>
    <w:p w14:paraId="3A490E61" w14:textId="77777777" w:rsidR="00852ED8" w:rsidRPr="00EB51B8" w:rsidRDefault="00814667" w:rsidP="00C73AE8">
      <w:pPr>
        <w:pStyle w:val="Normalnumbered"/>
        <w:numPr>
          <w:ilvl w:val="0"/>
          <w:numId w:val="11"/>
        </w:numPr>
      </w:pPr>
      <w:r w:rsidRPr="00EB51B8">
        <w:t>Th</w:t>
      </w:r>
      <w:r w:rsidR="00B06097" w:rsidRPr="00EB51B8">
        <w:t>is</w:t>
      </w:r>
      <w:r w:rsidRPr="00EB51B8">
        <w:t xml:space="preserve"> Agreement will </w:t>
      </w:r>
      <w:r w:rsidR="00462094">
        <w:t>contribute to</w:t>
      </w:r>
      <w:r w:rsidR="00462094" w:rsidRPr="00EB51B8">
        <w:t xml:space="preserve"> </w:t>
      </w:r>
      <w:r w:rsidR="002E4B66" w:rsidRPr="00EB51B8">
        <w:t xml:space="preserve">achievement of </w:t>
      </w:r>
      <w:r w:rsidR="00B06097" w:rsidRPr="00EB51B8">
        <w:t>the following outcomes</w:t>
      </w:r>
      <w:r w:rsidR="003A4B96" w:rsidRPr="00EB51B8">
        <w:t xml:space="preserve"> for Aboriginal people in the </w:t>
      </w:r>
      <w:r w:rsidR="00462094">
        <w:rPr>
          <w:color w:val="auto"/>
        </w:rPr>
        <w:t>Northern Territory</w:t>
      </w:r>
      <w:r w:rsidR="00852ED8" w:rsidRPr="00EB51B8">
        <w:t>:</w:t>
      </w:r>
      <w:r w:rsidR="00852ED8" w:rsidRPr="00EB51B8">
        <w:tab/>
      </w:r>
    </w:p>
    <w:p w14:paraId="1FB97AA7" w14:textId="77777777" w:rsidR="003A4B96" w:rsidRPr="00EB51B8" w:rsidRDefault="000C7B41" w:rsidP="00C73AE8">
      <w:pPr>
        <w:pStyle w:val="AlphaParagraph"/>
        <w:numPr>
          <w:ilvl w:val="0"/>
          <w:numId w:val="20"/>
        </w:numPr>
        <w:ind w:left="1134"/>
      </w:pPr>
      <w:r>
        <w:t>i</w:t>
      </w:r>
      <w:r w:rsidR="003A4B96" w:rsidRPr="00EB51B8">
        <w:t xml:space="preserve">mproved school readiness, attendance, educational achievement and attainment of students in and from remote or very remote </w:t>
      </w:r>
      <w:proofErr w:type="gramStart"/>
      <w:r w:rsidR="003A4B96" w:rsidRPr="00EB51B8">
        <w:t>areas</w:t>
      </w:r>
      <w:r w:rsidR="00852ED8" w:rsidRPr="00EB51B8">
        <w:t>;</w:t>
      </w:r>
      <w:proofErr w:type="gramEnd"/>
    </w:p>
    <w:p w14:paraId="29A32339" w14:textId="77777777" w:rsidR="00852ED8" w:rsidRPr="00EB51B8" w:rsidRDefault="000C7B41" w:rsidP="00C73AE8">
      <w:pPr>
        <w:pStyle w:val="AlphaParagraph"/>
        <w:numPr>
          <w:ilvl w:val="0"/>
          <w:numId w:val="20"/>
        </w:numPr>
        <w:ind w:left="1134"/>
      </w:pPr>
      <w:r>
        <w:t>i</w:t>
      </w:r>
      <w:r w:rsidR="003A4B96" w:rsidRPr="00EB51B8">
        <w:t xml:space="preserve">mproved safety and wellbeing of individuals, children and families, and </w:t>
      </w:r>
      <w:proofErr w:type="gramStart"/>
      <w:r w:rsidR="003A4B96" w:rsidRPr="00EB51B8">
        <w:t>communities;</w:t>
      </w:r>
      <w:proofErr w:type="gramEnd"/>
      <w:r w:rsidR="003A4B96" w:rsidRPr="00EB51B8">
        <w:t xml:space="preserve"> </w:t>
      </w:r>
      <w:r w:rsidR="00852ED8" w:rsidRPr="00EB51B8">
        <w:t xml:space="preserve"> </w:t>
      </w:r>
    </w:p>
    <w:p w14:paraId="728B1147" w14:textId="3A878C07" w:rsidR="00852ED8" w:rsidRPr="00EB51B8" w:rsidRDefault="000C7B41" w:rsidP="00C73AE8">
      <w:pPr>
        <w:pStyle w:val="AlphaParagraph"/>
        <w:numPr>
          <w:ilvl w:val="0"/>
          <w:numId w:val="16"/>
        </w:numPr>
        <w:ind w:left="1134"/>
      </w:pPr>
      <w:r>
        <w:t>i</w:t>
      </w:r>
      <w:r w:rsidR="003A4B96" w:rsidRPr="00EB51B8">
        <w:t xml:space="preserve">mproved health of individuals, </w:t>
      </w:r>
      <w:proofErr w:type="gramStart"/>
      <w:r w:rsidR="003A4B96" w:rsidRPr="00EB51B8">
        <w:t>children</w:t>
      </w:r>
      <w:proofErr w:type="gramEnd"/>
      <w:r w:rsidR="003A4B96" w:rsidRPr="00EB51B8">
        <w:t xml:space="preserve"> and families</w:t>
      </w:r>
      <w:r w:rsidR="002E4B66" w:rsidRPr="00EB51B8">
        <w:t>;</w:t>
      </w:r>
      <w:r w:rsidR="00852ED8" w:rsidRPr="00EB51B8">
        <w:t xml:space="preserve"> </w:t>
      </w:r>
      <w:r w:rsidR="00113691">
        <w:t>and</w:t>
      </w:r>
    </w:p>
    <w:p w14:paraId="3E28DEDA" w14:textId="2226B916" w:rsidR="00814667" w:rsidRDefault="000C7B41" w:rsidP="00C73AE8">
      <w:pPr>
        <w:pStyle w:val="AlphaParagraph"/>
        <w:numPr>
          <w:ilvl w:val="0"/>
          <w:numId w:val="16"/>
        </w:numPr>
        <w:ind w:left="1134"/>
      </w:pPr>
      <w:r>
        <w:t>i</w:t>
      </w:r>
      <w:r w:rsidR="00EB51B8">
        <w:t>mproved access to services through support for Aboriginal interpreters</w:t>
      </w:r>
      <w:r w:rsidR="00852ED8" w:rsidRPr="00EB51B8">
        <w:t>.</w:t>
      </w:r>
    </w:p>
    <w:p w14:paraId="429757D6" w14:textId="0F8A6C01" w:rsidR="00AF5A2B" w:rsidRPr="00EB51B8" w:rsidRDefault="00AF5A2B" w:rsidP="0070361C">
      <w:pPr>
        <w:pStyle w:val="Normalnumbered"/>
        <w:numPr>
          <w:ilvl w:val="0"/>
          <w:numId w:val="11"/>
        </w:numPr>
      </w:pPr>
      <w:r>
        <w:t>The outcomes outlined in clause 1</w:t>
      </w:r>
      <w:r w:rsidR="0070361C">
        <w:t>5</w:t>
      </w:r>
      <w:r>
        <w:t xml:space="preserve"> reflect the original intent of the </w:t>
      </w:r>
      <w:r w:rsidR="0070361C" w:rsidRPr="0070361C">
        <w:t>National Partnership on Northern Territory Remote Aboriginal Investment</w:t>
      </w:r>
      <w:r w:rsidR="0070361C">
        <w:t xml:space="preserve"> and are not amended by this Agreement.</w:t>
      </w:r>
    </w:p>
    <w:p w14:paraId="40FA196D" w14:textId="77777777" w:rsidR="00814667" w:rsidRPr="00EB51B8" w:rsidRDefault="00814667" w:rsidP="00C74B1D">
      <w:pPr>
        <w:pStyle w:val="Heading2"/>
        <w:spacing w:before="120"/>
      </w:pPr>
      <w:r w:rsidRPr="00EB51B8">
        <w:t>Outputs</w:t>
      </w:r>
    </w:p>
    <w:p w14:paraId="55AE4855" w14:textId="77777777" w:rsidR="0085738D" w:rsidRPr="00EB51B8" w:rsidRDefault="00F63F0A" w:rsidP="00C73AE8">
      <w:pPr>
        <w:pStyle w:val="Normalnumbered"/>
        <w:numPr>
          <w:ilvl w:val="0"/>
          <w:numId w:val="11"/>
        </w:numPr>
        <w:jc w:val="left"/>
      </w:pPr>
      <w:r>
        <w:t>The Implementation Plans will detail how the outputs intend to achieve the outcomes and objectives of this Agreement.</w:t>
      </w:r>
    </w:p>
    <w:p w14:paraId="1A19C7A3" w14:textId="77777777" w:rsidR="00814667" w:rsidRPr="00EB51B8" w:rsidRDefault="00814667" w:rsidP="00C74B1D">
      <w:pPr>
        <w:pStyle w:val="Heading1"/>
        <w:spacing w:before="120" w:after="120"/>
      </w:pPr>
      <w:r w:rsidRPr="00EB51B8">
        <w:t>Part 3 — roles and responsibilities of each party</w:t>
      </w:r>
    </w:p>
    <w:p w14:paraId="6A0C7B20" w14:textId="77777777" w:rsidR="00814667" w:rsidRPr="00EB51B8" w:rsidRDefault="00AB79E9" w:rsidP="00C73AE8">
      <w:pPr>
        <w:pStyle w:val="Normalnumbered"/>
        <w:numPr>
          <w:ilvl w:val="0"/>
          <w:numId w:val="11"/>
        </w:numPr>
        <w:jc w:val="left"/>
      </w:pPr>
      <w:r w:rsidRPr="00EB51B8">
        <w:t>To realise the objectives and commitments in this Agreement, each Party has specific roles and responsibilities, as outlined below.</w:t>
      </w:r>
    </w:p>
    <w:p w14:paraId="7BDC5C54" w14:textId="77777777" w:rsidR="00814667" w:rsidRPr="00EB51B8" w:rsidRDefault="00814667" w:rsidP="00C74B1D">
      <w:pPr>
        <w:pStyle w:val="Heading2"/>
        <w:spacing w:before="120"/>
      </w:pPr>
      <w:r w:rsidRPr="00EB51B8">
        <w:t>Role of the Commonwealth</w:t>
      </w:r>
    </w:p>
    <w:p w14:paraId="4FCEFD53" w14:textId="77777777" w:rsidR="00814590" w:rsidRPr="00EB51B8" w:rsidRDefault="00814590" w:rsidP="001429B7">
      <w:pPr>
        <w:pStyle w:val="Normalnumbered"/>
        <w:numPr>
          <w:ilvl w:val="0"/>
          <w:numId w:val="11"/>
        </w:numPr>
        <w:jc w:val="left"/>
        <w:rPr>
          <w:color w:val="auto"/>
        </w:rPr>
      </w:pPr>
      <w:r w:rsidRPr="00EB51B8">
        <w:rPr>
          <w:color w:val="auto"/>
        </w:rPr>
        <w:t xml:space="preserve">The Commonwealth agrees to be </w:t>
      </w:r>
      <w:r w:rsidR="00A10974" w:rsidRPr="00EB51B8">
        <w:rPr>
          <w:color w:val="auto"/>
        </w:rPr>
        <w:t>responsible</w:t>
      </w:r>
      <w:r w:rsidR="00AF3346" w:rsidRPr="00EB51B8">
        <w:rPr>
          <w:color w:val="auto"/>
        </w:rPr>
        <w:t xml:space="preserve"> </w:t>
      </w:r>
      <w:r w:rsidRPr="00EB51B8">
        <w:rPr>
          <w:color w:val="auto"/>
        </w:rPr>
        <w:t>for:</w:t>
      </w:r>
    </w:p>
    <w:p w14:paraId="52D927E7" w14:textId="77777777" w:rsidR="00C05CC6" w:rsidRPr="00EB51B8" w:rsidRDefault="00AD670F" w:rsidP="001429B7">
      <w:pPr>
        <w:pStyle w:val="AlphaParagraph"/>
        <w:numPr>
          <w:ilvl w:val="0"/>
          <w:numId w:val="21"/>
        </w:numPr>
        <w:tabs>
          <w:tab w:val="clear" w:pos="567"/>
          <w:tab w:val="clear" w:pos="1134"/>
        </w:tabs>
        <w:rPr>
          <w:i/>
        </w:rPr>
      </w:pPr>
      <w:r w:rsidRPr="00EB51B8">
        <w:t xml:space="preserve">providing </w:t>
      </w:r>
      <w:r w:rsidR="00D802FC" w:rsidRPr="00EB51B8">
        <w:t>a financial contribution</w:t>
      </w:r>
      <w:r w:rsidRPr="00EB51B8">
        <w:t xml:space="preserve"> to the </w:t>
      </w:r>
      <w:r w:rsidR="00462094">
        <w:rPr>
          <w:color w:val="auto"/>
        </w:rPr>
        <w:t>Northern Territory</w:t>
      </w:r>
      <w:r w:rsidR="004623C2" w:rsidRPr="00EB51B8">
        <w:rPr>
          <w:color w:val="auto"/>
        </w:rPr>
        <w:t xml:space="preserve"> </w:t>
      </w:r>
      <w:r w:rsidR="0077205C">
        <w:t>to support implementation of</w:t>
      </w:r>
      <w:r w:rsidRPr="00EB51B8">
        <w:t xml:space="preserve"> this </w:t>
      </w:r>
      <w:proofErr w:type="gramStart"/>
      <w:r w:rsidRPr="00EB51B8">
        <w:t>Agreement;</w:t>
      </w:r>
      <w:proofErr w:type="gramEnd"/>
      <w:r w:rsidRPr="00EB51B8">
        <w:t xml:space="preserve"> </w:t>
      </w:r>
    </w:p>
    <w:p w14:paraId="6FDC9F15" w14:textId="09064E64" w:rsidR="00AA03EB" w:rsidRPr="00EA42CC" w:rsidRDefault="00AD670F" w:rsidP="001429B7">
      <w:pPr>
        <w:pStyle w:val="AlphaParagraph"/>
        <w:numPr>
          <w:ilvl w:val="0"/>
          <w:numId w:val="21"/>
        </w:numPr>
        <w:tabs>
          <w:tab w:val="clear" w:pos="567"/>
        </w:tabs>
        <w:rPr>
          <w:i/>
          <w:color w:val="auto"/>
        </w:rPr>
      </w:pPr>
      <w:r w:rsidRPr="00EB51B8">
        <w:t>assessing performance in the delivery of</w:t>
      </w:r>
      <w:r w:rsidRPr="00EB51B8">
        <w:rPr>
          <w:i/>
        </w:rPr>
        <w:t xml:space="preserve"> </w:t>
      </w:r>
      <w:r w:rsidR="000064E1" w:rsidRPr="00EB51B8">
        <w:t>services</w:t>
      </w:r>
      <w:r w:rsidR="00F25EFF" w:rsidRPr="00EB51B8">
        <w:t xml:space="preserve">, </w:t>
      </w:r>
      <w:r w:rsidR="000064E1" w:rsidRPr="00EB51B8">
        <w:t>reforms</w:t>
      </w:r>
      <w:r w:rsidR="00F25EFF" w:rsidRPr="00EB51B8">
        <w:t xml:space="preserve"> and </w:t>
      </w:r>
      <w:r w:rsidR="000064E1" w:rsidRPr="00EB51B8">
        <w:t>projects</w:t>
      </w:r>
      <w:r w:rsidRPr="00EB51B8">
        <w:rPr>
          <w:i/>
        </w:rPr>
        <w:t xml:space="preserve"> </w:t>
      </w:r>
      <w:r w:rsidRPr="00EB51B8">
        <w:t>under this Agreement</w:t>
      </w:r>
      <w:r w:rsidR="00896477" w:rsidRPr="00EB51B8">
        <w:t xml:space="preserve"> to ensure that outputs are </w:t>
      </w:r>
      <w:proofErr w:type="gramStart"/>
      <w:r w:rsidR="00896477" w:rsidRPr="00EB51B8">
        <w:t>delivered</w:t>
      </w:r>
      <w:proofErr w:type="gramEnd"/>
      <w:r w:rsidR="00896477" w:rsidRPr="00EB51B8">
        <w:t xml:space="preserve"> and outcomes are achieved </w:t>
      </w:r>
      <w:r w:rsidR="00A61DCA">
        <w:t>within the agreed timeframe</w:t>
      </w:r>
      <w:r w:rsidR="005304AF">
        <w:t>;</w:t>
      </w:r>
      <w:r w:rsidR="00AA03EB">
        <w:t xml:space="preserve"> </w:t>
      </w:r>
    </w:p>
    <w:p w14:paraId="7DCFE47B" w14:textId="4AE37395" w:rsidR="00EA42CC" w:rsidRPr="00EA42CC" w:rsidRDefault="00EA42CC" w:rsidP="00235205">
      <w:pPr>
        <w:pStyle w:val="AlphaParagraph"/>
        <w:numPr>
          <w:ilvl w:val="0"/>
          <w:numId w:val="21"/>
        </w:numPr>
        <w:tabs>
          <w:tab w:val="clear" w:pos="567"/>
          <w:tab w:val="clear" w:pos="1134"/>
        </w:tabs>
        <w:rPr>
          <w:i/>
          <w:color w:val="auto"/>
        </w:rPr>
      </w:pPr>
      <w:r>
        <w:rPr>
          <w:color w:val="auto"/>
        </w:rPr>
        <w:t xml:space="preserve">in accordance with the </w:t>
      </w:r>
      <w:proofErr w:type="gramStart"/>
      <w:r w:rsidR="00235205" w:rsidRPr="00891359">
        <w:rPr>
          <w:i/>
          <w:color w:val="auto"/>
        </w:rPr>
        <w:t>Building</w:t>
      </w:r>
      <w:r w:rsidR="003D32C8">
        <w:rPr>
          <w:i/>
          <w:color w:val="auto"/>
        </w:rPr>
        <w:t xml:space="preserve"> </w:t>
      </w:r>
      <w:r w:rsidR="00235205" w:rsidRPr="00891359">
        <w:rPr>
          <w:i/>
          <w:color w:val="auto"/>
        </w:rPr>
        <w:t xml:space="preserve"> and</w:t>
      </w:r>
      <w:proofErr w:type="gramEnd"/>
      <w:r w:rsidR="00235205" w:rsidRPr="00891359">
        <w:rPr>
          <w:i/>
          <w:color w:val="auto"/>
        </w:rPr>
        <w:t xml:space="preserve"> Construction Industry (Improving Productivity) Act</w:t>
      </w:r>
      <w:r w:rsidR="00235205">
        <w:rPr>
          <w:color w:val="auto"/>
        </w:rPr>
        <w:t xml:space="preserve"> </w:t>
      </w:r>
      <w:r w:rsidR="00235205" w:rsidRPr="00891359">
        <w:rPr>
          <w:i/>
          <w:color w:val="auto"/>
        </w:rPr>
        <w:t>2016</w:t>
      </w:r>
      <w:r>
        <w:rPr>
          <w:color w:val="auto"/>
        </w:rPr>
        <w:t xml:space="preserve">, ensuring that </w:t>
      </w:r>
      <w:r w:rsidR="00527308">
        <w:rPr>
          <w:color w:val="auto"/>
        </w:rPr>
        <w:t>funding for building work</w:t>
      </w:r>
      <w:r>
        <w:rPr>
          <w:color w:val="auto"/>
        </w:rPr>
        <w:t xml:space="preserve"> </w:t>
      </w:r>
      <w:r w:rsidR="00527308">
        <w:rPr>
          <w:color w:val="auto"/>
        </w:rPr>
        <w:t>is</w:t>
      </w:r>
      <w:r>
        <w:rPr>
          <w:color w:val="auto"/>
        </w:rPr>
        <w:t xml:space="preserve"> only made where a builder or builders accredited under the WHS Accreditation Scheme</w:t>
      </w:r>
      <w:r w:rsidR="00A764A6">
        <w:rPr>
          <w:color w:val="auto"/>
        </w:rPr>
        <w:t xml:space="preserve"> and/or the Northern Territory equivalent legislation</w:t>
      </w:r>
      <w:r w:rsidR="00DA0D1E">
        <w:rPr>
          <w:color w:val="auto"/>
        </w:rPr>
        <w:t xml:space="preserve"> for Commonwealth building </w:t>
      </w:r>
      <w:r w:rsidR="00891359">
        <w:rPr>
          <w:color w:val="auto"/>
        </w:rPr>
        <w:t>work is</w:t>
      </w:r>
      <w:r>
        <w:rPr>
          <w:color w:val="auto"/>
        </w:rPr>
        <w:t xml:space="preserve"> contracted; and</w:t>
      </w:r>
    </w:p>
    <w:p w14:paraId="2B7D4CA1" w14:textId="1AE810AE" w:rsidR="00EA42CC" w:rsidRPr="00AA03EB" w:rsidRDefault="00EA42CC" w:rsidP="001429B7">
      <w:pPr>
        <w:pStyle w:val="AlphaParagraph"/>
        <w:numPr>
          <w:ilvl w:val="0"/>
          <w:numId w:val="21"/>
        </w:numPr>
        <w:tabs>
          <w:tab w:val="clear" w:pos="567"/>
        </w:tabs>
        <w:rPr>
          <w:i/>
          <w:color w:val="auto"/>
        </w:rPr>
      </w:pPr>
      <w:r>
        <w:rPr>
          <w:color w:val="auto"/>
        </w:rPr>
        <w:t xml:space="preserve">ensuring that compliance with </w:t>
      </w:r>
      <w:r w:rsidR="00D272DB">
        <w:rPr>
          <w:color w:val="auto"/>
        </w:rPr>
        <w:t>the Building Code under</w:t>
      </w:r>
      <w:r w:rsidR="0056737A">
        <w:rPr>
          <w:color w:val="auto"/>
        </w:rPr>
        <w:t xml:space="preserve"> the </w:t>
      </w:r>
      <w:r w:rsidR="0056737A" w:rsidRPr="00FB2A75">
        <w:rPr>
          <w:i/>
          <w:color w:val="auto"/>
        </w:rPr>
        <w:t>Building and Construction Industry (Improving Productivity) Act</w:t>
      </w:r>
      <w:r w:rsidR="0056737A">
        <w:rPr>
          <w:color w:val="auto"/>
        </w:rPr>
        <w:t xml:space="preserve"> </w:t>
      </w:r>
      <w:r w:rsidR="0056737A" w:rsidRPr="00FB2A75">
        <w:rPr>
          <w:i/>
          <w:color w:val="auto"/>
        </w:rPr>
        <w:t>2016</w:t>
      </w:r>
      <w:r w:rsidR="005304AF">
        <w:rPr>
          <w:i/>
          <w:color w:val="auto"/>
        </w:rPr>
        <w:t xml:space="preserve"> </w:t>
      </w:r>
      <w:r>
        <w:rPr>
          <w:color w:val="auto"/>
        </w:rPr>
        <w:t>is a condition of Australian Government funding.</w:t>
      </w:r>
    </w:p>
    <w:p w14:paraId="00F17F67" w14:textId="77777777" w:rsidR="00814667" w:rsidRPr="00EB51B8" w:rsidRDefault="00814667" w:rsidP="00C74B1D">
      <w:pPr>
        <w:pStyle w:val="Heading2"/>
        <w:spacing w:before="120"/>
      </w:pPr>
      <w:r w:rsidRPr="00EB51B8">
        <w:t xml:space="preserve">Role of the </w:t>
      </w:r>
      <w:r w:rsidR="00462094">
        <w:t>Northern Territory</w:t>
      </w:r>
    </w:p>
    <w:p w14:paraId="4BB14DC3" w14:textId="77777777" w:rsidR="00814590" w:rsidRPr="00EB51B8" w:rsidRDefault="00814590" w:rsidP="001429B7">
      <w:pPr>
        <w:pStyle w:val="Normalnumbered"/>
        <w:numPr>
          <w:ilvl w:val="0"/>
          <w:numId w:val="11"/>
        </w:numPr>
        <w:jc w:val="left"/>
      </w:pPr>
      <w:r w:rsidRPr="00EB51B8">
        <w:t xml:space="preserve">The </w:t>
      </w:r>
      <w:r w:rsidR="00462094">
        <w:rPr>
          <w:color w:val="auto"/>
        </w:rPr>
        <w:t>Northern Territory</w:t>
      </w:r>
      <w:r w:rsidR="00DF4D7C" w:rsidRPr="00EB51B8">
        <w:rPr>
          <w:color w:val="auto"/>
        </w:rPr>
        <w:t xml:space="preserve"> </w:t>
      </w:r>
      <w:r w:rsidRPr="00EB51B8">
        <w:t>agree</w:t>
      </w:r>
      <w:r w:rsidR="00F25EFF" w:rsidRPr="00EB51B8">
        <w:t>s</w:t>
      </w:r>
      <w:r w:rsidRPr="00EB51B8">
        <w:t xml:space="preserve"> to be </w:t>
      </w:r>
      <w:r w:rsidR="00AF3346" w:rsidRPr="00EB51B8">
        <w:t xml:space="preserve">responsible </w:t>
      </w:r>
      <w:r w:rsidRPr="00EB51B8">
        <w:t>for:</w:t>
      </w:r>
    </w:p>
    <w:p w14:paraId="6C010648" w14:textId="77777777" w:rsidR="002D7545" w:rsidRDefault="002D7545" w:rsidP="001429B7">
      <w:pPr>
        <w:pStyle w:val="AlphaParagraph"/>
        <w:numPr>
          <w:ilvl w:val="0"/>
          <w:numId w:val="22"/>
        </w:numPr>
        <w:tabs>
          <w:tab w:val="clear" w:pos="567"/>
          <w:tab w:val="clear" w:pos="1134"/>
        </w:tabs>
      </w:pPr>
      <w:r>
        <w:t xml:space="preserve">developing Implementation Plans in consultation with the </w:t>
      </w:r>
      <w:proofErr w:type="gramStart"/>
      <w:r>
        <w:t>Commonwealth;</w:t>
      </w:r>
      <w:proofErr w:type="gramEnd"/>
    </w:p>
    <w:p w14:paraId="7E5AF8A8" w14:textId="77777777" w:rsidR="004623C2" w:rsidRDefault="00EF72D4" w:rsidP="001429B7">
      <w:pPr>
        <w:pStyle w:val="AlphaParagraph"/>
        <w:numPr>
          <w:ilvl w:val="0"/>
          <w:numId w:val="22"/>
        </w:numPr>
        <w:tabs>
          <w:tab w:val="clear" w:pos="567"/>
          <w:tab w:val="clear" w:pos="1134"/>
        </w:tabs>
      </w:pPr>
      <w:r w:rsidRPr="00EB51B8">
        <w:t xml:space="preserve">delivering on outcomes and outputs </w:t>
      </w:r>
      <w:r w:rsidR="00F25EFF" w:rsidRPr="00EB51B8">
        <w:t xml:space="preserve">required by this Agreement and the Implementation </w:t>
      </w:r>
      <w:proofErr w:type="gramStart"/>
      <w:r w:rsidR="00F25EFF" w:rsidRPr="00EB51B8">
        <w:t>Plans</w:t>
      </w:r>
      <w:r w:rsidRPr="00EB51B8">
        <w:t>;</w:t>
      </w:r>
      <w:proofErr w:type="gramEnd"/>
      <w:r w:rsidR="00F25EFF" w:rsidRPr="00EB51B8">
        <w:t xml:space="preserve"> </w:t>
      </w:r>
    </w:p>
    <w:p w14:paraId="030232A8" w14:textId="77777777" w:rsidR="00D802FC" w:rsidRPr="00EB51B8" w:rsidRDefault="004623C2" w:rsidP="001429B7">
      <w:pPr>
        <w:pStyle w:val="AlphaParagraph"/>
        <w:numPr>
          <w:ilvl w:val="0"/>
          <w:numId w:val="22"/>
        </w:numPr>
        <w:tabs>
          <w:tab w:val="clear" w:pos="567"/>
          <w:tab w:val="clear" w:pos="1134"/>
        </w:tabs>
      </w:pPr>
      <w:r>
        <w:t xml:space="preserve">monitoring the delivery of services, reforms and projects under this Agreement to ensure that outputs are </w:t>
      </w:r>
      <w:proofErr w:type="gramStart"/>
      <w:r>
        <w:t>delivered</w:t>
      </w:r>
      <w:proofErr w:type="gramEnd"/>
      <w:r>
        <w:t xml:space="preserve"> and outcomes are achieved within the agreed timeframes; </w:t>
      </w:r>
    </w:p>
    <w:p w14:paraId="065E009F" w14:textId="77777777" w:rsidR="00ED724D" w:rsidRPr="00347EBC" w:rsidRDefault="00D802FC" w:rsidP="001429B7">
      <w:pPr>
        <w:pStyle w:val="AlphaParagraph"/>
        <w:numPr>
          <w:ilvl w:val="0"/>
          <w:numId w:val="22"/>
        </w:numPr>
        <w:tabs>
          <w:tab w:val="left" w:pos="567"/>
          <w:tab w:val="left" w:pos="1134"/>
        </w:tabs>
        <w:spacing w:after="246"/>
        <w:rPr>
          <w:color w:val="00B050"/>
        </w:rPr>
      </w:pPr>
      <w:bookmarkStart w:id="1" w:name="OLE_LINK1"/>
      <w:bookmarkStart w:id="2" w:name="OLE_LINK2"/>
      <w:r w:rsidRPr="00EB51B8">
        <w:lastRenderedPageBreak/>
        <w:t xml:space="preserve">reporting on the delivery of </w:t>
      </w:r>
      <w:r w:rsidR="00333506" w:rsidRPr="00EB51B8">
        <w:t xml:space="preserve">outcomes and outputs </w:t>
      </w:r>
      <w:r w:rsidRPr="00EB51B8">
        <w:t xml:space="preserve">as set out in Part 4 – Performance </w:t>
      </w:r>
      <w:r w:rsidR="00755B01" w:rsidRPr="00EB51B8">
        <w:t>Monitoring</w:t>
      </w:r>
      <w:r w:rsidRPr="00EB51B8">
        <w:t xml:space="preserve"> and </w:t>
      </w:r>
      <w:proofErr w:type="gramStart"/>
      <w:r w:rsidRPr="00EB51B8">
        <w:t>Reporting</w:t>
      </w:r>
      <w:r w:rsidR="00ED724D">
        <w:t>;</w:t>
      </w:r>
      <w:proofErr w:type="gramEnd"/>
    </w:p>
    <w:p w14:paraId="5F4A7FF8" w14:textId="257C0AB1" w:rsidR="00ED724D" w:rsidRPr="00347EBC" w:rsidRDefault="00ED724D" w:rsidP="001429B7">
      <w:pPr>
        <w:pStyle w:val="AlphaParagraph"/>
        <w:numPr>
          <w:ilvl w:val="0"/>
          <w:numId w:val="22"/>
        </w:numPr>
        <w:tabs>
          <w:tab w:val="left" w:pos="567"/>
          <w:tab w:val="left" w:pos="1134"/>
        </w:tabs>
        <w:spacing w:after="246"/>
        <w:rPr>
          <w:color w:val="00B050"/>
        </w:rPr>
      </w:pPr>
      <w:r>
        <w:t>ensuring that only a builder or builders accredited under the WHS Accreditation Scheme</w:t>
      </w:r>
      <w:r w:rsidR="00654B6C">
        <w:t xml:space="preserve"> </w:t>
      </w:r>
      <w:r w:rsidR="00654B6C">
        <w:rPr>
          <w:color w:val="auto"/>
        </w:rPr>
        <w:t>and/or the Northern Territory equivalent legislation</w:t>
      </w:r>
      <w:r w:rsidR="00D272DB">
        <w:t xml:space="preserve"> for Commonwealth building work</w:t>
      </w:r>
      <w:r>
        <w:t xml:space="preserve"> is contracted, and providing the necessary assurances to the Commonwealth; and </w:t>
      </w:r>
    </w:p>
    <w:p w14:paraId="481C445F" w14:textId="4CF59EC4" w:rsidR="00DD1898" w:rsidRPr="00EB51B8" w:rsidRDefault="00ED724D" w:rsidP="001429B7">
      <w:pPr>
        <w:pStyle w:val="AlphaParagraph"/>
        <w:numPr>
          <w:ilvl w:val="0"/>
          <w:numId w:val="22"/>
        </w:numPr>
        <w:tabs>
          <w:tab w:val="left" w:pos="567"/>
          <w:tab w:val="left" w:pos="1134"/>
        </w:tabs>
        <w:spacing w:after="246"/>
        <w:rPr>
          <w:color w:val="00B050"/>
        </w:rPr>
      </w:pPr>
      <w:r>
        <w:t xml:space="preserve">ensuring that compliance with the </w:t>
      </w:r>
      <w:r w:rsidR="00D272DB">
        <w:rPr>
          <w:color w:val="auto"/>
        </w:rPr>
        <w:t xml:space="preserve">Building Code under the </w:t>
      </w:r>
      <w:r w:rsidR="00D272DB" w:rsidRPr="00FB2A75">
        <w:rPr>
          <w:i/>
          <w:color w:val="auto"/>
        </w:rPr>
        <w:t>Building and Construction Industry (Improving Productivity) Act</w:t>
      </w:r>
      <w:r w:rsidR="00D272DB">
        <w:rPr>
          <w:color w:val="auto"/>
        </w:rPr>
        <w:t xml:space="preserve"> </w:t>
      </w:r>
      <w:r w:rsidR="00D272DB" w:rsidRPr="00FB2A75">
        <w:rPr>
          <w:i/>
          <w:color w:val="auto"/>
        </w:rPr>
        <w:t>2016</w:t>
      </w:r>
      <w:r w:rsidR="005304AF">
        <w:rPr>
          <w:i/>
          <w:color w:val="auto"/>
        </w:rPr>
        <w:t xml:space="preserve"> </w:t>
      </w:r>
      <w:r>
        <w:t>i</w:t>
      </w:r>
      <w:r w:rsidR="00340B29">
        <w:t>s</w:t>
      </w:r>
      <w:r>
        <w:t xml:space="preserve"> made a condition of tender for all contractors and subcontractors who tender for the </w:t>
      </w:r>
      <w:proofErr w:type="gramStart"/>
      <w:r>
        <w:t>work, and</w:t>
      </w:r>
      <w:proofErr w:type="gramEnd"/>
      <w:r>
        <w:t xml:space="preserve"> providing the necessary assurances to the Commonwealth</w:t>
      </w:r>
      <w:r w:rsidR="00F25EFF" w:rsidRPr="00EB51B8">
        <w:t>.</w:t>
      </w:r>
      <w:r w:rsidR="00D802FC" w:rsidRPr="00EB51B8">
        <w:t xml:space="preserve"> </w:t>
      </w:r>
      <w:bookmarkEnd w:id="1"/>
      <w:bookmarkEnd w:id="2"/>
    </w:p>
    <w:p w14:paraId="7F77C1A8" w14:textId="77777777" w:rsidR="00AB79E9" w:rsidRPr="00EB51B8" w:rsidRDefault="00AB79E9" w:rsidP="00C74B1D">
      <w:pPr>
        <w:pStyle w:val="Heading2"/>
        <w:spacing w:before="120"/>
      </w:pPr>
      <w:r w:rsidRPr="00EB51B8">
        <w:t>Shared roles and responsibilities</w:t>
      </w:r>
    </w:p>
    <w:p w14:paraId="304D3F5F" w14:textId="77777777" w:rsidR="00091DF8" w:rsidRPr="00EB51B8" w:rsidRDefault="00287DCC" w:rsidP="00C73AE8">
      <w:pPr>
        <w:pStyle w:val="Normalnumbered"/>
        <w:keepNext/>
        <w:numPr>
          <w:ilvl w:val="0"/>
          <w:numId w:val="11"/>
        </w:numPr>
      </w:pPr>
      <w:r w:rsidRPr="00EB51B8">
        <w:t>T</w:t>
      </w:r>
      <w:r w:rsidR="00AB79E9" w:rsidRPr="00EB51B8">
        <w:t>he Commonwealth</w:t>
      </w:r>
      <w:r w:rsidRPr="00EB51B8">
        <w:t xml:space="preserve"> and the </w:t>
      </w:r>
      <w:r w:rsidR="00462094">
        <w:rPr>
          <w:color w:val="auto"/>
        </w:rPr>
        <w:t>Northern Territory</w:t>
      </w:r>
      <w:r w:rsidR="00DF4D7C" w:rsidRPr="00EB51B8">
        <w:rPr>
          <w:color w:val="auto"/>
        </w:rPr>
        <w:t xml:space="preserve"> </w:t>
      </w:r>
      <w:r w:rsidR="00F1611B" w:rsidRPr="00EB51B8">
        <w:t>a</w:t>
      </w:r>
      <w:r w:rsidR="007E5117" w:rsidRPr="00EB51B8">
        <w:t>gree to be</w:t>
      </w:r>
      <w:r w:rsidR="00F1611B" w:rsidRPr="00EB51B8">
        <w:t xml:space="preserve"> jointly </w:t>
      </w:r>
      <w:r w:rsidR="00AF3346" w:rsidRPr="00EB51B8">
        <w:t>responsible</w:t>
      </w:r>
      <w:r w:rsidR="00F1611B" w:rsidRPr="00EB51B8">
        <w:t xml:space="preserve"> for: </w:t>
      </w:r>
    </w:p>
    <w:p w14:paraId="1E84E460" w14:textId="77777777" w:rsidR="002D7545" w:rsidRDefault="002D7545" w:rsidP="00C73AE8">
      <w:pPr>
        <w:pStyle w:val="AlphaParagraph"/>
        <w:numPr>
          <w:ilvl w:val="0"/>
          <w:numId w:val="23"/>
        </w:numPr>
        <w:tabs>
          <w:tab w:val="clear" w:pos="567"/>
          <w:tab w:val="clear" w:pos="1134"/>
        </w:tabs>
      </w:pPr>
      <w:r>
        <w:t xml:space="preserve">participating in consultations as appropriate regarding the implementation of this </w:t>
      </w:r>
      <w:proofErr w:type="gramStart"/>
      <w:r>
        <w:t>Agreement;</w:t>
      </w:r>
      <w:proofErr w:type="gramEnd"/>
    </w:p>
    <w:p w14:paraId="6B39E793" w14:textId="77777777" w:rsidR="008E072E" w:rsidRPr="00EB51B8" w:rsidRDefault="008E072E" w:rsidP="001429B7">
      <w:pPr>
        <w:pStyle w:val="AlphaParagraph"/>
        <w:numPr>
          <w:ilvl w:val="0"/>
          <w:numId w:val="23"/>
        </w:numPr>
        <w:tabs>
          <w:tab w:val="clear" w:pos="567"/>
        </w:tabs>
      </w:pPr>
      <w:r w:rsidRPr="00EB51B8">
        <w:t xml:space="preserve">ensuring Commonwealth and </w:t>
      </w:r>
      <w:r w:rsidR="00462094">
        <w:rPr>
          <w:color w:val="auto"/>
        </w:rPr>
        <w:t>Northern Territory</w:t>
      </w:r>
      <w:r w:rsidRPr="00EB51B8">
        <w:rPr>
          <w:color w:val="auto"/>
        </w:rPr>
        <w:t xml:space="preserve"> </w:t>
      </w:r>
      <w:r w:rsidRPr="00EB51B8">
        <w:t xml:space="preserve">funded initiatives are complementary and do not duplicate </w:t>
      </w:r>
      <w:proofErr w:type="gramStart"/>
      <w:r w:rsidRPr="00EB51B8">
        <w:t>each other;</w:t>
      </w:r>
      <w:proofErr w:type="gramEnd"/>
      <w:r w:rsidRPr="00EB51B8">
        <w:t xml:space="preserve"> </w:t>
      </w:r>
    </w:p>
    <w:p w14:paraId="2775F527" w14:textId="77777777" w:rsidR="008E072E" w:rsidRDefault="008E072E" w:rsidP="001429B7">
      <w:pPr>
        <w:pStyle w:val="AlphaParagraph"/>
        <w:numPr>
          <w:ilvl w:val="0"/>
          <w:numId w:val="23"/>
        </w:numPr>
        <w:tabs>
          <w:tab w:val="clear" w:pos="567"/>
          <w:tab w:val="clear" w:pos="1134"/>
        </w:tabs>
      </w:pPr>
      <w:r w:rsidRPr="00EB51B8">
        <w:t xml:space="preserve">sharing information regarding any major service changes which will impact on Aboriginal people in the </w:t>
      </w:r>
      <w:r w:rsidR="00462094">
        <w:rPr>
          <w:color w:val="auto"/>
        </w:rPr>
        <w:t>Northern Territory</w:t>
      </w:r>
      <w:r w:rsidRPr="00EB51B8">
        <w:t>, in advance where appropriate;</w:t>
      </w:r>
      <w:r w:rsidR="009211D0">
        <w:t xml:space="preserve"> and</w:t>
      </w:r>
    </w:p>
    <w:p w14:paraId="734AB1A8" w14:textId="77777777" w:rsidR="00F25EFF" w:rsidRPr="00EB51B8" w:rsidRDefault="00AB79E9" w:rsidP="00851305">
      <w:pPr>
        <w:pStyle w:val="AlphaParagraph"/>
        <w:numPr>
          <w:ilvl w:val="0"/>
          <w:numId w:val="23"/>
        </w:numPr>
        <w:tabs>
          <w:tab w:val="clear" w:pos="567"/>
          <w:tab w:val="clear" w:pos="1134"/>
        </w:tabs>
      </w:pPr>
      <w:r w:rsidRPr="00EB51B8">
        <w:t xml:space="preserve">negotiating </w:t>
      </w:r>
      <w:r w:rsidR="00287DCC" w:rsidRPr="00EB51B8">
        <w:t xml:space="preserve">new or revised </w:t>
      </w:r>
      <w:r w:rsidR="001A1422" w:rsidRPr="00EB51B8">
        <w:t>S</w:t>
      </w:r>
      <w:r w:rsidR="00287DCC" w:rsidRPr="00EB51B8">
        <w:t>chedules</w:t>
      </w:r>
      <w:r w:rsidR="00807AD8" w:rsidRPr="00EB51B8">
        <w:t>, including</w:t>
      </w:r>
      <w:r w:rsidR="001A1422" w:rsidRPr="00EB51B8">
        <w:t xml:space="preserve"> Implementation Plans</w:t>
      </w:r>
      <w:r w:rsidR="00807AD8" w:rsidRPr="00EB51B8">
        <w:t>,</w:t>
      </w:r>
      <w:r w:rsidR="001A1422" w:rsidRPr="00EB51B8">
        <w:t xml:space="preserve"> </w:t>
      </w:r>
      <w:r w:rsidR="00287DCC" w:rsidRPr="00EB51B8">
        <w:t xml:space="preserve">to this </w:t>
      </w:r>
      <w:r w:rsidR="00814590" w:rsidRPr="00EB51B8">
        <w:t>A</w:t>
      </w:r>
      <w:r w:rsidR="00287DCC" w:rsidRPr="00EB51B8">
        <w:t>greement</w:t>
      </w:r>
      <w:r w:rsidR="009211D0">
        <w:t>.</w:t>
      </w:r>
    </w:p>
    <w:p w14:paraId="138E67BB" w14:textId="60FF872D" w:rsidR="00091DF8" w:rsidRDefault="00091DF8" w:rsidP="001429B7">
      <w:pPr>
        <w:pStyle w:val="Normalnumbered"/>
        <w:numPr>
          <w:ilvl w:val="0"/>
          <w:numId w:val="11"/>
        </w:numPr>
        <w:rPr>
          <w:color w:val="auto"/>
        </w:rPr>
      </w:pPr>
      <w:r w:rsidRPr="00EB51B8">
        <w:rPr>
          <w:color w:val="auto"/>
        </w:rPr>
        <w:t xml:space="preserve">The Parties will meet the requirements of </w:t>
      </w:r>
      <w:r w:rsidRPr="00681C6E">
        <w:rPr>
          <w:color w:val="auto"/>
        </w:rPr>
        <w:t>Schedule E, Clause 26 of the I</w:t>
      </w:r>
      <w:r w:rsidR="00DA552B" w:rsidRPr="00681C6E">
        <w:rPr>
          <w:color w:val="auto"/>
        </w:rPr>
        <w:t>GA FFR</w:t>
      </w:r>
      <w:r w:rsidRPr="00EB51B8">
        <w:rPr>
          <w:color w:val="auto"/>
        </w:rPr>
        <w:t xml:space="preserve">, by ensuring that prior agreement is reached on the nature and content of any events, announcements, promotional </w:t>
      </w:r>
      <w:proofErr w:type="gramStart"/>
      <w:r w:rsidRPr="00EB51B8">
        <w:rPr>
          <w:color w:val="auto"/>
        </w:rPr>
        <w:t>material</w:t>
      </w:r>
      <w:proofErr w:type="gramEnd"/>
      <w:r w:rsidRPr="00EB51B8">
        <w:rPr>
          <w:color w:val="auto"/>
        </w:rPr>
        <w:t xml:space="preserve"> or publicity relating to activities under an Implementation Plan, and that the roles of both Parties will be acknowledged and recognised appropriately.</w:t>
      </w:r>
    </w:p>
    <w:p w14:paraId="592E2169" w14:textId="77777777" w:rsidR="00E72F4A" w:rsidRPr="00EB51B8" w:rsidRDefault="00E72F4A" w:rsidP="00C74B1D">
      <w:pPr>
        <w:pStyle w:val="Heading2"/>
        <w:spacing w:before="120"/>
      </w:pPr>
      <w:r w:rsidRPr="00EB51B8">
        <w:t>Implementation Plans</w:t>
      </w:r>
      <w:r w:rsidR="004C665A" w:rsidRPr="00EB51B8">
        <w:t xml:space="preserve"> </w:t>
      </w:r>
    </w:p>
    <w:p w14:paraId="59C4A6FD" w14:textId="77777777" w:rsidR="00E968F6" w:rsidRPr="00EB51B8" w:rsidRDefault="00FB6A2E" w:rsidP="001429B7">
      <w:pPr>
        <w:pStyle w:val="Normalnumbered"/>
        <w:numPr>
          <w:ilvl w:val="0"/>
          <w:numId w:val="11"/>
        </w:numPr>
        <w:jc w:val="left"/>
      </w:pPr>
      <w:r w:rsidRPr="00EB51B8">
        <w:t xml:space="preserve">The Commonwealth and the </w:t>
      </w:r>
      <w:r w:rsidR="00462094">
        <w:rPr>
          <w:color w:val="auto"/>
        </w:rPr>
        <w:t>Northern Territory</w:t>
      </w:r>
      <w:r w:rsidR="00DF4D7C" w:rsidRPr="00EB51B8">
        <w:rPr>
          <w:color w:val="auto"/>
        </w:rPr>
        <w:t xml:space="preserve"> </w:t>
      </w:r>
      <w:r w:rsidRPr="00EB51B8">
        <w:t xml:space="preserve">will agree Implementation Plans on </w:t>
      </w:r>
      <w:r w:rsidR="003D63F6" w:rsidRPr="00EB51B8">
        <w:t xml:space="preserve">Children and Schooling, Community Safety, </w:t>
      </w:r>
      <w:proofErr w:type="gramStart"/>
      <w:r w:rsidR="003D63F6" w:rsidRPr="00EB51B8">
        <w:t>Health</w:t>
      </w:r>
      <w:proofErr w:type="gramEnd"/>
      <w:r w:rsidR="003D63F6" w:rsidRPr="00EB51B8">
        <w:t xml:space="preserve"> and Remote Australia Strategies</w:t>
      </w:r>
      <w:r w:rsidR="00B16B1B">
        <w:t>. The Implementation Plans will set out the</w:t>
      </w:r>
      <w:r w:rsidR="00AC321B">
        <w:t xml:space="preserve"> </w:t>
      </w:r>
      <w:r w:rsidR="00462094">
        <w:t>Northern Territory</w:t>
      </w:r>
      <w:r w:rsidR="00AC321B">
        <w:t>’s</w:t>
      </w:r>
      <w:r w:rsidR="00B16B1B">
        <w:t xml:space="preserve"> strategy for delivering on the outcomes and outputs of this Agreement</w:t>
      </w:r>
      <w:r w:rsidRPr="00EB51B8">
        <w:t xml:space="preserve">, including </w:t>
      </w:r>
      <w:r w:rsidRPr="00B16B1B">
        <w:t>financial information</w:t>
      </w:r>
      <w:r w:rsidR="00703194" w:rsidRPr="00EB51B8">
        <w:rPr>
          <w:i/>
        </w:rPr>
        <w:t>.</w:t>
      </w:r>
    </w:p>
    <w:p w14:paraId="31BB671E" w14:textId="5E2C1645" w:rsidR="00B733C0" w:rsidRDefault="00B733C0" w:rsidP="00B733C0">
      <w:pPr>
        <w:pStyle w:val="Heading2"/>
        <w:spacing w:before="120"/>
      </w:pPr>
      <w:r>
        <w:t>Governance</w:t>
      </w:r>
    </w:p>
    <w:p w14:paraId="4F3D5669" w14:textId="77777777" w:rsidR="008142E7" w:rsidRPr="00EB51B8" w:rsidRDefault="008142E7" w:rsidP="008142E7">
      <w:pPr>
        <w:pStyle w:val="Heading2"/>
        <w:spacing w:before="120"/>
      </w:pPr>
      <w:r>
        <w:t>Joint Steering Committee</w:t>
      </w:r>
    </w:p>
    <w:p w14:paraId="16E2C667" w14:textId="360DF5AD" w:rsidR="008142E7" w:rsidRPr="00EB51B8" w:rsidRDefault="008142E7" w:rsidP="008142E7">
      <w:pPr>
        <w:pStyle w:val="Normalnumbered"/>
        <w:numPr>
          <w:ilvl w:val="0"/>
          <w:numId w:val="11"/>
        </w:numPr>
        <w:rPr>
          <w:color w:val="auto"/>
        </w:rPr>
      </w:pPr>
      <w:r>
        <w:rPr>
          <w:color w:val="auto"/>
        </w:rPr>
        <w:t xml:space="preserve">The Commonwealth and the Northern Territory will </w:t>
      </w:r>
      <w:r w:rsidRPr="00B5636C">
        <w:rPr>
          <w:color w:val="auto"/>
        </w:rPr>
        <w:t xml:space="preserve">participate in </w:t>
      </w:r>
      <w:r>
        <w:rPr>
          <w:color w:val="auto"/>
        </w:rPr>
        <w:t>a</w:t>
      </w:r>
      <w:r w:rsidRPr="00B5636C">
        <w:rPr>
          <w:color w:val="auto"/>
        </w:rPr>
        <w:t xml:space="preserve"> J</w:t>
      </w:r>
      <w:r>
        <w:rPr>
          <w:color w:val="auto"/>
        </w:rPr>
        <w:t xml:space="preserve">oint Steering </w:t>
      </w:r>
      <w:r w:rsidR="00C277A6" w:rsidRPr="00B5636C">
        <w:rPr>
          <w:color w:val="auto"/>
        </w:rPr>
        <w:t>C</w:t>
      </w:r>
      <w:r w:rsidR="00C277A6">
        <w:rPr>
          <w:color w:val="auto"/>
        </w:rPr>
        <w:t>ommittee</w:t>
      </w:r>
      <w:r w:rsidR="00C277A6" w:rsidRPr="00B5636C">
        <w:rPr>
          <w:color w:val="auto"/>
        </w:rPr>
        <w:t xml:space="preserve"> and</w:t>
      </w:r>
      <w:r w:rsidR="00C277A6">
        <w:rPr>
          <w:color w:val="auto"/>
        </w:rPr>
        <w:t xml:space="preserve"> will invite</w:t>
      </w:r>
      <w:r w:rsidRPr="00B5636C">
        <w:rPr>
          <w:color w:val="auto"/>
        </w:rPr>
        <w:t xml:space="preserve"> the Aboriginal Peak Organisations Northern Territory</w:t>
      </w:r>
      <w:r w:rsidR="00C277A6">
        <w:rPr>
          <w:color w:val="auto"/>
        </w:rPr>
        <w:t xml:space="preserve"> to participate in the forum. The Joint Steering Committee will</w:t>
      </w:r>
      <w:r>
        <w:rPr>
          <w:color w:val="auto"/>
        </w:rPr>
        <w:t xml:space="preserve"> oversee </w:t>
      </w:r>
      <w:r w:rsidRPr="00B5636C">
        <w:rPr>
          <w:color w:val="auto"/>
        </w:rPr>
        <w:t>the activit</w:t>
      </w:r>
      <w:r>
        <w:rPr>
          <w:color w:val="auto"/>
        </w:rPr>
        <w:t>ies</w:t>
      </w:r>
      <w:r w:rsidRPr="00B5636C">
        <w:rPr>
          <w:color w:val="auto"/>
        </w:rPr>
        <w:t xml:space="preserve"> under the Agreement and</w:t>
      </w:r>
      <w:r>
        <w:rPr>
          <w:color w:val="auto"/>
        </w:rPr>
        <w:t xml:space="preserve"> provide input on and</w:t>
      </w:r>
      <w:r w:rsidRPr="00B5636C">
        <w:rPr>
          <w:color w:val="auto"/>
        </w:rPr>
        <w:t xml:space="preserve"> hold responsibility for strategic matters relating to the Agreement</w:t>
      </w:r>
      <w:r>
        <w:rPr>
          <w:color w:val="auto"/>
        </w:rPr>
        <w:t xml:space="preserve"> and the co</w:t>
      </w:r>
      <w:r>
        <w:rPr>
          <w:color w:val="auto"/>
        </w:rPr>
        <w:noBreakHyphen/>
        <w:t>design of future arrangements for remote service delivery</w:t>
      </w:r>
      <w:r w:rsidRPr="00B5636C">
        <w:rPr>
          <w:color w:val="auto"/>
        </w:rPr>
        <w:t>.</w:t>
      </w:r>
      <w:r w:rsidR="00C277A6">
        <w:rPr>
          <w:color w:val="auto"/>
        </w:rPr>
        <w:t xml:space="preserve"> </w:t>
      </w:r>
      <w:r w:rsidR="00C277A6" w:rsidRPr="00CE2572">
        <w:t xml:space="preserve">The inclusion of the Aboriginal Peak Organisations Northern Territory in the </w:t>
      </w:r>
      <w:r w:rsidR="00C277A6" w:rsidRPr="00B5636C">
        <w:rPr>
          <w:color w:val="auto"/>
        </w:rPr>
        <w:t>J</w:t>
      </w:r>
      <w:r w:rsidR="00C277A6">
        <w:rPr>
          <w:color w:val="auto"/>
        </w:rPr>
        <w:t xml:space="preserve">oint Steering </w:t>
      </w:r>
      <w:r w:rsidR="00C277A6" w:rsidRPr="00B5636C">
        <w:rPr>
          <w:color w:val="auto"/>
        </w:rPr>
        <w:t>C</w:t>
      </w:r>
      <w:r w:rsidR="00C277A6">
        <w:rPr>
          <w:color w:val="auto"/>
        </w:rPr>
        <w:t>ommittee</w:t>
      </w:r>
      <w:r w:rsidR="00C277A6" w:rsidRPr="00B5636C">
        <w:rPr>
          <w:color w:val="auto"/>
        </w:rPr>
        <w:t xml:space="preserve"> </w:t>
      </w:r>
      <w:r w:rsidR="00C277A6" w:rsidRPr="00CE2572">
        <w:t>acknowledges the key role of Aboriginal representatives in monitoring services that are delivered primarily to Aboriginal people and the partnership approach between governments and Aboriginal people in the Northern Territory.</w:t>
      </w:r>
    </w:p>
    <w:p w14:paraId="2D195F6C" w14:textId="7B6EE9C4" w:rsidR="00B733C0" w:rsidRDefault="00B733C0" w:rsidP="00B733C0">
      <w:pPr>
        <w:pStyle w:val="Normalnumbered"/>
        <w:numPr>
          <w:ilvl w:val="0"/>
          <w:numId w:val="11"/>
        </w:numPr>
        <w:jc w:val="left"/>
      </w:pPr>
      <w:r w:rsidRPr="007113C6">
        <w:t xml:space="preserve">The </w:t>
      </w:r>
      <w:r w:rsidR="008142E7" w:rsidRPr="00B5636C">
        <w:rPr>
          <w:color w:val="auto"/>
        </w:rPr>
        <w:t>J</w:t>
      </w:r>
      <w:r w:rsidR="008142E7">
        <w:rPr>
          <w:color w:val="auto"/>
        </w:rPr>
        <w:t xml:space="preserve">oint Steering </w:t>
      </w:r>
      <w:r w:rsidR="008142E7" w:rsidRPr="00B5636C">
        <w:rPr>
          <w:color w:val="auto"/>
        </w:rPr>
        <w:t>C</w:t>
      </w:r>
      <w:r w:rsidR="008142E7">
        <w:rPr>
          <w:color w:val="auto"/>
        </w:rPr>
        <w:t>ommittee</w:t>
      </w:r>
      <w:r w:rsidR="008142E7" w:rsidRPr="007113C6" w:rsidDel="008142E7">
        <w:t xml:space="preserve"> </w:t>
      </w:r>
      <w:r w:rsidRPr="007113C6">
        <w:t xml:space="preserve">will meet at least bi-annually to facilitate strategic oversight and support outcomes of this Agreement and the Implementation Plans. The Parties will invite the Aboriginal Peak Organisation of the Northern Territory to </w:t>
      </w:r>
      <w:r w:rsidR="007B0DA8">
        <w:t>all meetings</w:t>
      </w:r>
      <w:r w:rsidRPr="007113C6">
        <w:t>.</w:t>
      </w:r>
    </w:p>
    <w:p w14:paraId="0B24718B" w14:textId="77777777" w:rsidR="00814667" w:rsidRPr="00EB51B8" w:rsidRDefault="00814667" w:rsidP="00C74B1D">
      <w:pPr>
        <w:pStyle w:val="Heading1"/>
        <w:spacing w:before="120" w:after="120"/>
      </w:pPr>
      <w:r w:rsidRPr="00EB51B8">
        <w:lastRenderedPageBreak/>
        <w:t xml:space="preserve">Part 4 — Performance </w:t>
      </w:r>
      <w:r w:rsidR="00ED0175" w:rsidRPr="00EB51B8">
        <w:t xml:space="preserve">monitoring </w:t>
      </w:r>
      <w:r w:rsidRPr="00EB51B8">
        <w:t>and reporting</w:t>
      </w:r>
    </w:p>
    <w:p w14:paraId="1024A0AA" w14:textId="77777777" w:rsidR="00F3245D" w:rsidRPr="00EB51B8" w:rsidRDefault="00F3245D" w:rsidP="00C74B1D">
      <w:pPr>
        <w:pStyle w:val="Heading2"/>
        <w:spacing w:before="120"/>
      </w:pPr>
      <w:r w:rsidRPr="00EB51B8">
        <w:t>Performance indicators</w:t>
      </w:r>
      <w:r w:rsidR="00CB2557" w:rsidRPr="00EB51B8">
        <w:t xml:space="preserve"> </w:t>
      </w:r>
    </w:p>
    <w:p w14:paraId="683451F4" w14:textId="77777777" w:rsidR="009E151E" w:rsidRPr="00EB51B8" w:rsidRDefault="009E151E" w:rsidP="00C73AE8">
      <w:pPr>
        <w:pStyle w:val="Normalnumbered"/>
        <w:numPr>
          <w:ilvl w:val="0"/>
          <w:numId w:val="11"/>
        </w:numPr>
        <w:jc w:val="left"/>
      </w:pPr>
      <w:r w:rsidRPr="00EB51B8">
        <w:t>Achievement of the objectives and outcomes in this Agreement will be informed with reference to the performance indicators</w:t>
      </w:r>
      <w:r w:rsidR="003D63F6" w:rsidRPr="00EB51B8">
        <w:t xml:space="preserve"> as agreed </w:t>
      </w:r>
      <w:r w:rsidR="00325993">
        <w:t xml:space="preserve">in the </w:t>
      </w:r>
      <w:r w:rsidR="003D63F6" w:rsidRPr="00EB51B8">
        <w:t>Implementation Plans.</w:t>
      </w:r>
    </w:p>
    <w:p w14:paraId="3A38E052" w14:textId="77777777" w:rsidR="00F3245D" w:rsidRPr="00EB51B8" w:rsidRDefault="00F3245D" w:rsidP="00C74B1D">
      <w:pPr>
        <w:pStyle w:val="Heading2"/>
        <w:spacing w:before="120"/>
      </w:pPr>
      <w:r w:rsidRPr="00EB51B8">
        <w:t>Performance benchmarks</w:t>
      </w:r>
      <w:r w:rsidR="00ED0175" w:rsidRPr="00EB51B8">
        <w:t xml:space="preserve"> </w:t>
      </w:r>
      <w:r w:rsidR="00C55A78">
        <w:t xml:space="preserve">and </w:t>
      </w:r>
      <w:r w:rsidR="00ED0175" w:rsidRPr="00EB51B8">
        <w:t>milestones</w:t>
      </w:r>
    </w:p>
    <w:p w14:paraId="33028C19" w14:textId="77777777" w:rsidR="00814667" w:rsidRDefault="00814667" w:rsidP="00C73AE8">
      <w:pPr>
        <w:pStyle w:val="Normalnumbered"/>
        <w:numPr>
          <w:ilvl w:val="0"/>
          <w:numId w:val="11"/>
        </w:numPr>
        <w:jc w:val="left"/>
      </w:pPr>
      <w:r w:rsidRPr="00EB51B8">
        <w:t xml:space="preserve">The </w:t>
      </w:r>
      <w:r w:rsidR="00462094">
        <w:rPr>
          <w:color w:val="auto"/>
        </w:rPr>
        <w:t>Northern Territory</w:t>
      </w:r>
      <w:r w:rsidR="00DF4D7C" w:rsidRPr="00EB51B8">
        <w:rPr>
          <w:color w:val="auto"/>
        </w:rPr>
        <w:t xml:space="preserve"> </w:t>
      </w:r>
      <w:r w:rsidRPr="00EB51B8">
        <w:t>agree</w:t>
      </w:r>
      <w:r w:rsidR="003D63F6" w:rsidRPr="00EB51B8">
        <w:t>s</w:t>
      </w:r>
      <w:r w:rsidRPr="00EB51B8">
        <w:t xml:space="preserve"> to meet the performance benchmarks</w:t>
      </w:r>
      <w:r w:rsidR="009822E5">
        <w:t xml:space="preserve"> and</w:t>
      </w:r>
      <w:r w:rsidR="003D63F6" w:rsidRPr="00EB51B8">
        <w:t xml:space="preserve"> </w:t>
      </w:r>
      <w:r w:rsidR="00527ABC" w:rsidRPr="00EB51B8">
        <w:t>milestones</w:t>
      </w:r>
      <w:r w:rsidR="003D63F6" w:rsidRPr="00EB51B8">
        <w:t xml:space="preserve"> for payments as </w:t>
      </w:r>
      <w:r w:rsidR="00325993">
        <w:t>agreed</w:t>
      </w:r>
      <w:r w:rsidR="00325993" w:rsidRPr="00EB51B8">
        <w:t xml:space="preserve"> </w:t>
      </w:r>
      <w:r w:rsidR="003D63F6" w:rsidRPr="00EB51B8">
        <w:t>in the Implementation Plans to this Agreement.</w:t>
      </w:r>
    </w:p>
    <w:p w14:paraId="03C55A8D" w14:textId="77777777" w:rsidR="00F3245D" w:rsidRPr="00EB51B8" w:rsidRDefault="00F3245D" w:rsidP="00C74B1D">
      <w:pPr>
        <w:pStyle w:val="Heading2"/>
        <w:spacing w:before="120"/>
      </w:pPr>
      <w:r w:rsidRPr="00EB51B8">
        <w:t>Reporting arrangements</w:t>
      </w:r>
    </w:p>
    <w:p w14:paraId="452F80EE" w14:textId="77777777" w:rsidR="00AB70B2" w:rsidRPr="00347EBC" w:rsidRDefault="00C73AE8" w:rsidP="001429B7">
      <w:pPr>
        <w:pStyle w:val="Normalnumbered"/>
        <w:numPr>
          <w:ilvl w:val="0"/>
          <w:numId w:val="11"/>
        </w:numPr>
        <w:spacing w:before="120" w:line="240" w:lineRule="auto"/>
        <w:jc w:val="left"/>
      </w:pPr>
      <w:r>
        <w:t xml:space="preserve">Under reporting arrangements set out in the Implementation Plans to this Agreement, the </w:t>
      </w:r>
      <w:r w:rsidR="00462094">
        <w:t>Northern Territory</w:t>
      </w:r>
      <w:r w:rsidR="00886114">
        <w:t xml:space="preserve"> will report </w:t>
      </w:r>
      <w:r>
        <w:t xml:space="preserve">at least annually against the agreed performance indicators, performance benchmarks and milestones during the operation of the Agreement. Reporting will be limited to </w:t>
      </w:r>
      <w:r w:rsidR="00886114">
        <w:t xml:space="preserve">the minimum required to demonstrate that </w:t>
      </w:r>
      <w:r w:rsidR="00A04BED">
        <w:t xml:space="preserve">agreed outputs and outcomes </w:t>
      </w:r>
      <w:r w:rsidR="00886114">
        <w:t>have been met</w:t>
      </w:r>
      <w:r w:rsidR="00A04BED">
        <w:t xml:space="preserve">. </w:t>
      </w:r>
      <w:r w:rsidR="00886114">
        <w:t xml:space="preserve">The </w:t>
      </w:r>
      <w:r w:rsidR="00462094">
        <w:t>Northern Territory</w:t>
      </w:r>
      <w:r w:rsidR="00886114">
        <w:t xml:space="preserve"> can make use of any appropriate data sources, including existing reporting mechanisms. </w:t>
      </w:r>
    </w:p>
    <w:p w14:paraId="4A71FCA8" w14:textId="77777777" w:rsidR="00814667" w:rsidRPr="00EB51B8" w:rsidRDefault="00814667" w:rsidP="00C74B1D">
      <w:pPr>
        <w:pStyle w:val="Heading1"/>
        <w:spacing w:before="120" w:after="120"/>
      </w:pPr>
      <w:r w:rsidRPr="00EB51B8">
        <w:t>Part 5 — financial arrangements</w:t>
      </w:r>
    </w:p>
    <w:p w14:paraId="11F69CD7" w14:textId="77777777" w:rsidR="00C738BD" w:rsidRPr="00EB51B8" w:rsidRDefault="00C738BD" w:rsidP="00C74B1D">
      <w:pPr>
        <w:pStyle w:val="Heading2"/>
        <w:spacing w:before="120"/>
      </w:pPr>
      <w:bookmarkStart w:id="3" w:name="top"/>
      <w:bookmarkEnd w:id="3"/>
      <w:r w:rsidRPr="00EB51B8">
        <w:t>Financial contributions</w:t>
      </w:r>
    </w:p>
    <w:p w14:paraId="3CEB957C" w14:textId="1C52E0CC" w:rsidR="002B7E1B" w:rsidRPr="00974E78" w:rsidRDefault="00CC39B1" w:rsidP="00C73AE8">
      <w:pPr>
        <w:pStyle w:val="Normalnumbered"/>
        <w:numPr>
          <w:ilvl w:val="0"/>
          <w:numId w:val="11"/>
        </w:numPr>
        <w:jc w:val="left"/>
      </w:pPr>
      <w:r w:rsidRPr="00974E78">
        <w:t xml:space="preserve">The Commonwealth will </w:t>
      </w:r>
      <w:r w:rsidR="002B7E1B" w:rsidRPr="00974E78">
        <w:t>provide</w:t>
      </w:r>
      <w:r w:rsidRPr="00974E78">
        <w:t xml:space="preserve"> a</w:t>
      </w:r>
      <w:r w:rsidR="0062217C" w:rsidRPr="00974E78">
        <w:t>n estimated</w:t>
      </w:r>
      <w:r w:rsidR="00FA64FD" w:rsidRPr="00974E78">
        <w:t xml:space="preserve"> total</w:t>
      </w:r>
      <w:r w:rsidRPr="00974E78">
        <w:t xml:space="preserve"> financial contribution to </w:t>
      </w:r>
      <w:r w:rsidR="002B7E1B" w:rsidRPr="00974E78">
        <w:t xml:space="preserve">the </w:t>
      </w:r>
      <w:r w:rsidR="00462094" w:rsidRPr="00974E78">
        <w:rPr>
          <w:color w:val="auto"/>
        </w:rPr>
        <w:t>Northern Territory</w:t>
      </w:r>
      <w:r w:rsidR="00DF4D7C" w:rsidRPr="00974E78">
        <w:rPr>
          <w:color w:val="auto"/>
        </w:rPr>
        <w:t xml:space="preserve"> </w:t>
      </w:r>
      <w:r w:rsidR="0030404A" w:rsidRPr="007113C6">
        <w:rPr>
          <w:color w:val="auto"/>
        </w:rPr>
        <w:t xml:space="preserve">Government </w:t>
      </w:r>
      <w:r w:rsidR="00E579FF" w:rsidRPr="00974E78">
        <w:t>of $</w:t>
      </w:r>
      <w:r w:rsidR="0093616D">
        <w:t>986.1</w:t>
      </w:r>
      <w:r w:rsidR="003D63F6" w:rsidRPr="00974E78">
        <w:t xml:space="preserve"> million</w:t>
      </w:r>
      <w:r w:rsidR="002B7E1B" w:rsidRPr="00974E78">
        <w:t xml:space="preserve"> </w:t>
      </w:r>
      <w:r w:rsidR="00CB1789" w:rsidRPr="00974E78">
        <w:t>in respect</w:t>
      </w:r>
      <w:r w:rsidR="00FA64FD" w:rsidRPr="00974E78">
        <w:t xml:space="preserve"> of </w:t>
      </w:r>
      <w:r w:rsidR="00187847">
        <w:t>the original</w:t>
      </w:r>
      <w:r w:rsidR="00187847" w:rsidRPr="00974E78">
        <w:t xml:space="preserve"> </w:t>
      </w:r>
      <w:r w:rsidR="0094129D" w:rsidRPr="00974E78">
        <w:t>A</w:t>
      </w:r>
      <w:r w:rsidR="00FA64FD" w:rsidRPr="00974E78">
        <w:t>greement</w:t>
      </w:r>
      <w:r w:rsidR="003D32C8" w:rsidRPr="00974E78">
        <w:t xml:space="preserve"> from </w:t>
      </w:r>
      <w:r w:rsidR="00023E29">
        <w:t>2015</w:t>
      </w:r>
      <w:r w:rsidR="00023E29">
        <w:noBreakHyphen/>
        <w:t>16</w:t>
      </w:r>
      <w:r w:rsidR="003D32C8" w:rsidRPr="00974E78">
        <w:t xml:space="preserve"> to 2021-22 inclusive</w:t>
      </w:r>
      <w:r w:rsidR="00FA64FD" w:rsidRPr="00974E78">
        <w:t xml:space="preserve">. </w:t>
      </w:r>
      <w:r w:rsidRPr="00974E78">
        <w:t xml:space="preserve"> </w:t>
      </w:r>
      <w:r w:rsidR="003D63F6" w:rsidRPr="00974E78">
        <w:t>An additional $42.6</w:t>
      </w:r>
      <w:r w:rsidR="00E5044A" w:rsidRPr="00974E78">
        <w:t>16</w:t>
      </w:r>
      <w:r w:rsidR="009C6CDB" w:rsidRPr="00974E78">
        <w:t> </w:t>
      </w:r>
      <w:r w:rsidR="003D63F6" w:rsidRPr="00974E78">
        <w:t xml:space="preserve">million </w:t>
      </w:r>
      <w:r w:rsidR="005043BF">
        <w:t>was</w:t>
      </w:r>
      <w:r w:rsidR="003D63F6" w:rsidRPr="00974E78">
        <w:t xml:space="preserve"> provided </w:t>
      </w:r>
      <w:r w:rsidR="004623C2" w:rsidRPr="00974E78">
        <w:t xml:space="preserve">by the Commonwealth direct </w:t>
      </w:r>
      <w:r w:rsidR="003D63F6" w:rsidRPr="00974E78">
        <w:t xml:space="preserve">to non-government schools in the </w:t>
      </w:r>
      <w:r w:rsidR="00462094" w:rsidRPr="00974E78">
        <w:rPr>
          <w:color w:val="auto"/>
        </w:rPr>
        <w:t>Northern Territory</w:t>
      </w:r>
      <w:r w:rsidR="003D63F6" w:rsidRPr="00974E78">
        <w:t xml:space="preserve">. </w:t>
      </w:r>
      <w:r w:rsidR="000447B9" w:rsidRPr="00974E78">
        <w:t>All payments are exclusive of GST.</w:t>
      </w:r>
    </w:p>
    <w:p w14:paraId="09E83E67" w14:textId="20FC0CA9" w:rsidR="00D80A3D" w:rsidRPr="00974E78" w:rsidRDefault="00187847" w:rsidP="00D80A3D">
      <w:pPr>
        <w:pStyle w:val="Normalnumbered"/>
        <w:numPr>
          <w:ilvl w:val="0"/>
          <w:numId w:val="11"/>
        </w:numPr>
        <w:jc w:val="left"/>
      </w:pPr>
      <w:r>
        <w:t>Under this Agreement</w:t>
      </w:r>
      <w:r w:rsidR="00D80A3D" w:rsidRPr="00974E78">
        <w:t xml:space="preserve">, the Commonwealth will provide an estimated total financial contribution to the </w:t>
      </w:r>
      <w:r w:rsidR="00D80A3D" w:rsidRPr="00974E78">
        <w:rPr>
          <w:color w:val="auto"/>
        </w:rPr>
        <w:t>Northern Territory</w:t>
      </w:r>
      <w:r w:rsidR="0030404A" w:rsidRPr="007113C6">
        <w:rPr>
          <w:color w:val="auto"/>
        </w:rPr>
        <w:t xml:space="preserve"> Government</w:t>
      </w:r>
      <w:r w:rsidR="00D80A3D" w:rsidRPr="00974E78">
        <w:rPr>
          <w:color w:val="auto"/>
        </w:rPr>
        <w:t xml:space="preserve"> </w:t>
      </w:r>
      <w:r w:rsidR="00D80A3D" w:rsidRPr="00974E78">
        <w:t>of</w:t>
      </w:r>
      <w:r w:rsidR="004530B0" w:rsidRPr="00974E78">
        <w:t xml:space="preserve"> $</w:t>
      </w:r>
      <w:r w:rsidR="00C3479C">
        <w:t>165.9</w:t>
      </w:r>
      <w:r w:rsidR="004530B0" w:rsidRPr="00974E78">
        <w:t xml:space="preserve"> </w:t>
      </w:r>
      <w:r w:rsidR="00D80A3D" w:rsidRPr="00974E78">
        <w:t xml:space="preserve">million </w:t>
      </w:r>
      <w:r w:rsidR="003D32C8" w:rsidRPr="00974E78">
        <w:t xml:space="preserve">from </w:t>
      </w:r>
      <w:r w:rsidR="00086DBC">
        <w:t>2022</w:t>
      </w:r>
      <w:r w:rsidR="00086DBC">
        <w:noBreakHyphen/>
        <w:t>23</w:t>
      </w:r>
      <w:r w:rsidR="003D32C8" w:rsidRPr="00974E78">
        <w:t xml:space="preserve"> to 2023-24 inclusive</w:t>
      </w:r>
      <w:r w:rsidR="00D80A3D" w:rsidRPr="00974E78">
        <w:t>. An additional $</w:t>
      </w:r>
      <w:r w:rsidR="004530B0" w:rsidRPr="00974E78">
        <w:t xml:space="preserve">7.270 </w:t>
      </w:r>
      <w:r w:rsidR="00D80A3D" w:rsidRPr="00974E78">
        <w:t>million will be provided by the Commonwealth direct to non</w:t>
      </w:r>
      <w:r w:rsidR="00D80A3D" w:rsidRPr="00974E78">
        <w:noBreakHyphen/>
        <w:t xml:space="preserve">government schools in the </w:t>
      </w:r>
      <w:r w:rsidR="00D80A3D" w:rsidRPr="00974E78">
        <w:rPr>
          <w:color w:val="auto"/>
        </w:rPr>
        <w:t>Northern Territory</w:t>
      </w:r>
      <w:r w:rsidR="00D80A3D" w:rsidRPr="00974E78">
        <w:t>. All payments are exclusive of GST.</w:t>
      </w:r>
    </w:p>
    <w:p w14:paraId="34D2846C" w14:textId="77777777" w:rsidR="00CC39B1" w:rsidRPr="00EB51B8" w:rsidRDefault="00CC39B1" w:rsidP="00C73AE8">
      <w:pPr>
        <w:pStyle w:val="Normalnumbered"/>
        <w:numPr>
          <w:ilvl w:val="0"/>
          <w:numId w:val="11"/>
        </w:numPr>
        <w:jc w:val="left"/>
      </w:pPr>
      <w:r w:rsidRPr="00EB51B8">
        <w:t xml:space="preserve">The Commonwealth’s funding contribution will not be reduced where the </w:t>
      </w:r>
      <w:r w:rsidR="00462094">
        <w:t>Northern Territory</w:t>
      </w:r>
      <w:r w:rsidR="004623C2" w:rsidRPr="00EB51B8">
        <w:t xml:space="preserve"> </w:t>
      </w:r>
      <w:r w:rsidRPr="00EB51B8">
        <w:t>secure</w:t>
      </w:r>
      <w:r w:rsidR="004623C2">
        <w:t>s</w:t>
      </w:r>
      <w:r w:rsidRPr="00EB51B8">
        <w:t xml:space="preserve"> funding from other activity partners</w:t>
      </w:r>
      <w:r w:rsidR="0062217C" w:rsidRPr="00EB51B8">
        <w:t>.</w:t>
      </w:r>
    </w:p>
    <w:p w14:paraId="0B2EFCED" w14:textId="77777777" w:rsidR="00F1611B" w:rsidRPr="00EB51B8" w:rsidRDefault="00A207A2" w:rsidP="00C73AE8">
      <w:pPr>
        <w:pStyle w:val="Normalnumbered"/>
        <w:numPr>
          <w:ilvl w:val="0"/>
          <w:numId w:val="11"/>
        </w:numPr>
        <w:rPr>
          <w:color w:val="auto"/>
        </w:rPr>
      </w:pPr>
      <w:r w:rsidRPr="00EB51B8">
        <w:t>Where a performance report demonstrates that</w:t>
      </w:r>
      <w:r w:rsidR="00F1611B" w:rsidRPr="00EB51B8">
        <w:t xml:space="preserve"> a milestone is met in advance of the due date, the Commonwealth may make the associated payment earlier than scheduled provided it falls within the same financial year as the original milestone date.</w:t>
      </w:r>
    </w:p>
    <w:p w14:paraId="24A9D3D6" w14:textId="77777777" w:rsidR="00C233E9" w:rsidRPr="00EB51B8" w:rsidRDefault="00C233E9" w:rsidP="00C73AE8">
      <w:pPr>
        <w:pStyle w:val="Normalnumbered"/>
        <w:keepNext/>
        <w:keepLines/>
        <w:numPr>
          <w:ilvl w:val="0"/>
          <w:numId w:val="11"/>
        </w:numPr>
        <w:jc w:val="left"/>
        <w:rPr>
          <w:color w:val="auto"/>
        </w:rPr>
      </w:pPr>
      <w:r w:rsidRPr="00EB51B8">
        <w:rPr>
          <w:color w:val="auto"/>
        </w:rPr>
        <w:t xml:space="preserve">The </w:t>
      </w:r>
      <w:r w:rsidR="00992EE4" w:rsidRPr="00EB51B8">
        <w:rPr>
          <w:color w:val="auto"/>
        </w:rPr>
        <w:t>Commonwealth’s estimated</w:t>
      </w:r>
      <w:r w:rsidRPr="00EB51B8">
        <w:rPr>
          <w:color w:val="auto"/>
        </w:rPr>
        <w:t xml:space="preserve"> financial contribution to the operation of this Agreement, including through National Partnership payments to the </w:t>
      </w:r>
      <w:r w:rsidR="00462094">
        <w:rPr>
          <w:color w:val="auto"/>
        </w:rPr>
        <w:t>Northern Territory</w:t>
      </w:r>
      <w:r w:rsidR="00DF4D7C" w:rsidRPr="00EB51B8">
        <w:rPr>
          <w:color w:val="auto"/>
        </w:rPr>
        <w:t xml:space="preserve"> </w:t>
      </w:r>
      <w:r w:rsidRPr="00EB51B8">
        <w:rPr>
          <w:color w:val="auto"/>
        </w:rPr>
        <w:t xml:space="preserve">paid in accordance with </w:t>
      </w:r>
      <w:r w:rsidRPr="00EB51B8">
        <w:rPr>
          <w:i/>
          <w:color w:val="auto"/>
        </w:rPr>
        <w:t>Schedule D — Payment Arrangements</w:t>
      </w:r>
      <w:r w:rsidRPr="00EB51B8">
        <w:rPr>
          <w:color w:val="auto"/>
        </w:rPr>
        <w:t xml:space="preserve"> of the I</w:t>
      </w:r>
      <w:r w:rsidR="00E31BCF" w:rsidRPr="00EB51B8">
        <w:rPr>
          <w:color w:val="auto"/>
        </w:rPr>
        <w:t>GA FFR</w:t>
      </w:r>
      <w:r w:rsidRPr="00EB51B8">
        <w:rPr>
          <w:color w:val="auto"/>
        </w:rPr>
        <w:t xml:space="preserve">, </w:t>
      </w:r>
      <w:r w:rsidR="002325DE">
        <w:rPr>
          <w:color w:val="auto"/>
        </w:rPr>
        <w:t>is</w:t>
      </w:r>
      <w:r w:rsidR="002325DE" w:rsidRPr="00EB51B8">
        <w:rPr>
          <w:color w:val="auto"/>
        </w:rPr>
        <w:t xml:space="preserve"> </w:t>
      </w:r>
      <w:r w:rsidRPr="00EB51B8">
        <w:rPr>
          <w:color w:val="auto"/>
        </w:rPr>
        <w:t>shown in Table</w:t>
      </w:r>
      <w:r w:rsidR="00453344">
        <w:rPr>
          <w:color w:val="auto"/>
        </w:rPr>
        <w:t> </w:t>
      </w:r>
      <w:r w:rsidRPr="00EB51B8">
        <w:rPr>
          <w:color w:val="auto"/>
        </w:rPr>
        <w:t>1</w:t>
      </w:r>
      <w:r w:rsidR="000E1F26">
        <w:rPr>
          <w:color w:val="auto"/>
        </w:rPr>
        <w:t>. Further detail is set out in the</w:t>
      </w:r>
      <w:r w:rsidR="00453344">
        <w:rPr>
          <w:color w:val="auto"/>
        </w:rPr>
        <w:t xml:space="preserve"> </w:t>
      </w:r>
      <w:r w:rsidR="00992EE4" w:rsidRPr="00EB51B8">
        <w:rPr>
          <w:color w:val="auto"/>
        </w:rPr>
        <w:t>Implementation Plans</w:t>
      </w:r>
      <w:r w:rsidRPr="00EB51B8">
        <w:rPr>
          <w:color w:val="auto"/>
        </w:rPr>
        <w:t>.</w:t>
      </w:r>
    </w:p>
    <w:p w14:paraId="22307403" w14:textId="77777777" w:rsidR="00992EE4" w:rsidRPr="00EB51B8" w:rsidRDefault="00992EE4" w:rsidP="00C73AE8">
      <w:pPr>
        <w:pStyle w:val="Normalnumbered"/>
        <w:keepNext/>
        <w:keepLines/>
        <w:numPr>
          <w:ilvl w:val="0"/>
          <w:numId w:val="11"/>
        </w:numPr>
        <w:jc w:val="left"/>
        <w:rPr>
          <w:color w:val="auto"/>
        </w:rPr>
      </w:pPr>
      <w:r w:rsidRPr="00EB51B8">
        <w:rPr>
          <w:color w:val="auto"/>
        </w:rPr>
        <w:t xml:space="preserve">The Commonwealth and the </w:t>
      </w:r>
      <w:r w:rsidR="00462094">
        <w:rPr>
          <w:color w:val="auto"/>
        </w:rPr>
        <w:t>Northern Territory</w:t>
      </w:r>
      <w:r w:rsidR="00DF4D7C" w:rsidRPr="00EB51B8">
        <w:rPr>
          <w:color w:val="auto"/>
        </w:rPr>
        <w:t xml:space="preserve"> </w:t>
      </w:r>
      <w:r w:rsidRPr="00EB51B8">
        <w:rPr>
          <w:color w:val="auto"/>
        </w:rPr>
        <w:t>provide additional funding through a range of other mechanisms to support frontline services which improve outcomes for Aboriginal people and will continue to invest in these services and supports where there is need.</w:t>
      </w:r>
    </w:p>
    <w:p w14:paraId="18653E63" w14:textId="77777777" w:rsidR="00F823A6" w:rsidRDefault="00F823A6">
      <w:pPr>
        <w:spacing w:after="0" w:line="240" w:lineRule="auto"/>
        <w:jc w:val="left"/>
        <w:rPr>
          <w:rFonts w:ascii="Consolas" w:hAnsi="Consolas"/>
          <w:b/>
          <w:color w:val="3D4B67"/>
          <w:szCs w:val="23"/>
        </w:rPr>
      </w:pPr>
      <w:r>
        <w:rPr>
          <w:szCs w:val="23"/>
        </w:rPr>
        <w:br w:type="page"/>
      </w:r>
    </w:p>
    <w:p w14:paraId="37DF6491" w14:textId="18CD55E7" w:rsidR="00FB4200" w:rsidRPr="00C74B1D" w:rsidRDefault="00FB4200" w:rsidP="00FB4200">
      <w:pPr>
        <w:pStyle w:val="TableMainHeading"/>
        <w:keepLines/>
        <w:rPr>
          <w:sz w:val="23"/>
          <w:szCs w:val="23"/>
        </w:rPr>
      </w:pPr>
      <w:r w:rsidRPr="00C74B1D">
        <w:rPr>
          <w:sz w:val="23"/>
          <w:szCs w:val="23"/>
        </w:rPr>
        <w:lastRenderedPageBreak/>
        <w:t>Table 1: Estimated financial contributions</w:t>
      </w:r>
      <w:r w:rsidR="00ED1DE8" w:rsidRPr="00C74B1D">
        <w:rPr>
          <w:sz w:val="23"/>
          <w:szCs w:val="23"/>
        </w:rPr>
        <w:t>*</w:t>
      </w:r>
      <w:r w:rsidR="009C166A" w:rsidRPr="00C74B1D">
        <w:rPr>
          <w:sz w:val="23"/>
          <w:szCs w:val="23"/>
        </w:rPr>
        <w:t xml:space="preserve"> </w:t>
      </w:r>
    </w:p>
    <w:tbl>
      <w:tblPr>
        <w:tblW w:w="0" w:type="auto"/>
        <w:tblLayout w:type="fixed"/>
        <w:tblCellMar>
          <w:left w:w="0" w:type="dxa"/>
          <w:right w:w="0" w:type="dxa"/>
        </w:tblCellMar>
        <w:tblLook w:val="01E0" w:firstRow="1" w:lastRow="1" w:firstColumn="1" w:lastColumn="1" w:noHBand="0" w:noVBand="0"/>
      </w:tblPr>
      <w:tblGrid>
        <w:gridCol w:w="2566"/>
        <w:gridCol w:w="620"/>
        <w:gridCol w:w="624"/>
        <w:gridCol w:w="619"/>
        <w:gridCol w:w="631"/>
        <w:gridCol w:w="718"/>
        <w:gridCol w:w="619"/>
        <w:gridCol w:w="621"/>
        <w:gridCol w:w="637"/>
        <w:gridCol w:w="567"/>
        <w:gridCol w:w="1416"/>
      </w:tblGrid>
      <w:tr w:rsidR="00ED1A2D" w:rsidRPr="00EB51B8" w14:paraId="45C6E899" w14:textId="77777777" w:rsidTr="00C67BED">
        <w:trPr>
          <w:trHeight w:hRule="exact" w:val="513"/>
        </w:trPr>
        <w:tc>
          <w:tcPr>
            <w:tcW w:w="2566" w:type="dxa"/>
            <w:tcBorders>
              <w:top w:val="single" w:sz="4" w:space="0" w:color="17365D" w:themeColor="text2" w:themeShade="BF"/>
            </w:tcBorders>
          </w:tcPr>
          <w:p w14:paraId="1021E17A" w14:textId="77777777" w:rsidR="00F824A3" w:rsidRPr="00ED1DE8" w:rsidRDefault="00F824A3" w:rsidP="005A7C84">
            <w:pPr>
              <w:pStyle w:val="TableParagraph"/>
              <w:ind w:left="102"/>
              <w:rPr>
                <w:rFonts w:ascii="Corbel" w:hAnsi="Corbel" w:cs="Corbel"/>
                <w:sz w:val="20"/>
                <w:szCs w:val="20"/>
              </w:rPr>
            </w:pPr>
            <w:r w:rsidRPr="00ED1DE8">
              <w:rPr>
                <w:rFonts w:ascii="Corbel" w:hAnsi="Corbel" w:cs="Corbel"/>
                <w:b/>
                <w:bCs/>
                <w:spacing w:val="-1"/>
                <w:sz w:val="20"/>
                <w:szCs w:val="20"/>
              </w:rPr>
              <w:t>(</w:t>
            </w:r>
            <w:r w:rsidRPr="00ED1DE8">
              <w:rPr>
                <w:rFonts w:ascii="Corbel" w:hAnsi="Corbel" w:cs="Corbel"/>
                <w:b/>
                <w:bCs/>
                <w:sz w:val="20"/>
                <w:szCs w:val="20"/>
              </w:rPr>
              <w:t>$</w:t>
            </w:r>
            <w:r w:rsidRPr="00ED1DE8">
              <w:rPr>
                <w:rFonts w:ascii="Corbel" w:hAnsi="Corbel" w:cs="Corbel"/>
                <w:b/>
                <w:bCs/>
                <w:spacing w:val="-9"/>
                <w:sz w:val="20"/>
                <w:szCs w:val="20"/>
              </w:rPr>
              <w:t xml:space="preserve"> </w:t>
            </w:r>
            <w:r w:rsidRPr="00ED1DE8">
              <w:rPr>
                <w:rFonts w:ascii="Corbel" w:hAnsi="Corbel" w:cs="Corbel"/>
                <w:b/>
                <w:bCs/>
                <w:sz w:val="20"/>
                <w:szCs w:val="20"/>
              </w:rPr>
              <w:t>million)</w:t>
            </w:r>
          </w:p>
        </w:tc>
        <w:tc>
          <w:tcPr>
            <w:tcW w:w="620" w:type="dxa"/>
            <w:tcBorders>
              <w:top w:val="single" w:sz="4" w:space="0" w:color="17365D" w:themeColor="text2" w:themeShade="BF"/>
              <w:bottom w:val="single" w:sz="4" w:space="0" w:color="17365D" w:themeColor="text2" w:themeShade="BF"/>
            </w:tcBorders>
            <w:vAlign w:val="center"/>
          </w:tcPr>
          <w:p w14:paraId="7ED3ADC7" w14:textId="77777777" w:rsidR="00F824A3" w:rsidRPr="00ED1DE8" w:rsidRDefault="00F824A3" w:rsidP="005A7C84">
            <w:pPr>
              <w:pStyle w:val="TableParagraph"/>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w:t>
            </w:r>
            <w:r w:rsidRPr="00ED1DE8">
              <w:rPr>
                <w:rFonts w:ascii="Corbel" w:hAnsi="Corbel" w:cs="Corbel"/>
                <w:b/>
                <w:bCs/>
                <w:spacing w:val="1"/>
                <w:sz w:val="20"/>
                <w:szCs w:val="20"/>
              </w:rPr>
              <w:t>5-</w:t>
            </w:r>
            <w:r w:rsidRPr="00ED1DE8">
              <w:rPr>
                <w:rFonts w:ascii="Corbel" w:hAnsi="Corbel" w:cs="Corbel"/>
                <w:b/>
                <w:bCs/>
                <w:sz w:val="20"/>
                <w:szCs w:val="20"/>
              </w:rPr>
              <w:t>16</w:t>
            </w:r>
          </w:p>
        </w:tc>
        <w:tc>
          <w:tcPr>
            <w:tcW w:w="624" w:type="dxa"/>
            <w:tcBorders>
              <w:top w:val="single" w:sz="4" w:space="0" w:color="17365D" w:themeColor="text2" w:themeShade="BF"/>
              <w:bottom w:val="single" w:sz="4" w:space="0" w:color="17365D" w:themeColor="text2" w:themeShade="BF"/>
            </w:tcBorders>
            <w:vAlign w:val="center"/>
          </w:tcPr>
          <w:p w14:paraId="19BEAECB" w14:textId="77777777" w:rsidR="00F824A3" w:rsidRPr="00ED1DE8" w:rsidRDefault="00F824A3" w:rsidP="005A7C84">
            <w:pPr>
              <w:pStyle w:val="TableParagraph"/>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016-17</w:t>
            </w:r>
          </w:p>
        </w:tc>
        <w:tc>
          <w:tcPr>
            <w:tcW w:w="619" w:type="dxa"/>
            <w:tcBorders>
              <w:top w:val="single" w:sz="4" w:space="0" w:color="17365D" w:themeColor="text2" w:themeShade="BF"/>
              <w:bottom w:val="single" w:sz="4" w:space="0" w:color="17365D" w:themeColor="text2" w:themeShade="BF"/>
            </w:tcBorders>
            <w:vAlign w:val="center"/>
          </w:tcPr>
          <w:p w14:paraId="43447331" w14:textId="77777777" w:rsidR="00F824A3" w:rsidRPr="00ED1DE8" w:rsidRDefault="00F824A3" w:rsidP="005A7C84">
            <w:pPr>
              <w:pStyle w:val="TableParagraph"/>
              <w:ind w:left="2"/>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w:t>
            </w:r>
            <w:r w:rsidRPr="00ED1DE8">
              <w:rPr>
                <w:rFonts w:ascii="Corbel" w:hAnsi="Corbel" w:cs="Corbel"/>
                <w:b/>
                <w:bCs/>
                <w:spacing w:val="1"/>
                <w:sz w:val="20"/>
                <w:szCs w:val="20"/>
              </w:rPr>
              <w:t>7-</w:t>
            </w:r>
            <w:r w:rsidRPr="00ED1DE8">
              <w:rPr>
                <w:rFonts w:ascii="Corbel" w:hAnsi="Corbel" w:cs="Corbel"/>
                <w:b/>
                <w:bCs/>
                <w:sz w:val="20"/>
                <w:szCs w:val="20"/>
              </w:rPr>
              <w:t>18</w:t>
            </w:r>
          </w:p>
        </w:tc>
        <w:tc>
          <w:tcPr>
            <w:tcW w:w="631" w:type="dxa"/>
            <w:tcBorders>
              <w:top w:val="single" w:sz="4" w:space="0" w:color="17365D" w:themeColor="text2" w:themeShade="BF"/>
              <w:bottom w:val="single" w:sz="4" w:space="0" w:color="17365D" w:themeColor="text2" w:themeShade="BF"/>
            </w:tcBorders>
            <w:vAlign w:val="center"/>
          </w:tcPr>
          <w:p w14:paraId="340409A6" w14:textId="77777777" w:rsidR="00F824A3" w:rsidRPr="00ED1DE8" w:rsidRDefault="00F824A3" w:rsidP="005A7C84">
            <w:pPr>
              <w:pStyle w:val="TableParagraph"/>
              <w:ind w:right="2"/>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018-19</w:t>
            </w:r>
          </w:p>
        </w:tc>
        <w:tc>
          <w:tcPr>
            <w:tcW w:w="718" w:type="dxa"/>
            <w:tcBorders>
              <w:top w:val="single" w:sz="4" w:space="0" w:color="17365D" w:themeColor="text2" w:themeShade="BF"/>
              <w:bottom w:val="single" w:sz="4" w:space="0" w:color="17365D" w:themeColor="text2" w:themeShade="BF"/>
            </w:tcBorders>
            <w:vAlign w:val="center"/>
          </w:tcPr>
          <w:p w14:paraId="19F2FFE5" w14:textId="77777777" w:rsidR="00F824A3" w:rsidRPr="00ED1DE8" w:rsidRDefault="00F824A3" w:rsidP="005A7C84">
            <w:pPr>
              <w:pStyle w:val="TableParagraph"/>
              <w:ind w:left="90" w:right="90"/>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019-</w:t>
            </w:r>
            <w:r w:rsidRPr="00ED1DE8">
              <w:rPr>
                <w:rFonts w:ascii="Corbel" w:hAnsi="Corbel" w:cs="Corbel"/>
                <w:b/>
                <w:bCs/>
                <w:spacing w:val="-1"/>
                <w:sz w:val="20"/>
                <w:szCs w:val="20"/>
              </w:rPr>
              <w:t>2</w:t>
            </w:r>
            <w:r w:rsidRPr="00ED1DE8">
              <w:rPr>
                <w:rFonts w:ascii="Corbel" w:hAnsi="Corbel" w:cs="Corbel"/>
                <w:b/>
                <w:bCs/>
                <w:sz w:val="20"/>
                <w:szCs w:val="20"/>
              </w:rPr>
              <w:t>0</w:t>
            </w:r>
          </w:p>
        </w:tc>
        <w:tc>
          <w:tcPr>
            <w:tcW w:w="619" w:type="dxa"/>
            <w:tcBorders>
              <w:top w:val="single" w:sz="4" w:space="0" w:color="17365D" w:themeColor="text2" w:themeShade="BF"/>
              <w:bottom w:val="single" w:sz="4" w:space="0" w:color="17365D" w:themeColor="text2" w:themeShade="BF"/>
            </w:tcBorders>
            <w:vAlign w:val="center"/>
          </w:tcPr>
          <w:p w14:paraId="1A4FBED3" w14:textId="77777777" w:rsidR="00F824A3" w:rsidRPr="00ED1DE8" w:rsidRDefault="00F824A3" w:rsidP="005A7C84">
            <w:pPr>
              <w:pStyle w:val="TableParagraph"/>
              <w:ind w:right="2"/>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w:t>
            </w:r>
            <w:r w:rsidRPr="00ED1DE8">
              <w:rPr>
                <w:rFonts w:ascii="Corbel" w:hAnsi="Corbel" w:cs="Corbel"/>
                <w:b/>
                <w:bCs/>
                <w:spacing w:val="-1"/>
                <w:sz w:val="20"/>
                <w:szCs w:val="20"/>
              </w:rPr>
              <w:t>2</w:t>
            </w:r>
            <w:r w:rsidRPr="00ED1DE8">
              <w:rPr>
                <w:rFonts w:ascii="Corbel" w:hAnsi="Corbel" w:cs="Corbel"/>
                <w:b/>
                <w:bCs/>
                <w:sz w:val="20"/>
                <w:szCs w:val="20"/>
              </w:rPr>
              <w:t>0-</w:t>
            </w:r>
            <w:r w:rsidRPr="00ED1DE8">
              <w:rPr>
                <w:rFonts w:ascii="Corbel" w:hAnsi="Corbel" w:cs="Corbel"/>
                <w:b/>
                <w:bCs/>
                <w:spacing w:val="-1"/>
                <w:sz w:val="20"/>
                <w:szCs w:val="20"/>
              </w:rPr>
              <w:t>2</w:t>
            </w:r>
            <w:r w:rsidRPr="00ED1DE8">
              <w:rPr>
                <w:rFonts w:ascii="Corbel" w:hAnsi="Corbel" w:cs="Corbel"/>
                <w:b/>
                <w:bCs/>
                <w:sz w:val="20"/>
                <w:szCs w:val="20"/>
              </w:rPr>
              <w:t>1</w:t>
            </w:r>
          </w:p>
        </w:tc>
        <w:tc>
          <w:tcPr>
            <w:tcW w:w="621" w:type="dxa"/>
            <w:tcBorders>
              <w:top w:val="single" w:sz="4" w:space="0" w:color="17365D" w:themeColor="text2" w:themeShade="BF"/>
              <w:bottom w:val="single" w:sz="4" w:space="0" w:color="17365D" w:themeColor="text2" w:themeShade="BF"/>
            </w:tcBorders>
            <w:vAlign w:val="center"/>
          </w:tcPr>
          <w:p w14:paraId="005854D6" w14:textId="77777777" w:rsidR="00F824A3" w:rsidRPr="00ED1DE8" w:rsidRDefault="00F824A3" w:rsidP="005A7C84">
            <w:pPr>
              <w:pStyle w:val="TableParagraph"/>
              <w:ind w:right="5"/>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w:t>
            </w:r>
            <w:r w:rsidRPr="00ED1DE8">
              <w:rPr>
                <w:rFonts w:ascii="Corbel" w:hAnsi="Corbel" w:cs="Corbel"/>
                <w:b/>
                <w:bCs/>
                <w:spacing w:val="-1"/>
                <w:sz w:val="20"/>
                <w:szCs w:val="20"/>
              </w:rPr>
              <w:t>2</w:t>
            </w:r>
            <w:r w:rsidRPr="00ED1DE8">
              <w:rPr>
                <w:rFonts w:ascii="Corbel" w:hAnsi="Corbel" w:cs="Corbel"/>
                <w:b/>
                <w:bCs/>
                <w:sz w:val="20"/>
                <w:szCs w:val="20"/>
              </w:rPr>
              <w:t>1-</w:t>
            </w:r>
            <w:r w:rsidRPr="00ED1DE8">
              <w:rPr>
                <w:rFonts w:ascii="Corbel" w:hAnsi="Corbel" w:cs="Corbel"/>
                <w:b/>
                <w:bCs/>
                <w:spacing w:val="-1"/>
                <w:sz w:val="20"/>
                <w:szCs w:val="20"/>
              </w:rPr>
              <w:t>2</w:t>
            </w:r>
            <w:r w:rsidRPr="00ED1DE8">
              <w:rPr>
                <w:rFonts w:ascii="Corbel" w:hAnsi="Corbel" w:cs="Corbel"/>
                <w:b/>
                <w:bCs/>
                <w:sz w:val="20"/>
                <w:szCs w:val="20"/>
              </w:rPr>
              <w:t>2</w:t>
            </w:r>
          </w:p>
        </w:tc>
        <w:tc>
          <w:tcPr>
            <w:tcW w:w="637" w:type="dxa"/>
            <w:tcBorders>
              <w:top w:val="single" w:sz="4" w:space="0" w:color="17365D" w:themeColor="text2" w:themeShade="BF"/>
              <w:bottom w:val="single" w:sz="4" w:space="0" w:color="17365D" w:themeColor="text2" w:themeShade="BF"/>
            </w:tcBorders>
            <w:vAlign w:val="center"/>
          </w:tcPr>
          <w:p w14:paraId="6FA0BE96" w14:textId="7EC5CF9C" w:rsidR="00F824A3" w:rsidRPr="00ED1DE8" w:rsidRDefault="00F824A3" w:rsidP="00ED1A2D">
            <w:pPr>
              <w:pStyle w:val="TableParagraph"/>
              <w:ind w:right="5"/>
              <w:jc w:val="center"/>
              <w:rPr>
                <w:rFonts w:ascii="Corbel" w:hAnsi="Corbel" w:cs="Corbel"/>
                <w:b/>
                <w:bCs/>
                <w:spacing w:val="-1"/>
                <w:sz w:val="20"/>
                <w:szCs w:val="20"/>
              </w:rPr>
            </w:pPr>
            <w:r>
              <w:rPr>
                <w:rFonts w:ascii="Corbel" w:hAnsi="Corbel" w:cs="Corbel"/>
                <w:b/>
                <w:bCs/>
                <w:spacing w:val="-1"/>
                <w:sz w:val="20"/>
                <w:szCs w:val="20"/>
              </w:rPr>
              <w:t>2022-23</w:t>
            </w:r>
          </w:p>
        </w:tc>
        <w:tc>
          <w:tcPr>
            <w:tcW w:w="567" w:type="dxa"/>
            <w:tcBorders>
              <w:top w:val="single" w:sz="4" w:space="0" w:color="17365D" w:themeColor="text2" w:themeShade="BF"/>
              <w:bottom w:val="single" w:sz="4" w:space="0" w:color="17365D" w:themeColor="text2" w:themeShade="BF"/>
            </w:tcBorders>
            <w:vAlign w:val="center"/>
          </w:tcPr>
          <w:p w14:paraId="464CDC46" w14:textId="21167998" w:rsidR="00F824A3" w:rsidRPr="00ED1DE8" w:rsidRDefault="00F824A3" w:rsidP="00ED1A2D">
            <w:pPr>
              <w:pStyle w:val="TableParagraph"/>
              <w:ind w:right="5"/>
              <w:jc w:val="center"/>
              <w:rPr>
                <w:rFonts w:ascii="Corbel" w:hAnsi="Corbel" w:cs="Corbel"/>
                <w:b/>
                <w:bCs/>
                <w:spacing w:val="-1"/>
                <w:sz w:val="20"/>
                <w:szCs w:val="20"/>
              </w:rPr>
            </w:pPr>
            <w:r>
              <w:rPr>
                <w:rFonts w:ascii="Corbel" w:hAnsi="Corbel" w:cs="Corbel"/>
                <w:b/>
                <w:bCs/>
                <w:spacing w:val="-1"/>
                <w:sz w:val="20"/>
                <w:szCs w:val="20"/>
              </w:rPr>
              <w:t>2023-24</w:t>
            </w:r>
          </w:p>
        </w:tc>
        <w:tc>
          <w:tcPr>
            <w:tcW w:w="1416" w:type="dxa"/>
            <w:tcBorders>
              <w:top w:val="single" w:sz="4" w:space="0" w:color="17365D" w:themeColor="text2" w:themeShade="BF"/>
              <w:bottom w:val="single" w:sz="4" w:space="0" w:color="17365D" w:themeColor="text2" w:themeShade="BF"/>
            </w:tcBorders>
            <w:vAlign w:val="center"/>
          </w:tcPr>
          <w:p w14:paraId="57BB4159" w14:textId="6747BDE5" w:rsidR="00F824A3" w:rsidRPr="00ED1DE8" w:rsidRDefault="00F824A3" w:rsidP="005A7C84">
            <w:pPr>
              <w:pStyle w:val="TableParagraph"/>
              <w:ind w:left="234"/>
              <w:jc w:val="center"/>
              <w:rPr>
                <w:rFonts w:ascii="Corbel" w:hAnsi="Corbel" w:cs="Corbel"/>
                <w:sz w:val="20"/>
                <w:szCs w:val="20"/>
              </w:rPr>
            </w:pPr>
            <w:r w:rsidRPr="00ED1DE8">
              <w:rPr>
                <w:rFonts w:ascii="Corbel" w:hAnsi="Corbel" w:cs="Corbel"/>
                <w:b/>
                <w:bCs/>
                <w:spacing w:val="-1"/>
                <w:sz w:val="20"/>
                <w:szCs w:val="20"/>
              </w:rPr>
              <w:t>T</w:t>
            </w:r>
            <w:r w:rsidRPr="00ED1DE8">
              <w:rPr>
                <w:rFonts w:ascii="Corbel" w:hAnsi="Corbel" w:cs="Corbel"/>
                <w:b/>
                <w:bCs/>
                <w:sz w:val="20"/>
                <w:szCs w:val="20"/>
              </w:rPr>
              <w:t>o</w:t>
            </w:r>
            <w:r w:rsidRPr="00ED1DE8">
              <w:rPr>
                <w:rFonts w:ascii="Corbel" w:hAnsi="Corbel" w:cs="Corbel"/>
                <w:b/>
                <w:bCs/>
                <w:spacing w:val="-2"/>
                <w:sz w:val="20"/>
                <w:szCs w:val="20"/>
              </w:rPr>
              <w:t>t</w:t>
            </w:r>
            <w:r w:rsidRPr="00ED1DE8">
              <w:rPr>
                <w:rFonts w:ascii="Corbel" w:hAnsi="Corbel" w:cs="Corbel"/>
                <w:b/>
                <w:bCs/>
                <w:sz w:val="20"/>
                <w:szCs w:val="20"/>
              </w:rPr>
              <w:t>al</w:t>
            </w:r>
          </w:p>
        </w:tc>
      </w:tr>
      <w:tr w:rsidR="00ED1A2D" w:rsidRPr="00EB51B8" w14:paraId="2FC18EB1" w14:textId="77777777" w:rsidTr="00C67BED">
        <w:trPr>
          <w:trHeight w:hRule="exact" w:val="922"/>
        </w:trPr>
        <w:tc>
          <w:tcPr>
            <w:tcW w:w="2566" w:type="dxa"/>
          </w:tcPr>
          <w:p w14:paraId="7AD601B5" w14:textId="77777777" w:rsidR="00F824A3" w:rsidRPr="00ED1DE8" w:rsidRDefault="00F824A3" w:rsidP="005A7C84">
            <w:pPr>
              <w:pStyle w:val="TableParagraph"/>
              <w:spacing w:line="255" w:lineRule="auto"/>
              <w:ind w:left="102" w:right="587"/>
              <w:rPr>
                <w:rFonts w:ascii="Corbel" w:hAnsi="Corbel" w:cs="Corbel"/>
                <w:sz w:val="20"/>
                <w:szCs w:val="20"/>
              </w:rPr>
            </w:pPr>
            <w:r w:rsidRPr="00ED1DE8">
              <w:rPr>
                <w:rFonts w:ascii="Corbel" w:hAnsi="Corbel" w:cs="Corbel"/>
                <w:b/>
                <w:bCs/>
                <w:i/>
                <w:spacing w:val="-1"/>
                <w:sz w:val="20"/>
                <w:szCs w:val="20"/>
              </w:rPr>
              <w:t>E</w:t>
            </w:r>
            <w:r w:rsidRPr="00ED1DE8">
              <w:rPr>
                <w:rFonts w:ascii="Corbel" w:hAnsi="Corbel" w:cs="Corbel"/>
                <w:b/>
                <w:bCs/>
                <w:i/>
                <w:sz w:val="20"/>
                <w:szCs w:val="20"/>
              </w:rPr>
              <w:t>st</w:t>
            </w:r>
            <w:r w:rsidRPr="00ED1DE8">
              <w:rPr>
                <w:rFonts w:ascii="Corbel" w:hAnsi="Corbel" w:cs="Corbel"/>
                <w:b/>
                <w:bCs/>
                <w:i/>
                <w:spacing w:val="1"/>
                <w:sz w:val="20"/>
                <w:szCs w:val="20"/>
              </w:rPr>
              <w:t>i</w:t>
            </w:r>
            <w:r w:rsidRPr="00ED1DE8">
              <w:rPr>
                <w:rFonts w:ascii="Corbel" w:hAnsi="Corbel" w:cs="Corbel"/>
                <w:b/>
                <w:bCs/>
                <w:i/>
                <w:spacing w:val="-1"/>
                <w:sz w:val="20"/>
                <w:szCs w:val="20"/>
              </w:rPr>
              <w:t>m</w:t>
            </w:r>
            <w:r w:rsidRPr="00ED1DE8">
              <w:rPr>
                <w:rFonts w:ascii="Corbel" w:hAnsi="Corbel" w:cs="Corbel"/>
                <w:b/>
                <w:bCs/>
                <w:i/>
                <w:sz w:val="20"/>
                <w:szCs w:val="20"/>
              </w:rPr>
              <w:t>at</w:t>
            </w:r>
            <w:r w:rsidRPr="00ED1DE8">
              <w:rPr>
                <w:rFonts w:ascii="Corbel" w:hAnsi="Corbel" w:cs="Corbel"/>
                <w:b/>
                <w:bCs/>
                <w:i/>
                <w:spacing w:val="-1"/>
                <w:sz w:val="20"/>
                <w:szCs w:val="20"/>
              </w:rPr>
              <w:t>ed</w:t>
            </w:r>
            <w:r w:rsidRPr="00ED1DE8">
              <w:rPr>
                <w:rFonts w:ascii="Corbel" w:hAnsi="Corbel" w:cs="Corbel"/>
                <w:b/>
                <w:bCs/>
                <w:i/>
                <w:spacing w:val="-1"/>
                <w:w w:val="99"/>
                <w:sz w:val="20"/>
                <w:szCs w:val="20"/>
              </w:rPr>
              <w:t xml:space="preserve"> </w:t>
            </w:r>
            <w:r w:rsidRPr="00ED1DE8">
              <w:rPr>
                <w:rFonts w:ascii="Corbel" w:hAnsi="Corbel" w:cs="Corbel"/>
                <w:sz w:val="20"/>
                <w:szCs w:val="20"/>
              </w:rPr>
              <w:t>Nat</w:t>
            </w:r>
            <w:r w:rsidRPr="00ED1DE8">
              <w:rPr>
                <w:rFonts w:ascii="Corbel" w:hAnsi="Corbel" w:cs="Corbel"/>
                <w:spacing w:val="-1"/>
                <w:sz w:val="20"/>
                <w:szCs w:val="20"/>
              </w:rPr>
              <w:t>io</w:t>
            </w:r>
            <w:r w:rsidRPr="00ED1DE8">
              <w:rPr>
                <w:rFonts w:ascii="Corbel" w:hAnsi="Corbel" w:cs="Corbel"/>
                <w:sz w:val="20"/>
                <w:szCs w:val="20"/>
              </w:rPr>
              <w:t>nal</w:t>
            </w:r>
            <w:r w:rsidRPr="00ED1DE8">
              <w:rPr>
                <w:rFonts w:ascii="Corbel" w:hAnsi="Corbel" w:cs="Corbel"/>
                <w:w w:val="99"/>
                <w:sz w:val="20"/>
                <w:szCs w:val="20"/>
              </w:rPr>
              <w:t xml:space="preserve"> </w:t>
            </w:r>
            <w:r w:rsidRPr="00ED1DE8">
              <w:rPr>
                <w:rFonts w:ascii="Corbel" w:hAnsi="Corbel" w:cs="Corbel"/>
                <w:spacing w:val="-1"/>
                <w:sz w:val="20"/>
                <w:szCs w:val="20"/>
              </w:rPr>
              <w:t>P</w:t>
            </w:r>
            <w:r w:rsidRPr="00ED1DE8">
              <w:rPr>
                <w:rFonts w:ascii="Corbel" w:hAnsi="Corbel" w:cs="Corbel"/>
                <w:sz w:val="20"/>
                <w:szCs w:val="20"/>
              </w:rPr>
              <w:t>artn</w:t>
            </w:r>
            <w:r w:rsidRPr="00ED1DE8">
              <w:rPr>
                <w:rFonts w:ascii="Corbel" w:hAnsi="Corbel" w:cs="Corbel"/>
                <w:spacing w:val="-1"/>
                <w:sz w:val="20"/>
                <w:szCs w:val="20"/>
              </w:rPr>
              <w:t>e</w:t>
            </w:r>
            <w:r w:rsidRPr="00ED1DE8">
              <w:rPr>
                <w:rFonts w:ascii="Corbel" w:hAnsi="Corbel" w:cs="Corbel"/>
                <w:sz w:val="20"/>
                <w:szCs w:val="20"/>
              </w:rPr>
              <w:t>r</w:t>
            </w:r>
            <w:r w:rsidRPr="00ED1DE8">
              <w:rPr>
                <w:rFonts w:ascii="Corbel" w:hAnsi="Corbel" w:cs="Corbel"/>
                <w:spacing w:val="1"/>
                <w:sz w:val="20"/>
                <w:szCs w:val="20"/>
              </w:rPr>
              <w:t>s</w:t>
            </w:r>
            <w:r w:rsidRPr="00ED1DE8">
              <w:rPr>
                <w:rFonts w:ascii="Corbel" w:hAnsi="Corbel" w:cs="Corbel"/>
                <w:sz w:val="20"/>
                <w:szCs w:val="20"/>
              </w:rPr>
              <w:t>h</w:t>
            </w:r>
            <w:r w:rsidRPr="00ED1DE8">
              <w:rPr>
                <w:rFonts w:ascii="Corbel" w:hAnsi="Corbel" w:cs="Corbel"/>
                <w:spacing w:val="-1"/>
                <w:sz w:val="20"/>
                <w:szCs w:val="20"/>
              </w:rPr>
              <w:t>i</w:t>
            </w:r>
            <w:r w:rsidRPr="00ED1DE8">
              <w:rPr>
                <w:rFonts w:ascii="Corbel" w:hAnsi="Corbel" w:cs="Corbel"/>
                <w:sz w:val="20"/>
                <w:szCs w:val="20"/>
              </w:rPr>
              <w:t>p</w:t>
            </w:r>
            <w:r w:rsidRPr="00ED1DE8">
              <w:rPr>
                <w:rFonts w:ascii="Corbel" w:hAnsi="Corbel" w:cs="Corbel"/>
                <w:w w:val="99"/>
                <w:sz w:val="20"/>
                <w:szCs w:val="20"/>
              </w:rPr>
              <w:t xml:space="preserve"> </w:t>
            </w:r>
            <w:r w:rsidRPr="00ED1DE8">
              <w:rPr>
                <w:rFonts w:ascii="Corbel" w:hAnsi="Corbel" w:cs="Corbel"/>
                <w:sz w:val="20"/>
                <w:szCs w:val="20"/>
              </w:rPr>
              <w:t>Paym</w:t>
            </w:r>
            <w:r w:rsidRPr="00ED1DE8">
              <w:rPr>
                <w:rFonts w:ascii="Corbel" w:hAnsi="Corbel" w:cs="Corbel"/>
                <w:spacing w:val="-1"/>
                <w:sz w:val="20"/>
                <w:szCs w:val="20"/>
              </w:rPr>
              <w:t>e</w:t>
            </w:r>
            <w:r w:rsidRPr="00ED1DE8">
              <w:rPr>
                <w:rFonts w:ascii="Corbel" w:hAnsi="Corbel" w:cs="Corbel"/>
                <w:sz w:val="20"/>
                <w:szCs w:val="20"/>
              </w:rPr>
              <w:t>nts**</w:t>
            </w:r>
            <w:r w:rsidRPr="00ED1DE8">
              <w:rPr>
                <w:rFonts w:ascii="Corbel" w:hAnsi="Corbel" w:cs="Corbel"/>
                <w:spacing w:val="-9"/>
                <w:sz w:val="20"/>
                <w:szCs w:val="20"/>
              </w:rPr>
              <w:t xml:space="preserve"> </w:t>
            </w:r>
          </w:p>
        </w:tc>
        <w:tc>
          <w:tcPr>
            <w:tcW w:w="620" w:type="dxa"/>
            <w:tcBorders>
              <w:top w:val="single" w:sz="4" w:space="0" w:color="17365D" w:themeColor="text2" w:themeShade="BF"/>
            </w:tcBorders>
            <w:vAlign w:val="center"/>
          </w:tcPr>
          <w:p w14:paraId="7F0C6B92" w14:textId="77777777" w:rsidR="00F824A3" w:rsidRPr="00ED1DE8" w:rsidRDefault="00F824A3" w:rsidP="007E6BC2">
            <w:pPr>
              <w:pStyle w:val="TableParagraph"/>
              <w:ind w:left="133"/>
              <w:jc w:val="right"/>
              <w:rPr>
                <w:rFonts w:ascii="Corbel" w:hAnsi="Corbel" w:cs="Corbel"/>
                <w:sz w:val="20"/>
                <w:szCs w:val="20"/>
              </w:rPr>
            </w:pPr>
            <w:r w:rsidRPr="00ED1DE8">
              <w:rPr>
                <w:rFonts w:ascii="Corbel" w:hAnsi="Corbel" w:cs="Corbel"/>
                <w:sz w:val="20"/>
                <w:szCs w:val="20"/>
              </w:rPr>
              <w:t>330.</w:t>
            </w:r>
            <w:r>
              <w:rPr>
                <w:rFonts w:ascii="Corbel" w:hAnsi="Corbel" w:cs="Corbel"/>
                <w:sz w:val="20"/>
                <w:szCs w:val="20"/>
              </w:rPr>
              <w:t>8</w:t>
            </w:r>
          </w:p>
        </w:tc>
        <w:tc>
          <w:tcPr>
            <w:tcW w:w="624" w:type="dxa"/>
            <w:tcBorders>
              <w:top w:val="single" w:sz="4" w:space="0" w:color="17365D" w:themeColor="text2" w:themeShade="BF"/>
            </w:tcBorders>
            <w:vAlign w:val="center"/>
          </w:tcPr>
          <w:p w14:paraId="1A87B2C2" w14:textId="77777777" w:rsidR="00F824A3" w:rsidRPr="00ED1DE8" w:rsidRDefault="00F824A3" w:rsidP="007E6BC2">
            <w:pPr>
              <w:pStyle w:val="TableParagraph"/>
              <w:ind w:left="143"/>
              <w:jc w:val="right"/>
              <w:rPr>
                <w:rFonts w:ascii="Corbel" w:hAnsi="Corbel" w:cs="Corbel"/>
                <w:sz w:val="20"/>
                <w:szCs w:val="20"/>
              </w:rPr>
            </w:pPr>
            <w:r w:rsidRPr="00ED1DE8">
              <w:rPr>
                <w:rFonts w:ascii="Corbel" w:hAnsi="Corbel" w:cs="Corbel"/>
                <w:sz w:val="20"/>
                <w:szCs w:val="20"/>
              </w:rPr>
              <w:t>160.7</w:t>
            </w:r>
          </w:p>
        </w:tc>
        <w:tc>
          <w:tcPr>
            <w:tcW w:w="619" w:type="dxa"/>
            <w:tcBorders>
              <w:top w:val="single" w:sz="4" w:space="0" w:color="17365D" w:themeColor="text2" w:themeShade="BF"/>
            </w:tcBorders>
            <w:vAlign w:val="center"/>
          </w:tcPr>
          <w:p w14:paraId="62E1738C" w14:textId="77777777" w:rsidR="00F824A3" w:rsidRPr="00ED1DE8" w:rsidRDefault="00F824A3" w:rsidP="007E6BC2">
            <w:pPr>
              <w:pStyle w:val="TableParagraph"/>
              <w:ind w:left="133"/>
              <w:jc w:val="right"/>
              <w:rPr>
                <w:rFonts w:ascii="Corbel" w:hAnsi="Corbel" w:cs="Corbel"/>
                <w:sz w:val="20"/>
                <w:szCs w:val="20"/>
              </w:rPr>
            </w:pPr>
            <w:r w:rsidRPr="00ED1DE8">
              <w:rPr>
                <w:rFonts w:ascii="Corbel" w:hAnsi="Corbel" w:cs="Corbel"/>
                <w:sz w:val="20"/>
                <w:szCs w:val="20"/>
              </w:rPr>
              <w:t>153.</w:t>
            </w:r>
            <w:r>
              <w:rPr>
                <w:rFonts w:ascii="Corbel" w:hAnsi="Corbel" w:cs="Corbel"/>
                <w:sz w:val="20"/>
                <w:szCs w:val="20"/>
              </w:rPr>
              <w:t>6</w:t>
            </w:r>
          </w:p>
        </w:tc>
        <w:tc>
          <w:tcPr>
            <w:tcW w:w="631" w:type="dxa"/>
            <w:tcBorders>
              <w:top w:val="single" w:sz="4" w:space="0" w:color="17365D" w:themeColor="text2" w:themeShade="BF"/>
            </w:tcBorders>
            <w:vAlign w:val="center"/>
          </w:tcPr>
          <w:p w14:paraId="7E1AAF1A" w14:textId="77777777" w:rsidR="00F824A3" w:rsidRPr="00ED1DE8" w:rsidRDefault="00F824A3" w:rsidP="007E6BC2">
            <w:pPr>
              <w:pStyle w:val="TableParagraph"/>
              <w:ind w:left="145"/>
              <w:jc w:val="right"/>
              <w:rPr>
                <w:rFonts w:ascii="Corbel" w:hAnsi="Corbel" w:cs="Corbel"/>
                <w:sz w:val="20"/>
                <w:szCs w:val="20"/>
              </w:rPr>
            </w:pPr>
            <w:r w:rsidRPr="00ED1DE8">
              <w:rPr>
                <w:rFonts w:ascii="Corbel" w:hAnsi="Corbel" w:cs="Corbel"/>
                <w:sz w:val="20"/>
                <w:szCs w:val="20"/>
              </w:rPr>
              <w:t>94.</w:t>
            </w:r>
            <w:r>
              <w:rPr>
                <w:rFonts w:ascii="Corbel" w:hAnsi="Corbel" w:cs="Corbel"/>
                <w:sz w:val="20"/>
                <w:szCs w:val="20"/>
              </w:rPr>
              <w:t>5</w:t>
            </w:r>
          </w:p>
        </w:tc>
        <w:tc>
          <w:tcPr>
            <w:tcW w:w="718" w:type="dxa"/>
            <w:tcBorders>
              <w:top w:val="single" w:sz="4" w:space="0" w:color="17365D" w:themeColor="text2" w:themeShade="BF"/>
            </w:tcBorders>
            <w:vAlign w:val="center"/>
          </w:tcPr>
          <w:p w14:paraId="60BC7234" w14:textId="77777777" w:rsidR="00F824A3" w:rsidRPr="00ED1DE8" w:rsidRDefault="00F824A3" w:rsidP="007E6BC2">
            <w:pPr>
              <w:pStyle w:val="TableParagraph"/>
              <w:ind w:left="143"/>
              <w:jc w:val="right"/>
              <w:rPr>
                <w:rFonts w:ascii="Corbel" w:hAnsi="Corbel" w:cs="Corbel"/>
                <w:sz w:val="20"/>
                <w:szCs w:val="20"/>
              </w:rPr>
            </w:pPr>
            <w:r w:rsidRPr="00ED1DE8">
              <w:rPr>
                <w:rFonts w:ascii="Corbel" w:hAnsi="Corbel" w:cs="Corbel"/>
                <w:sz w:val="20"/>
                <w:szCs w:val="20"/>
              </w:rPr>
              <w:t>85.6</w:t>
            </w:r>
          </w:p>
        </w:tc>
        <w:tc>
          <w:tcPr>
            <w:tcW w:w="619" w:type="dxa"/>
            <w:tcBorders>
              <w:top w:val="single" w:sz="4" w:space="0" w:color="17365D" w:themeColor="text2" w:themeShade="BF"/>
            </w:tcBorders>
            <w:vAlign w:val="center"/>
          </w:tcPr>
          <w:p w14:paraId="3876152D" w14:textId="77777777" w:rsidR="00F824A3" w:rsidRPr="00ED1DE8" w:rsidRDefault="00F824A3" w:rsidP="007E6BC2">
            <w:pPr>
              <w:pStyle w:val="TableParagraph"/>
              <w:ind w:left="239"/>
              <w:jc w:val="right"/>
              <w:rPr>
                <w:rFonts w:ascii="Corbel" w:hAnsi="Corbel" w:cs="Corbel"/>
                <w:sz w:val="20"/>
                <w:szCs w:val="20"/>
              </w:rPr>
            </w:pPr>
            <w:r w:rsidRPr="00ED1DE8">
              <w:rPr>
                <w:rFonts w:ascii="Corbel" w:hAnsi="Corbel" w:cs="Corbel"/>
                <w:sz w:val="20"/>
                <w:szCs w:val="20"/>
              </w:rPr>
              <w:t>80.</w:t>
            </w:r>
            <w:r>
              <w:rPr>
                <w:rFonts w:ascii="Corbel" w:hAnsi="Corbel" w:cs="Corbel"/>
                <w:sz w:val="20"/>
                <w:szCs w:val="20"/>
              </w:rPr>
              <w:t>3</w:t>
            </w:r>
          </w:p>
        </w:tc>
        <w:tc>
          <w:tcPr>
            <w:tcW w:w="621" w:type="dxa"/>
            <w:tcBorders>
              <w:top w:val="single" w:sz="4" w:space="0" w:color="17365D" w:themeColor="text2" w:themeShade="BF"/>
            </w:tcBorders>
            <w:vAlign w:val="center"/>
          </w:tcPr>
          <w:p w14:paraId="2517227C" w14:textId="1B2CACD6" w:rsidR="00F824A3" w:rsidRPr="00ED1DE8" w:rsidRDefault="00024F09" w:rsidP="007E6BC2">
            <w:pPr>
              <w:pStyle w:val="TableParagraph"/>
              <w:ind w:left="236"/>
              <w:jc w:val="right"/>
              <w:rPr>
                <w:rFonts w:ascii="Corbel" w:hAnsi="Corbel" w:cs="Corbel"/>
                <w:sz w:val="20"/>
                <w:szCs w:val="20"/>
              </w:rPr>
            </w:pPr>
            <w:r>
              <w:rPr>
                <w:rFonts w:ascii="Corbel" w:hAnsi="Corbel" w:cs="Corbel"/>
                <w:sz w:val="20"/>
                <w:szCs w:val="20"/>
              </w:rPr>
              <w:t>80.6</w:t>
            </w:r>
          </w:p>
        </w:tc>
        <w:tc>
          <w:tcPr>
            <w:tcW w:w="637" w:type="dxa"/>
            <w:tcBorders>
              <w:top w:val="single" w:sz="4" w:space="0" w:color="17365D" w:themeColor="text2" w:themeShade="BF"/>
            </w:tcBorders>
            <w:vAlign w:val="center"/>
          </w:tcPr>
          <w:p w14:paraId="24B08370" w14:textId="1BEF4DEC" w:rsidR="00F824A3" w:rsidRPr="00ED1DE8" w:rsidRDefault="00C67BED" w:rsidP="00ED1A2D">
            <w:pPr>
              <w:pStyle w:val="TableParagraph"/>
              <w:ind w:left="138"/>
              <w:jc w:val="center"/>
              <w:rPr>
                <w:rFonts w:ascii="Corbel" w:hAnsi="Corbel" w:cs="Corbel"/>
                <w:sz w:val="20"/>
                <w:szCs w:val="20"/>
              </w:rPr>
            </w:pPr>
            <w:r>
              <w:rPr>
                <w:rFonts w:ascii="Corbel" w:hAnsi="Corbel" w:cs="Corbel"/>
                <w:sz w:val="20"/>
                <w:szCs w:val="20"/>
              </w:rPr>
              <w:t>82.7</w:t>
            </w:r>
          </w:p>
        </w:tc>
        <w:tc>
          <w:tcPr>
            <w:tcW w:w="567" w:type="dxa"/>
            <w:tcBorders>
              <w:top w:val="single" w:sz="4" w:space="0" w:color="17365D" w:themeColor="text2" w:themeShade="BF"/>
            </w:tcBorders>
            <w:vAlign w:val="center"/>
          </w:tcPr>
          <w:p w14:paraId="0C792BF9" w14:textId="0D095412" w:rsidR="00F824A3" w:rsidRPr="00ED1DE8" w:rsidRDefault="009B754A" w:rsidP="005A7C84">
            <w:pPr>
              <w:pStyle w:val="TableParagraph"/>
              <w:ind w:left="138"/>
              <w:jc w:val="right"/>
              <w:rPr>
                <w:rFonts w:ascii="Corbel" w:hAnsi="Corbel" w:cs="Corbel"/>
                <w:sz w:val="20"/>
                <w:szCs w:val="20"/>
              </w:rPr>
            </w:pPr>
            <w:r>
              <w:rPr>
                <w:rFonts w:ascii="Corbel" w:hAnsi="Corbel" w:cs="Corbel"/>
                <w:sz w:val="20"/>
                <w:szCs w:val="20"/>
              </w:rPr>
              <w:t>83.3</w:t>
            </w:r>
          </w:p>
        </w:tc>
        <w:tc>
          <w:tcPr>
            <w:tcW w:w="1416" w:type="dxa"/>
            <w:tcBorders>
              <w:top w:val="single" w:sz="4" w:space="0" w:color="17365D" w:themeColor="text2" w:themeShade="BF"/>
            </w:tcBorders>
            <w:vAlign w:val="center"/>
          </w:tcPr>
          <w:p w14:paraId="0392BF4D" w14:textId="1E5CD150" w:rsidR="00F824A3" w:rsidRPr="00ED1DE8" w:rsidRDefault="00C67BED" w:rsidP="005A7C84">
            <w:pPr>
              <w:pStyle w:val="TableParagraph"/>
              <w:ind w:left="138"/>
              <w:jc w:val="right"/>
              <w:rPr>
                <w:rFonts w:ascii="Corbel" w:hAnsi="Corbel" w:cs="Corbel"/>
                <w:sz w:val="20"/>
                <w:szCs w:val="20"/>
              </w:rPr>
            </w:pPr>
            <w:r>
              <w:rPr>
                <w:rFonts w:ascii="Corbel" w:hAnsi="Corbel" w:cs="Corbel"/>
                <w:sz w:val="20"/>
                <w:szCs w:val="20"/>
              </w:rPr>
              <w:t>115</w:t>
            </w:r>
            <w:r w:rsidR="00024F09">
              <w:rPr>
                <w:rFonts w:ascii="Corbel" w:hAnsi="Corbel" w:cs="Corbel"/>
                <w:sz w:val="20"/>
                <w:szCs w:val="20"/>
              </w:rPr>
              <w:t>2</w:t>
            </w:r>
            <w:r>
              <w:rPr>
                <w:rFonts w:ascii="Corbel" w:hAnsi="Corbel" w:cs="Corbel"/>
                <w:sz w:val="20"/>
                <w:szCs w:val="20"/>
              </w:rPr>
              <w:t>.1</w:t>
            </w:r>
          </w:p>
        </w:tc>
      </w:tr>
      <w:tr w:rsidR="00ED1A2D" w:rsidRPr="00EB51B8" w14:paraId="77070431" w14:textId="77777777" w:rsidTr="00C67BED">
        <w:trPr>
          <w:trHeight w:hRule="exact" w:val="551"/>
        </w:trPr>
        <w:tc>
          <w:tcPr>
            <w:tcW w:w="2566" w:type="dxa"/>
          </w:tcPr>
          <w:p w14:paraId="2F8BEC1A" w14:textId="77777777" w:rsidR="00F824A3" w:rsidRPr="00ED1DE8" w:rsidRDefault="00F824A3" w:rsidP="005A7C84">
            <w:pPr>
              <w:pStyle w:val="TableParagraph"/>
              <w:ind w:left="102"/>
              <w:rPr>
                <w:rFonts w:ascii="Corbel" w:hAnsi="Corbel" w:cs="Corbel"/>
                <w:sz w:val="20"/>
                <w:szCs w:val="20"/>
              </w:rPr>
            </w:pPr>
            <w:r w:rsidRPr="00ED1DE8">
              <w:rPr>
                <w:rFonts w:ascii="Corbel" w:hAnsi="Corbel" w:cs="Corbel"/>
                <w:spacing w:val="-1"/>
                <w:sz w:val="20"/>
                <w:szCs w:val="20"/>
              </w:rPr>
              <w:t>P</w:t>
            </w:r>
            <w:r w:rsidRPr="00ED1DE8">
              <w:rPr>
                <w:rFonts w:ascii="Corbel" w:hAnsi="Corbel" w:cs="Corbel"/>
                <w:sz w:val="20"/>
                <w:szCs w:val="20"/>
              </w:rPr>
              <w:t>aym</w:t>
            </w:r>
            <w:r w:rsidRPr="00ED1DE8">
              <w:rPr>
                <w:rFonts w:ascii="Corbel" w:hAnsi="Corbel" w:cs="Corbel"/>
                <w:spacing w:val="-1"/>
                <w:sz w:val="20"/>
                <w:szCs w:val="20"/>
              </w:rPr>
              <w:t>e</w:t>
            </w:r>
            <w:r w:rsidRPr="00ED1DE8">
              <w:rPr>
                <w:rFonts w:ascii="Corbel" w:hAnsi="Corbel" w:cs="Corbel"/>
                <w:sz w:val="20"/>
                <w:szCs w:val="20"/>
              </w:rPr>
              <w:t>nts</w:t>
            </w:r>
            <w:r w:rsidRPr="00ED1DE8">
              <w:rPr>
                <w:rFonts w:ascii="Corbel" w:hAnsi="Corbel" w:cs="Corbel"/>
                <w:spacing w:val="-9"/>
                <w:sz w:val="20"/>
                <w:szCs w:val="20"/>
              </w:rPr>
              <w:t xml:space="preserve"> </w:t>
            </w:r>
            <w:r w:rsidRPr="00ED1DE8">
              <w:rPr>
                <w:rFonts w:ascii="Corbel" w:hAnsi="Corbel" w:cs="Corbel"/>
                <w:sz w:val="20"/>
                <w:szCs w:val="20"/>
              </w:rPr>
              <w:t>to</w:t>
            </w:r>
            <w:r>
              <w:rPr>
                <w:rFonts w:ascii="Corbel" w:hAnsi="Corbel" w:cs="Corbel"/>
                <w:w w:val="95"/>
                <w:sz w:val="20"/>
                <w:szCs w:val="20"/>
              </w:rPr>
              <w:t xml:space="preserve"> </w:t>
            </w:r>
            <w:r w:rsidRPr="00ED1DE8">
              <w:rPr>
                <w:rFonts w:ascii="Corbel" w:hAnsi="Corbel" w:cs="Corbel"/>
                <w:w w:val="95"/>
                <w:sz w:val="20"/>
                <w:szCs w:val="20"/>
              </w:rPr>
              <w:t>N</w:t>
            </w:r>
            <w:r w:rsidRPr="00ED1DE8">
              <w:rPr>
                <w:rFonts w:ascii="Corbel" w:hAnsi="Corbel" w:cs="Corbel"/>
                <w:spacing w:val="-1"/>
                <w:w w:val="95"/>
                <w:sz w:val="20"/>
                <w:szCs w:val="20"/>
              </w:rPr>
              <w:t>o</w:t>
            </w:r>
            <w:r w:rsidRPr="00ED1DE8">
              <w:rPr>
                <w:rFonts w:ascii="Corbel" w:hAnsi="Corbel" w:cs="Corbel"/>
                <w:w w:val="95"/>
                <w:sz w:val="20"/>
                <w:szCs w:val="20"/>
              </w:rPr>
              <w:t>n</w:t>
            </w:r>
            <w:r>
              <w:rPr>
                <w:rFonts w:ascii="Corbel" w:hAnsi="Corbel" w:cs="Corbel"/>
                <w:w w:val="95"/>
                <w:sz w:val="20"/>
                <w:szCs w:val="20"/>
              </w:rPr>
              <w:noBreakHyphen/>
            </w:r>
            <w:r w:rsidRPr="00ED1DE8">
              <w:rPr>
                <w:rFonts w:ascii="Corbel" w:hAnsi="Corbel" w:cs="Corbel"/>
                <w:spacing w:val="-2"/>
                <w:w w:val="95"/>
                <w:sz w:val="20"/>
                <w:szCs w:val="20"/>
              </w:rPr>
              <w:t>G</w:t>
            </w:r>
            <w:r w:rsidRPr="00ED1DE8">
              <w:rPr>
                <w:rFonts w:ascii="Corbel" w:hAnsi="Corbel" w:cs="Corbel"/>
                <w:w w:val="95"/>
                <w:sz w:val="20"/>
                <w:szCs w:val="20"/>
              </w:rPr>
              <w:t>o</w:t>
            </w:r>
            <w:r w:rsidRPr="00ED1DE8">
              <w:rPr>
                <w:rFonts w:ascii="Corbel" w:hAnsi="Corbel" w:cs="Corbel"/>
                <w:spacing w:val="-1"/>
                <w:w w:val="95"/>
                <w:sz w:val="20"/>
                <w:szCs w:val="20"/>
              </w:rPr>
              <w:t>ve</w:t>
            </w:r>
            <w:r w:rsidRPr="00ED1DE8">
              <w:rPr>
                <w:rFonts w:ascii="Corbel" w:hAnsi="Corbel" w:cs="Corbel"/>
                <w:w w:val="95"/>
                <w:sz w:val="20"/>
                <w:szCs w:val="20"/>
              </w:rPr>
              <w:t>rn</w:t>
            </w:r>
            <w:r w:rsidRPr="00ED1DE8">
              <w:rPr>
                <w:rFonts w:ascii="Corbel" w:hAnsi="Corbel" w:cs="Corbel"/>
                <w:spacing w:val="1"/>
                <w:w w:val="95"/>
                <w:sz w:val="20"/>
                <w:szCs w:val="20"/>
              </w:rPr>
              <w:t>m</w:t>
            </w:r>
            <w:r w:rsidRPr="00ED1DE8">
              <w:rPr>
                <w:rFonts w:ascii="Corbel" w:hAnsi="Corbel" w:cs="Corbel"/>
                <w:spacing w:val="-1"/>
                <w:w w:val="95"/>
                <w:sz w:val="20"/>
                <w:szCs w:val="20"/>
              </w:rPr>
              <w:t>e</w:t>
            </w:r>
            <w:r w:rsidRPr="00ED1DE8">
              <w:rPr>
                <w:rFonts w:ascii="Corbel" w:hAnsi="Corbel" w:cs="Corbel"/>
                <w:w w:val="95"/>
                <w:sz w:val="20"/>
                <w:szCs w:val="20"/>
              </w:rPr>
              <w:t>nt</w:t>
            </w:r>
            <w:r w:rsidRPr="00ED1DE8">
              <w:rPr>
                <w:rFonts w:ascii="Corbel" w:hAnsi="Corbel" w:cs="Corbel"/>
                <w:w w:val="99"/>
                <w:sz w:val="20"/>
                <w:szCs w:val="20"/>
              </w:rPr>
              <w:t xml:space="preserve"> </w:t>
            </w:r>
            <w:r w:rsidRPr="00ED1DE8">
              <w:rPr>
                <w:rFonts w:ascii="Corbel" w:hAnsi="Corbel" w:cs="Corbel"/>
                <w:sz w:val="20"/>
                <w:szCs w:val="20"/>
              </w:rPr>
              <w:t>S</w:t>
            </w:r>
            <w:r w:rsidRPr="00ED1DE8">
              <w:rPr>
                <w:rFonts w:ascii="Corbel" w:hAnsi="Corbel" w:cs="Corbel"/>
                <w:spacing w:val="-1"/>
                <w:sz w:val="20"/>
                <w:szCs w:val="20"/>
              </w:rPr>
              <w:t>c</w:t>
            </w:r>
            <w:r w:rsidRPr="00ED1DE8">
              <w:rPr>
                <w:rFonts w:ascii="Corbel" w:hAnsi="Corbel" w:cs="Corbel"/>
                <w:sz w:val="20"/>
                <w:szCs w:val="20"/>
              </w:rPr>
              <w:t>h</w:t>
            </w:r>
            <w:r w:rsidRPr="00ED1DE8">
              <w:rPr>
                <w:rFonts w:ascii="Corbel" w:hAnsi="Corbel" w:cs="Corbel"/>
                <w:spacing w:val="1"/>
                <w:sz w:val="20"/>
                <w:szCs w:val="20"/>
              </w:rPr>
              <w:t>o</w:t>
            </w:r>
            <w:r w:rsidRPr="00ED1DE8">
              <w:rPr>
                <w:rFonts w:ascii="Corbel" w:hAnsi="Corbel" w:cs="Corbel"/>
                <w:spacing w:val="-1"/>
                <w:sz w:val="20"/>
                <w:szCs w:val="20"/>
              </w:rPr>
              <w:t>ol</w:t>
            </w:r>
            <w:r w:rsidRPr="00ED1DE8">
              <w:rPr>
                <w:rFonts w:ascii="Corbel" w:hAnsi="Corbel" w:cs="Corbel"/>
                <w:sz w:val="20"/>
                <w:szCs w:val="20"/>
              </w:rPr>
              <w:t>s</w:t>
            </w:r>
          </w:p>
        </w:tc>
        <w:tc>
          <w:tcPr>
            <w:tcW w:w="620" w:type="dxa"/>
            <w:tcBorders>
              <w:bottom w:val="single" w:sz="4" w:space="0" w:color="17365D" w:themeColor="text2" w:themeShade="BF"/>
            </w:tcBorders>
            <w:vAlign w:val="center"/>
          </w:tcPr>
          <w:p w14:paraId="25ED6615" w14:textId="77777777" w:rsidR="00F824A3" w:rsidRPr="00ED1DE8" w:rsidRDefault="00F824A3" w:rsidP="007E6BC2">
            <w:pPr>
              <w:pStyle w:val="TableParagraph"/>
              <w:ind w:left="335"/>
              <w:jc w:val="right"/>
              <w:rPr>
                <w:rFonts w:ascii="Corbel" w:hAnsi="Corbel" w:cs="Corbel"/>
                <w:sz w:val="20"/>
                <w:szCs w:val="20"/>
              </w:rPr>
            </w:pPr>
            <w:r w:rsidRPr="00ED1DE8">
              <w:rPr>
                <w:rFonts w:ascii="Corbel" w:hAnsi="Corbel" w:cs="Corbel"/>
                <w:sz w:val="20"/>
                <w:szCs w:val="20"/>
              </w:rPr>
              <w:t>8.6</w:t>
            </w:r>
          </w:p>
        </w:tc>
        <w:tc>
          <w:tcPr>
            <w:tcW w:w="624" w:type="dxa"/>
            <w:tcBorders>
              <w:bottom w:val="single" w:sz="4" w:space="0" w:color="17365D" w:themeColor="text2" w:themeShade="BF"/>
            </w:tcBorders>
            <w:vAlign w:val="center"/>
          </w:tcPr>
          <w:p w14:paraId="1F71F5CB" w14:textId="77777777" w:rsidR="00F824A3" w:rsidRPr="00ED1DE8" w:rsidRDefault="00F824A3" w:rsidP="007E6BC2">
            <w:pPr>
              <w:pStyle w:val="TableParagraph"/>
              <w:ind w:left="344"/>
              <w:jc w:val="right"/>
              <w:rPr>
                <w:rFonts w:ascii="Corbel" w:hAnsi="Corbel" w:cs="Corbel"/>
                <w:sz w:val="20"/>
                <w:szCs w:val="20"/>
              </w:rPr>
            </w:pPr>
            <w:r w:rsidRPr="00ED1DE8">
              <w:rPr>
                <w:rFonts w:ascii="Corbel" w:hAnsi="Corbel" w:cs="Corbel"/>
                <w:sz w:val="20"/>
                <w:szCs w:val="20"/>
              </w:rPr>
              <w:t>7.6</w:t>
            </w:r>
          </w:p>
        </w:tc>
        <w:tc>
          <w:tcPr>
            <w:tcW w:w="619" w:type="dxa"/>
            <w:tcBorders>
              <w:bottom w:val="single" w:sz="4" w:space="0" w:color="17365D" w:themeColor="text2" w:themeShade="BF"/>
            </w:tcBorders>
            <w:vAlign w:val="center"/>
          </w:tcPr>
          <w:p w14:paraId="71EF2F21" w14:textId="77777777" w:rsidR="00F824A3" w:rsidRPr="00ED1DE8" w:rsidRDefault="00F824A3" w:rsidP="007E6BC2">
            <w:pPr>
              <w:pStyle w:val="TableParagraph"/>
              <w:ind w:left="335"/>
              <w:jc w:val="right"/>
              <w:rPr>
                <w:rFonts w:ascii="Corbel" w:hAnsi="Corbel" w:cs="Corbel"/>
                <w:sz w:val="20"/>
                <w:szCs w:val="20"/>
              </w:rPr>
            </w:pPr>
            <w:r w:rsidRPr="00ED1DE8">
              <w:rPr>
                <w:rFonts w:ascii="Corbel" w:hAnsi="Corbel" w:cs="Corbel"/>
                <w:sz w:val="20"/>
                <w:szCs w:val="20"/>
              </w:rPr>
              <w:t>7.</w:t>
            </w:r>
            <w:r>
              <w:rPr>
                <w:rFonts w:ascii="Corbel" w:hAnsi="Corbel" w:cs="Corbel"/>
                <w:sz w:val="20"/>
                <w:szCs w:val="20"/>
              </w:rPr>
              <w:t>8</w:t>
            </w:r>
          </w:p>
        </w:tc>
        <w:tc>
          <w:tcPr>
            <w:tcW w:w="631" w:type="dxa"/>
            <w:tcBorders>
              <w:bottom w:val="single" w:sz="4" w:space="0" w:color="17365D" w:themeColor="text2" w:themeShade="BF"/>
            </w:tcBorders>
            <w:vAlign w:val="center"/>
          </w:tcPr>
          <w:p w14:paraId="7FF002A4" w14:textId="77777777" w:rsidR="00F824A3" w:rsidRPr="00ED1DE8" w:rsidRDefault="00F824A3" w:rsidP="007E6BC2">
            <w:pPr>
              <w:pStyle w:val="TableParagraph"/>
              <w:ind w:left="347"/>
              <w:jc w:val="right"/>
              <w:rPr>
                <w:rFonts w:ascii="Corbel" w:hAnsi="Corbel" w:cs="Corbel"/>
                <w:sz w:val="20"/>
                <w:szCs w:val="20"/>
              </w:rPr>
            </w:pPr>
            <w:r w:rsidRPr="00ED1DE8">
              <w:rPr>
                <w:rFonts w:ascii="Corbel" w:hAnsi="Corbel" w:cs="Corbel"/>
                <w:sz w:val="20"/>
                <w:szCs w:val="20"/>
              </w:rPr>
              <w:t>6.5</w:t>
            </w:r>
          </w:p>
        </w:tc>
        <w:tc>
          <w:tcPr>
            <w:tcW w:w="718" w:type="dxa"/>
            <w:tcBorders>
              <w:bottom w:val="single" w:sz="4" w:space="0" w:color="17365D" w:themeColor="text2" w:themeShade="BF"/>
            </w:tcBorders>
            <w:vAlign w:val="center"/>
          </w:tcPr>
          <w:p w14:paraId="35A23EF2" w14:textId="77777777" w:rsidR="00F824A3" w:rsidRPr="00ED1DE8" w:rsidRDefault="00F824A3" w:rsidP="007E6BC2">
            <w:pPr>
              <w:pStyle w:val="TableParagraph"/>
              <w:ind w:left="344"/>
              <w:jc w:val="right"/>
              <w:rPr>
                <w:rFonts w:ascii="Corbel" w:hAnsi="Corbel" w:cs="Corbel"/>
                <w:sz w:val="20"/>
                <w:szCs w:val="20"/>
              </w:rPr>
            </w:pPr>
            <w:r w:rsidRPr="00ED1DE8">
              <w:rPr>
                <w:rFonts w:ascii="Corbel" w:hAnsi="Corbel" w:cs="Corbel"/>
                <w:sz w:val="20"/>
                <w:szCs w:val="20"/>
              </w:rPr>
              <w:t>4.</w:t>
            </w:r>
            <w:r>
              <w:rPr>
                <w:rFonts w:ascii="Corbel" w:hAnsi="Corbel" w:cs="Corbel"/>
                <w:sz w:val="20"/>
                <w:szCs w:val="20"/>
              </w:rPr>
              <w:t>8</w:t>
            </w:r>
          </w:p>
        </w:tc>
        <w:tc>
          <w:tcPr>
            <w:tcW w:w="619" w:type="dxa"/>
            <w:tcBorders>
              <w:bottom w:val="single" w:sz="4" w:space="0" w:color="17365D" w:themeColor="text2" w:themeShade="BF"/>
            </w:tcBorders>
            <w:vAlign w:val="center"/>
          </w:tcPr>
          <w:p w14:paraId="2C559D03" w14:textId="77777777" w:rsidR="00F824A3" w:rsidRPr="00ED1DE8" w:rsidRDefault="00F824A3" w:rsidP="007E6BC2">
            <w:pPr>
              <w:pStyle w:val="TableParagraph"/>
              <w:ind w:left="339"/>
              <w:jc w:val="right"/>
              <w:rPr>
                <w:rFonts w:ascii="Corbel" w:hAnsi="Corbel" w:cs="Corbel"/>
                <w:sz w:val="20"/>
                <w:szCs w:val="20"/>
              </w:rPr>
            </w:pPr>
            <w:r w:rsidRPr="00ED1DE8">
              <w:rPr>
                <w:rFonts w:ascii="Corbel" w:hAnsi="Corbel" w:cs="Corbel"/>
                <w:sz w:val="20"/>
                <w:szCs w:val="20"/>
              </w:rPr>
              <w:t>3.6</w:t>
            </w:r>
          </w:p>
        </w:tc>
        <w:tc>
          <w:tcPr>
            <w:tcW w:w="621" w:type="dxa"/>
            <w:tcBorders>
              <w:bottom w:val="single" w:sz="4" w:space="0" w:color="17365D" w:themeColor="text2" w:themeShade="BF"/>
            </w:tcBorders>
            <w:vAlign w:val="center"/>
          </w:tcPr>
          <w:p w14:paraId="6B75406C" w14:textId="77777777" w:rsidR="00F824A3" w:rsidRPr="00ED1DE8" w:rsidRDefault="00F824A3" w:rsidP="007E6BC2">
            <w:pPr>
              <w:pStyle w:val="TableParagraph"/>
              <w:ind w:left="337"/>
              <w:jc w:val="right"/>
              <w:rPr>
                <w:rFonts w:ascii="Corbel" w:hAnsi="Corbel" w:cs="Corbel"/>
                <w:sz w:val="20"/>
                <w:szCs w:val="20"/>
              </w:rPr>
            </w:pPr>
            <w:r w:rsidRPr="00ED1DE8">
              <w:rPr>
                <w:rFonts w:ascii="Corbel" w:hAnsi="Corbel" w:cs="Corbel"/>
                <w:sz w:val="20"/>
                <w:szCs w:val="20"/>
              </w:rPr>
              <w:t>3.6</w:t>
            </w:r>
          </w:p>
        </w:tc>
        <w:tc>
          <w:tcPr>
            <w:tcW w:w="637" w:type="dxa"/>
            <w:tcBorders>
              <w:bottom w:val="single" w:sz="4" w:space="0" w:color="17365D" w:themeColor="text2" w:themeShade="BF"/>
            </w:tcBorders>
            <w:vAlign w:val="center"/>
          </w:tcPr>
          <w:p w14:paraId="5A5466AA" w14:textId="1A3067AD" w:rsidR="00F824A3" w:rsidRPr="00ED1DE8" w:rsidRDefault="009B3D26" w:rsidP="007E6BC2">
            <w:pPr>
              <w:pStyle w:val="TableParagraph"/>
              <w:ind w:left="337"/>
              <w:jc w:val="right"/>
              <w:rPr>
                <w:rFonts w:ascii="Corbel" w:hAnsi="Corbel" w:cs="Corbel"/>
                <w:sz w:val="20"/>
                <w:szCs w:val="20"/>
              </w:rPr>
            </w:pPr>
            <w:r>
              <w:rPr>
                <w:rFonts w:ascii="Corbel" w:hAnsi="Corbel" w:cs="Corbel"/>
                <w:sz w:val="20"/>
                <w:szCs w:val="20"/>
              </w:rPr>
              <w:t>3.6</w:t>
            </w:r>
          </w:p>
        </w:tc>
        <w:tc>
          <w:tcPr>
            <w:tcW w:w="567" w:type="dxa"/>
            <w:tcBorders>
              <w:bottom w:val="single" w:sz="4" w:space="0" w:color="17365D" w:themeColor="text2" w:themeShade="BF"/>
            </w:tcBorders>
            <w:vAlign w:val="center"/>
          </w:tcPr>
          <w:p w14:paraId="2B3749F5" w14:textId="161131FB" w:rsidR="00F824A3" w:rsidRPr="00ED1DE8" w:rsidRDefault="009B3D26" w:rsidP="007E6BC2">
            <w:pPr>
              <w:pStyle w:val="TableParagraph"/>
              <w:ind w:left="337"/>
              <w:jc w:val="right"/>
              <w:rPr>
                <w:rFonts w:ascii="Corbel" w:hAnsi="Corbel" w:cs="Corbel"/>
                <w:sz w:val="20"/>
                <w:szCs w:val="20"/>
              </w:rPr>
            </w:pPr>
            <w:r>
              <w:rPr>
                <w:rFonts w:ascii="Corbel" w:hAnsi="Corbel" w:cs="Corbel"/>
                <w:sz w:val="20"/>
                <w:szCs w:val="20"/>
              </w:rPr>
              <w:t>3.6</w:t>
            </w:r>
          </w:p>
        </w:tc>
        <w:tc>
          <w:tcPr>
            <w:tcW w:w="1416" w:type="dxa"/>
            <w:tcBorders>
              <w:bottom w:val="single" w:sz="4" w:space="0" w:color="17365D" w:themeColor="text2" w:themeShade="BF"/>
            </w:tcBorders>
            <w:vAlign w:val="center"/>
          </w:tcPr>
          <w:p w14:paraId="0C356241" w14:textId="62CBC1FD" w:rsidR="00F824A3" w:rsidRPr="00ED1DE8" w:rsidRDefault="009B3D26" w:rsidP="007E6BC2">
            <w:pPr>
              <w:pStyle w:val="TableParagraph"/>
              <w:ind w:left="337"/>
              <w:jc w:val="right"/>
              <w:rPr>
                <w:rFonts w:ascii="Corbel" w:hAnsi="Corbel" w:cs="Corbel"/>
                <w:sz w:val="20"/>
                <w:szCs w:val="20"/>
              </w:rPr>
            </w:pPr>
            <w:r>
              <w:rPr>
                <w:rFonts w:ascii="Corbel" w:hAnsi="Corbel" w:cs="Corbel"/>
                <w:sz w:val="20"/>
                <w:szCs w:val="20"/>
              </w:rPr>
              <w:t>49.</w:t>
            </w:r>
            <w:r w:rsidR="007113C6">
              <w:rPr>
                <w:rFonts w:ascii="Corbel" w:hAnsi="Corbel" w:cs="Corbel"/>
                <w:sz w:val="20"/>
                <w:szCs w:val="20"/>
              </w:rPr>
              <w:t>7</w:t>
            </w:r>
          </w:p>
        </w:tc>
      </w:tr>
      <w:tr w:rsidR="00ED1A2D" w:rsidRPr="00EB51B8" w14:paraId="5B884F15" w14:textId="77777777" w:rsidTr="00C67BED">
        <w:trPr>
          <w:trHeight w:hRule="exact" w:val="626"/>
        </w:trPr>
        <w:tc>
          <w:tcPr>
            <w:tcW w:w="2566" w:type="dxa"/>
            <w:vAlign w:val="center"/>
          </w:tcPr>
          <w:p w14:paraId="6338CEEC" w14:textId="77777777" w:rsidR="00F824A3" w:rsidRPr="00ED1DE8" w:rsidRDefault="00F824A3" w:rsidP="000E1F26">
            <w:pPr>
              <w:pStyle w:val="TableParagraph"/>
              <w:ind w:left="102"/>
              <w:rPr>
                <w:rFonts w:ascii="Corbel" w:hAnsi="Corbel" w:cs="Corbel"/>
                <w:spacing w:val="-1"/>
                <w:sz w:val="20"/>
                <w:szCs w:val="20"/>
              </w:rPr>
            </w:pPr>
            <w:r w:rsidRPr="00AC081E">
              <w:rPr>
                <w:rFonts w:ascii="Corbel" w:hAnsi="Corbel" w:cs="Corbel"/>
                <w:sz w:val="20"/>
                <w:szCs w:val="20"/>
              </w:rPr>
              <w:t>T</w:t>
            </w:r>
            <w:r w:rsidRPr="00AC081E">
              <w:rPr>
                <w:rFonts w:ascii="Corbel" w:hAnsi="Corbel" w:cs="Corbel"/>
                <w:spacing w:val="-1"/>
                <w:sz w:val="20"/>
                <w:szCs w:val="20"/>
              </w:rPr>
              <w:t>o</w:t>
            </w:r>
            <w:r w:rsidRPr="00AC081E">
              <w:rPr>
                <w:rFonts w:ascii="Corbel" w:hAnsi="Corbel" w:cs="Corbel"/>
                <w:sz w:val="20"/>
                <w:szCs w:val="20"/>
              </w:rPr>
              <w:t>tal</w:t>
            </w:r>
            <w:r w:rsidRPr="00AC081E">
              <w:rPr>
                <w:rFonts w:ascii="Corbel" w:hAnsi="Corbel" w:cs="Corbel"/>
                <w:w w:val="99"/>
                <w:sz w:val="20"/>
                <w:szCs w:val="20"/>
              </w:rPr>
              <w:t xml:space="preserve"> </w:t>
            </w:r>
            <w:r w:rsidRPr="00AC081E">
              <w:rPr>
                <w:rFonts w:ascii="Corbel" w:hAnsi="Corbel" w:cs="Corbel"/>
                <w:w w:val="95"/>
                <w:sz w:val="20"/>
                <w:szCs w:val="20"/>
              </w:rPr>
              <w:t>C</w:t>
            </w:r>
            <w:r w:rsidRPr="00AC081E">
              <w:rPr>
                <w:rFonts w:ascii="Corbel" w:hAnsi="Corbel" w:cs="Corbel"/>
                <w:spacing w:val="-1"/>
                <w:w w:val="95"/>
                <w:sz w:val="20"/>
                <w:szCs w:val="20"/>
              </w:rPr>
              <w:t>o</w:t>
            </w:r>
            <w:r w:rsidRPr="00AC081E">
              <w:rPr>
                <w:rFonts w:ascii="Corbel" w:hAnsi="Corbel" w:cs="Corbel"/>
                <w:w w:val="95"/>
                <w:sz w:val="20"/>
                <w:szCs w:val="20"/>
              </w:rPr>
              <w:t>mm</w:t>
            </w:r>
            <w:r w:rsidRPr="00AC081E">
              <w:rPr>
                <w:rFonts w:ascii="Corbel" w:hAnsi="Corbel" w:cs="Corbel"/>
                <w:spacing w:val="-1"/>
                <w:w w:val="95"/>
                <w:sz w:val="20"/>
                <w:szCs w:val="20"/>
              </w:rPr>
              <w:t>o</w:t>
            </w:r>
            <w:r w:rsidRPr="00AC081E">
              <w:rPr>
                <w:rFonts w:ascii="Corbel" w:hAnsi="Corbel" w:cs="Corbel"/>
                <w:w w:val="95"/>
                <w:sz w:val="20"/>
                <w:szCs w:val="20"/>
              </w:rPr>
              <w:t>n</w:t>
            </w:r>
            <w:r w:rsidRPr="00AC081E">
              <w:rPr>
                <w:rFonts w:ascii="Corbel" w:hAnsi="Corbel" w:cs="Corbel"/>
                <w:spacing w:val="1"/>
                <w:w w:val="95"/>
                <w:sz w:val="20"/>
                <w:szCs w:val="20"/>
              </w:rPr>
              <w:t>w</w:t>
            </w:r>
            <w:r w:rsidRPr="00AC081E">
              <w:rPr>
                <w:rFonts w:ascii="Corbel" w:hAnsi="Corbel" w:cs="Corbel"/>
                <w:spacing w:val="-1"/>
                <w:w w:val="95"/>
                <w:sz w:val="20"/>
                <w:szCs w:val="20"/>
              </w:rPr>
              <w:t>e</w:t>
            </w:r>
            <w:r w:rsidRPr="00AC081E">
              <w:rPr>
                <w:rFonts w:ascii="Corbel" w:hAnsi="Corbel" w:cs="Corbel"/>
                <w:w w:val="95"/>
                <w:sz w:val="20"/>
                <w:szCs w:val="20"/>
              </w:rPr>
              <w:t>a</w:t>
            </w:r>
            <w:r w:rsidRPr="00AC081E">
              <w:rPr>
                <w:rFonts w:ascii="Corbel" w:hAnsi="Corbel" w:cs="Corbel"/>
                <w:spacing w:val="-1"/>
                <w:w w:val="95"/>
                <w:sz w:val="20"/>
                <w:szCs w:val="20"/>
              </w:rPr>
              <w:t>l</w:t>
            </w:r>
            <w:r w:rsidRPr="00AC081E">
              <w:rPr>
                <w:rFonts w:ascii="Corbel" w:hAnsi="Corbel" w:cs="Corbel"/>
                <w:w w:val="95"/>
                <w:sz w:val="20"/>
                <w:szCs w:val="20"/>
              </w:rPr>
              <w:t>th</w:t>
            </w:r>
            <w:r w:rsidRPr="00AC081E">
              <w:rPr>
                <w:rFonts w:ascii="Corbel" w:hAnsi="Corbel" w:cs="Corbel"/>
                <w:w w:val="99"/>
                <w:sz w:val="20"/>
                <w:szCs w:val="20"/>
              </w:rPr>
              <w:t xml:space="preserve"> </w:t>
            </w:r>
            <w:r w:rsidRPr="00AC081E">
              <w:rPr>
                <w:rFonts w:ascii="Corbel" w:hAnsi="Corbel" w:cs="Corbel"/>
                <w:spacing w:val="-1"/>
                <w:sz w:val="20"/>
                <w:szCs w:val="20"/>
              </w:rPr>
              <w:t>Co</w:t>
            </w:r>
            <w:r w:rsidRPr="00AC081E">
              <w:rPr>
                <w:rFonts w:ascii="Corbel" w:hAnsi="Corbel" w:cs="Corbel"/>
                <w:sz w:val="20"/>
                <w:szCs w:val="20"/>
              </w:rPr>
              <w:t>ntr</w:t>
            </w:r>
            <w:r w:rsidRPr="00AC081E">
              <w:rPr>
                <w:rFonts w:ascii="Corbel" w:hAnsi="Corbel" w:cs="Corbel"/>
                <w:spacing w:val="1"/>
                <w:sz w:val="20"/>
                <w:szCs w:val="20"/>
              </w:rPr>
              <w:t>i</w:t>
            </w:r>
            <w:r w:rsidRPr="00AC081E">
              <w:rPr>
                <w:rFonts w:ascii="Corbel" w:hAnsi="Corbel" w:cs="Corbel"/>
                <w:spacing w:val="-2"/>
                <w:sz w:val="20"/>
                <w:szCs w:val="20"/>
              </w:rPr>
              <w:t>b</w:t>
            </w:r>
            <w:r w:rsidRPr="00AC081E">
              <w:rPr>
                <w:rFonts w:ascii="Corbel" w:hAnsi="Corbel" w:cs="Corbel"/>
                <w:sz w:val="20"/>
                <w:szCs w:val="20"/>
              </w:rPr>
              <w:t>ut</w:t>
            </w:r>
            <w:r w:rsidRPr="00AC081E">
              <w:rPr>
                <w:rFonts w:ascii="Corbel" w:hAnsi="Corbel" w:cs="Corbel"/>
                <w:spacing w:val="1"/>
                <w:sz w:val="20"/>
                <w:szCs w:val="20"/>
              </w:rPr>
              <w:t>i</w:t>
            </w:r>
            <w:r w:rsidRPr="00AC081E">
              <w:rPr>
                <w:rFonts w:ascii="Corbel" w:hAnsi="Corbel" w:cs="Corbel"/>
                <w:spacing w:val="-1"/>
                <w:sz w:val="20"/>
                <w:szCs w:val="20"/>
              </w:rPr>
              <w:t>o</w:t>
            </w:r>
            <w:r w:rsidRPr="00AC081E">
              <w:rPr>
                <w:rFonts w:ascii="Corbel" w:hAnsi="Corbel" w:cs="Corbel"/>
                <w:sz w:val="20"/>
                <w:szCs w:val="20"/>
              </w:rPr>
              <w:t>n</w:t>
            </w:r>
          </w:p>
        </w:tc>
        <w:tc>
          <w:tcPr>
            <w:tcW w:w="620" w:type="dxa"/>
            <w:tcBorders>
              <w:bottom w:val="single" w:sz="4" w:space="0" w:color="17365D" w:themeColor="text2" w:themeShade="BF"/>
            </w:tcBorders>
            <w:vAlign w:val="center"/>
          </w:tcPr>
          <w:p w14:paraId="15672F25" w14:textId="77777777" w:rsidR="00F824A3" w:rsidRPr="00ED1DE8" w:rsidRDefault="00F824A3" w:rsidP="007E6BC2">
            <w:pPr>
              <w:pStyle w:val="TableParagraph"/>
              <w:ind w:left="133"/>
              <w:jc w:val="right"/>
              <w:rPr>
                <w:rFonts w:ascii="Corbel" w:hAnsi="Corbel" w:cs="Corbel"/>
                <w:sz w:val="20"/>
                <w:szCs w:val="20"/>
              </w:rPr>
            </w:pPr>
            <w:r w:rsidRPr="00AC081E">
              <w:rPr>
                <w:rFonts w:ascii="Corbel" w:hAnsi="Corbel" w:cs="Corbel"/>
                <w:sz w:val="20"/>
                <w:szCs w:val="20"/>
              </w:rPr>
              <w:t>339.4</w:t>
            </w:r>
          </w:p>
        </w:tc>
        <w:tc>
          <w:tcPr>
            <w:tcW w:w="624" w:type="dxa"/>
            <w:tcBorders>
              <w:bottom w:val="single" w:sz="4" w:space="0" w:color="17365D" w:themeColor="text2" w:themeShade="BF"/>
            </w:tcBorders>
            <w:vAlign w:val="center"/>
          </w:tcPr>
          <w:p w14:paraId="32885823" w14:textId="77777777" w:rsidR="00F824A3" w:rsidRPr="00ED1DE8" w:rsidRDefault="00F824A3" w:rsidP="007E6BC2">
            <w:pPr>
              <w:pStyle w:val="TableParagraph"/>
              <w:ind w:left="133"/>
              <w:jc w:val="right"/>
              <w:rPr>
                <w:rFonts w:ascii="Corbel" w:hAnsi="Corbel" w:cs="Corbel"/>
                <w:sz w:val="20"/>
                <w:szCs w:val="20"/>
              </w:rPr>
            </w:pPr>
            <w:r w:rsidRPr="00AC081E">
              <w:rPr>
                <w:rFonts w:ascii="Corbel" w:hAnsi="Corbel" w:cs="Corbel"/>
                <w:sz w:val="20"/>
                <w:szCs w:val="20"/>
              </w:rPr>
              <w:t>168.</w:t>
            </w:r>
            <w:r>
              <w:rPr>
                <w:rFonts w:ascii="Corbel" w:hAnsi="Corbel" w:cs="Corbel"/>
                <w:sz w:val="20"/>
                <w:szCs w:val="20"/>
              </w:rPr>
              <w:t>4</w:t>
            </w:r>
          </w:p>
        </w:tc>
        <w:tc>
          <w:tcPr>
            <w:tcW w:w="619" w:type="dxa"/>
            <w:tcBorders>
              <w:bottom w:val="single" w:sz="4" w:space="0" w:color="17365D" w:themeColor="text2" w:themeShade="BF"/>
            </w:tcBorders>
            <w:vAlign w:val="center"/>
          </w:tcPr>
          <w:p w14:paraId="33AA0B4F" w14:textId="77777777" w:rsidR="00F824A3" w:rsidRPr="00ED1DE8" w:rsidRDefault="00F824A3" w:rsidP="007E6BC2">
            <w:pPr>
              <w:pStyle w:val="TableParagraph"/>
              <w:ind w:left="133"/>
              <w:jc w:val="right"/>
              <w:rPr>
                <w:rFonts w:ascii="Corbel" w:hAnsi="Corbel" w:cs="Corbel"/>
                <w:sz w:val="20"/>
                <w:szCs w:val="20"/>
              </w:rPr>
            </w:pPr>
            <w:r w:rsidRPr="00AC081E">
              <w:rPr>
                <w:rFonts w:ascii="Corbel" w:hAnsi="Corbel" w:cs="Corbel"/>
                <w:sz w:val="20"/>
                <w:szCs w:val="20"/>
              </w:rPr>
              <w:t>161.</w:t>
            </w:r>
            <w:r>
              <w:rPr>
                <w:rFonts w:ascii="Corbel" w:hAnsi="Corbel" w:cs="Corbel"/>
                <w:sz w:val="20"/>
                <w:szCs w:val="20"/>
              </w:rPr>
              <w:t>4</w:t>
            </w:r>
          </w:p>
        </w:tc>
        <w:tc>
          <w:tcPr>
            <w:tcW w:w="631" w:type="dxa"/>
            <w:tcBorders>
              <w:bottom w:val="single" w:sz="4" w:space="0" w:color="17365D" w:themeColor="text2" w:themeShade="BF"/>
            </w:tcBorders>
            <w:vAlign w:val="center"/>
          </w:tcPr>
          <w:p w14:paraId="1D80B250" w14:textId="77777777" w:rsidR="00F824A3" w:rsidRPr="00ED1DE8" w:rsidRDefault="00F824A3" w:rsidP="007E6BC2">
            <w:pPr>
              <w:pStyle w:val="TableParagraph"/>
              <w:ind w:left="133"/>
              <w:jc w:val="right"/>
              <w:rPr>
                <w:rFonts w:ascii="Corbel" w:hAnsi="Corbel" w:cs="Corbel"/>
                <w:sz w:val="20"/>
                <w:szCs w:val="20"/>
              </w:rPr>
            </w:pPr>
            <w:r w:rsidRPr="00AC081E">
              <w:rPr>
                <w:rFonts w:ascii="Corbel" w:hAnsi="Corbel" w:cs="Corbel"/>
                <w:sz w:val="20"/>
                <w:szCs w:val="20"/>
              </w:rPr>
              <w:t>101.0</w:t>
            </w:r>
          </w:p>
        </w:tc>
        <w:tc>
          <w:tcPr>
            <w:tcW w:w="718" w:type="dxa"/>
            <w:tcBorders>
              <w:bottom w:val="single" w:sz="4" w:space="0" w:color="17365D" w:themeColor="text2" w:themeShade="BF"/>
            </w:tcBorders>
            <w:vAlign w:val="center"/>
          </w:tcPr>
          <w:p w14:paraId="6D456E04" w14:textId="77777777" w:rsidR="00F824A3" w:rsidRPr="00ED1DE8" w:rsidRDefault="00F824A3" w:rsidP="007E6BC2">
            <w:pPr>
              <w:pStyle w:val="TableParagraph"/>
              <w:ind w:left="133"/>
              <w:jc w:val="right"/>
              <w:rPr>
                <w:rFonts w:ascii="Corbel" w:hAnsi="Corbel" w:cs="Corbel"/>
                <w:sz w:val="20"/>
                <w:szCs w:val="20"/>
              </w:rPr>
            </w:pPr>
            <w:r w:rsidRPr="00AC081E">
              <w:rPr>
                <w:rFonts w:ascii="Corbel" w:hAnsi="Corbel" w:cs="Corbel"/>
                <w:sz w:val="20"/>
                <w:szCs w:val="20"/>
              </w:rPr>
              <w:t>90.</w:t>
            </w:r>
            <w:r>
              <w:rPr>
                <w:rFonts w:ascii="Corbel" w:hAnsi="Corbel" w:cs="Corbel"/>
                <w:sz w:val="20"/>
                <w:szCs w:val="20"/>
              </w:rPr>
              <w:t>4</w:t>
            </w:r>
          </w:p>
        </w:tc>
        <w:tc>
          <w:tcPr>
            <w:tcW w:w="619" w:type="dxa"/>
            <w:tcBorders>
              <w:bottom w:val="single" w:sz="4" w:space="0" w:color="17365D" w:themeColor="text2" w:themeShade="BF"/>
            </w:tcBorders>
            <w:vAlign w:val="center"/>
          </w:tcPr>
          <w:p w14:paraId="1B9A902F" w14:textId="77777777" w:rsidR="00F824A3" w:rsidRPr="00ED1DE8" w:rsidRDefault="00F824A3" w:rsidP="007E6BC2">
            <w:pPr>
              <w:pStyle w:val="TableParagraph"/>
              <w:ind w:left="133"/>
              <w:jc w:val="right"/>
              <w:rPr>
                <w:rFonts w:ascii="Corbel" w:hAnsi="Corbel" w:cs="Corbel"/>
                <w:sz w:val="20"/>
                <w:szCs w:val="20"/>
              </w:rPr>
            </w:pPr>
            <w:r w:rsidRPr="00AC081E">
              <w:rPr>
                <w:rFonts w:ascii="Corbel" w:hAnsi="Corbel" w:cs="Corbel"/>
                <w:sz w:val="20"/>
                <w:szCs w:val="20"/>
              </w:rPr>
              <w:t>83.</w:t>
            </w:r>
            <w:r>
              <w:rPr>
                <w:rFonts w:ascii="Corbel" w:hAnsi="Corbel" w:cs="Corbel"/>
                <w:sz w:val="20"/>
                <w:szCs w:val="20"/>
              </w:rPr>
              <w:t>9</w:t>
            </w:r>
          </w:p>
        </w:tc>
        <w:tc>
          <w:tcPr>
            <w:tcW w:w="621" w:type="dxa"/>
            <w:tcBorders>
              <w:bottom w:val="single" w:sz="4" w:space="0" w:color="17365D" w:themeColor="text2" w:themeShade="BF"/>
            </w:tcBorders>
            <w:vAlign w:val="center"/>
          </w:tcPr>
          <w:p w14:paraId="139A10F3" w14:textId="1CFC5C1A" w:rsidR="00F824A3" w:rsidRPr="00ED1DE8" w:rsidRDefault="00024F09" w:rsidP="007E6BC2">
            <w:pPr>
              <w:pStyle w:val="TableParagraph"/>
              <w:ind w:left="133"/>
              <w:jc w:val="right"/>
              <w:rPr>
                <w:rFonts w:ascii="Corbel" w:hAnsi="Corbel" w:cs="Corbel"/>
                <w:sz w:val="20"/>
                <w:szCs w:val="20"/>
              </w:rPr>
            </w:pPr>
            <w:r>
              <w:rPr>
                <w:rFonts w:ascii="Corbel" w:hAnsi="Corbel" w:cs="Corbel"/>
                <w:sz w:val="20"/>
                <w:szCs w:val="20"/>
              </w:rPr>
              <w:t>84.</w:t>
            </w:r>
            <w:r w:rsidR="00D921FF">
              <w:rPr>
                <w:rFonts w:ascii="Corbel" w:hAnsi="Corbel" w:cs="Corbel"/>
                <w:sz w:val="20"/>
                <w:szCs w:val="20"/>
              </w:rPr>
              <w:t>3</w:t>
            </w:r>
          </w:p>
        </w:tc>
        <w:tc>
          <w:tcPr>
            <w:tcW w:w="637" w:type="dxa"/>
            <w:tcBorders>
              <w:bottom w:val="single" w:sz="4" w:space="0" w:color="17365D" w:themeColor="text2" w:themeShade="BF"/>
            </w:tcBorders>
            <w:vAlign w:val="center"/>
          </w:tcPr>
          <w:p w14:paraId="79C4AD52" w14:textId="18661E66" w:rsidR="00F824A3" w:rsidRPr="00AC081E" w:rsidRDefault="00C67BED" w:rsidP="009B3D26">
            <w:pPr>
              <w:pStyle w:val="TableParagraph"/>
              <w:ind w:left="133"/>
              <w:jc w:val="right"/>
              <w:rPr>
                <w:rFonts w:ascii="Corbel" w:hAnsi="Corbel" w:cs="Corbel"/>
                <w:sz w:val="20"/>
                <w:szCs w:val="20"/>
              </w:rPr>
            </w:pPr>
            <w:r>
              <w:rPr>
                <w:rFonts w:ascii="Corbel" w:hAnsi="Corbel" w:cs="Corbel"/>
                <w:sz w:val="20"/>
                <w:szCs w:val="20"/>
              </w:rPr>
              <w:t>86.3</w:t>
            </w:r>
          </w:p>
        </w:tc>
        <w:tc>
          <w:tcPr>
            <w:tcW w:w="567" w:type="dxa"/>
            <w:tcBorders>
              <w:bottom w:val="single" w:sz="4" w:space="0" w:color="17365D" w:themeColor="text2" w:themeShade="BF"/>
            </w:tcBorders>
            <w:vAlign w:val="center"/>
          </w:tcPr>
          <w:p w14:paraId="44BAB128" w14:textId="6438E1E5" w:rsidR="00F824A3" w:rsidRPr="00AC081E" w:rsidRDefault="009B754A" w:rsidP="009B3D26">
            <w:pPr>
              <w:pStyle w:val="TableParagraph"/>
              <w:ind w:left="133"/>
              <w:jc w:val="right"/>
              <w:rPr>
                <w:rFonts w:ascii="Corbel" w:hAnsi="Corbel" w:cs="Corbel"/>
                <w:sz w:val="20"/>
                <w:szCs w:val="20"/>
              </w:rPr>
            </w:pPr>
            <w:r>
              <w:rPr>
                <w:rFonts w:ascii="Corbel" w:hAnsi="Corbel" w:cs="Corbel"/>
                <w:sz w:val="20"/>
                <w:szCs w:val="20"/>
              </w:rPr>
              <w:t>86.9</w:t>
            </w:r>
          </w:p>
        </w:tc>
        <w:tc>
          <w:tcPr>
            <w:tcW w:w="1416" w:type="dxa"/>
            <w:tcBorders>
              <w:bottom w:val="single" w:sz="4" w:space="0" w:color="17365D" w:themeColor="text2" w:themeShade="BF"/>
            </w:tcBorders>
            <w:vAlign w:val="center"/>
          </w:tcPr>
          <w:p w14:paraId="188904C2" w14:textId="20A8F770" w:rsidR="00F824A3" w:rsidRPr="00ED1DE8" w:rsidRDefault="00C67BED" w:rsidP="007E6BC2">
            <w:pPr>
              <w:pStyle w:val="TableParagraph"/>
              <w:ind w:left="133"/>
              <w:jc w:val="right"/>
              <w:rPr>
                <w:rFonts w:ascii="Corbel" w:hAnsi="Corbel" w:cs="Corbel"/>
                <w:sz w:val="20"/>
                <w:szCs w:val="20"/>
              </w:rPr>
            </w:pPr>
            <w:r>
              <w:rPr>
                <w:rFonts w:ascii="Corbel" w:hAnsi="Corbel" w:cs="Corbel"/>
                <w:sz w:val="20"/>
                <w:szCs w:val="20"/>
              </w:rPr>
              <w:t>120</w:t>
            </w:r>
            <w:r w:rsidR="00024F09">
              <w:rPr>
                <w:rFonts w:ascii="Corbel" w:hAnsi="Corbel" w:cs="Corbel"/>
                <w:sz w:val="20"/>
                <w:szCs w:val="20"/>
              </w:rPr>
              <w:t>1</w:t>
            </w:r>
            <w:r>
              <w:rPr>
                <w:rFonts w:ascii="Corbel" w:hAnsi="Corbel" w:cs="Corbel"/>
                <w:sz w:val="20"/>
                <w:szCs w:val="20"/>
              </w:rPr>
              <w:t>.8</w:t>
            </w:r>
          </w:p>
        </w:tc>
      </w:tr>
      <w:tr w:rsidR="00ED1A2D" w:rsidRPr="00EB51B8" w14:paraId="16828B95" w14:textId="77777777" w:rsidTr="00C67BED">
        <w:trPr>
          <w:trHeight w:hRule="exact" w:val="869"/>
        </w:trPr>
        <w:tc>
          <w:tcPr>
            <w:tcW w:w="2566" w:type="dxa"/>
            <w:tcBorders>
              <w:bottom w:val="single" w:sz="4" w:space="0" w:color="17365D" w:themeColor="text2" w:themeShade="BF"/>
            </w:tcBorders>
          </w:tcPr>
          <w:p w14:paraId="174EB2D8" w14:textId="77777777" w:rsidR="00F824A3" w:rsidRPr="00ED1DE8" w:rsidRDefault="00F824A3" w:rsidP="005A7C84">
            <w:pPr>
              <w:pStyle w:val="TableParagraph"/>
              <w:ind w:left="102"/>
              <w:rPr>
                <w:rFonts w:ascii="Corbel" w:hAnsi="Corbel" w:cs="Corbel"/>
                <w:spacing w:val="-1"/>
                <w:sz w:val="20"/>
                <w:szCs w:val="20"/>
              </w:rPr>
            </w:pPr>
            <w:r w:rsidRPr="00ED1DE8">
              <w:rPr>
                <w:rFonts w:ascii="Corbel" w:hAnsi="Corbel" w:cs="Corbel"/>
                <w:spacing w:val="-1"/>
                <w:sz w:val="20"/>
                <w:szCs w:val="20"/>
              </w:rPr>
              <w:t>Balance of non</w:t>
            </w:r>
            <w:r w:rsidRPr="00ED1DE8">
              <w:rPr>
                <w:rFonts w:ascii="Corbel" w:hAnsi="Corbel" w:cs="Corbel"/>
                <w:spacing w:val="-1"/>
                <w:sz w:val="20"/>
                <w:szCs w:val="20"/>
              </w:rPr>
              <w:noBreakHyphen/>
              <w:t>Commonwealth contributions</w:t>
            </w:r>
          </w:p>
        </w:tc>
        <w:tc>
          <w:tcPr>
            <w:tcW w:w="620" w:type="dxa"/>
            <w:tcBorders>
              <w:bottom w:val="single" w:sz="4" w:space="0" w:color="17365D" w:themeColor="text2" w:themeShade="BF"/>
            </w:tcBorders>
            <w:vAlign w:val="center"/>
          </w:tcPr>
          <w:p w14:paraId="412FD69F" w14:textId="77777777" w:rsidR="00F824A3" w:rsidRPr="00ED1DE8" w:rsidRDefault="00F824A3" w:rsidP="005A7C84">
            <w:pPr>
              <w:pStyle w:val="TableParagraph"/>
              <w:ind w:left="335"/>
              <w:jc w:val="right"/>
              <w:rPr>
                <w:rFonts w:ascii="Corbel" w:hAnsi="Corbel" w:cs="Corbel"/>
                <w:sz w:val="20"/>
                <w:szCs w:val="20"/>
              </w:rPr>
            </w:pPr>
            <w:r w:rsidRPr="00ED1DE8">
              <w:rPr>
                <w:rFonts w:ascii="Corbel" w:hAnsi="Corbel" w:cs="Corbel"/>
                <w:sz w:val="20"/>
                <w:szCs w:val="20"/>
              </w:rPr>
              <w:t>0.0</w:t>
            </w:r>
          </w:p>
        </w:tc>
        <w:tc>
          <w:tcPr>
            <w:tcW w:w="624" w:type="dxa"/>
            <w:tcBorders>
              <w:bottom w:val="single" w:sz="4" w:space="0" w:color="17365D" w:themeColor="text2" w:themeShade="BF"/>
            </w:tcBorders>
            <w:vAlign w:val="center"/>
          </w:tcPr>
          <w:p w14:paraId="6349568B" w14:textId="77777777" w:rsidR="00F824A3" w:rsidRPr="00ED1DE8" w:rsidRDefault="00F824A3" w:rsidP="005A7C84">
            <w:pPr>
              <w:pStyle w:val="TableParagraph"/>
              <w:ind w:left="344"/>
              <w:jc w:val="right"/>
              <w:rPr>
                <w:rFonts w:ascii="Corbel" w:hAnsi="Corbel" w:cs="Corbel"/>
                <w:sz w:val="20"/>
                <w:szCs w:val="20"/>
              </w:rPr>
            </w:pPr>
            <w:r w:rsidRPr="00ED1DE8">
              <w:rPr>
                <w:rFonts w:ascii="Corbel" w:hAnsi="Corbel" w:cs="Corbel"/>
                <w:sz w:val="20"/>
                <w:szCs w:val="20"/>
              </w:rPr>
              <w:t>0.0</w:t>
            </w:r>
          </w:p>
        </w:tc>
        <w:tc>
          <w:tcPr>
            <w:tcW w:w="619" w:type="dxa"/>
            <w:tcBorders>
              <w:bottom w:val="single" w:sz="4" w:space="0" w:color="17365D" w:themeColor="text2" w:themeShade="BF"/>
            </w:tcBorders>
            <w:vAlign w:val="center"/>
          </w:tcPr>
          <w:p w14:paraId="0F8A08F6" w14:textId="77777777" w:rsidR="00F824A3" w:rsidRPr="00ED1DE8" w:rsidRDefault="00F824A3" w:rsidP="005A7C84">
            <w:pPr>
              <w:pStyle w:val="TableParagraph"/>
              <w:ind w:left="335"/>
              <w:jc w:val="right"/>
              <w:rPr>
                <w:rFonts w:ascii="Corbel" w:hAnsi="Corbel" w:cs="Corbel"/>
                <w:sz w:val="20"/>
                <w:szCs w:val="20"/>
              </w:rPr>
            </w:pPr>
            <w:r w:rsidRPr="00ED1DE8">
              <w:rPr>
                <w:rFonts w:ascii="Corbel" w:hAnsi="Corbel" w:cs="Corbel"/>
                <w:sz w:val="20"/>
                <w:szCs w:val="20"/>
              </w:rPr>
              <w:t>0.0</w:t>
            </w:r>
          </w:p>
        </w:tc>
        <w:tc>
          <w:tcPr>
            <w:tcW w:w="631" w:type="dxa"/>
            <w:tcBorders>
              <w:bottom w:val="single" w:sz="4" w:space="0" w:color="17365D" w:themeColor="text2" w:themeShade="BF"/>
            </w:tcBorders>
            <w:vAlign w:val="center"/>
          </w:tcPr>
          <w:p w14:paraId="3D867F83" w14:textId="77777777" w:rsidR="00F824A3" w:rsidRPr="00ED1DE8" w:rsidRDefault="00F824A3" w:rsidP="005A7C84">
            <w:pPr>
              <w:pStyle w:val="TableParagraph"/>
              <w:ind w:left="347"/>
              <w:jc w:val="right"/>
              <w:rPr>
                <w:rFonts w:ascii="Corbel" w:hAnsi="Corbel" w:cs="Corbel"/>
                <w:sz w:val="20"/>
                <w:szCs w:val="20"/>
              </w:rPr>
            </w:pPr>
            <w:r w:rsidRPr="00ED1DE8">
              <w:rPr>
                <w:rFonts w:ascii="Corbel" w:hAnsi="Corbel" w:cs="Corbel"/>
                <w:sz w:val="20"/>
                <w:szCs w:val="20"/>
              </w:rPr>
              <w:t>0.0</w:t>
            </w:r>
          </w:p>
        </w:tc>
        <w:tc>
          <w:tcPr>
            <w:tcW w:w="718" w:type="dxa"/>
            <w:tcBorders>
              <w:bottom w:val="single" w:sz="4" w:space="0" w:color="17365D" w:themeColor="text2" w:themeShade="BF"/>
            </w:tcBorders>
            <w:vAlign w:val="center"/>
          </w:tcPr>
          <w:p w14:paraId="6BD69CA1" w14:textId="77777777" w:rsidR="00F824A3" w:rsidRPr="00ED1DE8" w:rsidRDefault="00F824A3" w:rsidP="005A7C84">
            <w:pPr>
              <w:pStyle w:val="TableParagraph"/>
              <w:ind w:left="344"/>
              <w:jc w:val="right"/>
              <w:rPr>
                <w:rFonts w:ascii="Corbel" w:hAnsi="Corbel" w:cs="Corbel"/>
                <w:sz w:val="20"/>
                <w:szCs w:val="20"/>
              </w:rPr>
            </w:pPr>
            <w:r w:rsidRPr="00ED1DE8">
              <w:rPr>
                <w:rFonts w:ascii="Corbel" w:hAnsi="Corbel" w:cs="Corbel"/>
                <w:sz w:val="20"/>
                <w:szCs w:val="20"/>
              </w:rPr>
              <w:t>0.0</w:t>
            </w:r>
          </w:p>
        </w:tc>
        <w:tc>
          <w:tcPr>
            <w:tcW w:w="619" w:type="dxa"/>
            <w:tcBorders>
              <w:bottom w:val="single" w:sz="4" w:space="0" w:color="17365D" w:themeColor="text2" w:themeShade="BF"/>
            </w:tcBorders>
            <w:vAlign w:val="center"/>
          </w:tcPr>
          <w:p w14:paraId="2343B6BD" w14:textId="77777777" w:rsidR="00F824A3" w:rsidRPr="00ED1DE8" w:rsidRDefault="00F824A3" w:rsidP="005A7C84">
            <w:pPr>
              <w:pStyle w:val="TableParagraph"/>
              <w:ind w:left="339"/>
              <w:jc w:val="right"/>
              <w:rPr>
                <w:rFonts w:ascii="Corbel" w:hAnsi="Corbel" w:cs="Corbel"/>
                <w:sz w:val="20"/>
                <w:szCs w:val="20"/>
              </w:rPr>
            </w:pPr>
            <w:r w:rsidRPr="00ED1DE8">
              <w:rPr>
                <w:rFonts w:ascii="Corbel" w:hAnsi="Corbel" w:cs="Corbel"/>
                <w:sz w:val="20"/>
                <w:szCs w:val="20"/>
              </w:rPr>
              <w:t>0.0</w:t>
            </w:r>
          </w:p>
        </w:tc>
        <w:tc>
          <w:tcPr>
            <w:tcW w:w="621" w:type="dxa"/>
            <w:tcBorders>
              <w:bottom w:val="single" w:sz="4" w:space="0" w:color="17365D" w:themeColor="text2" w:themeShade="BF"/>
            </w:tcBorders>
            <w:vAlign w:val="center"/>
          </w:tcPr>
          <w:p w14:paraId="77C63A03" w14:textId="77777777" w:rsidR="00F824A3" w:rsidRPr="00ED1DE8" w:rsidRDefault="00F824A3" w:rsidP="005A7C84">
            <w:pPr>
              <w:pStyle w:val="TableParagraph"/>
              <w:ind w:left="337"/>
              <w:jc w:val="right"/>
              <w:rPr>
                <w:rFonts w:ascii="Corbel" w:hAnsi="Corbel" w:cs="Corbel"/>
                <w:sz w:val="20"/>
                <w:szCs w:val="20"/>
              </w:rPr>
            </w:pPr>
            <w:r w:rsidRPr="00ED1DE8">
              <w:rPr>
                <w:rFonts w:ascii="Corbel" w:hAnsi="Corbel" w:cs="Corbel"/>
                <w:sz w:val="20"/>
                <w:szCs w:val="20"/>
              </w:rPr>
              <w:t>0.0</w:t>
            </w:r>
          </w:p>
        </w:tc>
        <w:tc>
          <w:tcPr>
            <w:tcW w:w="637" w:type="dxa"/>
            <w:tcBorders>
              <w:bottom w:val="single" w:sz="4" w:space="0" w:color="17365D" w:themeColor="text2" w:themeShade="BF"/>
            </w:tcBorders>
            <w:vAlign w:val="center"/>
          </w:tcPr>
          <w:p w14:paraId="3FDD3258" w14:textId="0616CE43" w:rsidR="00F824A3" w:rsidRPr="00ED1DE8" w:rsidRDefault="009B3D26" w:rsidP="005A7C84">
            <w:pPr>
              <w:pStyle w:val="TableParagraph"/>
              <w:ind w:left="337"/>
              <w:jc w:val="right"/>
              <w:rPr>
                <w:rFonts w:ascii="Corbel" w:hAnsi="Corbel" w:cs="Corbel"/>
                <w:sz w:val="20"/>
                <w:szCs w:val="20"/>
              </w:rPr>
            </w:pPr>
            <w:r>
              <w:rPr>
                <w:rFonts w:ascii="Corbel" w:hAnsi="Corbel" w:cs="Corbel"/>
                <w:sz w:val="20"/>
                <w:szCs w:val="20"/>
              </w:rPr>
              <w:t>0.0</w:t>
            </w:r>
          </w:p>
        </w:tc>
        <w:tc>
          <w:tcPr>
            <w:tcW w:w="567" w:type="dxa"/>
            <w:tcBorders>
              <w:bottom w:val="single" w:sz="4" w:space="0" w:color="17365D" w:themeColor="text2" w:themeShade="BF"/>
            </w:tcBorders>
            <w:vAlign w:val="center"/>
          </w:tcPr>
          <w:p w14:paraId="2A796754" w14:textId="3B557FEA" w:rsidR="00F824A3" w:rsidRPr="00ED1DE8" w:rsidRDefault="009B3D26" w:rsidP="005A7C84">
            <w:pPr>
              <w:pStyle w:val="TableParagraph"/>
              <w:ind w:left="337"/>
              <w:jc w:val="right"/>
              <w:rPr>
                <w:rFonts w:ascii="Corbel" w:hAnsi="Corbel" w:cs="Corbel"/>
                <w:sz w:val="20"/>
                <w:szCs w:val="20"/>
              </w:rPr>
            </w:pPr>
            <w:r>
              <w:rPr>
                <w:rFonts w:ascii="Corbel" w:hAnsi="Corbel" w:cs="Corbel"/>
                <w:sz w:val="20"/>
                <w:szCs w:val="20"/>
              </w:rPr>
              <w:t>0.0</w:t>
            </w:r>
          </w:p>
        </w:tc>
        <w:tc>
          <w:tcPr>
            <w:tcW w:w="1416" w:type="dxa"/>
            <w:tcBorders>
              <w:bottom w:val="single" w:sz="4" w:space="0" w:color="17365D" w:themeColor="text2" w:themeShade="BF"/>
            </w:tcBorders>
            <w:vAlign w:val="center"/>
          </w:tcPr>
          <w:p w14:paraId="0AAC7EA1" w14:textId="6D594EEC" w:rsidR="00F824A3" w:rsidRPr="00ED1DE8" w:rsidRDefault="009B3D26" w:rsidP="005A7C84">
            <w:pPr>
              <w:pStyle w:val="TableParagraph"/>
              <w:ind w:left="337"/>
              <w:jc w:val="right"/>
              <w:rPr>
                <w:rFonts w:ascii="Corbel" w:hAnsi="Corbel" w:cs="Corbel"/>
                <w:sz w:val="20"/>
                <w:szCs w:val="20"/>
              </w:rPr>
            </w:pPr>
            <w:r>
              <w:rPr>
                <w:rFonts w:ascii="Corbel" w:hAnsi="Corbel" w:cs="Corbel"/>
                <w:sz w:val="20"/>
                <w:szCs w:val="20"/>
              </w:rPr>
              <w:t>0.0</w:t>
            </w:r>
          </w:p>
        </w:tc>
      </w:tr>
    </w:tbl>
    <w:p w14:paraId="2931833C" w14:textId="77777777" w:rsidR="00992EE4" w:rsidRPr="004623C2" w:rsidRDefault="00992EE4" w:rsidP="00992EE4">
      <w:pPr>
        <w:pStyle w:val="TableGraphic"/>
        <w:rPr>
          <w:color w:val="auto"/>
        </w:rPr>
      </w:pPr>
      <w:r w:rsidRPr="004623C2">
        <w:rPr>
          <w:color w:val="auto"/>
        </w:rPr>
        <w:t xml:space="preserve">* Further detail on funding for elements of </w:t>
      </w:r>
      <w:r w:rsidR="00462094">
        <w:rPr>
          <w:color w:val="auto"/>
        </w:rPr>
        <w:t>Northern Territory</w:t>
      </w:r>
      <w:r w:rsidRPr="004623C2">
        <w:rPr>
          <w:color w:val="auto"/>
        </w:rPr>
        <w:t xml:space="preserve"> Remote Aboriginal Investment, including any indexation arrangements, is included in the Implementation Plans. </w:t>
      </w:r>
    </w:p>
    <w:p w14:paraId="20F596CC" w14:textId="77777777" w:rsidR="00ED1A2D" w:rsidRPr="00FC5FA1" w:rsidRDefault="00992EE4" w:rsidP="00ED1A2D">
      <w:pPr>
        <w:pStyle w:val="TableGraphic"/>
        <w:rPr>
          <w:color w:val="auto"/>
        </w:rPr>
      </w:pPr>
      <w:r w:rsidRPr="004623C2">
        <w:rPr>
          <w:color w:val="auto"/>
        </w:rPr>
        <w:t xml:space="preserve">** Funding in 2015-16 </w:t>
      </w:r>
      <w:r w:rsidR="00EE5945" w:rsidRPr="004623C2">
        <w:rPr>
          <w:color w:val="auto"/>
        </w:rPr>
        <w:t>include</w:t>
      </w:r>
      <w:r w:rsidR="00EE5945">
        <w:rPr>
          <w:color w:val="auto"/>
        </w:rPr>
        <w:t>d</w:t>
      </w:r>
      <w:r w:rsidR="00EE5945" w:rsidRPr="004623C2">
        <w:rPr>
          <w:color w:val="auto"/>
        </w:rPr>
        <w:t xml:space="preserve"> </w:t>
      </w:r>
      <w:r w:rsidRPr="004623C2">
        <w:rPr>
          <w:color w:val="auto"/>
        </w:rPr>
        <w:t xml:space="preserve">a payment of $154.8 million for the </w:t>
      </w:r>
      <w:r w:rsidR="00462094">
        <w:rPr>
          <w:color w:val="auto"/>
        </w:rPr>
        <w:t>Northern Territory</w:t>
      </w:r>
      <w:r w:rsidR="00DF4D7C" w:rsidRPr="00EB51B8">
        <w:rPr>
          <w:color w:val="auto"/>
        </w:rPr>
        <w:t xml:space="preserve"> </w:t>
      </w:r>
      <w:r w:rsidRPr="004623C2">
        <w:rPr>
          <w:color w:val="auto"/>
        </w:rPr>
        <w:t xml:space="preserve">to assume responsibility for </w:t>
      </w:r>
      <w:r w:rsidRPr="00FC5FA1">
        <w:rPr>
          <w:color w:val="auto"/>
        </w:rPr>
        <w:t>the provision of municipal and essential services.</w:t>
      </w:r>
      <w:r w:rsidR="00ED1A2D" w:rsidRPr="00FC5FA1">
        <w:rPr>
          <w:color w:val="auto"/>
        </w:rPr>
        <w:t xml:space="preserve"> </w:t>
      </w:r>
    </w:p>
    <w:p w14:paraId="505C0E7E" w14:textId="77777777" w:rsidR="00E92C8A" w:rsidRPr="00EB51B8" w:rsidRDefault="00A8295A" w:rsidP="00C74B1D">
      <w:pPr>
        <w:pStyle w:val="Heading2"/>
        <w:spacing w:before="120"/>
      </w:pPr>
      <w:r w:rsidRPr="00EB51B8">
        <w:t xml:space="preserve">Financial </w:t>
      </w:r>
      <w:r w:rsidR="00C738BD" w:rsidRPr="00EB51B8">
        <w:t>risk</w:t>
      </w:r>
      <w:r w:rsidRPr="00EB51B8">
        <w:t xml:space="preserve"> management</w:t>
      </w:r>
    </w:p>
    <w:p w14:paraId="76A4DB80" w14:textId="77777777" w:rsidR="007E02F1" w:rsidRPr="00EB51B8" w:rsidRDefault="00C738BD" w:rsidP="00C73AE8">
      <w:pPr>
        <w:pStyle w:val="Normalnumbered"/>
        <w:numPr>
          <w:ilvl w:val="0"/>
          <w:numId w:val="11"/>
        </w:numPr>
        <w:jc w:val="left"/>
      </w:pPr>
      <w:r w:rsidRPr="00EB51B8">
        <w:t>Having regard to the agreed estimated costs of projects</w:t>
      </w:r>
      <w:r w:rsidR="00A8295A" w:rsidRPr="00EB51B8">
        <w:t xml:space="preserve"> or reforms</w:t>
      </w:r>
      <w:r w:rsidRPr="00EB51B8">
        <w:t xml:space="preserve"> </w:t>
      </w:r>
      <w:r w:rsidR="00A8295A" w:rsidRPr="00EB51B8">
        <w:t>under this Agreement</w:t>
      </w:r>
      <w:r w:rsidRPr="00EB51B8">
        <w:t xml:space="preserve">, </w:t>
      </w:r>
      <w:r w:rsidR="00992EE4" w:rsidRPr="00EB51B8">
        <w:t xml:space="preserve">the </w:t>
      </w:r>
      <w:r w:rsidR="00462094">
        <w:rPr>
          <w:color w:val="auto"/>
        </w:rPr>
        <w:t>Northern Territory</w:t>
      </w:r>
      <w:r w:rsidR="00DF4D7C" w:rsidRPr="00EB51B8">
        <w:rPr>
          <w:color w:val="auto"/>
        </w:rPr>
        <w:t xml:space="preserve"> </w:t>
      </w:r>
      <w:r w:rsidRPr="00EB51B8">
        <w:t xml:space="preserve">will not be required to pay a refund to the Commonwealth if the actual cost is less than the agreed estimated cost. Similarly, the </w:t>
      </w:r>
      <w:r w:rsidR="00462094">
        <w:rPr>
          <w:color w:val="auto"/>
        </w:rPr>
        <w:t>Northern Territory</w:t>
      </w:r>
      <w:r w:rsidR="00DF4D7C" w:rsidRPr="00EB51B8">
        <w:rPr>
          <w:color w:val="auto"/>
        </w:rPr>
        <w:t xml:space="preserve"> </w:t>
      </w:r>
      <w:r w:rsidRPr="00EB51B8">
        <w:t>bear</w:t>
      </w:r>
      <w:r w:rsidR="00992EE4" w:rsidRPr="00EB51B8">
        <w:t>s</w:t>
      </w:r>
      <w:r w:rsidRPr="00EB51B8">
        <w:t xml:space="preserve"> all risk should the costs exceed the agreed estimated cost</w:t>
      </w:r>
      <w:r w:rsidR="00C95D81" w:rsidRPr="00EB51B8">
        <w:t>s.</w:t>
      </w:r>
      <w:r w:rsidRPr="00EB51B8">
        <w:t xml:space="preserve"> The Parties acknowledge that this arrangement provides the maximum incentive for the </w:t>
      </w:r>
      <w:r w:rsidR="00462094">
        <w:rPr>
          <w:color w:val="auto"/>
        </w:rPr>
        <w:t>Northern Territory</w:t>
      </w:r>
      <w:r w:rsidR="00DF4D7C" w:rsidRPr="00EB51B8">
        <w:rPr>
          <w:color w:val="auto"/>
        </w:rPr>
        <w:t xml:space="preserve"> </w:t>
      </w:r>
      <w:r w:rsidRPr="00EB51B8">
        <w:t xml:space="preserve">to deliver projects </w:t>
      </w:r>
      <w:r w:rsidR="00B012ED" w:rsidRPr="00EB51B8">
        <w:t xml:space="preserve">and reforms </w:t>
      </w:r>
      <w:r w:rsidRPr="00EB51B8">
        <w:t>cost effectively and efficiently.</w:t>
      </w:r>
    </w:p>
    <w:p w14:paraId="2D85B4A3" w14:textId="77777777" w:rsidR="00814667" w:rsidRPr="00EB51B8" w:rsidRDefault="00814667" w:rsidP="00C74B1D">
      <w:pPr>
        <w:pStyle w:val="Heading1"/>
        <w:spacing w:before="120" w:after="120"/>
      </w:pPr>
      <w:r w:rsidRPr="00EB51B8">
        <w:t>Part 6 — governance arrangements</w:t>
      </w:r>
    </w:p>
    <w:p w14:paraId="7D6FA3DB" w14:textId="77777777" w:rsidR="000A7553" w:rsidRPr="00EB51B8" w:rsidRDefault="000A7553" w:rsidP="00C74B1D">
      <w:pPr>
        <w:pStyle w:val="Heading2"/>
        <w:spacing w:before="120"/>
      </w:pPr>
      <w:r w:rsidRPr="00EB51B8">
        <w:t>Enforceability of the Agreement</w:t>
      </w:r>
    </w:p>
    <w:p w14:paraId="3EEE162C" w14:textId="77777777" w:rsidR="000A7553" w:rsidRPr="00EB51B8" w:rsidRDefault="004E6528" w:rsidP="00C73AE8">
      <w:pPr>
        <w:pStyle w:val="Normalnumbered"/>
        <w:numPr>
          <w:ilvl w:val="0"/>
          <w:numId w:val="11"/>
        </w:numPr>
        <w:spacing w:line="240" w:lineRule="auto"/>
        <w:jc w:val="left"/>
      </w:pPr>
      <w:r w:rsidRPr="00EB51B8">
        <w:rPr>
          <w:szCs w:val="23"/>
        </w:rPr>
        <w:t>T</w:t>
      </w:r>
      <w:r w:rsidR="000A7553" w:rsidRPr="00EB51B8">
        <w:rPr>
          <w:szCs w:val="23"/>
        </w:rPr>
        <w:t xml:space="preserve">he Parties do not intend any of the provisions of this Agreement to be legally enforceable. However, </w:t>
      </w:r>
      <w:r w:rsidR="007219B9" w:rsidRPr="00EB51B8">
        <w:rPr>
          <w:szCs w:val="23"/>
        </w:rPr>
        <w:t xml:space="preserve">this </w:t>
      </w:r>
      <w:r w:rsidR="000A7553" w:rsidRPr="00EB51B8">
        <w:rPr>
          <w:szCs w:val="23"/>
        </w:rPr>
        <w:t>does not lessen the Parties’ commitment to this Agreement.</w:t>
      </w:r>
    </w:p>
    <w:p w14:paraId="311F226E" w14:textId="28C29888" w:rsidR="00E51D1B" w:rsidRPr="00EB51B8" w:rsidRDefault="00E51D1B" w:rsidP="00C74B1D">
      <w:pPr>
        <w:pStyle w:val="Heading2"/>
        <w:spacing w:before="120"/>
      </w:pPr>
      <w:r w:rsidRPr="00EB51B8">
        <w:t>Variation of the Agreement</w:t>
      </w:r>
    </w:p>
    <w:p w14:paraId="12789C66" w14:textId="77777777" w:rsidR="00E51D1B" w:rsidRDefault="00E51D1B" w:rsidP="00C73AE8">
      <w:pPr>
        <w:pStyle w:val="Normalnumbered"/>
        <w:numPr>
          <w:ilvl w:val="0"/>
          <w:numId w:val="11"/>
        </w:numPr>
        <w:jc w:val="left"/>
      </w:pPr>
      <w:r w:rsidRPr="00EB51B8">
        <w:t xml:space="preserve">The Agreement may be amended at any time by agreement in writing by </w:t>
      </w:r>
      <w:r w:rsidR="00D37699" w:rsidRPr="00EB51B8">
        <w:t>both</w:t>
      </w:r>
      <w:r w:rsidRPr="00EB51B8">
        <w:t xml:space="preserve"> Parties.</w:t>
      </w:r>
    </w:p>
    <w:p w14:paraId="38149EA4" w14:textId="1ABAD2BF" w:rsidR="00961282" w:rsidRDefault="00961282" w:rsidP="00961282">
      <w:pPr>
        <w:pStyle w:val="Normalnumbered"/>
        <w:numPr>
          <w:ilvl w:val="0"/>
          <w:numId w:val="11"/>
        </w:numPr>
        <w:jc w:val="left"/>
      </w:pPr>
      <w:r>
        <w:t xml:space="preserve">The Parties acknowledge that the delivery of services and capital works in the remote areas of the Northern Territory is unusually susceptible to events beyond the control of either Party, including, for example, disruptive weather conditions such as cyclones and floods, significant population movements, or the significant breakdown in cultural and community functioning. </w:t>
      </w:r>
      <w:r w:rsidR="00D72F5E">
        <w:t xml:space="preserve">Provided the Northern Territory has taken all reasonable precautions and care </w:t>
      </w:r>
      <w:proofErr w:type="gramStart"/>
      <w:r w:rsidR="00D72F5E">
        <w:t>in order to</w:t>
      </w:r>
      <w:proofErr w:type="gramEnd"/>
      <w:r w:rsidR="00D72F5E">
        <w:t xml:space="preserve"> avoid the effect of the circumstances on its ability to perform its obligations and to mitigate the consequences, s</w:t>
      </w:r>
      <w:r>
        <w:t xml:space="preserve">uch </w:t>
      </w:r>
      <w:r w:rsidR="00D72F5E">
        <w:t xml:space="preserve">events </w:t>
      </w:r>
      <w:r>
        <w:t xml:space="preserve">may be cause for a variation to the Agreement or its </w:t>
      </w:r>
      <w:r w:rsidR="00340B29">
        <w:t>affected</w:t>
      </w:r>
      <w:r>
        <w:t xml:space="preserve"> Implementation Plans, as per </w:t>
      </w:r>
      <w:r w:rsidRPr="0030404A">
        <w:t xml:space="preserve">clause </w:t>
      </w:r>
      <w:r w:rsidR="009B754A">
        <w:t>39</w:t>
      </w:r>
      <w:r w:rsidRPr="0030404A">
        <w:t>.</w:t>
      </w:r>
    </w:p>
    <w:p w14:paraId="0A16CC27" w14:textId="77777777" w:rsidR="00E51D1B" w:rsidRDefault="00E51D1B" w:rsidP="00C73AE8">
      <w:pPr>
        <w:pStyle w:val="Normalnumbered"/>
        <w:numPr>
          <w:ilvl w:val="0"/>
          <w:numId w:val="11"/>
        </w:numPr>
        <w:jc w:val="left"/>
      </w:pPr>
      <w:r w:rsidRPr="00EB51B8">
        <w:t>A Party to the Agreement may terminate their participation in the Agreement at any time by notifying the other Part</w:t>
      </w:r>
      <w:r w:rsidR="00D37699" w:rsidRPr="00EB51B8">
        <w:t>y</w:t>
      </w:r>
      <w:r w:rsidRPr="00EB51B8">
        <w:t xml:space="preserve"> in writing.</w:t>
      </w:r>
    </w:p>
    <w:p w14:paraId="31DADDAF" w14:textId="77777777" w:rsidR="00F823A6" w:rsidRDefault="00F823A6">
      <w:pPr>
        <w:spacing w:after="0" w:line="240" w:lineRule="auto"/>
        <w:jc w:val="left"/>
        <w:rPr>
          <w:rFonts w:cs="Arial"/>
          <w:b/>
          <w:bCs/>
          <w:iCs/>
          <w:color w:val="3D4B67"/>
          <w:sz w:val="29"/>
          <w:szCs w:val="28"/>
        </w:rPr>
      </w:pPr>
      <w:r>
        <w:br w:type="page"/>
      </w:r>
    </w:p>
    <w:p w14:paraId="27A2AE17" w14:textId="7F1709AB" w:rsidR="002665E5" w:rsidRPr="00EB51B8" w:rsidRDefault="002665E5" w:rsidP="00C74B1D">
      <w:pPr>
        <w:pStyle w:val="Heading2"/>
        <w:spacing w:before="120"/>
      </w:pPr>
      <w:r w:rsidRPr="00EB51B8">
        <w:lastRenderedPageBreak/>
        <w:t>Delegations</w:t>
      </w:r>
    </w:p>
    <w:p w14:paraId="26FD6B7E" w14:textId="77777777" w:rsidR="002665E5" w:rsidRPr="00EB51B8" w:rsidRDefault="002665E5" w:rsidP="00C73AE8">
      <w:pPr>
        <w:pStyle w:val="Normalnumbered"/>
        <w:numPr>
          <w:ilvl w:val="0"/>
          <w:numId w:val="11"/>
        </w:numPr>
        <w:jc w:val="left"/>
      </w:pPr>
      <w:r w:rsidRPr="00EB51B8">
        <w:t>The relevant Commonwealth Minister</w:t>
      </w:r>
      <w:r w:rsidR="00D37699" w:rsidRPr="00EB51B8">
        <w:t>s</w:t>
      </w:r>
      <w:r w:rsidRPr="00EB51B8">
        <w:t xml:space="preserve"> with portfolio responsibility for </w:t>
      </w:r>
      <w:r w:rsidR="00D37699" w:rsidRPr="00EB51B8">
        <w:t xml:space="preserve">the Implementation Plans </w:t>
      </w:r>
      <w:r w:rsidRPr="00EB51B8">
        <w:t>of this Agreement</w:t>
      </w:r>
      <w:r w:rsidR="00E5044A" w:rsidRPr="00EB51B8">
        <w:t xml:space="preserve"> </w:t>
      </w:r>
      <w:r w:rsidR="00D37699" w:rsidRPr="00EB51B8">
        <w:t>are</w:t>
      </w:r>
      <w:r w:rsidRPr="00EB51B8">
        <w:t xml:space="preserve"> authorised to agree and amend Schedules, including Implementation Plans, to this Agreement and to certify that performance benchmarks </w:t>
      </w:r>
      <w:r w:rsidR="00D37699" w:rsidRPr="00EB51B8">
        <w:t xml:space="preserve">and/or milestones </w:t>
      </w:r>
      <w:r w:rsidRPr="00EB51B8">
        <w:t xml:space="preserve">specified under this Agreement have been achieved, so that payments may be made. </w:t>
      </w:r>
    </w:p>
    <w:p w14:paraId="63119105" w14:textId="77777777" w:rsidR="002665E5" w:rsidRPr="00EB51B8" w:rsidRDefault="00D37699" w:rsidP="00C73AE8">
      <w:pPr>
        <w:pStyle w:val="Normalnumbered"/>
        <w:numPr>
          <w:ilvl w:val="0"/>
          <w:numId w:val="11"/>
        </w:numPr>
        <w:jc w:val="left"/>
      </w:pPr>
      <w:r w:rsidRPr="00EB51B8">
        <w:t xml:space="preserve">The relevant </w:t>
      </w:r>
      <w:r w:rsidR="000C2A9F">
        <w:rPr>
          <w:color w:val="auto"/>
        </w:rPr>
        <w:t xml:space="preserve">Northern </w:t>
      </w:r>
      <w:r w:rsidR="00462094">
        <w:rPr>
          <w:color w:val="auto"/>
        </w:rPr>
        <w:t>Territory</w:t>
      </w:r>
      <w:r w:rsidR="00DF4D7C" w:rsidRPr="00EB51B8">
        <w:rPr>
          <w:color w:val="auto"/>
        </w:rPr>
        <w:t xml:space="preserve"> </w:t>
      </w:r>
      <w:r w:rsidR="002665E5" w:rsidRPr="00EB51B8">
        <w:t xml:space="preserve">Ministers with portfolio responsibility for </w:t>
      </w:r>
      <w:r w:rsidRPr="00EB51B8">
        <w:t>Implementation Plans</w:t>
      </w:r>
      <w:r w:rsidR="002665E5" w:rsidRPr="00EB51B8">
        <w:t xml:space="preserve"> of this Agreement are authorised to agree </w:t>
      </w:r>
      <w:r w:rsidR="006C7FA2" w:rsidRPr="00EB51B8">
        <w:t>and</w:t>
      </w:r>
      <w:r w:rsidR="002665E5" w:rsidRPr="00EB51B8">
        <w:t xml:space="preserve"> amend Schedules, including Implementation Plans, to this Agreement. </w:t>
      </w:r>
    </w:p>
    <w:p w14:paraId="33F55B43" w14:textId="77777777" w:rsidR="002665E5" w:rsidRPr="00EB51B8" w:rsidRDefault="002665E5" w:rsidP="00C73AE8">
      <w:pPr>
        <w:pStyle w:val="Normalnumbered"/>
        <w:numPr>
          <w:ilvl w:val="0"/>
          <w:numId w:val="11"/>
        </w:numPr>
        <w:jc w:val="left"/>
      </w:pPr>
      <w:r w:rsidRPr="00EB51B8">
        <w:t>Commonwealth Minister</w:t>
      </w:r>
      <w:r w:rsidR="00D37699" w:rsidRPr="00EB51B8">
        <w:t>s</w:t>
      </w:r>
      <w:r w:rsidRPr="00EB51B8">
        <w:t xml:space="preserve"> may delegate the assessment of project-based performance benchmarks or milestones and the authorisation of related project payments to senior Commonwealth officials, having regard to the financial and policy risks associated with those payments.  </w:t>
      </w:r>
    </w:p>
    <w:p w14:paraId="66BAE923" w14:textId="77777777" w:rsidR="002665E5" w:rsidRPr="00EB51B8" w:rsidRDefault="002665E5" w:rsidP="00C74B1D">
      <w:pPr>
        <w:pStyle w:val="Heading2"/>
        <w:spacing w:before="120"/>
      </w:pPr>
      <w:r w:rsidRPr="00EB51B8">
        <w:t>Dispute resolution</w:t>
      </w:r>
    </w:p>
    <w:p w14:paraId="2B8ECEB7" w14:textId="77777777" w:rsidR="002665E5" w:rsidRPr="00EB51B8" w:rsidRDefault="00D37699" w:rsidP="00C73AE8">
      <w:pPr>
        <w:pStyle w:val="Normalnumbered"/>
        <w:numPr>
          <w:ilvl w:val="0"/>
          <w:numId w:val="11"/>
        </w:numPr>
        <w:jc w:val="left"/>
      </w:pPr>
      <w:r w:rsidRPr="00EB51B8">
        <w:t xml:space="preserve">Either </w:t>
      </w:r>
      <w:r w:rsidR="002665E5" w:rsidRPr="00EB51B8">
        <w:t xml:space="preserve">Party may give notice to </w:t>
      </w:r>
      <w:r w:rsidR="00135125">
        <w:t xml:space="preserve">the </w:t>
      </w:r>
      <w:r w:rsidR="002665E5" w:rsidRPr="00EB51B8">
        <w:t xml:space="preserve">other </w:t>
      </w:r>
      <w:r w:rsidR="00135125" w:rsidRPr="00EB51B8">
        <w:t>Part</w:t>
      </w:r>
      <w:r w:rsidR="00135125">
        <w:t>y</w:t>
      </w:r>
      <w:r w:rsidR="00135125" w:rsidRPr="00EB51B8">
        <w:t xml:space="preserve"> </w:t>
      </w:r>
      <w:r w:rsidR="002665E5" w:rsidRPr="00EB51B8">
        <w:t>of a dispute under this Agreement.</w:t>
      </w:r>
    </w:p>
    <w:p w14:paraId="209D04A5" w14:textId="77777777" w:rsidR="002665E5" w:rsidRPr="00EB51B8" w:rsidRDefault="002665E5" w:rsidP="00C73AE8">
      <w:pPr>
        <w:pStyle w:val="Normalnumbered"/>
        <w:numPr>
          <w:ilvl w:val="0"/>
          <w:numId w:val="11"/>
        </w:numPr>
        <w:jc w:val="left"/>
      </w:pPr>
      <w:r w:rsidRPr="00EB51B8">
        <w:t xml:space="preserve">Officials of </w:t>
      </w:r>
      <w:r w:rsidR="00D37699" w:rsidRPr="00EB51B8">
        <w:t xml:space="preserve">both </w:t>
      </w:r>
      <w:r w:rsidRPr="00EB51B8">
        <w:t>Parties will attempt to resolve any dispute in the first instance.</w:t>
      </w:r>
    </w:p>
    <w:p w14:paraId="42C7F054" w14:textId="77777777" w:rsidR="002665E5" w:rsidRPr="00EB51B8" w:rsidRDefault="002665E5" w:rsidP="002665E5">
      <w:pPr>
        <w:pStyle w:val="Normalnumbered"/>
        <w:numPr>
          <w:ilvl w:val="0"/>
          <w:numId w:val="11"/>
        </w:numPr>
        <w:ind w:left="0" w:firstLine="0"/>
        <w:jc w:val="left"/>
      </w:pPr>
      <w:r w:rsidRPr="00EB51B8">
        <w:t>If a dispute cannot be resolved by officials, it may be escalated to the relevant Ministers.</w:t>
      </w:r>
      <w:r w:rsidRPr="00EB51B8">
        <w:br w:type="page"/>
      </w:r>
    </w:p>
    <w:p w14:paraId="0B5B9DD0" w14:textId="77777777" w:rsidR="002665E5" w:rsidRPr="00EB51B8" w:rsidRDefault="002665E5" w:rsidP="002665E5">
      <w:pPr>
        <w:pStyle w:val="AlphaParagraph"/>
        <w:tabs>
          <w:tab w:val="clear" w:pos="0"/>
        </w:tabs>
        <w:ind w:left="0" w:firstLine="0"/>
      </w:pPr>
      <w:r w:rsidRPr="00EB51B8">
        <w:rPr>
          <w:lang w:val="en-GB"/>
        </w:rPr>
        <w:lastRenderedPageBreak/>
        <w:t xml:space="preserve">The </w:t>
      </w:r>
      <w:r w:rsidRPr="00EB51B8">
        <w:rPr>
          <w:sz w:val="24"/>
          <w:szCs w:val="24"/>
        </w:rPr>
        <w:t>Parties</w:t>
      </w:r>
      <w:r w:rsidRPr="00EB51B8">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EB51B8" w14:paraId="6A43E087" w14:textId="77777777" w:rsidTr="00B40E38">
        <w:trPr>
          <w:cantSplit/>
          <w:jc w:val="center"/>
        </w:trPr>
        <w:tc>
          <w:tcPr>
            <w:tcW w:w="4536" w:type="dxa"/>
          </w:tcPr>
          <w:p w14:paraId="54C1D920" w14:textId="77777777" w:rsidR="002665E5" w:rsidRPr="00EB51B8" w:rsidRDefault="002665E5" w:rsidP="00B40E38">
            <w:pPr>
              <w:pStyle w:val="Signed"/>
            </w:pPr>
            <w:r w:rsidRPr="00EB51B8">
              <w:rPr>
                <w:rStyle w:val="SignedBold"/>
              </w:rPr>
              <w:t>Signed</w:t>
            </w:r>
            <w:r w:rsidRPr="00EB51B8">
              <w:t xml:space="preserve"> for and on behalf of the Commonwealth of Australia by</w:t>
            </w:r>
          </w:p>
          <w:p w14:paraId="2BB3930B" w14:textId="77777777" w:rsidR="002665E5" w:rsidRPr="00EB51B8" w:rsidRDefault="002665E5" w:rsidP="00B40E38">
            <w:pPr>
              <w:pStyle w:val="LineForSignature"/>
            </w:pPr>
            <w:r w:rsidRPr="00EB51B8">
              <w:tab/>
            </w:r>
          </w:p>
          <w:p w14:paraId="231CCE7C" w14:textId="079A1335" w:rsidR="002665E5" w:rsidRPr="00EB51B8" w:rsidRDefault="002665E5" w:rsidP="00B40E38">
            <w:pPr>
              <w:pStyle w:val="SingleParagraph"/>
              <w:rPr>
                <w:rStyle w:val="Bold"/>
              </w:rPr>
            </w:pPr>
            <w:r w:rsidRPr="00EB51B8">
              <w:rPr>
                <w:rStyle w:val="Bold"/>
              </w:rPr>
              <w:t xml:space="preserve">The Honourable </w:t>
            </w:r>
            <w:r w:rsidR="00056D1B">
              <w:rPr>
                <w:rStyle w:val="Bold"/>
              </w:rPr>
              <w:t>Ken Wyatt AM</w:t>
            </w:r>
          </w:p>
          <w:p w14:paraId="232A3B72" w14:textId="3CDF9758" w:rsidR="002665E5" w:rsidRPr="00EB51B8" w:rsidRDefault="00056D1B" w:rsidP="00B40E38">
            <w:pPr>
              <w:pStyle w:val="Position"/>
              <w:rPr>
                <w:lang w:val="en-GB"/>
              </w:rPr>
            </w:pPr>
            <w:r>
              <w:rPr>
                <w:lang w:val="en-GB"/>
              </w:rPr>
              <w:t>Minister for Indigenous Australians</w:t>
            </w:r>
          </w:p>
          <w:p w14:paraId="26375A6F" w14:textId="57A96EC0" w:rsidR="002665E5" w:rsidRPr="00EB51B8" w:rsidRDefault="00056D1B" w:rsidP="00C74B1D">
            <w:pPr>
              <w:pStyle w:val="SingleParagraph"/>
              <w:tabs>
                <w:tab w:val="num" w:pos="1134"/>
              </w:tabs>
              <w:spacing w:after="240"/>
              <w:rPr>
                <w:b/>
                <w:lang w:val="en-GB"/>
              </w:rPr>
            </w:pPr>
            <w:r>
              <w:rPr>
                <w:lang w:val="en-GB"/>
              </w:rPr>
              <w:softHyphen/>
            </w:r>
            <w:r>
              <w:rPr>
                <w:lang w:val="en-GB"/>
              </w:rPr>
              <w:softHyphen/>
              <w:t>_____</w:t>
            </w:r>
            <w:proofErr w:type="gramStart"/>
            <w:r>
              <w:rPr>
                <w:lang w:val="en-GB"/>
              </w:rPr>
              <w:t>/  _</w:t>
            </w:r>
            <w:proofErr w:type="gramEnd"/>
            <w:r>
              <w:rPr>
                <w:lang w:val="en-GB"/>
              </w:rPr>
              <w:t>____/ 2022</w:t>
            </w:r>
          </w:p>
        </w:tc>
        <w:tc>
          <w:tcPr>
            <w:tcW w:w="284" w:type="dxa"/>
            <w:tcMar>
              <w:left w:w="0" w:type="dxa"/>
              <w:right w:w="0" w:type="dxa"/>
            </w:tcMar>
          </w:tcPr>
          <w:p w14:paraId="34951BE2" w14:textId="77777777" w:rsidR="002665E5" w:rsidRPr="00EB51B8" w:rsidRDefault="002665E5" w:rsidP="00B40E38">
            <w:pPr>
              <w:rPr>
                <w:rFonts w:ascii="Book Antiqua" w:hAnsi="Book Antiqua"/>
                <w:lang w:val="en-GB"/>
              </w:rPr>
            </w:pPr>
          </w:p>
        </w:tc>
        <w:tc>
          <w:tcPr>
            <w:tcW w:w="4536" w:type="dxa"/>
          </w:tcPr>
          <w:p w14:paraId="575B727C" w14:textId="77777777" w:rsidR="002665E5" w:rsidRPr="00EB51B8" w:rsidRDefault="002665E5" w:rsidP="00B40E38">
            <w:pPr>
              <w:rPr>
                <w:rFonts w:ascii="Book Antiqua" w:hAnsi="Book Antiqua"/>
                <w:lang w:val="en-GB"/>
              </w:rPr>
            </w:pPr>
          </w:p>
        </w:tc>
      </w:tr>
      <w:tr w:rsidR="002665E5" w:rsidRPr="00EB51B8" w14:paraId="06E07FC6" w14:textId="77777777" w:rsidTr="00B40E38">
        <w:trPr>
          <w:cantSplit/>
          <w:jc w:val="center"/>
        </w:trPr>
        <w:tc>
          <w:tcPr>
            <w:tcW w:w="4536" w:type="dxa"/>
          </w:tcPr>
          <w:p w14:paraId="490980F2" w14:textId="77777777" w:rsidR="005A7C84" w:rsidRDefault="005A7C84" w:rsidP="005A7C84">
            <w:pPr>
              <w:pStyle w:val="Signed"/>
              <w:rPr>
                <w:rStyle w:val="SignedBold"/>
              </w:rPr>
            </w:pPr>
          </w:p>
          <w:p w14:paraId="0CA49EF5" w14:textId="77777777" w:rsidR="005A7C84" w:rsidRDefault="005A7C84" w:rsidP="005A7C84">
            <w:pPr>
              <w:pStyle w:val="Signed"/>
              <w:rPr>
                <w:rStyle w:val="SignedBold"/>
              </w:rPr>
            </w:pPr>
          </w:p>
          <w:p w14:paraId="2272C4B8" w14:textId="77777777" w:rsidR="005A7C84" w:rsidRPr="00EB51B8" w:rsidRDefault="005A7C84" w:rsidP="005A7C84">
            <w:pPr>
              <w:pStyle w:val="Signed"/>
            </w:pPr>
            <w:r w:rsidRPr="00EB51B8">
              <w:rPr>
                <w:rStyle w:val="SignedBold"/>
              </w:rPr>
              <w:t>Signed</w:t>
            </w:r>
            <w:r w:rsidRPr="00EB51B8">
              <w:rPr>
                <w:i w:val="0"/>
              </w:rPr>
              <w:t xml:space="preserve"> </w:t>
            </w:r>
            <w:r w:rsidRPr="00EB51B8">
              <w:t>for and on behalf of the</w:t>
            </w:r>
            <w:r w:rsidRPr="00EB51B8">
              <w:rPr>
                <w:i w:val="0"/>
              </w:rPr>
              <w:t xml:space="preserve"> </w:t>
            </w:r>
            <w:r w:rsidR="00462094">
              <w:t>Northern Territory</w:t>
            </w:r>
            <w:r w:rsidRPr="00EB51B8">
              <w:t xml:space="preserve"> by</w:t>
            </w:r>
          </w:p>
          <w:p w14:paraId="27F184A9" w14:textId="77777777" w:rsidR="005A7C84" w:rsidRPr="00EB51B8" w:rsidRDefault="005A7C84" w:rsidP="005A7C84">
            <w:pPr>
              <w:pStyle w:val="LineForSignature"/>
            </w:pPr>
            <w:r w:rsidRPr="00EB51B8">
              <w:tab/>
            </w:r>
          </w:p>
          <w:p w14:paraId="777B1B9C" w14:textId="024745AD" w:rsidR="005A7C84" w:rsidRPr="00EB51B8" w:rsidRDefault="005A7C84" w:rsidP="005A7C84">
            <w:pPr>
              <w:pStyle w:val="SingleParagraph"/>
              <w:rPr>
                <w:rStyle w:val="Bold"/>
              </w:rPr>
            </w:pPr>
            <w:r w:rsidRPr="00EB51B8">
              <w:rPr>
                <w:rStyle w:val="Bold"/>
              </w:rPr>
              <w:t>The Honourable</w:t>
            </w:r>
            <w:r w:rsidR="0001795C">
              <w:rPr>
                <w:rStyle w:val="Bold"/>
              </w:rPr>
              <w:t xml:space="preserve"> Michael Gunner</w:t>
            </w:r>
            <w:r w:rsidRPr="00EB51B8">
              <w:rPr>
                <w:rStyle w:val="Bold"/>
              </w:rPr>
              <w:t xml:space="preserve"> MLA</w:t>
            </w:r>
          </w:p>
          <w:p w14:paraId="48DF362B" w14:textId="77777777" w:rsidR="005A7C84" w:rsidRPr="00EB51B8" w:rsidRDefault="005A7C84" w:rsidP="005A7C84">
            <w:pPr>
              <w:pStyle w:val="Position"/>
              <w:rPr>
                <w:rFonts w:ascii="Book Antiqua" w:hAnsi="Book Antiqua"/>
                <w:bCs w:val="0"/>
                <w:lang w:val="en-GB"/>
              </w:rPr>
            </w:pPr>
            <w:r w:rsidRPr="00EB51B8">
              <w:rPr>
                <w:bCs w:val="0"/>
                <w:lang w:val="en-GB"/>
              </w:rPr>
              <w:t xml:space="preserve">Chief </w:t>
            </w:r>
            <w:r w:rsidRPr="00EB51B8">
              <w:rPr>
                <w:lang w:val="en-GB"/>
              </w:rPr>
              <w:t>Minister</w:t>
            </w:r>
            <w:r w:rsidRPr="00EB51B8">
              <w:rPr>
                <w:bCs w:val="0"/>
                <w:lang w:val="en-GB"/>
              </w:rPr>
              <w:t xml:space="preserve"> of the </w:t>
            </w:r>
            <w:r w:rsidR="00462094">
              <w:rPr>
                <w:bCs w:val="0"/>
                <w:lang w:val="en-GB"/>
              </w:rPr>
              <w:t>Northern Territory</w:t>
            </w:r>
            <w:r w:rsidRPr="00EB51B8">
              <w:rPr>
                <w:bCs w:val="0"/>
                <w:lang w:val="en-GB"/>
              </w:rPr>
              <w:t xml:space="preserve"> of Australia</w:t>
            </w:r>
          </w:p>
          <w:p w14:paraId="362DEB42" w14:textId="79EB9280" w:rsidR="002665E5" w:rsidRPr="00EB51B8" w:rsidRDefault="00056D1B" w:rsidP="00C74B1D">
            <w:pPr>
              <w:pStyle w:val="SingleParagraph"/>
              <w:rPr>
                <w:rFonts w:ascii="Book Antiqua" w:hAnsi="Book Antiqua"/>
                <w:lang w:val="en-GB"/>
              </w:rPr>
            </w:pPr>
            <w:r>
              <w:rPr>
                <w:lang w:val="en-GB"/>
              </w:rPr>
              <w:t>_____</w:t>
            </w:r>
            <w:proofErr w:type="gramStart"/>
            <w:r>
              <w:rPr>
                <w:lang w:val="en-GB"/>
              </w:rPr>
              <w:t>/  _</w:t>
            </w:r>
            <w:proofErr w:type="gramEnd"/>
            <w:r>
              <w:rPr>
                <w:lang w:val="en-GB"/>
              </w:rPr>
              <w:t>____/ 2022</w:t>
            </w:r>
          </w:p>
        </w:tc>
        <w:tc>
          <w:tcPr>
            <w:tcW w:w="284" w:type="dxa"/>
            <w:tcMar>
              <w:left w:w="0" w:type="dxa"/>
              <w:right w:w="0" w:type="dxa"/>
            </w:tcMar>
          </w:tcPr>
          <w:p w14:paraId="1AA72270" w14:textId="77777777" w:rsidR="002665E5" w:rsidRPr="00EB51B8" w:rsidRDefault="002665E5" w:rsidP="00B40E38">
            <w:pPr>
              <w:pStyle w:val="SingleParagraph"/>
              <w:rPr>
                <w:rFonts w:ascii="Book Antiqua" w:hAnsi="Book Antiqua"/>
                <w:lang w:val="en-GB"/>
              </w:rPr>
            </w:pPr>
          </w:p>
        </w:tc>
        <w:tc>
          <w:tcPr>
            <w:tcW w:w="4536" w:type="dxa"/>
          </w:tcPr>
          <w:p w14:paraId="18E0E5E7" w14:textId="77777777" w:rsidR="002665E5" w:rsidRPr="00EB51B8" w:rsidRDefault="002665E5" w:rsidP="00B40E38">
            <w:pPr>
              <w:pStyle w:val="SingleParagraph"/>
              <w:rPr>
                <w:rFonts w:ascii="Book Antiqua" w:hAnsi="Book Antiqua"/>
                <w:lang w:val="en-GB"/>
              </w:rPr>
            </w:pPr>
          </w:p>
        </w:tc>
      </w:tr>
      <w:tr w:rsidR="002665E5" w:rsidRPr="00EB51B8" w14:paraId="213DB3FC" w14:textId="77777777" w:rsidTr="00B40E38">
        <w:trPr>
          <w:cantSplit/>
          <w:jc w:val="center"/>
        </w:trPr>
        <w:tc>
          <w:tcPr>
            <w:tcW w:w="4536" w:type="dxa"/>
          </w:tcPr>
          <w:p w14:paraId="6D9292E3" w14:textId="77777777" w:rsidR="002665E5" w:rsidRPr="00886114" w:rsidRDefault="002665E5" w:rsidP="00B40E38">
            <w:pPr>
              <w:pStyle w:val="SingleParagraph"/>
              <w:tabs>
                <w:tab w:val="num" w:pos="1134"/>
              </w:tabs>
              <w:spacing w:after="240"/>
              <w:ind w:left="1134" w:hanging="567"/>
              <w:rPr>
                <w:b/>
                <w:szCs w:val="22"/>
                <w:lang w:val="en-GB"/>
              </w:rPr>
            </w:pPr>
          </w:p>
        </w:tc>
        <w:tc>
          <w:tcPr>
            <w:tcW w:w="284" w:type="dxa"/>
            <w:tcMar>
              <w:left w:w="0" w:type="dxa"/>
              <w:right w:w="0" w:type="dxa"/>
            </w:tcMar>
          </w:tcPr>
          <w:p w14:paraId="2B1A0501" w14:textId="77777777" w:rsidR="002665E5" w:rsidRPr="00EB51B8" w:rsidRDefault="002665E5" w:rsidP="00B40E38">
            <w:pPr>
              <w:rPr>
                <w:rFonts w:ascii="Book Antiqua" w:hAnsi="Book Antiqua"/>
                <w:lang w:val="en-GB"/>
              </w:rPr>
            </w:pPr>
          </w:p>
        </w:tc>
        <w:tc>
          <w:tcPr>
            <w:tcW w:w="4536" w:type="dxa"/>
          </w:tcPr>
          <w:p w14:paraId="203EB8A1" w14:textId="77777777" w:rsidR="002665E5" w:rsidRPr="00EB51B8" w:rsidRDefault="002665E5" w:rsidP="00B40E38">
            <w:pPr>
              <w:pStyle w:val="SingleParagraph"/>
              <w:tabs>
                <w:tab w:val="num" w:pos="1134"/>
              </w:tabs>
              <w:spacing w:after="240"/>
              <w:ind w:left="1134" w:hanging="567"/>
              <w:rPr>
                <w:lang w:val="en-GB"/>
              </w:rPr>
            </w:pPr>
          </w:p>
        </w:tc>
      </w:tr>
    </w:tbl>
    <w:p w14:paraId="23BDD0AE" w14:textId="77777777" w:rsidR="008843EE" w:rsidRDefault="008843EE" w:rsidP="0026455E"/>
    <w:sectPr w:rsidR="008843EE" w:rsidSect="00C178C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A88B" w14:textId="77777777" w:rsidR="00515954" w:rsidRDefault="00515954">
      <w:r>
        <w:separator/>
      </w:r>
    </w:p>
  </w:endnote>
  <w:endnote w:type="continuationSeparator" w:id="0">
    <w:p w14:paraId="53E5FB52" w14:textId="77777777" w:rsidR="00515954" w:rsidRDefault="0051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ACE8" w14:textId="77777777" w:rsidR="00686BF3" w:rsidRDefault="00686BF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2A49" w14:textId="5605C150" w:rsidR="00C178C3" w:rsidRDefault="00C178C3" w:rsidP="00C178C3">
    <w:pPr>
      <w:pStyle w:val="Footer"/>
      <w:ind w:left="6480" w:firstLine="720"/>
    </w:pPr>
    <w:r>
      <w:t xml:space="preserve">                                                     Page </w:t>
    </w:r>
    <w:r>
      <w:fldChar w:fldCharType="begin"/>
    </w:r>
    <w:r>
      <w:instrText xml:space="preserve"> PAGE   \* MERGEFORMAT </w:instrText>
    </w:r>
    <w:r>
      <w:fldChar w:fldCharType="separate"/>
    </w:r>
    <w:r w:rsidR="00FF6507">
      <w:rPr>
        <w:noProof/>
      </w:rPr>
      <w:t>9</w:t>
    </w:r>
    <w:r>
      <w:fldChar w:fldCharType="end"/>
    </w:r>
  </w:p>
  <w:p w14:paraId="6BFDFA4C" w14:textId="77777777" w:rsidR="00686BF3" w:rsidRPr="00C178C3" w:rsidRDefault="00686BF3" w:rsidP="00C17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13C6" w14:textId="36A345A4" w:rsidR="00C178C3" w:rsidRDefault="00C178C3" w:rsidP="00C178C3">
    <w:pPr>
      <w:pStyle w:val="Footer"/>
      <w:ind w:left="7920" w:firstLine="720"/>
    </w:pPr>
    <w:r>
      <w:t xml:space="preserve">              Page </w:t>
    </w:r>
    <w:r>
      <w:fldChar w:fldCharType="begin"/>
    </w:r>
    <w:r>
      <w:instrText xml:space="preserve"> PAGE   \* MERGEFORMAT </w:instrText>
    </w:r>
    <w:r>
      <w:fldChar w:fldCharType="separate"/>
    </w:r>
    <w:r w:rsidR="00FF6507">
      <w:rPr>
        <w:noProof/>
      </w:rPr>
      <w:t>1</w:t>
    </w:r>
    <w:r>
      <w:fldChar w:fldCharType="end"/>
    </w:r>
  </w:p>
  <w:p w14:paraId="063049EE" w14:textId="77777777" w:rsidR="00686BF3" w:rsidRDefault="00686BF3" w:rsidP="00751725">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5160" w14:textId="77777777" w:rsidR="00515954" w:rsidRDefault="00515954">
      <w:r>
        <w:separator/>
      </w:r>
    </w:p>
  </w:footnote>
  <w:footnote w:type="continuationSeparator" w:id="0">
    <w:p w14:paraId="28B37365" w14:textId="77777777" w:rsidR="00515954" w:rsidRDefault="0051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8910" w14:textId="77777777" w:rsidR="00573994" w:rsidRDefault="0057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20D4" w14:textId="67378D0A" w:rsidR="00573994" w:rsidRDefault="0057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D88" w14:textId="77777777" w:rsidR="00573994" w:rsidRDefault="0057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501A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7"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2F481902"/>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15:restartNumberingAfterBreak="0">
    <w:nsid w:val="5A71731E"/>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15:restartNumberingAfterBreak="0">
    <w:nsid w:val="6E3F2791"/>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4"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5" w15:restartNumberingAfterBreak="0">
    <w:nsid w:val="78854AAC"/>
    <w:multiLevelType w:val="hybridMultilevel"/>
    <w:tmpl w:val="7B3C4616"/>
    <w:lvl w:ilvl="0" w:tplc="2B14EB54">
      <w:start w:val="1"/>
      <w:numFmt w:val="decimal"/>
      <w:lvlText w:val="%1."/>
      <w:lvlJc w:val="left"/>
      <w:pPr>
        <w:tabs>
          <w:tab w:val="num" w:pos="567"/>
        </w:tabs>
        <w:ind w:left="567" w:hanging="567"/>
      </w:pPr>
      <w:rPr>
        <w:rFonts w:cs="Times New Roman" w:hint="default"/>
        <w:b w:val="0"/>
        <w:color w:val="auto"/>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6"/>
  </w:num>
  <w:num w:numId="4">
    <w:abstractNumId w:val="18"/>
  </w:num>
  <w:num w:numId="5">
    <w:abstractNumId w:val="4"/>
  </w:num>
  <w:num w:numId="6">
    <w:abstractNumId w:val="21"/>
  </w:num>
  <w:num w:numId="7">
    <w:abstractNumId w:val="9"/>
  </w:num>
  <w:num w:numId="8">
    <w:abstractNumId w:val="13"/>
  </w:num>
  <w:num w:numId="9">
    <w:abstractNumId w:val="5"/>
  </w:num>
  <w:num w:numId="10">
    <w:abstractNumId w:val="10"/>
  </w:num>
  <w:num w:numId="11">
    <w:abstractNumId w:val="25"/>
  </w:num>
  <w:num w:numId="12">
    <w:abstractNumId w:val="2"/>
  </w:num>
  <w:num w:numId="13">
    <w:abstractNumId w:val="17"/>
  </w:num>
  <w:num w:numId="14">
    <w:abstractNumId w:val="22"/>
  </w:num>
  <w:num w:numId="15">
    <w:abstractNumId w:val="15"/>
  </w:num>
  <w:num w:numId="16">
    <w:abstractNumId w:val="19"/>
  </w:num>
  <w:num w:numId="17">
    <w:abstractNumId w:val="24"/>
  </w:num>
  <w:num w:numId="18">
    <w:abstractNumId w:val="7"/>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3"/>
  </w:num>
  <w:num w:numId="25">
    <w:abstractNumId w:val="13"/>
  </w:num>
  <w:num w:numId="26">
    <w:abstractNumId w:val="13"/>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425F"/>
    <w:rsid w:val="00005A5D"/>
    <w:rsid w:val="000064E1"/>
    <w:rsid w:val="000076D9"/>
    <w:rsid w:val="00011C09"/>
    <w:rsid w:val="00012EF4"/>
    <w:rsid w:val="00013D4E"/>
    <w:rsid w:val="0001795C"/>
    <w:rsid w:val="00017E7B"/>
    <w:rsid w:val="00021708"/>
    <w:rsid w:val="00023E29"/>
    <w:rsid w:val="00024F09"/>
    <w:rsid w:val="00025539"/>
    <w:rsid w:val="0003074A"/>
    <w:rsid w:val="000328E2"/>
    <w:rsid w:val="000373D8"/>
    <w:rsid w:val="000447B9"/>
    <w:rsid w:val="00047F6E"/>
    <w:rsid w:val="00051895"/>
    <w:rsid w:val="00053A46"/>
    <w:rsid w:val="00054CF8"/>
    <w:rsid w:val="00056D1B"/>
    <w:rsid w:val="0006140E"/>
    <w:rsid w:val="0006451A"/>
    <w:rsid w:val="00065EE6"/>
    <w:rsid w:val="0007004C"/>
    <w:rsid w:val="0007028A"/>
    <w:rsid w:val="000724F6"/>
    <w:rsid w:val="00073A8D"/>
    <w:rsid w:val="00074611"/>
    <w:rsid w:val="000768EA"/>
    <w:rsid w:val="00077F4D"/>
    <w:rsid w:val="00080983"/>
    <w:rsid w:val="00085966"/>
    <w:rsid w:val="000869CA"/>
    <w:rsid w:val="00086DBC"/>
    <w:rsid w:val="00090086"/>
    <w:rsid w:val="00091366"/>
    <w:rsid w:val="00091DF8"/>
    <w:rsid w:val="0009313A"/>
    <w:rsid w:val="00093DD8"/>
    <w:rsid w:val="000A05AC"/>
    <w:rsid w:val="000A0C9E"/>
    <w:rsid w:val="000A2C32"/>
    <w:rsid w:val="000A3175"/>
    <w:rsid w:val="000A5191"/>
    <w:rsid w:val="000A5250"/>
    <w:rsid w:val="000A72D2"/>
    <w:rsid w:val="000A7553"/>
    <w:rsid w:val="000C1E5A"/>
    <w:rsid w:val="000C2A9F"/>
    <w:rsid w:val="000C714F"/>
    <w:rsid w:val="000C7B41"/>
    <w:rsid w:val="000C7F8B"/>
    <w:rsid w:val="000D1893"/>
    <w:rsid w:val="000D19D8"/>
    <w:rsid w:val="000D1C37"/>
    <w:rsid w:val="000D3CD9"/>
    <w:rsid w:val="000D4377"/>
    <w:rsid w:val="000E0898"/>
    <w:rsid w:val="000E0BFC"/>
    <w:rsid w:val="000E19C0"/>
    <w:rsid w:val="000E1F26"/>
    <w:rsid w:val="000E3C70"/>
    <w:rsid w:val="000E48C3"/>
    <w:rsid w:val="000E4D7B"/>
    <w:rsid w:val="000F0880"/>
    <w:rsid w:val="000F3508"/>
    <w:rsid w:val="000F6CF6"/>
    <w:rsid w:val="00103FD6"/>
    <w:rsid w:val="001049DA"/>
    <w:rsid w:val="0010573C"/>
    <w:rsid w:val="001065EE"/>
    <w:rsid w:val="00110F5D"/>
    <w:rsid w:val="001125DB"/>
    <w:rsid w:val="00112617"/>
    <w:rsid w:val="00112657"/>
    <w:rsid w:val="00113691"/>
    <w:rsid w:val="00113ADB"/>
    <w:rsid w:val="00114AA5"/>
    <w:rsid w:val="00114E60"/>
    <w:rsid w:val="001165C0"/>
    <w:rsid w:val="00116D32"/>
    <w:rsid w:val="00122DBA"/>
    <w:rsid w:val="0013156A"/>
    <w:rsid w:val="00132587"/>
    <w:rsid w:val="001337AA"/>
    <w:rsid w:val="00135125"/>
    <w:rsid w:val="001354D9"/>
    <w:rsid w:val="0013646D"/>
    <w:rsid w:val="001404A9"/>
    <w:rsid w:val="00140F43"/>
    <w:rsid w:val="00141912"/>
    <w:rsid w:val="001429B7"/>
    <w:rsid w:val="00143DCA"/>
    <w:rsid w:val="00145D5C"/>
    <w:rsid w:val="0015073F"/>
    <w:rsid w:val="00150CEF"/>
    <w:rsid w:val="00153DE8"/>
    <w:rsid w:val="00160506"/>
    <w:rsid w:val="00162E9B"/>
    <w:rsid w:val="00163C3F"/>
    <w:rsid w:val="00164DAC"/>
    <w:rsid w:val="00166312"/>
    <w:rsid w:val="00166581"/>
    <w:rsid w:val="00166BAE"/>
    <w:rsid w:val="00167BB8"/>
    <w:rsid w:val="00173F81"/>
    <w:rsid w:val="001745AE"/>
    <w:rsid w:val="00174C2A"/>
    <w:rsid w:val="00175FB9"/>
    <w:rsid w:val="001775DC"/>
    <w:rsid w:val="001804EC"/>
    <w:rsid w:val="00181240"/>
    <w:rsid w:val="0018160E"/>
    <w:rsid w:val="00183EAB"/>
    <w:rsid w:val="00185CC1"/>
    <w:rsid w:val="00187847"/>
    <w:rsid w:val="00187B0E"/>
    <w:rsid w:val="00187BEB"/>
    <w:rsid w:val="00191CFE"/>
    <w:rsid w:val="001931E8"/>
    <w:rsid w:val="00194232"/>
    <w:rsid w:val="0019788A"/>
    <w:rsid w:val="001A0FD0"/>
    <w:rsid w:val="001A1422"/>
    <w:rsid w:val="001A3527"/>
    <w:rsid w:val="001A3A9A"/>
    <w:rsid w:val="001A4093"/>
    <w:rsid w:val="001A668D"/>
    <w:rsid w:val="001A7A15"/>
    <w:rsid w:val="001A7E2F"/>
    <w:rsid w:val="001B19A0"/>
    <w:rsid w:val="001B1CA3"/>
    <w:rsid w:val="001B7933"/>
    <w:rsid w:val="001C0F9B"/>
    <w:rsid w:val="001C346E"/>
    <w:rsid w:val="001C3717"/>
    <w:rsid w:val="001C5CC5"/>
    <w:rsid w:val="001D230F"/>
    <w:rsid w:val="001D3663"/>
    <w:rsid w:val="001D4852"/>
    <w:rsid w:val="001D6C45"/>
    <w:rsid w:val="001D738F"/>
    <w:rsid w:val="001E20EC"/>
    <w:rsid w:val="001E2591"/>
    <w:rsid w:val="001E4055"/>
    <w:rsid w:val="001E7173"/>
    <w:rsid w:val="001E74D0"/>
    <w:rsid w:val="001F4549"/>
    <w:rsid w:val="001F6F39"/>
    <w:rsid w:val="001F6FE8"/>
    <w:rsid w:val="00201291"/>
    <w:rsid w:val="00203681"/>
    <w:rsid w:val="00203BD2"/>
    <w:rsid w:val="00205E18"/>
    <w:rsid w:val="002077C7"/>
    <w:rsid w:val="002106A6"/>
    <w:rsid w:val="002163DC"/>
    <w:rsid w:val="002204CF"/>
    <w:rsid w:val="00221308"/>
    <w:rsid w:val="0022141E"/>
    <w:rsid w:val="00222C97"/>
    <w:rsid w:val="00226D19"/>
    <w:rsid w:val="0023212B"/>
    <w:rsid w:val="002325DE"/>
    <w:rsid w:val="00235205"/>
    <w:rsid w:val="00240716"/>
    <w:rsid w:val="00247D45"/>
    <w:rsid w:val="00254106"/>
    <w:rsid w:val="00254AF8"/>
    <w:rsid w:val="00254CB3"/>
    <w:rsid w:val="002561CF"/>
    <w:rsid w:val="00262E18"/>
    <w:rsid w:val="0026455E"/>
    <w:rsid w:val="002665E5"/>
    <w:rsid w:val="0027078E"/>
    <w:rsid w:val="00272C83"/>
    <w:rsid w:val="00277646"/>
    <w:rsid w:val="00282C25"/>
    <w:rsid w:val="00283C73"/>
    <w:rsid w:val="002847F2"/>
    <w:rsid w:val="00284F2A"/>
    <w:rsid w:val="00285003"/>
    <w:rsid w:val="00285D2A"/>
    <w:rsid w:val="00287DCC"/>
    <w:rsid w:val="00291CF1"/>
    <w:rsid w:val="002920E7"/>
    <w:rsid w:val="002A143D"/>
    <w:rsid w:val="002A493A"/>
    <w:rsid w:val="002A49B0"/>
    <w:rsid w:val="002A530A"/>
    <w:rsid w:val="002A69B0"/>
    <w:rsid w:val="002B7922"/>
    <w:rsid w:val="002B7E1B"/>
    <w:rsid w:val="002C04DA"/>
    <w:rsid w:val="002C2529"/>
    <w:rsid w:val="002C4242"/>
    <w:rsid w:val="002C62B3"/>
    <w:rsid w:val="002C7620"/>
    <w:rsid w:val="002D0EF4"/>
    <w:rsid w:val="002D1A33"/>
    <w:rsid w:val="002D1A59"/>
    <w:rsid w:val="002D1D66"/>
    <w:rsid w:val="002D4ED6"/>
    <w:rsid w:val="002D7115"/>
    <w:rsid w:val="002D7545"/>
    <w:rsid w:val="002D7CF9"/>
    <w:rsid w:val="002E2593"/>
    <w:rsid w:val="002E2B50"/>
    <w:rsid w:val="002E4B66"/>
    <w:rsid w:val="002F4427"/>
    <w:rsid w:val="002F576E"/>
    <w:rsid w:val="002F5C6C"/>
    <w:rsid w:val="002F7CCE"/>
    <w:rsid w:val="002F7E40"/>
    <w:rsid w:val="003012DA"/>
    <w:rsid w:val="00301A73"/>
    <w:rsid w:val="0030404A"/>
    <w:rsid w:val="003056FE"/>
    <w:rsid w:val="00307C5C"/>
    <w:rsid w:val="003105F2"/>
    <w:rsid w:val="00312AED"/>
    <w:rsid w:val="00313480"/>
    <w:rsid w:val="003155BD"/>
    <w:rsid w:val="00315E33"/>
    <w:rsid w:val="0032082B"/>
    <w:rsid w:val="00321E0A"/>
    <w:rsid w:val="00324EFA"/>
    <w:rsid w:val="00325993"/>
    <w:rsid w:val="00325F86"/>
    <w:rsid w:val="00326883"/>
    <w:rsid w:val="00327E9A"/>
    <w:rsid w:val="00331553"/>
    <w:rsid w:val="00332E5D"/>
    <w:rsid w:val="00333506"/>
    <w:rsid w:val="00333EE4"/>
    <w:rsid w:val="00335E2C"/>
    <w:rsid w:val="00336371"/>
    <w:rsid w:val="00336F12"/>
    <w:rsid w:val="00337C78"/>
    <w:rsid w:val="00340B29"/>
    <w:rsid w:val="003410AA"/>
    <w:rsid w:val="00345D09"/>
    <w:rsid w:val="00347EBC"/>
    <w:rsid w:val="003517EC"/>
    <w:rsid w:val="00352A6B"/>
    <w:rsid w:val="00352EC1"/>
    <w:rsid w:val="00356597"/>
    <w:rsid w:val="00357960"/>
    <w:rsid w:val="00364CF3"/>
    <w:rsid w:val="00365A66"/>
    <w:rsid w:val="00367EAB"/>
    <w:rsid w:val="00371B42"/>
    <w:rsid w:val="00372573"/>
    <w:rsid w:val="00377AB2"/>
    <w:rsid w:val="003814B3"/>
    <w:rsid w:val="003902B6"/>
    <w:rsid w:val="00391D29"/>
    <w:rsid w:val="0039201F"/>
    <w:rsid w:val="0039283B"/>
    <w:rsid w:val="003929D5"/>
    <w:rsid w:val="00396EA4"/>
    <w:rsid w:val="003A22B3"/>
    <w:rsid w:val="003A3363"/>
    <w:rsid w:val="003A3905"/>
    <w:rsid w:val="003A3CC1"/>
    <w:rsid w:val="003A4B96"/>
    <w:rsid w:val="003A6635"/>
    <w:rsid w:val="003A6B0E"/>
    <w:rsid w:val="003B073D"/>
    <w:rsid w:val="003B5562"/>
    <w:rsid w:val="003B737F"/>
    <w:rsid w:val="003C044E"/>
    <w:rsid w:val="003C179F"/>
    <w:rsid w:val="003C2450"/>
    <w:rsid w:val="003C366C"/>
    <w:rsid w:val="003C549F"/>
    <w:rsid w:val="003C571B"/>
    <w:rsid w:val="003D1BEF"/>
    <w:rsid w:val="003D26BA"/>
    <w:rsid w:val="003D29DB"/>
    <w:rsid w:val="003D32C8"/>
    <w:rsid w:val="003D448E"/>
    <w:rsid w:val="003D63F6"/>
    <w:rsid w:val="003E259D"/>
    <w:rsid w:val="003E4C17"/>
    <w:rsid w:val="003E5D96"/>
    <w:rsid w:val="003E6BA0"/>
    <w:rsid w:val="003E73DB"/>
    <w:rsid w:val="003E7F07"/>
    <w:rsid w:val="003F59E6"/>
    <w:rsid w:val="003F5F59"/>
    <w:rsid w:val="004040EB"/>
    <w:rsid w:val="0040426D"/>
    <w:rsid w:val="004043B6"/>
    <w:rsid w:val="00404A4A"/>
    <w:rsid w:val="00405372"/>
    <w:rsid w:val="004120B1"/>
    <w:rsid w:val="004124D3"/>
    <w:rsid w:val="00413361"/>
    <w:rsid w:val="0041421D"/>
    <w:rsid w:val="00414A5C"/>
    <w:rsid w:val="004156B4"/>
    <w:rsid w:val="0041697F"/>
    <w:rsid w:val="00421F66"/>
    <w:rsid w:val="004223AA"/>
    <w:rsid w:val="00423104"/>
    <w:rsid w:val="004267D3"/>
    <w:rsid w:val="0043153F"/>
    <w:rsid w:val="00433656"/>
    <w:rsid w:val="00433C6B"/>
    <w:rsid w:val="00433E65"/>
    <w:rsid w:val="004374B2"/>
    <w:rsid w:val="00440A90"/>
    <w:rsid w:val="00442AB8"/>
    <w:rsid w:val="004436EA"/>
    <w:rsid w:val="00450922"/>
    <w:rsid w:val="00450B39"/>
    <w:rsid w:val="00451B9F"/>
    <w:rsid w:val="004530B0"/>
    <w:rsid w:val="00453344"/>
    <w:rsid w:val="00454498"/>
    <w:rsid w:val="00456C59"/>
    <w:rsid w:val="00461F98"/>
    <w:rsid w:val="00462094"/>
    <w:rsid w:val="004623C2"/>
    <w:rsid w:val="0046371B"/>
    <w:rsid w:val="00463D98"/>
    <w:rsid w:val="00466FC6"/>
    <w:rsid w:val="00470CC9"/>
    <w:rsid w:val="00471888"/>
    <w:rsid w:val="00472C5A"/>
    <w:rsid w:val="004829C1"/>
    <w:rsid w:val="0048535D"/>
    <w:rsid w:val="00487FE4"/>
    <w:rsid w:val="00490198"/>
    <w:rsid w:val="00490352"/>
    <w:rsid w:val="00490E28"/>
    <w:rsid w:val="00491A9F"/>
    <w:rsid w:val="00494435"/>
    <w:rsid w:val="0049645A"/>
    <w:rsid w:val="00496930"/>
    <w:rsid w:val="00497362"/>
    <w:rsid w:val="00497E2A"/>
    <w:rsid w:val="004A0AE7"/>
    <w:rsid w:val="004A5DF7"/>
    <w:rsid w:val="004A6062"/>
    <w:rsid w:val="004A68E2"/>
    <w:rsid w:val="004A770F"/>
    <w:rsid w:val="004B1F38"/>
    <w:rsid w:val="004B21B1"/>
    <w:rsid w:val="004B27C1"/>
    <w:rsid w:val="004C1697"/>
    <w:rsid w:val="004C1A03"/>
    <w:rsid w:val="004C2DC5"/>
    <w:rsid w:val="004C5EFB"/>
    <w:rsid w:val="004C665A"/>
    <w:rsid w:val="004D310E"/>
    <w:rsid w:val="004D34C8"/>
    <w:rsid w:val="004D37D8"/>
    <w:rsid w:val="004D4B81"/>
    <w:rsid w:val="004E2BF1"/>
    <w:rsid w:val="004E2FAD"/>
    <w:rsid w:val="004E6528"/>
    <w:rsid w:val="004F0471"/>
    <w:rsid w:val="004F1A05"/>
    <w:rsid w:val="004F6683"/>
    <w:rsid w:val="004F6B2B"/>
    <w:rsid w:val="005005DF"/>
    <w:rsid w:val="00500B17"/>
    <w:rsid w:val="005025C0"/>
    <w:rsid w:val="005043BF"/>
    <w:rsid w:val="00505045"/>
    <w:rsid w:val="00511501"/>
    <w:rsid w:val="00514505"/>
    <w:rsid w:val="00515954"/>
    <w:rsid w:val="0051602E"/>
    <w:rsid w:val="0051640E"/>
    <w:rsid w:val="00516741"/>
    <w:rsid w:val="00516780"/>
    <w:rsid w:val="0051697E"/>
    <w:rsid w:val="0051705D"/>
    <w:rsid w:val="005175A3"/>
    <w:rsid w:val="00525719"/>
    <w:rsid w:val="00526868"/>
    <w:rsid w:val="00527308"/>
    <w:rsid w:val="00527ABC"/>
    <w:rsid w:val="005304AF"/>
    <w:rsid w:val="0053094D"/>
    <w:rsid w:val="005350F1"/>
    <w:rsid w:val="005367BC"/>
    <w:rsid w:val="00540DD6"/>
    <w:rsid w:val="0054193D"/>
    <w:rsid w:val="005427B7"/>
    <w:rsid w:val="00542D59"/>
    <w:rsid w:val="005462A5"/>
    <w:rsid w:val="00552455"/>
    <w:rsid w:val="0055503F"/>
    <w:rsid w:val="00556511"/>
    <w:rsid w:val="00560D16"/>
    <w:rsid w:val="00561768"/>
    <w:rsid w:val="005624A6"/>
    <w:rsid w:val="00562CCF"/>
    <w:rsid w:val="00566234"/>
    <w:rsid w:val="00567371"/>
    <w:rsid w:val="0056737A"/>
    <w:rsid w:val="0057262B"/>
    <w:rsid w:val="00573994"/>
    <w:rsid w:val="00573C1F"/>
    <w:rsid w:val="00577721"/>
    <w:rsid w:val="00581A66"/>
    <w:rsid w:val="0058297B"/>
    <w:rsid w:val="00582A03"/>
    <w:rsid w:val="00583BD6"/>
    <w:rsid w:val="00596E88"/>
    <w:rsid w:val="005A0969"/>
    <w:rsid w:val="005A09B1"/>
    <w:rsid w:val="005A4B86"/>
    <w:rsid w:val="005A5107"/>
    <w:rsid w:val="005A53F6"/>
    <w:rsid w:val="005A7C84"/>
    <w:rsid w:val="005B30C5"/>
    <w:rsid w:val="005B344F"/>
    <w:rsid w:val="005B7AAE"/>
    <w:rsid w:val="005C038B"/>
    <w:rsid w:val="005C0619"/>
    <w:rsid w:val="005C09FD"/>
    <w:rsid w:val="005C2111"/>
    <w:rsid w:val="005C2684"/>
    <w:rsid w:val="005C2DDC"/>
    <w:rsid w:val="005C5620"/>
    <w:rsid w:val="005C5979"/>
    <w:rsid w:val="005C7AFF"/>
    <w:rsid w:val="005D12C0"/>
    <w:rsid w:val="005D22F7"/>
    <w:rsid w:val="005D41F9"/>
    <w:rsid w:val="005D4A4E"/>
    <w:rsid w:val="005E1297"/>
    <w:rsid w:val="005E4C6D"/>
    <w:rsid w:val="005E724B"/>
    <w:rsid w:val="005F09DB"/>
    <w:rsid w:val="005F7CC6"/>
    <w:rsid w:val="00600353"/>
    <w:rsid w:val="006005FE"/>
    <w:rsid w:val="006010DC"/>
    <w:rsid w:val="0060282C"/>
    <w:rsid w:val="00602EF7"/>
    <w:rsid w:val="00607B03"/>
    <w:rsid w:val="0061059D"/>
    <w:rsid w:val="00610828"/>
    <w:rsid w:val="00610D93"/>
    <w:rsid w:val="0061176F"/>
    <w:rsid w:val="00614393"/>
    <w:rsid w:val="00614A4D"/>
    <w:rsid w:val="006169FD"/>
    <w:rsid w:val="00616C62"/>
    <w:rsid w:val="0062217C"/>
    <w:rsid w:val="00622557"/>
    <w:rsid w:val="00623567"/>
    <w:rsid w:val="00625F2E"/>
    <w:rsid w:val="00626AE5"/>
    <w:rsid w:val="006334EF"/>
    <w:rsid w:val="006412B5"/>
    <w:rsid w:val="00641932"/>
    <w:rsid w:val="0064477C"/>
    <w:rsid w:val="00647FB8"/>
    <w:rsid w:val="00650903"/>
    <w:rsid w:val="00651441"/>
    <w:rsid w:val="00654943"/>
    <w:rsid w:val="00654B6C"/>
    <w:rsid w:val="00656743"/>
    <w:rsid w:val="006579EE"/>
    <w:rsid w:val="006627A8"/>
    <w:rsid w:val="00664688"/>
    <w:rsid w:val="006679C0"/>
    <w:rsid w:val="00673AB2"/>
    <w:rsid w:val="006804DF"/>
    <w:rsid w:val="006807D3"/>
    <w:rsid w:val="00680ED5"/>
    <w:rsid w:val="0068149E"/>
    <w:rsid w:val="00681608"/>
    <w:rsid w:val="00681956"/>
    <w:rsid w:val="00681C6E"/>
    <w:rsid w:val="00682893"/>
    <w:rsid w:val="00682E56"/>
    <w:rsid w:val="00682FBA"/>
    <w:rsid w:val="00683370"/>
    <w:rsid w:val="00684E54"/>
    <w:rsid w:val="00686BF3"/>
    <w:rsid w:val="006911BE"/>
    <w:rsid w:val="0069148C"/>
    <w:rsid w:val="00691C2E"/>
    <w:rsid w:val="006923C8"/>
    <w:rsid w:val="0069372F"/>
    <w:rsid w:val="00696AB4"/>
    <w:rsid w:val="006976BF"/>
    <w:rsid w:val="006A05D7"/>
    <w:rsid w:val="006A4628"/>
    <w:rsid w:val="006A55F2"/>
    <w:rsid w:val="006B2D1B"/>
    <w:rsid w:val="006B3544"/>
    <w:rsid w:val="006B4213"/>
    <w:rsid w:val="006B4DF0"/>
    <w:rsid w:val="006B573F"/>
    <w:rsid w:val="006B5A90"/>
    <w:rsid w:val="006B7444"/>
    <w:rsid w:val="006B7D6A"/>
    <w:rsid w:val="006C1013"/>
    <w:rsid w:val="006C228B"/>
    <w:rsid w:val="006C2931"/>
    <w:rsid w:val="006C4142"/>
    <w:rsid w:val="006C7FA2"/>
    <w:rsid w:val="006D2D33"/>
    <w:rsid w:val="006D466E"/>
    <w:rsid w:val="006D4AD6"/>
    <w:rsid w:val="006D4B70"/>
    <w:rsid w:val="006D6848"/>
    <w:rsid w:val="006E3B48"/>
    <w:rsid w:val="006E3C36"/>
    <w:rsid w:val="006E3E81"/>
    <w:rsid w:val="006E44C4"/>
    <w:rsid w:val="006E53C0"/>
    <w:rsid w:val="006E6184"/>
    <w:rsid w:val="006E64B4"/>
    <w:rsid w:val="006F03AA"/>
    <w:rsid w:val="006F096A"/>
    <w:rsid w:val="006F17D1"/>
    <w:rsid w:val="006F3095"/>
    <w:rsid w:val="006F5455"/>
    <w:rsid w:val="006F5CB6"/>
    <w:rsid w:val="006F63CD"/>
    <w:rsid w:val="0070242A"/>
    <w:rsid w:val="00703194"/>
    <w:rsid w:val="0070361C"/>
    <w:rsid w:val="0070472E"/>
    <w:rsid w:val="0070550D"/>
    <w:rsid w:val="00706D54"/>
    <w:rsid w:val="0070737C"/>
    <w:rsid w:val="00711229"/>
    <w:rsid w:val="007113C6"/>
    <w:rsid w:val="00715018"/>
    <w:rsid w:val="007150FD"/>
    <w:rsid w:val="00715D38"/>
    <w:rsid w:val="007179FE"/>
    <w:rsid w:val="00717CB8"/>
    <w:rsid w:val="00717F25"/>
    <w:rsid w:val="007201B1"/>
    <w:rsid w:val="007201FF"/>
    <w:rsid w:val="007219B9"/>
    <w:rsid w:val="00721B2C"/>
    <w:rsid w:val="0072335F"/>
    <w:rsid w:val="00724E14"/>
    <w:rsid w:val="00725AD5"/>
    <w:rsid w:val="00726271"/>
    <w:rsid w:val="00726EB4"/>
    <w:rsid w:val="00726FF5"/>
    <w:rsid w:val="00731945"/>
    <w:rsid w:val="0073199E"/>
    <w:rsid w:val="0073698D"/>
    <w:rsid w:val="007369E1"/>
    <w:rsid w:val="00736C0B"/>
    <w:rsid w:val="007452AE"/>
    <w:rsid w:val="00746531"/>
    <w:rsid w:val="007503CD"/>
    <w:rsid w:val="00751725"/>
    <w:rsid w:val="0075316F"/>
    <w:rsid w:val="0075450A"/>
    <w:rsid w:val="00755B01"/>
    <w:rsid w:val="007565A6"/>
    <w:rsid w:val="00757E7E"/>
    <w:rsid w:val="0076017E"/>
    <w:rsid w:val="00760DB6"/>
    <w:rsid w:val="00762558"/>
    <w:rsid w:val="007661AE"/>
    <w:rsid w:val="007668F2"/>
    <w:rsid w:val="00766A51"/>
    <w:rsid w:val="0077205C"/>
    <w:rsid w:val="00772F1C"/>
    <w:rsid w:val="00774288"/>
    <w:rsid w:val="00775C1A"/>
    <w:rsid w:val="00777610"/>
    <w:rsid w:val="0077788E"/>
    <w:rsid w:val="007778F4"/>
    <w:rsid w:val="007866CE"/>
    <w:rsid w:val="00787E75"/>
    <w:rsid w:val="00793420"/>
    <w:rsid w:val="00793A2E"/>
    <w:rsid w:val="007A250A"/>
    <w:rsid w:val="007A3157"/>
    <w:rsid w:val="007A6E20"/>
    <w:rsid w:val="007B080D"/>
    <w:rsid w:val="007B0AB2"/>
    <w:rsid w:val="007B0DA8"/>
    <w:rsid w:val="007B10ED"/>
    <w:rsid w:val="007B3BFC"/>
    <w:rsid w:val="007B4B03"/>
    <w:rsid w:val="007B4FC0"/>
    <w:rsid w:val="007B5197"/>
    <w:rsid w:val="007C1433"/>
    <w:rsid w:val="007C6BAA"/>
    <w:rsid w:val="007D1D3A"/>
    <w:rsid w:val="007D20FF"/>
    <w:rsid w:val="007D615D"/>
    <w:rsid w:val="007E02F1"/>
    <w:rsid w:val="007E1848"/>
    <w:rsid w:val="007E5117"/>
    <w:rsid w:val="007E6BC2"/>
    <w:rsid w:val="007F2F8F"/>
    <w:rsid w:val="007F4538"/>
    <w:rsid w:val="007F5245"/>
    <w:rsid w:val="00800FEB"/>
    <w:rsid w:val="00804357"/>
    <w:rsid w:val="00807AD8"/>
    <w:rsid w:val="00812F14"/>
    <w:rsid w:val="00813CFF"/>
    <w:rsid w:val="00813FC2"/>
    <w:rsid w:val="008142E7"/>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6A75"/>
    <w:rsid w:val="00837090"/>
    <w:rsid w:val="00837A93"/>
    <w:rsid w:val="00844F11"/>
    <w:rsid w:val="00845BCC"/>
    <w:rsid w:val="0084777E"/>
    <w:rsid w:val="00851305"/>
    <w:rsid w:val="00851465"/>
    <w:rsid w:val="00852ED8"/>
    <w:rsid w:val="0085533A"/>
    <w:rsid w:val="00855543"/>
    <w:rsid w:val="00856F5F"/>
    <w:rsid w:val="0085738D"/>
    <w:rsid w:val="008605A8"/>
    <w:rsid w:val="00862395"/>
    <w:rsid w:val="0086782C"/>
    <w:rsid w:val="008708D6"/>
    <w:rsid w:val="0087124F"/>
    <w:rsid w:val="00872093"/>
    <w:rsid w:val="0087255F"/>
    <w:rsid w:val="008760D0"/>
    <w:rsid w:val="00876D3A"/>
    <w:rsid w:val="00880573"/>
    <w:rsid w:val="00881317"/>
    <w:rsid w:val="008827E0"/>
    <w:rsid w:val="008843EE"/>
    <w:rsid w:val="00885751"/>
    <w:rsid w:val="00885781"/>
    <w:rsid w:val="00886114"/>
    <w:rsid w:val="00891359"/>
    <w:rsid w:val="0089255A"/>
    <w:rsid w:val="00896477"/>
    <w:rsid w:val="00896F5A"/>
    <w:rsid w:val="008971BB"/>
    <w:rsid w:val="008A3C37"/>
    <w:rsid w:val="008A47F8"/>
    <w:rsid w:val="008A5B8A"/>
    <w:rsid w:val="008A6E23"/>
    <w:rsid w:val="008A715A"/>
    <w:rsid w:val="008B1840"/>
    <w:rsid w:val="008B1C10"/>
    <w:rsid w:val="008B44F6"/>
    <w:rsid w:val="008B73A2"/>
    <w:rsid w:val="008C41F1"/>
    <w:rsid w:val="008C5C9C"/>
    <w:rsid w:val="008C6A7B"/>
    <w:rsid w:val="008C7F5B"/>
    <w:rsid w:val="008D079A"/>
    <w:rsid w:val="008D5B52"/>
    <w:rsid w:val="008E072E"/>
    <w:rsid w:val="008E1C97"/>
    <w:rsid w:val="008E48FC"/>
    <w:rsid w:val="008E7A8B"/>
    <w:rsid w:val="008F2350"/>
    <w:rsid w:val="008F2AD6"/>
    <w:rsid w:val="008F34A6"/>
    <w:rsid w:val="008F4BA8"/>
    <w:rsid w:val="008F5C07"/>
    <w:rsid w:val="008F696D"/>
    <w:rsid w:val="00900883"/>
    <w:rsid w:val="00901CF5"/>
    <w:rsid w:val="00902097"/>
    <w:rsid w:val="009026E2"/>
    <w:rsid w:val="00905E79"/>
    <w:rsid w:val="009065E7"/>
    <w:rsid w:val="00910EA9"/>
    <w:rsid w:val="00913276"/>
    <w:rsid w:val="00913611"/>
    <w:rsid w:val="00913F06"/>
    <w:rsid w:val="009149EE"/>
    <w:rsid w:val="00915797"/>
    <w:rsid w:val="009211D0"/>
    <w:rsid w:val="009221DF"/>
    <w:rsid w:val="009224FD"/>
    <w:rsid w:val="00922E7B"/>
    <w:rsid w:val="00926CA7"/>
    <w:rsid w:val="00930026"/>
    <w:rsid w:val="0093296C"/>
    <w:rsid w:val="00935450"/>
    <w:rsid w:val="00935CC7"/>
    <w:rsid w:val="0093616D"/>
    <w:rsid w:val="0094002F"/>
    <w:rsid w:val="0094014A"/>
    <w:rsid w:val="0094129D"/>
    <w:rsid w:val="009419E8"/>
    <w:rsid w:val="00941D34"/>
    <w:rsid w:val="0094444B"/>
    <w:rsid w:val="00946A91"/>
    <w:rsid w:val="00951BAD"/>
    <w:rsid w:val="00953F77"/>
    <w:rsid w:val="00955B16"/>
    <w:rsid w:val="00956C81"/>
    <w:rsid w:val="00960EBA"/>
    <w:rsid w:val="00961282"/>
    <w:rsid w:val="00963FC8"/>
    <w:rsid w:val="00967E4D"/>
    <w:rsid w:val="009704A5"/>
    <w:rsid w:val="0097198A"/>
    <w:rsid w:val="00971C81"/>
    <w:rsid w:val="00974E78"/>
    <w:rsid w:val="009822E5"/>
    <w:rsid w:val="00983DC2"/>
    <w:rsid w:val="00983DF0"/>
    <w:rsid w:val="0099279C"/>
    <w:rsid w:val="00992EE4"/>
    <w:rsid w:val="00994C10"/>
    <w:rsid w:val="009A0446"/>
    <w:rsid w:val="009A062C"/>
    <w:rsid w:val="009A0BB4"/>
    <w:rsid w:val="009A1F1B"/>
    <w:rsid w:val="009A48AF"/>
    <w:rsid w:val="009A522D"/>
    <w:rsid w:val="009B3BCE"/>
    <w:rsid w:val="009B3D26"/>
    <w:rsid w:val="009B3F77"/>
    <w:rsid w:val="009B5132"/>
    <w:rsid w:val="009B6DA6"/>
    <w:rsid w:val="009B754A"/>
    <w:rsid w:val="009B76E5"/>
    <w:rsid w:val="009C166A"/>
    <w:rsid w:val="009C6CDB"/>
    <w:rsid w:val="009C6FFB"/>
    <w:rsid w:val="009C7EF5"/>
    <w:rsid w:val="009D2CF4"/>
    <w:rsid w:val="009D2FAC"/>
    <w:rsid w:val="009D62CF"/>
    <w:rsid w:val="009E1311"/>
    <w:rsid w:val="009E151E"/>
    <w:rsid w:val="009E5DB6"/>
    <w:rsid w:val="009E733B"/>
    <w:rsid w:val="009E7462"/>
    <w:rsid w:val="009F7F52"/>
    <w:rsid w:val="00A00BA5"/>
    <w:rsid w:val="00A0202C"/>
    <w:rsid w:val="00A0227E"/>
    <w:rsid w:val="00A04BED"/>
    <w:rsid w:val="00A04C30"/>
    <w:rsid w:val="00A103F6"/>
    <w:rsid w:val="00A10974"/>
    <w:rsid w:val="00A143E7"/>
    <w:rsid w:val="00A14966"/>
    <w:rsid w:val="00A14A73"/>
    <w:rsid w:val="00A17CCB"/>
    <w:rsid w:val="00A207A2"/>
    <w:rsid w:val="00A2219B"/>
    <w:rsid w:val="00A23029"/>
    <w:rsid w:val="00A2422A"/>
    <w:rsid w:val="00A24361"/>
    <w:rsid w:val="00A303A1"/>
    <w:rsid w:val="00A3209E"/>
    <w:rsid w:val="00A3212A"/>
    <w:rsid w:val="00A322FB"/>
    <w:rsid w:val="00A34870"/>
    <w:rsid w:val="00A4030E"/>
    <w:rsid w:val="00A4077B"/>
    <w:rsid w:val="00A416CC"/>
    <w:rsid w:val="00A42386"/>
    <w:rsid w:val="00A42D76"/>
    <w:rsid w:val="00A42DA9"/>
    <w:rsid w:val="00A44699"/>
    <w:rsid w:val="00A453B3"/>
    <w:rsid w:val="00A469B9"/>
    <w:rsid w:val="00A50751"/>
    <w:rsid w:val="00A50E72"/>
    <w:rsid w:val="00A53189"/>
    <w:rsid w:val="00A54051"/>
    <w:rsid w:val="00A545E8"/>
    <w:rsid w:val="00A54BE7"/>
    <w:rsid w:val="00A55B5A"/>
    <w:rsid w:val="00A564EB"/>
    <w:rsid w:val="00A60059"/>
    <w:rsid w:val="00A61DCA"/>
    <w:rsid w:val="00A620C4"/>
    <w:rsid w:val="00A631F9"/>
    <w:rsid w:val="00A64E39"/>
    <w:rsid w:val="00A6500A"/>
    <w:rsid w:val="00A6502B"/>
    <w:rsid w:val="00A671D3"/>
    <w:rsid w:val="00A67319"/>
    <w:rsid w:val="00A705E3"/>
    <w:rsid w:val="00A71016"/>
    <w:rsid w:val="00A71858"/>
    <w:rsid w:val="00A739F1"/>
    <w:rsid w:val="00A764A6"/>
    <w:rsid w:val="00A813DC"/>
    <w:rsid w:val="00A81EC4"/>
    <w:rsid w:val="00A8295A"/>
    <w:rsid w:val="00A838FA"/>
    <w:rsid w:val="00A8478F"/>
    <w:rsid w:val="00A858C4"/>
    <w:rsid w:val="00A91FE4"/>
    <w:rsid w:val="00A92F0B"/>
    <w:rsid w:val="00A974CA"/>
    <w:rsid w:val="00A97C02"/>
    <w:rsid w:val="00AA03EB"/>
    <w:rsid w:val="00AA0CA6"/>
    <w:rsid w:val="00AA2A0D"/>
    <w:rsid w:val="00AA2CD5"/>
    <w:rsid w:val="00AA4F6C"/>
    <w:rsid w:val="00AB16AE"/>
    <w:rsid w:val="00AB2011"/>
    <w:rsid w:val="00AB43D4"/>
    <w:rsid w:val="00AB4440"/>
    <w:rsid w:val="00AB5A64"/>
    <w:rsid w:val="00AB70B2"/>
    <w:rsid w:val="00AB79E9"/>
    <w:rsid w:val="00AC081E"/>
    <w:rsid w:val="00AC276B"/>
    <w:rsid w:val="00AC321B"/>
    <w:rsid w:val="00AC6B83"/>
    <w:rsid w:val="00AC6FC7"/>
    <w:rsid w:val="00AD04F4"/>
    <w:rsid w:val="00AD0CE6"/>
    <w:rsid w:val="00AD2A82"/>
    <w:rsid w:val="00AD42CE"/>
    <w:rsid w:val="00AD670F"/>
    <w:rsid w:val="00AE1E54"/>
    <w:rsid w:val="00AE478A"/>
    <w:rsid w:val="00AF0D99"/>
    <w:rsid w:val="00AF3346"/>
    <w:rsid w:val="00AF3412"/>
    <w:rsid w:val="00AF5A2B"/>
    <w:rsid w:val="00B00778"/>
    <w:rsid w:val="00B009FE"/>
    <w:rsid w:val="00B0103F"/>
    <w:rsid w:val="00B012ED"/>
    <w:rsid w:val="00B050C0"/>
    <w:rsid w:val="00B05642"/>
    <w:rsid w:val="00B06097"/>
    <w:rsid w:val="00B10514"/>
    <w:rsid w:val="00B10CAE"/>
    <w:rsid w:val="00B12190"/>
    <w:rsid w:val="00B14635"/>
    <w:rsid w:val="00B16B1B"/>
    <w:rsid w:val="00B171BB"/>
    <w:rsid w:val="00B204CB"/>
    <w:rsid w:val="00B2247A"/>
    <w:rsid w:val="00B32D0F"/>
    <w:rsid w:val="00B36551"/>
    <w:rsid w:val="00B3669E"/>
    <w:rsid w:val="00B37EEF"/>
    <w:rsid w:val="00B40E38"/>
    <w:rsid w:val="00B44371"/>
    <w:rsid w:val="00B45A18"/>
    <w:rsid w:val="00B51ACE"/>
    <w:rsid w:val="00B55061"/>
    <w:rsid w:val="00B5636C"/>
    <w:rsid w:val="00B623D7"/>
    <w:rsid w:val="00B66623"/>
    <w:rsid w:val="00B66E7A"/>
    <w:rsid w:val="00B70780"/>
    <w:rsid w:val="00B72927"/>
    <w:rsid w:val="00B733C0"/>
    <w:rsid w:val="00B75930"/>
    <w:rsid w:val="00B8083F"/>
    <w:rsid w:val="00B80BD7"/>
    <w:rsid w:val="00B84275"/>
    <w:rsid w:val="00B87913"/>
    <w:rsid w:val="00B9206A"/>
    <w:rsid w:val="00B96C09"/>
    <w:rsid w:val="00BA1CFA"/>
    <w:rsid w:val="00BA1D21"/>
    <w:rsid w:val="00BA7603"/>
    <w:rsid w:val="00BB1D7B"/>
    <w:rsid w:val="00BB6CE4"/>
    <w:rsid w:val="00BC2E80"/>
    <w:rsid w:val="00BC4BF4"/>
    <w:rsid w:val="00BC7ECB"/>
    <w:rsid w:val="00BE042D"/>
    <w:rsid w:val="00BE4802"/>
    <w:rsid w:val="00BE7101"/>
    <w:rsid w:val="00BE7212"/>
    <w:rsid w:val="00BF0671"/>
    <w:rsid w:val="00BF331F"/>
    <w:rsid w:val="00BF5036"/>
    <w:rsid w:val="00BF6BCF"/>
    <w:rsid w:val="00C011BF"/>
    <w:rsid w:val="00C024B8"/>
    <w:rsid w:val="00C046A4"/>
    <w:rsid w:val="00C05CC6"/>
    <w:rsid w:val="00C064C1"/>
    <w:rsid w:val="00C068C7"/>
    <w:rsid w:val="00C073C2"/>
    <w:rsid w:val="00C160F4"/>
    <w:rsid w:val="00C178C3"/>
    <w:rsid w:val="00C2120D"/>
    <w:rsid w:val="00C21EBB"/>
    <w:rsid w:val="00C233E9"/>
    <w:rsid w:val="00C25018"/>
    <w:rsid w:val="00C255D1"/>
    <w:rsid w:val="00C26A3D"/>
    <w:rsid w:val="00C277A6"/>
    <w:rsid w:val="00C303B4"/>
    <w:rsid w:val="00C3479C"/>
    <w:rsid w:val="00C40EBC"/>
    <w:rsid w:val="00C41FE1"/>
    <w:rsid w:val="00C4202E"/>
    <w:rsid w:val="00C42ACA"/>
    <w:rsid w:val="00C42BA5"/>
    <w:rsid w:val="00C4349A"/>
    <w:rsid w:val="00C47261"/>
    <w:rsid w:val="00C504D7"/>
    <w:rsid w:val="00C51308"/>
    <w:rsid w:val="00C52865"/>
    <w:rsid w:val="00C530FC"/>
    <w:rsid w:val="00C539F8"/>
    <w:rsid w:val="00C53A47"/>
    <w:rsid w:val="00C55A78"/>
    <w:rsid w:val="00C57BB9"/>
    <w:rsid w:val="00C61699"/>
    <w:rsid w:val="00C61BE9"/>
    <w:rsid w:val="00C62B02"/>
    <w:rsid w:val="00C64908"/>
    <w:rsid w:val="00C67500"/>
    <w:rsid w:val="00C67BED"/>
    <w:rsid w:val="00C705B5"/>
    <w:rsid w:val="00C7093C"/>
    <w:rsid w:val="00C73658"/>
    <w:rsid w:val="00C738BD"/>
    <w:rsid w:val="00C73AE8"/>
    <w:rsid w:val="00C74B1D"/>
    <w:rsid w:val="00C74E12"/>
    <w:rsid w:val="00C75D40"/>
    <w:rsid w:val="00C771EB"/>
    <w:rsid w:val="00C80204"/>
    <w:rsid w:val="00C83627"/>
    <w:rsid w:val="00C8634F"/>
    <w:rsid w:val="00C876D9"/>
    <w:rsid w:val="00C929DB"/>
    <w:rsid w:val="00C92AFE"/>
    <w:rsid w:val="00C9405D"/>
    <w:rsid w:val="00C95D81"/>
    <w:rsid w:val="00C960AA"/>
    <w:rsid w:val="00CA0C5D"/>
    <w:rsid w:val="00CA121E"/>
    <w:rsid w:val="00CA3B83"/>
    <w:rsid w:val="00CA501D"/>
    <w:rsid w:val="00CA55C4"/>
    <w:rsid w:val="00CB1789"/>
    <w:rsid w:val="00CB1CB2"/>
    <w:rsid w:val="00CB2557"/>
    <w:rsid w:val="00CB477A"/>
    <w:rsid w:val="00CB76EE"/>
    <w:rsid w:val="00CC39B1"/>
    <w:rsid w:val="00CD526B"/>
    <w:rsid w:val="00CD5B93"/>
    <w:rsid w:val="00CD769B"/>
    <w:rsid w:val="00CE1ADC"/>
    <w:rsid w:val="00CE2572"/>
    <w:rsid w:val="00CF0826"/>
    <w:rsid w:val="00CF0D8A"/>
    <w:rsid w:val="00CF1839"/>
    <w:rsid w:val="00CF267F"/>
    <w:rsid w:val="00CF29C8"/>
    <w:rsid w:val="00CF2D02"/>
    <w:rsid w:val="00CF776B"/>
    <w:rsid w:val="00CF7DA0"/>
    <w:rsid w:val="00D030BE"/>
    <w:rsid w:val="00D04614"/>
    <w:rsid w:val="00D13F30"/>
    <w:rsid w:val="00D17144"/>
    <w:rsid w:val="00D171EC"/>
    <w:rsid w:val="00D1723F"/>
    <w:rsid w:val="00D26B64"/>
    <w:rsid w:val="00D272DB"/>
    <w:rsid w:val="00D27E00"/>
    <w:rsid w:val="00D30AA4"/>
    <w:rsid w:val="00D32DB8"/>
    <w:rsid w:val="00D35894"/>
    <w:rsid w:val="00D36590"/>
    <w:rsid w:val="00D3674A"/>
    <w:rsid w:val="00D37699"/>
    <w:rsid w:val="00D4030F"/>
    <w:rsid w:val="00D4085D"/>
    <w:rsid w:val="00D418CB"/>
    <w:rsid w:val="00D4437A"/>
    <w:rsid w:val="00D51210"/>
    <w:rsid w:val="00D522D3"/>
    <w:rsid w:val="00D52914"/>
    <w:rsid w:val="00D55F5C"/>
    <w:rsid w:val="00D57190"/>
    <w:rsid w:val="00D57346"/>
    <w:rsid w:val="00D60F7D"/>
    <w:rsid w:val="00D61911"/>
    <w:rsid w:val="00D63E84"/>
    <w:rsid w:val="00D677F9"/>
    <w:rsid w:val="00D72F5E"/>
    <w:rsid w:val="00D7319F"/>
    <w:rsid w:val="00D73591"/>
    <w:rsid w:val="00D801FB"/>
    <w:rsid w:val="00D802FC"/>
    <w:rsid w:val="00D80A3D"/>
    <w:rsid w:val="00D84D4C"/>
    <w:rsid w:val="00D8532B"/>
    <w:rsid w:val="00D921FF"/>
    <w:rsid w:val="00D9402A"/>
    <w:rsid w:val="00D973A5"/>
    <w:rsid w:val="00DA0D1E"/>
    <w:rsid w:val="00DA126A"/>
    <w:rsid w:val="00DA1D33"/>
    <w:rsid w:val="00DA2D4C"/>
    <w:rsid w:val="00DA3AA7"/>
    <w:rsid w:val="00DA552B"/>
    <w:rsid w:val="00DA5FBF"/>
    <w:rsid w:val="00DB0507"/>
    <w:rsid w:val="00DB1640"/>
    <w:rsid w:val="00DB30AA"/>
    <w:rsid w:val="00DB4DA8"/>
    <w:rsid w:val="00DC50E5"/>
    <w:rsid w:val="00DC5109"/>
    <w:rsid w:val="00DD093B"/>
    <w:rsid w:val="00DD0D43"/>
    <w:rsid w:val="00DD1898"/>
    <w:rsid w:val="00DD34B4"/>
    <w:rsid w:val="00DD38CD"/>
    <w:rsid w:val="00DD57CD"/>
    <w:rsid w:val="00DE4A6C"/>
    <w:rsid w:val="00DE5673"/>
    <w:rsid w:val="00DE5A0C"/>
    <w:rsid w:val="00DE64C1"/>
    <w:rsid w:val="00DF2704"/>
    <w:rsid w:val="00DF4D7C"/>
    <w:rsid w:val="00DF6A07"/>
    <w:rsid w:val="00E0263C"/>
    <w:rsid w:val="00E04916"/>
    <w:rsid w:val="00E11ACC"/>
    <w:rsid w:val="00E13217"/>
    <w:rsid w:val="00E2118C"/>
    <w:rsid w:val="00E21E55"/>
    <w:rsid w:val="00E220BC"/>
    <w:rsid w:val="00E23352"/>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3C6B"/>
    <w:rsid w:val="00E456AA"/>
    <w:rsid w:val="00E5044A"/>
    <w:rsid w:val="00E506BB"/>
    <w:rsid w:val="00E50963"/>
    <w:rsid w:val="00E51D1B"/>
    <w:rsid w:val="00E55D2D"/>
    <w:rsid w:val="00E56C3D"/>
    <w:rsid w:val="00E579FF"/>
    <w:rsid w:val="00E60780"/>
    <w:rsid w:val="00E70A90"/>
    <w:rsid w:val="00E7195E"/>
    <w:rsid w:val="00E72F4A"/>
    <w:rsid w:val="00E73341"/>
    <w:rsid w:val="00E73FDA"/>
    <w:rsid w:val="00E752FD"/>
    <w:rsid w:val="00E82115"/>
    <w:rsid w:val="00E83448"/>
    <w:rsid w:val="00E836E7"/>
    <w:rsid w:val="00E92C8A"/>
    <w:rsid w:val="00E9334B"/>
    <w:rsid w:val="00E9346D"/>
    <w:rsid w:val="00E93FBD"/>
    <w:rsid w:val="00E968F6"/>
    <w:rsid w:val="00EA001F"/>
    <w:rsid w:val="00EA42CC"/>
    <w:rsid w:val="00EA594C"/>
    <w:rsid w:val="00EB4045"/>
    <w:rsid w:val="00EB51B8"/>
    <w:rsid w:val="00EB7EDA"/>
    <w:rsid w:val="00EC1046"/>
    <w:rsid w:val="00EC10EB"/>
    <w:rsid w:val="00EC5206"/>
    <w:rsid w:val="00EC5449"/>
    <w:rsid w:val="00EC56AD"/>
    <w:rsid w:val="00ED0175"/>
    <w:rsid w:val="00ED0AC8"/>
    <w:rsid w:val="00ED1452"/>
    <w:rsid w:val="00ED1A2D"/>
    <w:rsid w:val="00ED1DE8"/>
    <w:rsid w:val="00ED249A"/>
    <w:rsid w:val="00ED4036"/>
    <w:rsid w:val="00ED5993"/>
    <w:rsid w:val="00ED6043"/>
    <w:rsid w:val="00ED724D"/>
    <w:rsid w:val="00ED7A5D"/>
    <w:rsid w:val="00EE2D31"/>
    <w:rsid w:val="00EE4B91"/>
    <w:rsid w:val="00EE53B4"/>
    <w:rsid w:val="00EE554B"/>
    <w:rsid w:val="00EE57AC"/>
    <w:rsid w:val="00EE5945"/>
    <w:rsid w:val="00EF04E8"/>
    <w:rsid w:val="00EF2400"/>
    <w:rsid w:val="00EF56A7"/>
    <w:rsid w:val="00EF5F43"/>
    <w:rsid w:val="00EF72D4"/>
    <w:rsid w:val="00F11A23"/>
    <w:rsid w:val="00F12ACD"/>
    <w:rsid w:val="00F1611B"/>
    <w:rsid w:val="00F16589"/>
    <w:rsid w:val="00F173BE"/>
    <w:rsid w:val="00F2068C"/>
    <w:rsid w:val="00F210CB"/>
    <w:rsid w:val="00F21B9D"/>
    <w:rsid w:val="00F25EFF"/>
    <w:rsid w:val="00F26444"/>
    <w:rsid w:val="00F3245D"/>
    <w:rsid w:val="00F35317"/>
    <w:rsid w:val="00F35C0D"/>
    <w:rsid w:val="00F4377A"/>
    <w:rsid w:val="00F45228"/>
    <w:rsid w:val="00F46237"/>
    <w:rsid w:val="00F47765"/>
    <w:rsid w:val="00F538AE"/>
    <w:rsid w:val="00F5512D"/>
    <w:rsid w:val="00F56568"/>
    <w:rsid w:val="00F637BA"/>
    <w:rsid w:val="00F63F0A"/>
    <w:rsid w:val="00F6403E"/>
    <w:rsid w:val="00F65E00"/>
    <w:rsid w:val="00F73DEB"/>
    <w:rsid w:val="00F74B41"/>
    <w:rsid w:val="00F76C87"/>
    <w:rsid w:val="00F775CF"/>
    <w:rsid w:val="00F823A6"/>
    <w:rsid w:val="00F824A3"/>
    <w:rsid w:val="00F82D80"/>
    <w:rsid w:val="00F83D17"/>
    <w:rsid w:val="00F87F60"/>
    <w:rsid w:val="00F9063F"/>
    <w:rsid w:val="00F90838"/>
    <w:rsid w:val="00F953D3"/>
    <w:rsid w:val="00F95D26"/>
    <w:rsid w:val="00F96378"/>
    <w:rsid w:val="00F979C5"/>
    <w:rsid w:val="00FA0CBF"/>
    <w:rsid w:val="00FA0E45"/>
    <w:rsid w:val="00FA1227"/>
    <w:rsid w:val="00FA529E"/>
    <w:rsid w:val="00FA64FD"/>
    <w:rsid w:val="00FB2DD9"/>
    <w:rsid w:val="00FB4200"/>
    <w:rsid w:val="00FB4354"/>
    <w:rsid w:val="00FB5750"/>
    <w:rsid w:val="00FB6A2E"/>
    <w:rsid w:val="00FC5FA1"/>
    <w:rsid w:val="00FD16D1"/>
    <w:rsid w:val="00FD4437"/>
    <w:rsid w:val="00FE3088"/>
    <w:rsid w:val="00FE3214"/>
    <w:rsid w:val="00FE4A16"/>
    <w:rsid w:val="00FF2C8B"/>
    <w:rsid w:val="00FF6507"/>
    <w:rsid w:val="00FF678A"/>
    <w:rsid w:val="00FF7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992B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4"/>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7"/>
      </w:numPr>
    </w:pPr>
  </w:style>
  <w:style w:type="paragraph" w:customStyle="1" w:styleId="Dash">
    <w:name w:val="Dash"/>
    <w:basedOn w:val="Normal"/>
    <w:rsid w:val="000373D8"/>
    <w:pPr>
      <w:numPr>
        <w:ilvl w:val="1"/>
        <w:numId w:val="7"/>
      </w:numPr>
    </w:pPr>
  </w:style>
  <w:style w:type="paragraph" w:customStyle="1" w:styleId="DoubleDot">
    <w:name w:val="Double Dot"/>
    <w:basedOn w:val="Normal"/>
    <w:rsid w:val="000373D8"/>
    <w:pPr>
      <w:numPr>
        <w:ilvl w:val="2"/>
        <w:numId w:val="7"/>
      </w:numPr>
    </w:pPr>
  </w:style>
  <w:style w:type="paragraph" w:customStyle="1" w:styleId="OutlineNumbered1">
    <w:name w:val="Outline Numbered 1"/>
    <w:basedOn w:val="Normal"/>
    <w:rsid w:val="000373D8"/>
    <w:pPr>
      <w:numPr>
        <w:numId w:val="2"/>
      </w:numPr>
    </w:pPr>
  </w:style>
  <w:style w:type="paragraph" w:customStyle="1" w:styleId="OutlineNumbered2">
    <w:name w:val="Outline Numbered 2"/>
    <w:basedOn w:val="Normal"/>
    <w:rsid w:val="000373D8"/>
    <w:pPr>
      <w:numPr>
        <w:ilvl w:val="1"/>
        <w:numId w:val="2"/>
      </w:numPr>
    </w:pPr>
  </w:style>
  <w:style w:type="paragraph" w:customStyle="1" w:styleId="OutlineNumbered3">
    <w:name w:val="Outline Numbered 3"/>
    <w:basedOn w:val="Normal"/>
    <w:rsid w:val="000373D8"/>
    <w:pPr>
      <w:numPr>
        <w:ilvl w:val="2"/>
        <w:numId w:val="2"/>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3"/>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5"/>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4"/>
      </w:numPr>
    </w:pPr>
  </w:style>
  <w:style w:type="paragraph" w:customStyle="1" w:styleId="BoxDash">
    <w:name w:val="Box Dash"/>
    <w:basedOn w:val="Normal"/>
    <w:rsid w:val="000373D8"/>
    <w:pPr>
      <w:numPr>
        <w:ilvl w:val="1"/>
        <w:numId w:val="4"/>
      </w:numPr>
    </w:pPr>
  </w:style>
  <w:style w:type="paragraph" w:customStyle="1" w:styleId="BoxDoubleDot">
    <w:name w:val="Box Double Dot"/>
    <w:basedOn w:val="BoxTextBase"/>
    <w:rsid w:val="000373D8"/>
    <w:pPr>
      <w:numPr>
        <w:ilvl w:val="2"/>
        <w:numId w:val="4"/>
      </w:numPr>
    </w:pPr>
  </w:style>
  <w:style w:type="paragraph" w:customStyle="1" w:styleId="RecommendationBullet">
    <w:name w:val="Recommendation Bullet"/>
    <w:basedOn w:val="RecommendationTextBase"/>
    <w:rsid w:val="000373D8"/>
    <w:pPr>
      <w:numPr>
        <w:numId w:val="6"/>
      </w:numPr>
    </w:pPr>
  </w:style>
  <w:style w:type="paragraph" w:customStyle="1" w:styleId="RecommendationDash">
    <w:name w:val="Recommendation Dash"/>
    <w:basedOn w:val="RecommendationTextBase"/>
    <w:rsid w:val="000373D8"/>
    <w:pPr>
      <w:numPr>
        <w:ilvl w:val="1"/>
        <w:numId w:val="6"/>
      </w:numPr>
    </w:pPr>
  </w:style>
  <w:style w:type="paragraph" w:customStyle="1" w:styleId="RecommendationDoubleDot">
    <w:name w:val="Recommendation Double Dot"/>
    <w:basedOn w:val="RecommendationTextBase"/>
    <w:rsid w:val="000373D8"/>
    <w:pPr>
      <w:numPr>
        <w:ilvl w:val="2"/>
        <w:numId w:val="6"/>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8"/>
      </w:numPr>
    </w:pPr>
  </w:style>
  <w:style w:type="paragraph" w:customStyle="1" w:styleId="Romannumeral">
    <w:name w:val="Roman numeral"/>
    <w:basedOn w:val="Normal"/>
    <w:rsid w:val="000373D8"/>
    <w:pPr>
      <w:numPr>
        <w:numId w:val="12"/>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5"/>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9"/>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5"/>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0"/>
      </w:numPr>
    </w:pPr>
  </w:style>
  <w:style w:type="paragraph" w:customStyle="1" w:styleId="AgreementParties">
    <w:name w:val="AgreementParties"/>
    <w:rsid w:val="000373D8"/>
    <w:pPr>
      <w:numPr>
        <w:numId w:val="13"/>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TableParagraph">
    <w:name w:val="Table Paragraph"/>
    <w:basedOn w:val="Normal"/>
    <w:uiPriority w:val="1"/>
    <w:qFormat/>
    <w:rsid w:val="00992EE4"/>
    <w:pPr>
      <w:widowControl w:val="0"/>
      <w:spacing w:after="0" w:line="240" w:lineRule="auto"/>
      <w:jc w:val="left"/>
    </w:pPr>
    <w:rPr>
      <w:rFonts w:asciiTheme="minorHAnsi" w:hAnsiTheme="minorHAnsi"/>
      <w:color w:val="auto"/>
      <w:sz w:val="22"/>
      <w:szCs w:val="22"/>
      <w:lang w:val="en-US" w:eastAsia="en-US"/>
    </w:rPr>
  </w:style>
  <w:style w:type="paragraph" w:styleId="Revision">
    <w:name w:val="Revision"/>
    <w:hidden/>
    <w:uiPriority w:val="99"/>
    <w:semiHidden/>
    <w:rsid w:val="00C55A78"/>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6201">
      <w:bodyDiv w:val="1"/>
      <w:marLeft w:val="0"/>
      <w:marRight w:val="0"/>
      <w:marTop w:val="0"/>
      <w:marBottom w:val="0"/>
      <w:divBdr>
        <w:top w:val="none" w:sz="0" w:space="0" w:color="auto"/>
        <w:left w:val="none" w:sz="0" w:space="0" w:color="auto"/>
        <w:bottom w:val="none" w:sz="0" w:space="0" w:color="auto"/>
        <w:right w:val="none" w:sz="0" w:space="0" w:color="auto"/>
      </w:divBdr>
    </w:div>
    <w:div w:id="1312948755">
      <w:marLeft w:val="0"/>
      <w:marRight w:val="0"/>
      <w:marTop w:val="0"/>
      <w:marBottom w:val="0"/>
      <w:divBdr>
        <w:top w:val="none" w:sz="0" w:space="0" w:color="auto"/>
        <w:left w:val="none" w:sz="0" w:space="0" w:color="auto"/>
        <w:bottom w:val="none" w:sz="0" w:space="0" w:color="auto"/>
        <w:right w:val="none" w:sz="0" w:space="0" w:color="auto"/>
      </w:divBdr>
    </w:div>
    <w:div w:id="1312948756">
      <w:marLeft w:val="0"/>
      <w:marRight w:val="0"/>
      <w:marTop w:val="0"/>
      <w:marBottom w:val="0"/>
      <w:divBdr>
        <w:top w:val="none" w:sz="0" w:space="0" w:color="auto"/>
        <w:left w:val="none" w:sz="0" w:space="0" w:color="auto"/>
        <w:bottom w:val="none" w:sz="0" w:space="0" w:color="auto"/>
        <w:right w:val="none" w:sz="0" w:space="0" w:color="auto"/>
      </w:divBdr>
    </w:div>
    <w:div w:id="1312948757">
      <w:marLeft w:val="0"/>
      <w:marRight w:val="0"/>
      <w:marTop w:val="0"/>
      <w:marBottom w:val="0"/>
      <w:divBdr>
        <w:top w:val="none" w:sz="0" w:space="0" w:color="auto"/>
        <w:left w:val="none" w:sz="0" w:space="0" w:color="auto"/>
        <w:bottom w:val="none" w:sz="0" w:space="0" w:color="auto"/>
        <w:right w:val="none" w:sz="0" w:space="0" w:color="auto"/>
      </w:divBdr>
    </w:div>
    <w:div w:id="1312948758">
      <w:marLeft w:val="0"/>
      <w:marRight w:val="0"/>
      <w:marTop w:val="0"/>
      <w:marBottom w:val="0"/>
      <w:divBdr>
        <w:top w:val="none" w:sz="0" w:space="0" w:color="auto"/>
        <w:left w:val="none" w:sz="0" w:space="0" w:color="auto"/>
        <w:bottom w:val="none" w:sz="0" w:space="0" w:color="auto"/>
        <w:right w:val="none" w:sz="0" w:space="0" w:color="auto"/>
      </w:divBdr>
    </w:div>
    <w:div w:id="1312948759">
      <w:marLeft w:val="0"/>
      <w:marRight w:val="0"/>
      <w:marTop w:val="0"/>
      <w:marBottom w:val="0"/>
      <w:divBdr>
        <w:top w:val="none" w:sz="0" w:space="0" w:color="auto"/>
        <w:left w:val="none" w:sz="0" w:space="0" w:color="auto"/>
        <w:bottom w:val="none" w:sz="0" w:space="0" w:color="auto"/>
        <w:right w:val="none" w:sz="0" w:space="0" w:color="auto"/>
      </w:divBdr>
    </w:div>
    <w:div w:id="1312948760">
      <w:marLeft w:val="0"/>
      <w:marRight w:val="0"/>
      <w:marTop w:val="0"/>
      <w:marBottom w:val="0"/>
      <w:divBdr>
        <w:top w:val="none" w:sz="0" w:space="0" w:color="auto"/>
        <w:left w:val="none" w:sz="0" w:space="0" w:color="auto"/>
        <w:bottom w:val="none" w:sz="0" w:space="0" w:color="auto"/>
        <w:right w:val="none" w:sz="0" w:space="0" w:color="auto"/>
      </w:divBdr>
    </w:div>
    <w:div w:id="1312948761">
      <w:marLeft w:val="0"/>
      <w:marRight w:val="0"/>
      <w:marTop w:val="0"/>
      <w:marBottom w:val="0"/>
      <w:divBdr>
        <w:top w:val="none" w:sz="0" w:space="0" w:color="auto"/>
        <w:left w:val="none" w:sz="0" w:space="0" w:color="auto"/>
        <w:bottom w:val="none" w:sz="0" w:space="0" w:color="auto"/>
        <w:right w:val="none" w:sz="0" w:space="0" w:color="auto"/>
      </w:divBdr>
    </w:div>
    <w:div w:id="1312948762">
      <w:marLeft w:val="0"/>
      <w:marRight w:val="0"/>
      <w:marTop w:val="0"/>
      <w:marBottom w:val="0"/>
      <w:divBdr>
        <w:top w:val="none" w:sz="0" w:space="0" w:color="auto"/>
        <w:left w:val="none" w:sz="0" w:space="0" w:color="auto"/>
        <w:bottom w:val="none" w:sz="0" w:space="0" w:color="auto"/>
        <w:right w:val="none" w:sz="0" w:space="0" w:color="auto"/>
      </w:divBdr>
    </w:div>
    <w:div w:id="1312948763">
      <w:marLeft w:val="0"/>
      <w:marRight w:val="0"/>
      <w:marTop w:val="0"/>
      <w:marBottom w:val="0"/>
      <w:divBdr>
        <w:top w:val="none" w:sz="0" w:space="0" w:color="auto"/>
        <w:left w:val="none" w:sz="0" w:space="0" w:color="auto"/>
        <w:bottom w:val="none" w:sz="0" w:space="0" w:color="auto"/>
        <w:right w:val="none" w:sz="0" w:space="0" w:color="auto"/>
      </w:divBdr>
    </w:div>
    <w:div w:id="1312948764">
      <w:marLeft w:val="0"/>
      <w:marRight w:val="0"/>
      <w:marTop w:val="0"/>
      <w:marBottom w:val="0"/>
      <w:divBdr>
        <w:top w:val="none" w:sz="0" w:space="0" w:color="auto"/>
        <w:left w:val="none" w:sz="0" w:space="0" w:color="auto"/>
        <w:bottom w:val="none" w:sz="0" w:space="0" w:color="auto"/>
        <w:right w:val="none" w:sz="0" w:space="0" w:color="auto"/>
      </w:divBdr>
    </w:div>
    <w:div w:id="1312948765">
      <w:marLeft w:val="0"/>
      <w:marRight w:val="0"/>
      <w:marTop w:val="0"/>
      <w:marBottom w:val="0"/>
      <w:divBdr>
        <w:top w:val="none" w:sz="0" w:space="0" w:color="auto"/>
        <w:left w:val="none" w:sz="0" w:space="0" w:color="auto"/>
        <w:bottom w:val="none" w:sz="0" w:space="0" w:color="auto"/>
        <w:right w:val="none" w:sz="0" w:space="0" w:color="auto"/>
      </w:divBdr>
    </w:div>
    <w:div w:id="1312948766">
      <w:marLeft w:val="0"/>
      <w:marRight w:val="0"/>
      <w:marTop w:val="0"/>
      <w:marBottom w:val="0"/>
      <w:divBdr>
        <w:top w:val="none" w:sz="0" w:space="0" w:color="auto"/>
        <w:left w:val="none" w:sz="0" w:space="0" w:color="auto"/>
        <w:bottom w:val="none" w:sz="0" w:space="0" w:color="auto"/>
        <w:right w:val="none" w:sz="0" w:space="0" w:color="auto"/>
      </w:divBdr>
    </w:div>
    <w:div w:id="1312948767">
      <w:marLeft w:val="0"/>
      <w:marRight w:val="0"/>
      <w:marTop w:val="0"/>
      <w:marBottom w:val="0"/>
      <w:divBdr>
        <w:top w:val="none" w:sz="0" w:space="0" w:color="auto"/>
        <w:left w:val="none" w:sz="0" w:space="0" w:color="auto"/>
        <w:bottom w:val="none" w:sz="0" w:space="0" w:color="auto"/>
        <w:right w:val="none" w:sz="0" w:space="0" w:color="auto"/>
      </w:divBdr>
    </w:div>
    <w:div w:id="1312948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2022FG-64-110505</_dlc_DocId>
    <_dlc_DocIdUrl xmlns="0f563589-9cf9-4143-b1eb-fb0534803d38">
      <Url>http://tweb/sites/fg/csrd/_layouts/15/DocIdRedir.aspx?ID=2022FG-64-110505</Url>
      <Description>2022FG-64-110505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5F3F11B-2622-484C-9AD8-44313EC640D9}">
  <ds:schemaRefs>
    <ds:schemaRef ds:uri="http://schemas.openxmlformats.org/officeDocument/2006/bibliography"/>
  </ds:schemaRefs>
</ds:datastoreItem>
</file>

<file path=customXml/itemProps2.xml><?xml version="1.0" encoding="utf-8"?>
<ds:datastoreItem xmlns:ds="http://schemas.openxmlformats.org/officeDocument/2006/customXml" ds:itemID="{9E68205F-5A90-4FF6-BD64-ECF34377979F}">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685f9fda-bd71-4433-b331-92feb9553089"/>
    <ds:schemaRef ds:uri="6b61b769-5bb7-4c35-96b0-c479cf657956"/>
    <ds:schemaRef ds:uri="http://purl.org/dc/elements/1.1/"/>
  </ds:schemaRefs>
</ds:datastoreItem>
</file>

<file path=customXml/itemProps3.xml><?xml version="1.0" encoding="utf-8"?>
<ds:datastoreItem xmlns:ds="http://schemas.openxmlformats.org/officeDocument/2006/customXml" ds:itemID="{572798FF-67F4-4A2F-814E-B937B1BEC6C2}">
  <ds:schemaRefs>
    <ds:schemaRef ds:uri="http://schemas.microsoft.com/sharepoint/v3/contenttype/forms"/>
  </ds:schemaRefs>
</ds:datastoreItem>
</file>

<file path=customXml/itemProps4.xml><?xml version="1.0" encoding="utf-8"?>
<ds:datastoreItem xmlns:ds="http://schemas.openxmlformats.org/officeDocument/2006/customXml" ds:itemID="{2CEE0FA1-8545-4A35-8EE5-91C2C69B8F21}"/>
</file>

<file path=customXml/itemProps5.xml><?xml version="1.0" encoding="utf-8"?>
<ds:datastoreItem xmlns:ds="http://schemas.openxmlformats.org/officeDocument/2006/customXml" ds:itemID="{369E8381-9F78-4850-89AA-370074DADDCE}"/>
</file>

<file path=customXml/itemProps6.xml><?xml version="1.0" encoding="utf-8"?>
<ds:datastoreItem xmlns:ds="http://schemas.openxmlformats.org/officeDocument/2006/customXml" ds:itemID="{CADD93E2-059D-4FE9-A277-127EF48A50FA}"/>
</file>

<file path=customXml/itemProps7.xml><?xml version="1.0" encoding="utf-8"?>
<ds:datastoreItem xmlns:ds="http://schemas.openxmlformats.org/officeDocument/2006/customXml" ds:itemID="{43572D18-4FE8-4D65-AC96-171F5FF38025}"/>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14700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2022-09-06T00:42:00Z</dcterms:created>
  <dcterms:modified xsi:type="dcterms:W3CDTF">2022-09-06T00:42:00Z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Level">
    <vt:lpwstr>1;#OFFICIAL|11463c70-78df-4e3b-b0ff-f66cd3cb26ec</vt:lpwstr>
  </property>
  <property fmtid="{D5CDD505-2E9C-101B-9397-08002B2CF9AE}" pid="4" name="HPRMSecurityCaveat">
    <vt:lpwstr/>
  </property>
  <property fmtid="{D5CDD505-2E9C-101B-9397-08002B2CF9AE}" pid="5" name="_dlc_DocIdItemGuid">
    <vt:lpwstr>5a371460-8871-4e12-a818-9c9d0cf65756</vt:lpwstr>
  </property>
  <property fmtid="{D5CDD505-2E9C-101B-9397-08002B2CF9AE}" pid="6" name="lb508a4dc5e84436a0fe496b536466aa">
    <vt:lpwstr>TSY RA-8748 - Retain as national archives|243f2231-dbfc-4282-b24a-c9b768286bd0</vt:lpwstr>
  </property>
  <property fmtid="{D5CDD505-2E9C-101B-9397-08002B2CF9AE}" pid="7" name="TSYRecordClass">
    <vt:lpwstr>2;#TSY RA-8748 - Retain as national archives|243f2231-dbfc-4282-b24a-c9b768286bd0</vt:lpwstr>
  </property>
</Properties>
</file>