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14:paraId="1352DEE4" w14:textId="77777777">
        <w:tc>
          <w:tcPr>
            <w:tcW w:w="5000" w:type="pct"/>
            <w:gridSpan w:val="2"/>
          </w:tcPr>
          <w:p w14:paraId="608CC448" w14:textId="26E37E58" w:rsidR="00814667" w:rsidRDefault="00BA4284" w:rsidP="0053788B">
            <w:pPr>
              <w:pStyle w:val="CoverTitleMain"/>
            </w:pPr>
            <w:r>
              <w:t>Project AGreement</w:t>
            </w:r>
            <w:r w:rsidR="00292587">
              <w:t xml:space="preserve"> </w:t>
            </w:r>
            <w:r w:rsidR="00C84F4E">
              <w:t>for THE proton beam</w:t>
            </w:r>
            <w:r w:rsidR="003E7DF1">
              <w:t xml:space="preserve"> FACILITY</w:t>
            </w:r>
            <w:r w:rsidR="00C84F4E">
              <w:t xml:space="preserve"> </w:t>
            </w:r>
          </w:p>
        </w:tc>
        <w:bookmarkStart w:id="0" w:name="_GoBack"/>
        <w:bookmarkEnd w:id="0"/>
      </w:tr>
      <w:tr w:rsidR="00814667" w14:paraId="1A247E50" w14:textId="77777777">
        <w:tc>
          <w:tcPr>
            <w:tcW w:w="767" w:type="pct"/>
          </w:tcPr>
          <w:p w14:paraId="6D3D9768" w14:textId="77777777" w:rsidR="00814667" w:rsidRDefault="00814667">
            <w:pPr>
              <w:pStyle w:val="SingleParagraph"/>
              <w:tabs>
                <w:tab w:val="num" w:pos="1134"/>
              </w:tabs>
              <w:spacing w:after="240"/>
              <w:ind w:left="1134" w:hanging="567"/>
            </w:pPr>
          </w:p>
        </w:tc>
        <w:tc>
          <w:tcPr>
            <w:tcW w:w="4233" w:type="pct"/>
          </w:tcPr>
          <w:p w14:paraId="6EE67507" w14:textId="77777777" w:rsidR="00814667" w:rsidRDefault="00814667">
            <w:pPr>
              <w:pStyle w:val="SingleParagraph"/>
              <w:tabs>
                <w:tab w:val="num" w:pos="1134"/>
              </w:tabs>
              <w:spacing w:after="240"/>
              <w:ind w:left="1134" w:hanging="567"/>
            </w:pPr>
          </w:p>
        </w:tc>
      </w:tr>
      <w:tr w:rsidR="00814667" w14:paraId="76EC1873" w14:textId="77777777">
        <w:tc>
          <w:tcPr>
            <w:tcW w:w="767" w:type="pct"/>
          </w:tcPr>
          <w:p w14:paraId="050E84C7" w14:textId="77777777" w:rsidR="00814667" w:rsidRDefault="00814667">
            <w:pPr>
              <w:pStyle w:val="SingleParagraph"/>
              <w:tabs>
                <w:tab w:val="num" w:pos="1134"/>
              </w:tabs>
              <w:spacing w:after="240"/>
              <w:ind w:left="1134" w:hanging="567"/>
            </w:pPr>
          </w:p>
        </w:tc>
        <w:tc>
          <w:tcPr>
            <w:tcW w:w="4233" w:type="pct"/>
          </w:tcPr>
          <w:p w14:paraId="1908853C" w14:textId="77777777" w:rsidR="00814667" w:rsidRPr="001E74D0" w:rsidRDefault="00814667">
            <w:pPr>
              <w:pStyle w:val="SingleParagraph"/>
              <w:tabs>
                <w:tab w:val="num" w:pos="1134"/>
              </w:tabs>
              <w:spacing w:after="240"/>
              <w:ind w:left="1134" w:hanging="567"/>
            </w:pPr>
          </w:p>
        </w:tc>
      </w:tr>
      <w:tr w:rsidR="00814667" w14:paraId="0474737A" w14:textId="77777777">
        <w:tc>
          <w:tcPr>
            <w:tcW w:w="5000" w:type="pct"/>
            <w:gridSpan w:val="2"/>
          </w:tcPr>
          <w:p w14:paraId="5A72E2D2" w14:textId="77777777" w:rsidR="00814667" w:rsidRDefault="00814667">
            <w:pPr>
              <w:pStyle w:val="AgreementHeading"/>
              <w:tabs>
                <w:tab w:val="clear" w:pos="1134"/>
              </w:tabs>
            </w:pPr>
            <w:r>
              <w:t>An agreement between</w:t>
            </w:r>
            <w:r w:rsidR="00697494">
              <w:t>:</w:t>
            </w:r>
          </w:p>
        </w:tc>
      </w:tr>
      <w:tr w:rsidR="00814667" w14:paraId="511465CE" w14:textId="77777777">
        <w:tc>
          <w:tcPr>
            <w:tcW w:w="767" w:type="pct"/>
          </w:tcPr>
          <w:p w14:paraId="027EB2FE" w14:textId="77777777" w:rsidR="00814667" w:rsidRPr="001E74D0" w:rsidRDefault="00814667">
            <w:pPr>
              <w:pStyle w:val="AgreementHeading"/>
              <w:tabs>
                <w:tab w:val="clear" w:pos="1134"/>
              </w:tabs>
              <w:ind w:left="522"/>
            </w:pPr>
          </w:p>
        </w:tc>
        <w:tc>
          <w:tcPr>
            <w:tcW w:w="4233" w:type="pct"/>
          </w:tcPr>
          <w:p w14:paraId="51A5591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4F56D41E" w14:textId="256E1765" w:rsidR="00814667" w:rsidRPr="001E74D0" w:rsidRDefault="00C84F4E" w:rsidP="00C84F4E">
            <w:pPr>
              <w:pStyle w:val="AgreementParties"/>
            </w:pPr>
            <w:r>
              <w:rPr>
                <w:rStyle w:val="Bold"/>
              </w:rPr>
              <w:t>South Australia</w:t>
            </w:r>
            <w:r w:rsidR="004D5123">
              <w:rPr>
                <w:rStyle w:val="Bold"/>
              </w:rPr>
              <w:t>.</w:t>
            </w:r>
          </w:p>
        </w:tc>
      </w:tr>
      <w:tr w:rsidR="00814667" w14:paraId="1F1C3BA9" w14:textId="77777777">
        <w:tc>
          <w:tcPr>
            <w:tcW w:w="5000" w:type="pct"/>
            <w:gridSpan w:val="2"/>
          </w:tcPr>
          <w:p w14:paraId="169260B0" w14:textId="77777777" w:rsidR="00814667" w:rsidRDefault="00814667">
            <w:pPr>
              <w:pStyle w:val="SingleParagraph"/>
              <w:tabs>
                <w:tab w:val="num" w:pos="1134"/>
              </w:tabs>
              <w:spacing w:after="240"/>
              <w:ind w:left="1134" w:hanging="567"/>
            </w:pPr>
          </w:p>
          <w:p w14:paraId="0893F30B" w14:textId="77777777" w:rsidR="00514864" w:rsidRDefault="00514864">
            <w:pPr>
              <w:pStyle w:val="SingleParagraph"/>
              <w:tabs>
                <w:tab w:val="num" w:pos="1134"/>
              </w:tabs>
              <w:spacing w:after="240"/>
              <w:ind w:left="1134" w:hanging="567"/>
            </w:pPr>
          </w:p>
          <w:p w14:paraId="2EDF9BD4" w14:textId="77777777" w:rsidR="00514864" w:rsidRDefault="00514864">
            <w:pPr>
              <w:pStyle w:val="SingleParagraph"/>
              <w:tabs>
                <w:tab w:val="num" w:pos="1134"/>
              </w:tabs>
              <w:spacing w:after="240"/>
              <w:ind w:left="1134" w:hanging="567"/>
            </w:pPr>
          </w:p>
          <w:p w14:paraId="5369DBA5" w14:textId="77777777" w:rsidR="00514864" w:rsidRDefault="00514864">
            <w:pPr>
              <w:pStyle w:val="SingleParagraph"/>
              <w:tabs>
                <w:tab w:val="num" w:pos="1134"/>
              </w:tabs>
              <w:spacing w:after="240"/>
              <w:ind w:left="1134" w:hanging="567"/>
            </w:pPr>
          </w:p>
        </w:tc>
      </w:tr>
      <w:tr w:rsidR="00814667" w14:paraId="6722D79A" w14:textId="77777777">
        <w:tc>
          <w:tcPr>
            <w:tcW w:w="5000" w:type="pct"/>
            <w:gridSpan w:val="2"/>
          </w:tcPr>
          <w:p w14:paraId="19297965" w14:textId="43200F20" w:rsidR="00814667" w:rsidRPr="00514864" w:rsidRDefault="00C84F4E" w:rsidP="007F575E">
            <w:pPr>
              <w:autoSpaceDE w:val="0"/>
              <w:autoSpaceDN w:val="0"/>
              <w:adjustRightInd w:val="0"/>
              <w:spacing w:after="0" w:line="240" w:lineRule="auto"/>
              <w:jc w:val="left"/>
              <w:rPr>
                <w:rFonts w:ascii="Consolas" w:hAnsi="Consolas" w:cs="Consolas"/>
                <w:sz w:val="20"/>
              </w:rPr>
            </w:pPr>
            <w:r w:rsidRPr="00C84F4E">
              <w:rPr>
                <w:rFonts w:ascii="Consolas" w:hAnsi="Consolas" w:cs="Consolas"/>
                <w:color w:val="3D4B67"/>
                <w:sz w:val="20"/>
              </w:rPr>
              <w:t xml:space="preserve">The output of this project will </w:t>
            </w:r>
            <w:r w:rsidR="007F575E">
              <w:rPr>
                <w:rFonts w:ascii="Consolas" w:hAnsi="Consolas" w:cs="Consolas"/>
                <w:color w:val="3D4B67"/>
                <w:sz w:val="20"/>
              </w:rPr>
              <w:t xml:space="preserve">contribute to </w:t>
            </w:r>
            <w:r w:rsidR="002D2259">
              <w:rPr>
                <w:rFonts w:ascii="Consolas" w:hAnsi="Consolas" w:cs="Consolas"/>
                <w:color w:val="3D4B67"/>
                <w:sz w:val="20"/>
              </w:rPr>
              <w:t>a</w:t>
            </w:r>
            <w:r w:rsidR="0061700C">
              <w:rPr>
                <w:rFonts w:ascii="Consolas" w:hAnsi="Consolas" w:cs="Consolas"/>
                <w:color w:val="3D4B67"/>
                <w:sz w:val="20"/>
              </w:rPr>
              <w:t xml:space="preserve"> fully operational </w:t>
            </w:r>
            <w:r w:rsidR="002D2259">
              <w:rPr>
                <w:rFonts w:ascii="Consolas" w:hAnsi="Consolas" w:cs="Consolas"/>
                <w:color w:val="3D4B67"/>
                <w:sz w:val="20"/>
              </w:rPr>
              <w:t>proton beam therapy facility</w:t>
            </w:r>
            <w:r w:rsidR="007F575E">
              <w:rPr>
                <w:rFonts w:ascii="Consolas" w:hAnsi="Consolas" w:cs="Consolas"/>
                <w:color w:val="3D4B67"/>
                <w:sz w:val="20"/>
              </w:rPr>
              <w:t xml:space="preserve"> by providing a fully operational proton beam</w:t>
            </w:r>
            <w:r w:rsidR="002D2259">
              <w:rPr>
                <w:rFonts w:ascii="Consolas" w:hAnsi="Consolas" w:cs="Consolas"/>
                <w:color w:val="3D4B67"/>
                <w:sz w:val="20"/>
              </w:rPr>
              <w:t xml:space="preserve"> </w:t>
            </w:r>
            <w:r w:rsidR="0061700C">
              <w:rPr>
                <w:rFonts w:ascii="Consolas" w:hAnsi="Consolas" w:cs="Consolas"/>
                <w:color w:val="3D4B67"/>
                <w:sz w:val="20"/>
              </w:rPr>
              <w:t>inclu</w:t>
            </w:r>
            <w:r w:rsidR="00861798">
              <w:rPr>
                <w:rFonts w:ascii="Consolas" w:hAnsi="Consolas" w:cs="Consolas"/>
                <w:color w:val="3D4B67"/>
                <w:sz w:val="20"/>
              </w:rPr>
              <w:t xml:space="preserve">sive of </w:t>
            </w:r>
            <w:r w:rsidRPr="00C84F4E">
              <w:rPr>
                <w:rFonts w:ascii="Consolas" w:hAnsi="Consolas" w:cs="Consolas"/>
                <w:color w:val="3D4B67"/>
                <w:sz w:val="20"/>
              </w:rPr>
              <w:t>accelerator equipment</w:t>
            </w:r>
            <w:r w:rsidR="00861798">
              <w:rPr>
                <w:rFonts w:ascii="Consolas" w:hAnsi="Consolas" w:cs="Consolas"/>
                <w:color w:val="3D4B67"/>
                <w:sz w:val="20"/>
              </w:rPr>
              <w:t>,</w:t>
            </w:r>
            <w:r w:rsidRPr="00C84F4E">
              <w:rPr>
                <w:rFonts w:ascii="Consolas" w:hAnsi="Consolas" w:cs="Consolas"/>
                <w:color w:val="3D4B67"/>
                <w:sz w:val="20"/>
              </w:rPr>
              <w:t xml:space="preserve"> at the South Australian Health and Medical Research Institute.</w:t>
            </w:r>
          </w:p>
        </w:tc>
      </w:tr>
    </w:tbl>
    <w:p w14:paraId="3EB62CD3" w14:textId="674A1E0D"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035F32">
        <w:t xml:space="preserve">the </w:t>
      </w:r>
      <w:r w:rsidR="006967AF">
        <w:t>P</w:t>
      </w:r>
      <w:r w:rsidR="00035F32">
        <w:t xml:space="preserve">roton </w:t>
      </w:r>
      <w:r w:rsidR="006967AF">
        <w:t>B</w:t>
      </w:r>
      <w:r w:rsidR="00035F32">
        <w:t xml:space="preserve">eam </w:t>
      </w:r>
      <w:r w:rsidR="006967AF">
        <w:t>F</w:t>
      </w:r>
      <w:r w:rsidR="00035F32">
        <w:t>acility</w:t>
      </w:r>
    </w:p>
    <w:p w14:paraId="6DE27A7C"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481CD1A" w14:textId="77777777" w:rsidR="00C960AA" w:rsidRPr="0096732C" w:rsidRDefault="00C960AA" w:rsidP="00AD21E7">
      <w:pPr>
        <w:pStyle w:val="Normalnumbered"/>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22A6210F"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5A4F0248" w14:textId="1479C98A" w:rsidR="0096732C" w:rsidRDefault="00852ED8" w:rsidP="00AD21E7">
      <w:pPr>
        <w:pStyle w:val="Normalnumbered"/>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w:t>
      </w:r>
      <w:r w:rsidR="00035F32">
        <w:t xml:space="preserve">of </w:t>
      </w:r>
      <w:r w:rsidR="002D2259">
        <w:t>a</w:t>
      </w:r>
      <w:r w:rsidR="0061700C">
        <w:t xml:space="preserve"> fully operational (beam delivered to the end of the nozzle) </w:t>
      </w:r>
      <w:r w:rsidR="002D2259">
        <w:t xml:space="preserve">proton beam </w:t>
      </w:r>
      <w:r w:rsidR="0061700C">
        <w:t>inclu</w:t>
      </w:r>
      <w:r w:rsidR="00861798">
        <w:t xml:space="preserve">sive </w:t>
      </w:r>
      <w:r w:rsidR="002D2259">
        <w:t xml:space="preserve">of </w:t>
      </w:r>
      <w:r w:rsidR="00035F32">
        <w:t>accelerat</w:t>
      </w:r>
      <w:r w:rsidR="00514864">
        <w:t>or</w:t>
      </w:r>
      <w:r w:rsidR="00035F32">
        <w:t xml:space="preserve"> equipment</w:t>
      </w:r>
      <w:r w:rsidR="007F575E">
        <w:t xml:space="preserve"> for the therapy facility (the Facility)</w:t>
      </w:r>
      <w:r w:rsidR="00035F32">
        <w:t xml:space="preserve"> at the South Australian Health and Medical Research Institute</w:t>
      </w:r>
      <w:r w:rsidR="0072241B">
        <w:t xml:space="preserve"> (SAHMRI)</w:t>
      </w:r>
      <w:r w:rsidR="00861798">
        <w:t xml:space="preserve">. </w:t>
      </w:r>
      <w:r w:rsidR="00035F32">
        <w:t>Th</w:t>
      </w:r>
      <w:r w:rsidR="00514864">
        <w:t>e</w:t>
      </w:r>
      <w:r w:rsidR="00035F32">
        <w:t xml:space="preserve"> </w:t>
      </w:r>
      <w:r w:rsidR="004D5123">
        <w:t xml:space="preserve">Facility </w:t>
      </w:r>
      <w:r w:rsidR="00035F32">
        <w:t xml:space="preserve">will deliver new research capabilities to help Australian researchers develop the next generation of cancer treatments, including for complex </w:t>
      </w:r>
      <w:r w:rsidR="00D54E26">
        <w:t>children’s</w:t>
      </w:r>
      <w:r w:rsidR="00035F32">
        <w:t xml:space="preserve"> cancer. The </w:t>
      </w:r>
      <w:r w:rsidR="004D5123">
        <w:t>F</w:t>
      </w:r>
      <w:r w:rsidR="00035F32">
        <w:t>acility will also be an alternative to conventional radiotherapy for the treatm</w:t>
      </w:r>
      <w:r w:rsidR="004D5123">
        <w:t>ent of certain types of cancer.</w:t>
      </w:r>
    </w:p>
    <w:p w14:paraId="24176916" w14:textId="3B804112"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p>
    <w:p w14:paraId="31273E2B" w14:textId="25F137A3" w:rsidR="0096732C" w:rsidRDefault="00035F32" w:rsidP="00AD21E7">
      <w:pPr>
        <w:pStyle w:val="Normalnumbered"/>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South Australia </w:t>
      </w:r>
      <w:r w:rsidR="0096732C">
        <w:t xml:space="preserve">will </w:t>
      </w:r>
      <w:r w:rsidR="0070128B">
        <w:t xml:space="preserve">report </w:t>
      </w:r>
      <w:r w:rsidR="0096732C">
        <w:t>against the agreed</w:t>
      </w:r>
      <w:r>
        <w:t xml:space="preserve"> </w:t>
      </w:r>
      <w:r w:rsidR="0070128B">
        <w:t>milestones</w:t>
      </w:r>
      <w:r>
        <w:t xml:space="preserve"> </w:t>
      </w:r>
      <w:r w:rsidR="006721D3">
        <w:t>during the</w:t>
      </w:r>
      <w:r>
        <w:t xml:space="preserve"> operation of this Agreement</w:t>
      </w:r>
      <w:r w:rsidR="006721D3">
        <w:t>, as</w:t>
      </w:r>
      <w:r w:rsidR="0096732C">
        <w:t xml:space="preserve"> set out in Part 4 – Project Milestones, R</w:t>
      </w:r>
      <w:r w:rsidR="004D5123">
        <w:t>eporting and Payments.</w:t>
      </w:r>
    </w:p>
    <w:p w14:paraId="4988D4E8" w14:textId="31F0200A"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Financial Arrangements</w:t>
      </w:r>
    </w:p>
    <w:p w14:paraId="215CA798" w14:textId="77777777" w:rsidR="0096732C" w:rsidRPr="0096732C" w:rsidRDefault="0096732C" w:rsidP="00AD21E7">
      <w:pPr>
        <w:pStyle w:val="Normalnumbered"/>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fina</w:t>
      </w:r>
      <w:r w:rsidR="005C636A">
        <w:t>ncial contribution to South Australia</w:t>
      </w:r>
      <w:r w:rsidRPr="007179FE">
        <w:t xml:space="preserve"> </w:t>
      </w:r>
      <w:r w:rsidR="006967AF">
        <w:t>of $</w:t>
      </w:r>
      <w:r w:rsidR="00035F32">
        <w:t xml:space="preserve">68 million, </w:t>
      </w:r>
      <w:r w:rsidR="00F234AB">
        <w:t>exclusive of GST</w:t>
      </w:r>
      <w:r w:rsidR="00035F32">
        <w:t xml:space="preserve"> </w:t>
      </w:r>
      <w:r>
        <w:t>in respect of this Agreement</w:t>
      </w:r>
      <w:r w:rsidR="00FC055C">
        <w:t>,</w:t>
      </w:r>
      <w:r>
        <w:t xml:space="preserve"> as set out </w:t>
      </w:r>
      <w:r w:rsidRPr="007179FE">
        <w:t xml:space="preserve">in </w:t>
      </w:r>
      <w:r>
        <w:t>Part 5 – Financial Arrangements</w:t>
      </w:r>
      <w:r w:rsidRPr="007179FE">
        <w:t>.</w:t>
      </w:r>
    </w:p>
    <w:p w14:paraId="7A96277D" w14:textId="77777777" w:rsidR="0096732C" w:rsidRPr="004B1F38"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p>
    <w:p w14:paraId="6D75EC3B" w14:textId="77777777" w:rsidR="00814667" w:rsidRDefault="00814667">
      <w:pPr>
        <w:pStyle w:val="Heading1"/>
      </w:pPr>
      <w:r>
        <w:t>Part 1 — Formalities</w:t>
      </w:r>
    </w:p>
    <w:p w14:paraId="5FF47D02" w14:textId="77777777" w:rsidR="00804105" w:rsidRDefault="00804105" w:rsidP="00AD21E7">
      <w:pPr>
        <w:pStyle w:val="Normalnumbered"/>
        <w:numPr>
          <w:ilvl w:val="0"/>
          <w:numId w:val="14"/>
        </w:numPr>
      </w:pPr>
      <w:r>
        <w:t>This Agreement constitutes the entire agreement for this project.</w:t>
      </w:r>
    </w:p>
    <w:p w14:paraId="416C8D05" w14:textId="77777777" w:rsidR="00814667" w:rsidRDefault="00814667">
      <w:pPr>
        <w:pStyle w:val="Heading2"/>
      </w:pPr>
      <w:r>
        <w:t>Parties to this Agreement</w:t>
      </w:r>
    </w:p>
    <w:p w14:paraId="7C6AC3BE" w14:textId="77777777" w:rsidR="007B4B03" w:rsidRPr="007B4B03" w:rsidRDefault="00E7195E" w:rsidP="00AD21E7">
      <w:pPr>
        <w:pStyle w:val="Normalnumbered"/>
        <w:numPr>
          <w:ilvl w:val="0"/>
          <w:numId w:val="14"/>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4D5123">
        <w:t>South Australia.</w:t>
      </w:r>
    </w:p>
    <w:p w14:paraId="26E44271" w14:textId="77777777" w:rsidR="00814667" w:rsidRDefault="00814667">
      <w:pPr>
        <w:pStyle w:val="Heading2"/>
      </w:pPr>
      <w:r>
        <w:t>Term of the Agreement</w:t>
      </w:r>
    </w:p>
    <w:p w14:paraId="1DD5AA9E" w14:textId="77777777" w:rsidR="002E4B66" w:rsidRDefault="00814667" w:rsidP="00AD21E7">
      <w:pPr>
        <w:pStyle w:val="Normalnumbered"/>
        <w:numPr>
          <w:ilvl w:val="0"/>
          <w:numId w:val="14"/>
        </w:numPr>
      </w:pPr>
      <w:r w:rsidRPr="00DE36EB">
        <w:t>This Agreement will commence as soon as the Commonwealth and</w:t>
      </w:r>
      <w:r w:rsidR="005C636A">
        <w:t xml:space="preserve"> South Australia</w:t>
      </w:r>
      <w:r w:rsidRPr="00DE36EB">
        <w:t xml:space="preserve"> </w:t>
      </w:r>
      <w:r w:rsidR="00726DB5" w:rsidRPr="00DE36EB">
        <w:t xml:space="preserve">sign </w:t>
      </w:r>
      <w:r w:rsidR="0096732C">
        <w:t xml:space="preserve">it </w:t>
      </w:r>
      <w:r w:rsidRPr="00DE36EB">
        <w:t>and will expire on</w:t>
      </w:r>
      <w:r w:rsidR="00C7093C" w:rsidRPr="00DE36EB">
        <w:t xml:space="preserve"> </w:t>
      </w:r>
      <w:r w:rsidR="005C2D25">
        <w:t xml:space="preserve">30 June </w:t>
      </w:r>
      <w:r w:rsidR="00137120" w:rsidRPr="00137120">
        <w:t>2022</w:t>
      </w:r>
      <w:r w:rsidR="005C2D25" w:rsidRPr="00137120">
        <w:t xml:space="preserve"> </w:t>
      </w:r>
      <w:r w:rsidR="00284884" w:rsidRPr="00137120">
        <w:t>or on</w:t>
      </w:r>
      <w:r w:rsidR="00FA2EC0" w:rsidRPr="00137120">
        <w:t xml:space="preserve"> complet</w:t>
      </w:r>
      <w:r w:rsidR="00284884" w:rsidRPr="00137120">
        <w:t>ion of the project, including final performance reporting an</w:t>
      </w:r>
      <w:r w:rsidR="00AE2AFD" w:rsidRPr="00137120">
        <w:t>d</w:t>
      </w:r>
      <w:r w:rsidR="00284884" w:rsidRPr="00137120">
        <w:t xml:space="preserve"> processing of final payments against milestones</w:t>
      </w:r>
      <w:r w:rsidRPr="00137120">
        <w:t xml:space="preserve">, </w:t>
      </w:r>
      <w:r w:rsidR="00852ED8" w:rsidRPr="00137120">
        <w:t xml:space="preserve">unless </w:t>
      </w:r>
      <w:r w:rsidRPr="00137120">
        <w:t>terminat</w:t>
      </w:r>
      <w:r w:rsidR="00852ED8" w:rsidRPr="00137120">
        <w:t xml:space="preserve">ed </w:t>
      </w:r>
      <w:r w:rsidR="001A7A15" w:rsidRPr="00137120">
        <w:t xml:space="preserve">earlier </w:t>
      </w:r>
      <w:r w:rsidR="00852ED8" w:rsidRPr="00137120">
        <w:t xml:space="preserve">or extended </w:t>
      </w:r>
      <w:r w:rsidRPr="00137120">
        <w:t>as agreed in writing by the Parties.</w:t>
      </w:r>
    </w:p>
    <w:p w14:paraId="28FF2067" w14:textId="69CEF581"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5E8AE150" w14:textId="678FEC9A" w:rsidR="00814667" w:rsidRDefault="00814667">
      <w:pPr>
        <w:pStyle w:val="Heading2"/>
      </w:pPr>
      <w:r>
        <w:t>Outputs</w:t>
      </w:r>
    </w:p>
    <w:p w14:paraId="10F2A85C" w14:textId="58CC8E04" w:rsidR="0085738D" w:rsidRPr="00DF7615" w:rsidRDefault="00814667" w:rsidP="00DF7615">
      <w:pPr>
        <w:pStyle w:val="ListParagraph"/>
        <w:numPr>
          <w:ilvl w:val="0"/>
          <w:numId w:val="14"/>
        </w:numPr>
        <w:spacing w:after="240"/>
        <w:rPr>
          <w:rFonts w:ascii="Corbel" w:hAnsi="Corbel"/>
          <w:sz w:val="23"/>
          <w:szCs w:val="23"/>
        </w:rPr>
      </w:pPr>
      <w:r w:rsidRPr="00DF7615">
        <w:rPr>
          <w:rFonts w:ascii="Corbel" w:hAnsi="Corbel"/>
          <w:sz w:val="23"/>
          <w:szCs w:val="23"/>
        </w:rPr>
        <w:t>The o</w:t>
      </w:r>
      <w:r w:rsidR="005A1377" w:rsidRPr="00DF7615">
        <w:rPr>
          <w:rFonts w:ascii="Corbel" w:hAnsi="Corbel"/>
          <w:sz w:val="23"/>
          <w:szCs w:val="23"/>
        </w:rPr>
        <w:t xml:space="preserve">utput </w:t>
      </w:r>
      <w:r w:rsidR="006F79D3" w:rsidRPr="00DF7615">
        <w:rPr>
          <w:rFonts w:ascii="Corbel" w:hAnsi="Corbel"/>
          <w:sz w:val="23"/>
          <w:szCs w:val="23"/>
        </w:rPr>
        <w:t>of this Agreement will be</w:t>
      </w:r>
      <w:r w:rsidR="007F575E">
        <w:rPr>
          <w:rFonts w:ascii="Corbel" w:hAnsi="Corbel"/>
          <w:sz w:val="23"/>
          <w:szCs w:val="23"/>
        </w:rPr>
        <w:t xml:space="preserve"> the</w:t>
      </w:r>
      <w:r w:rsidR="005A1377" w:rsidRPr="00DF7615">
        <w:rPr>
          <w:rFonts w:ascii="Corbel" w:hAnsi="Corbel"/>
          <w:sz w:val="23"/>
          <w:szCs w:val="23"/>
        </w:rPr>
        <w:t>:</w:t>
      </w:r>
    </w:p>
    <w:p w14:paraId="30EC2466" w14:textId="373E3111" w:rsidR="00814667" w:rsidRPr="00DF7615" w:rsidRDefault="00DE198B">
      <w:pPr>
        <w:pStyle w:val="AlphaParagraph"/>
        <w:numPr>
          <w:ilvl w:val="0"/>
          <w:numId w:val="19"/>
        </w:numPr>
        <w:tabs>
          <w:tab w:val="clear" w:pos="567"/>
          <w:tab w:val="clear" w:pos="1418"/>
          <w:tab w:val="clear" w:pos="1701"/>
        </w:tabs>
        <w:ind w:left="1134" w:hanging="567"/>
        <w:rPr>
          <w:szCs w:val="23"/>
        </w:rPr>
      </w:pPr>
      <w:proofErr w:type="gramStart"/>
      <w:r w:rsidRPr="00DF7615">
        <w:rPr>
          <w:szCs w:val="23"/>
        </w:rPr>
        <w:t>installation</w:t>
      </w:r>
      <w:proofErr w:type="gramEnd"/>
      <w:r w:rsidRPr="00DF7615">
        <w:rPr>
          <w:szCs w:val="23"/>
        </w:rPr>
        <w:t xml:space="preserve"> </w:t>
      </w:r>
      <w:r w:rsidR="005A1377" w:rsidRPr="00DF7615">
        <w:rPr>
          <w:szCs w:val="23"/>
        </w:rPr>
        <w:t xml:space="preserve">of </w:t>
      </w:r>
      <w:r w:rsidR="0061700C">
        <w:rPr>
          <w:szCs w:val="23"/>
        </w:rPr>
        <w:t>a fully operational proton beam inclu</w:t>
      </w:r>
      <w:r w:rsidR="00861798">
        <w:rPr>
          <w:szCs w:val="23"/>
        </w:rPr>
        <w:t xml:space="preserve">sive of </w:t>
      </w:r>
      <w:r w:rsidR="005A1377" w:rsidRPr="00DF7615">
        <w:rPr>
          <w:szCs w:val="23"/>
        </w:rPr>
        <w:t>accelerat</w:t>
      </w:r>
      <w:r w:rsidR="00514864" w:rsidRPr="00DF7615">
        <w:rPr>
          <w:szCs w:val="23"/>
        </w:rPr>
        <w:t>or</w:t>
      </w:r>
      <w:r w:rsidR="005A1377" w:rsidRPr="00DF7615">
        <w:rPr>
          <w:szCs w:val="23"/>
        </w:rPr>
        <w:t xml:space="preserve"> equipment</w:t>
      </w:r>
      <w:r w:rsidR="00861798">
        <w:rPr>
          <w:szCs w:val="23"/>
        </w:rPr>
        <w:t xml:space="preserve">. </w:t>
      </w:r>
      <w:r w:rsidR="00E32959">
        <w:rPr>
          <w:szCs w:val="23"/>
        </w:rPr>
        <w:t xml:space="preserve"> </w:t>
      </w:r>
    </w:p>
    <w:p w14:paraId="6E3D1E77" w14:textId="77777777" w:rsidR="008F44F1" w:rsidRDefault="008F44F1">
      <w:pPr>
        <w:pStyle w:val="Heading1"/>
      </w:pPr>
      <w:r>
        <w:t>Part 3 — roles and responsibilities of each party</w:t>
      </w:r>
    </w:p>
    <w:p w14:paraId="39C6AB06" w14:textId="77777777" w:rsidR="008F44F1" w:rsidRDefault="008F44F1" w:rsidP="008F44F1">
      <w:pPr>
        <w:pStyle w:val="Heading2"/>
      </w:pPr>
      <w:r w:rsidRPr="00814590">
        <w:t>Role of the Commonwealth</w:t>
      </w:r>
    </w:p>
    <w:p w14:paraId="159BDF52" w14:textId="77777777" w:rsidR="008F44F1" w:rsidRDefault="008F44F1" w:rsidP="00AD21E7">
      <w:pPr>
        <w:pStyle w:val="Normalnumbered"/>
        <w:numPr>
          <w:ilvl w:val="0"/>
          <w:numId w:val="14"/>
        </w:numPr>
        <w:jc w:val="left"/>
      </w:pPr>
      <w:r>
        <w:t>The Commonwealth will be responsible for:</w:t>
      </w:r>
    </w:p>
    <w:p w14:paraId="17D313F9" w14:textId="5999E91A" w:rsidR="008F44F1" w:rsidRPr="000614F9" w:rsidRDefault="008F44F1" w:rsidP="00AD21E7">
      <w:pPr>
        <w:pStyle w:val="AlphaParagraph"/>
        <w:numPr>
          <w:ilvl w:val="0"/>
          <w:numId w:val="26"/>
        </w:numPr>
        <w:tabs>
          <w:tab w:val="clear" w:pos="567"/>
          <w:tab w:val="clear" w:pos="1418"/>
          <w:tab w:val="clear" w:pos="1701"/>
        </w:tabs>
        <w:ind w:left="1134" w:hanging="567"/>
      </w:pPr>
      <w:r w:rsidRPr="000614F9">
        <w:rPr>
          <w:color w:val="auto"/>
        </w:rPr>
        <w:t>monitoring</w:t>
      </w:r>
      <w:r w:rsidRPr="004B6083">
        <w:t xml:space="preserve"> and assessing achievement against mil</w:t>
      </w:r>
      <w:r w:rsidR="00793B9B">
        <w:t xml:space="preserve">estones in the delivery of the </w:t>
      </w:r>
      <w:r w:rsidR="00D36645">
        <w:t>p</w:t>
      </w:r>
      <w:r w:rsidR="00514864">
        <w:t xml:space="preserve">roton </w:t>
      </w:r>
      <w:r w:rsidR="00D36645">
        <w:t>b</w:t>
      </w:r>
      <w:r w:rsidR="00514864">
        <w:t xml:space="preserve">eam </w:t>
      </w:r>
      <w:r w:rsidR="007F575E">
        <w:t xml:space="preserve">therapy </w:t>
      </w:r>
      <w:r w:rsidR="00514864">
        <w:t>project</w:t>
      </w:r>
      <w:r w:rsidR="00793B9B">
        <w:t xml:space="preserve"> </w:t>
      </w:r>
      <w:r w:rsidRPr="000614F9">
        <w:rPr>
          <w:color w:val="auto"/>
        </w:rPr>
        <w:t>under</w:t>
      </w:r>
      <w:r w:rsidRPr="004B6083">
        <w:t xml:space="preserve"> this Agreement to ensure that outputs are delivered within the agreed timeframe; </w:t>
      </w:r>
      <w:r w:rsidR="00861798">
        <w:t xml:space="preserve">and </w:t>
      </w:r>
    </w:p>
    <w:p w14:paraId="17B2005D" w14:textId="0838A1A3" w:rsidR="008F44F1" w:rsidRPr="000614F9" w:rsidRDefault="008F44F1" w:rsidP="00AD21E7">
      <w:pPr>
        <w:pStyle w:val="AlphaParagraph"/>
        <w:numPr>
          <w:ilvl w:val="0"/>
          <w:numId w:val="19"/>
        </w:numPr>
        <w:tabs>
          <w:tab w:val="clear" w:pos="567"/>
          <w:tab w:val="clear" w:pos="1418"/>
          <w:tab w:val="clear" w:pos="1701"/>
        </w:tabs>
        <w:ind w:left="1134" w:hanging="567"/>
        <w:rPr>
          <w:color w:val="auto"/>
        </w:rPr>
      </w:pPr>
      <w:r w:rsidRPr="004B6083">
        <w:rPr>
          <w:color w:val="auto"/>
        </w:rPr>
        <w:t xml:space="preserve">providing a consequent financial contribution to </w:t>
      </w:r>
      <w:r w:rsidR="009678FB">
        <w:rPr>
          <w:color w:val="auto"/>
        </w:rPr>
        <w:t>South Australia</w:t>
      </w:r>
      <w:r w:rsidRPr="004B6083">
        <w:rPr>
          <w:color w:val="auto"/>
        </w:rPr>
        <w:t xml:space="preserve"> to support the </w:t>
      </w:r>
      <w:r w:rsidRPr="000614F9">
        <w:t>implementation</w:t>
      </w:r>
      <w:r w:rsidRPr="004B6083">
        <w:rPr>
          <w:color w:val="auto"/>
        </w:rPr>
        <w:t xml:space="preserve"> of this Agreement</w:t>
      </w:r>
      <w:r w:rsidR="00861798">
        <w:rPr>
          <w:color w:val="auto"/>
        </w:rPr>
        <w:t>.</w:t>
      </w:r>
    </w:p>
    <w:p w14:paraId="52702442" w14:textId="09C2DCE2" w:rsidR="008F44F1" w:rsidRPr="00751725" w:rsidRDefault="008F44F1" w:rsidP="008F44F1">
      <w:pPr>
        <w:pStyle w:val="Heading2"/>
      </w:pPr>
      <w:r w:rsidRPr="00751725">
        <w:t xml:space="preserve">Role of </w:t>
      </w:r>
      <w:r w:rsidR="009678FB">
        <w:t>South Australia</w:t>
      </w:r>
    </w:p>
    <w:p w14:paraId="47697DE6" w14:textId="77777777" w:rsidR="00C41E31" w:rsidRPr="00751725" w:rsidRDefault="00C41E31" w:rsidP="00C41E31">
      <w:pPr>
        <w:pStyle w:val="Normalnumbered"/>
        <w:numPr>
          <w:ilvl w:val="0"/>
          <w:numId w:val="14"/>
        </w:numPr>
        <w:jc w:val="left"/>
      </w:pPr>
      <w:r>
        <w:t>South Australia will be responsible for:</w:t>
      </w:r>
    </w:p>
    <w:p w14:paraId="350FCC01" w14:textId="68B11E32" w:rsidR="00C41E31" w:rsidRDefault="00C41E31" w:rsidP="00C41E31">
      <w:pPr>
        <w:pStyle w:val="AlphaParagraph"/>
        <w:numPr>
          <w:ilvl w:val="0"/>
          <w:numId w:val="23"/>
        </w:numPr>
        <w:tabs>
          <w:tab w:val="clear" w:pos="567"/>
          <w:tab w:val="clear" w:pos="1418"/>
          <w:tab w:val="clear" w:pos="1701"/>
        </w:tabs>
        <w:ind w:left="1134" w:hanging="567"/>
      </w:pPr>
      <w:r>
        <w:t>developing and providing to the Commonwealth a project plan</w:t>
      </w:r>
      <w:r w:rsidR="0053788B">
        <w:t xml:space="preserve"> within </w:t>
      </w:r>
      <w:r w:rsidR="001B2361">
        <w:t xml:space="preserve">90 </w:t>
      </w:r>
      <w:r w:rsidR="0053788B">
        <w:t>days of the signing of this agreement</w:t>
      </w:r>
      <w:r>
        <w:t>;</w:t>
      </w:r>
    </w:p>
    <w:p w14:paraId="3A1207F9" w14:textId="77777777" w:rsidR="00C41E31" w:rsidRDefault="00C41E31" w:rsidP="00C41E31">
      <w:pPr>
        <w:pStyle w:val="AlphaParagraph"/>
        <w:numPr>
          <w:ilvl w:val="0"/>
          <w:numId w:val="19"/>
        </w:numPr>
        <w:tabs>
          <w:tab w:val="clear" w:pos="567"/>
          <w:tab w:val="clear" w:pos="1418"/>
          <w:tab w:val="clear" w:pos="1701"/>
        </w:tabs>
        <w:ind w:left="1134" w:hanging="567"/>
      </w:pPr>
      <w:r>
        <w:t>all aspects of delivering on the project outputs set out in the Project Plan and in this  Agreement in accordance with clauses 13 to 15 of this Agreement;</w:t>
      </w:r>
    </w:p>
    <w:p w14:paraId="60C8AB7B" w14:textId="77777777" w:rsidR="00C41E31" w:rsidRDefault="00C41E31" w:rsidP="00C41E31">
      <w:pPr>
        <w:pStyle w:val="AlphaParagraph"/>
        <w:numPr>
          <w:ilvl w:val="0"/>
          <w:numId w:val="19"/>
        </w:numPr>
        <w:tabs>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p>
    <w:p w14:paraId="55531B85" w14:textId="7D8FDBA4" w:rsidR="00C41E31" w:rsidRPr="00751725" w:rsidRDefault="00C41E31" w:rsidP="00C56B8A">
      <w:pPr>
        <w:pStyle w:val="Normalnumbered"/>
        <w:numPr>
          <w:ilvl w:val="0"/>
          <w:numId w:val="14"/>
        </w:numPr>
        <w:jc w:val="left"/>
      </w:pPr>
      <w:bookmarkStart w:id="1" w:name="_Hlk528741724"/>
      <w:r>
        <w:t>South Australia will also be responsible for ensuring that, for the purposes of the practical completion, projects will:</w:t>
      </w:r>
    </w:p>
    <w:p w14:paraId="7053B067" w14:textId="4B7D193D" w:rsidR="00C41E31" w:rsidRDefault="00C41E31" w:rsidP="00821AA9">
      <w:pPr>
        <w:pStyle w:val="Normalnumbered"/>
        <w:numPr>
          <w:ilvl w:val="1"/>
          <w:numId w:val="14"/>
        </w:numPr>
        <w:jc w:val="left"/>
      </w:pPr>
      <w:r>
        <w:t>be complete and free from defects or omissions, except for defects or omissions that are minor in nature, that South Australia cannot reasonably fix, or by fixing, will significantly inconvenience users of the works;</w:t>
      </w:r>
    </w:p>
    <w:p w14:paraId="55A35F9F" w14:textId="12DEB768" w:rsidR="00C41E31" w:rsidRDefault="00C41E31" w:rsidP="00821AA9">
      <w:pPr>
        <w:pStyle w:val="Normalnumbered"/>
        <w:numPr>
          <w:ilvl w:val="1"/>
          <w:numId w:val="14"/>
        </w:numPr>
        <w:jc w:val="left"/>
      </w:pPr>
      <w:r>
        <w:t>not cause any legal or physical impediment to the use and occupation of the property and the works for the designated use; and</w:t>
      </w:r>
    </w:p>
    <w:p w14:paraId="7E91F12E" w14:textId="3EE90466" w:rsidR="00C41E31" w:rsidRDefault="00C41E31" w:rsidP="00821AA9">
      <w:pPr>
        <w:pStyle w:val="Normalnumbered"/>
        <w:numPr>
          <w:ilvl w:val="1"/>
          <w:numId w:val="14"/>
        </w:numPr>
        <w:jc w:val="left"/>
      </w:pPr>
      <w:r>
        <w:t>be fit for use for the designated use.</w:t>
      </w:r>
      <w:bookmarkEnd w:id="1"/>
    </w:p>
    <w:p w14:paraId="78209079" w14:textId="468F3285" w:rsidR="008F44F1" w:rsidRDefault="008F44F1" w:rsidP="004F5DCD">
      <w:pPr>
        <w:pStyle w:val="Heading2"/>
      </w:pPr>
      <w:r>
        <w:t>Shared roles</w:t>
      </w:r>
    </w:p>
    <w:p w14:paraId="1453742F" w14:textId="77777777" w:rsidR="00D54E26" w:rsidRDefault="008F44F1" w:rsidP="00AD21E7">
      <w:pPr>
        <w:pStyle w:val="Normalnumbered"/>
        <w:numPr>
          <w:ilvl w:val="0"/>
          <w:numId w:val="14"/>
        </w:numPr>
        <w:spacing w:after="480"/>
      </w:pPr>
      <w:r>
        <w:rPr>
          <w:color w:val="auto"/>
        </w:rPr>
        <w:t>The</w:t>
      </w:r>
      <w:r w:rsidRPr="00166312">
        <w:rPr>
          <w:color w:val="auto"/>
        </w:rPr>
        <w:t xml:space="preserve"> </w:t>
      </w:r>
      <w:r w:rsidRPr="00D54E26">
        <w:t xml:space="preserve">Parties will </w:t>
      </w:r>
      <w:r>
        <w:t xml:space="preserve">meet the requirements of Schedule E, Clause 26 of </w:t>
      </w:r>
      <w:r w:rsidRPr="00D54E26">
        <w:t xml:space="preserve">the </w:t>
      </w:r>
      <w:r w:rsidR="00C41265" w:rsidRPr="00D54E26">
        <w:t>IGA FFR</w:t>
      </w:r>
      <w:r w:rsidRPr="00D54E26">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609CFD13" w14:textId="77777777" w:rsidR="00D54E26" w:rsidRPr="00D54E26" w:rsidRDefault="00D54E26" w:rsidP="00D54E26">
      <w:pPr>
        <w:pStyle w:val="Heading2"/>
      </w:pPr>
      <w:r w:rsidRPr="00D54E26">
        <w:lastRenderedPageBreak/>
        <w:t>Project Plans</w:t>
      </w:r>
    </w:p>
    <w:p w14:paraId="01A59F1E" w14:textId="77777777" w:rsidR="00D54E26" w:rsidRDefault="00D54E26" w:rsidP="00000A75">
      <w:pPr>
        <w:pStyle w:val="Normalnumbered"/>
        <w:numPr>
          <w:ilvl w:val="0"/>
          <w:numId w:val="14"/>
        </w:numPr>
        <w:autoSpaceDE w:val="0"/>
        <w:autoSpaceDN w:val="0"/>
        <w:adjustRightInd w:val="0"/>
        <w:spacing w:after="0" w:line="240" w:lineRule="auto"/>
      </w:pPr>
      <w:r w:rsidRPr="00D54E26">
        <w:t>A Project Plan is required for this Agreement. It will be agreed by senior Commonwealth and</w:t>
      </w:r>
      <w:r w:rsidR="002631FE">
        <w:t xml:space="preserve"> </w:t>
      </w:r>
      <w:r>
        <w:t xml:space="preserve">South Australian </w:t>
      </w:r>
      <w:r w:rsidRPr="00D54E26">
        <w:t>officials and submitted to the Commonwealth Department of Health.</w:t>
      </w:r>
    </w:p>
    <w:p w14:paraId="49D5F3E0" w14:textId="77777777" w:rsidR="00D54E26" w:rsidRPr="00D54E26" w:rsidRDefault="00D54E26" w:rsidP="00000A75">
      <w:pPr>
        <w:autoSpaceDE w:val="0"/>
        <w:autoSpaceDN w:val="0"/>
        <w:adjustRightInd w:val="0"/>
        <w:spacing w:after="0" w:line="240" w:lineRule="auto"/>
      </w:pPr>
    </w:p>
    <w:p w14:paraId="1F07E45B" w14:textId="77777777" w:rsidR="00DF7615" w:rsidRDefault="00D54E26" w:rsidP="00DF7615">
      <w:pPr>
        <w:pStyle w:val="Normalnumbered"/>
        <w:numPr>
          <w:ilvl w:val="0"/>
          <w:numId w:val="14"/>
        </w:numPr>
        <w:autoSpaceDE w:val="0"/>
        <w:autoSpaceDN w:val="0"/>
        <w:adjustRightInd w:val="0"/>
        <w:spacing w:after="0" w:line="240" w:lineRule="auto"/>
      </w:pPr>
      <w:r w:rsidRPr="00D54E26">
        <w:t>Project Plans typically include details on scope, project schedule, budget, project stakeholders,</w:t>
      </w:r>
      <w:r w:rsidR="002631FE">
        <w:t xml:space="preserve"> </w:t>
      </w:r>
      <w:r w:rsidRPr="00D54E26">
        <w:t>governance arrangements, communication plan, high level design plans and a risk management</w:t>
      </w:r>
      <w:r w:rsidR="002631FE">
        <w:t xml:space="preserve"> </w:t>
      </w:r>
      <w:r w:rsidRPr="00D54E26">
        <w:t xml:space="preserve">plan. </w:t>
      </w:r>
      <w:r>
        <w:t xml:space="preserve">South Australia </w:t>
      </w:r>
      <w:r w:rsidRPr="00D54E26">
        <w:t>has the flexibility to determine how to meet this requirement and can</w:t>
      </w:r>
      <w:r w:rsidR="002631FE">
        <w:t xml:space="preserve"> </w:t>
      </w:r>
      <w:r w:rsidRPr="00D54E26">
        <w:t>make use of any existing information or document prepared for another purpose.</w:t>
      </w:r>
    </w:p>
    <w:p w14:paraId="0C77B2FE" w14:textId="0CD02884" w:rsidR="00D54E26" w:rsidRPr="00D54E26" w:rsidRDefault="00D54E26" w:rsidP="00DF7615">
      <w:pPr>
        <w:pStyle w:val="Normalnumbered"/>
        <w:numPr>
          <w:ilvl w:val="0"/>
          <w:numId w:val="14"/>
        </w:numPr>
        <w:autoSpaceDE w:val="0"/>
        <w:autoSpaceDN w:val="0"/>
        <w:adjustRightInd w:val="0"/>
        <w:spacing w:before="240" w:after="0" w:line="240" w:lineRule="auto"/>
      </w:pPr>
      <w:r w:rsidRPr="00D54E26">
        <w:t>The Project Plan is expected to be a flexible document that may be varied over time to</w:t>
      </w:r>
      <w:r w:rsidR="00DF7615">
        <w:t xml:space="preserve"> </w:t>
      </w:r>
      <w:r w:rsidRPr="00D54E26">
        <w:t xml:space="preserve">accommodate changed circumstances. </w:t>
      </w:r>
      <w:r w:rsidR="00DC3052">
        <w:t xml:space="preserve"> </w:t>
      </w:r>
      <w:r w:rsidRPr="00D54E26">
        <w:t>However, variations to the Project Plan that directly</w:t>
      </w:r>
      <w:r w:rsidR="00DF7615">
        <w:t xml:space="preserve"> </w:t>
      </w:r>
      <w:r w:rsidRPr="00D54E26">
        <w:t>affect payment milestones and their achievement are subject to written agreement between</w:t>
      </w:r>
      <w:r w:rsidR="00DF7615">
        <w:t xml:space="preserve"> </w:t>
      </w:r>
      <w:r w:rsidRPr="00D54E26">
        <w:t xml:space="preserve">senior Commonwealth and </w:t>
      </w:r>
      <w:r>
        <w:t xml:space="preserve">South Australian </w:t>
      </w:r>
      <w:r w:rsidRPr="00D54E26">
        <w:t>officials.</w:t>
      </w:r>
    </w:p>
    <w:p w14:paraId="671A6881"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7B27F979" w14:textId="77777777" w:rsidR="004B6083" w:rsidRDefault="00545DF7" w:rsidP="00AD21E7">
      <w:pPr>
        <w:pStyle w:val="Normalnumbered"/>
        <w:numPr>
          <w:ilvl w:val="0"/>
          <w:numId w:val="14"/>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479A8447" w14:textId="77777777" w:rsidR="00F3245D" w:rsidRPr="000E2AF6" w:rsidRDefault="0095223D" w:rsidP="00EB26B9">
      <w:pPr>
        <w:pStyle w:val="Normalnumbered"/>
        <w:keepNext/>
        <w:numPr>
          <w:ilvl w:val="0"/>
          <w:numId w:val="0"/>
        </w:numPr>
        <w:spacing w:after="120"/>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99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35"/>
        <w:gridCol w:w="4386"/>
        <w:gridCol w:w="1533"/>
        <w:gridCol w:w="1559"/>
      </w:tblGrid>
      <w:tr w:rsidR="009921D4" w:rsidRPr="00C26C5B" w14:paraId="1750FCE9" w14:textId="77777777" w:rsidTr="0079712B">
        <w:trPr>
          <w:trHeight w:val="1163"/>
        </w:trPr>
        <w:tc>
          <w:tcPr>
            <w:tcW w:w="2435" w:type="dxa"/>
            <w:tcBorders>
              <w:bottom w:val="single" w:sz="18" w:space="0" w:color="4F81BD"/>
            </w:tcBorders>
          </w:tcPr>
          <w:p w14:paraId="0DD1723C" w14:textId="640415D9" w:rsidR="009921D4" w:rsidRPr="00C26C5B" w:rsidRDefault="009921D4" w:rsidP="00DE198B">
            <w:pPr>
              <w:pStyle w:val="Heading2"/>
              <w:rPr>
                <w:bCs w:val="0"/>
                <w:szCs w:val="24"/>
              </w:rPr>
            </w:pPr>
            <w:r w:rsidRPr="00C26C5B">
              <w:rPr>
                <w:bCs w:val="0"/>
                <w:szCs w:val="24"/>
              </w:rPr>
              <w:t>Output</w:t>
            </w:r>
            <w:r>
              <w:rPr>
                <w:bCs w:val="0"/>
                <w:szCs w:val="24"/>
              </w:rPr>
              <w:t>s</w:t>
            </w:r>
            <w:r>
              <w:rPr>
                <w:bCs w:val="0"/>
                <w:szCs w:val="24"/>
              </w:rPr>
              <w:br/>
            </w:r>
          </w:p>
        </w:tc>
        <w:tc>
          <w:tcPr>
            <w:tcW w:w="4386" w:type="dxa"/>
            <w:tcBorders>
              <w:bottom w:val="single" w:sz="18" w:space="0" w:color="4F81BD"/>
            </w:tcBorders>
          </w:tcPr>
          <w:p w14:paraId="3718247D" w14:textId="1511423E" w:rsidR="009921D4" w:rsidRPr="00C26C5B" w:rsidRDefault="009921D4" w:rsidP="00DE198B">
            <w:pPr>
              <w:pStyle w:val="Heading2"/>
              <w:rPr>
                <w:bCs w:val="0"/>
                <w:szCs w:val="24"/>
              </w:rPr>
            </w:pPr>
            <w:r>
              <w:rPr>
                <w:bCs w:val="0"/>
                <w:szCs w:val="24"/>
              </w:rPr>
              <w:t>Performance m</w:t>
            </w:r>
            <w:r w:rsidRPr="00C26C5B">
              <w:rPr>
                <w:bCs w:val="0"/>
                <w:szCs w:val="24"/>
              </w:rPr>
              <w:t>ilestone</w:t>
            </w:r>
            <w:r w:rsidRPr="00A9341B">
              <w:rPr>
                <w:bCs w:val="0"/>
                <w:szCs w:val="24"/>
              </w:rPr>
              <w:t>s</w:t>
            </w:r>
            <w:r>
              <w:rPr>
                <w:bCs w:val="0"/>
                <w:szCs w:val="24"/>
              </w:rPr>
              <w:br/>
            </w:r>
          </w:p>
        </w:tc>
        <w:tc>
          <w:tcPr>
            <w:tcW w:w="1533" w:type="dxa"/>
            <w:tcBorders>
              <w:bottom w:val="single" w:sz="18" w:space="0" w:color="4F81BD"/>
            </w:tcBorders>
          </w:tcPr>
          <w:p w14:paraId="343CAE32" w14:textId="77777777" w:rsidR="009921D4" w:rsidRPr="00D0312C" w:rsidRDefault="009921D4" w:rsidP="00073662">
            <w:pPr>
              <w:pStyle w:val="Heading2"/>
              <w:rPr>
                <w:sz w:val="18"/>
                <w:szCs w:val="18"/>
              </w:rPr>
            </w:pPr>
            <w:r w:rsidRPr="00DE36EB">
              <w:rPr>
                <w:bCs w:val="0"/>
                <w:szCs w:val="24"/>
              </w:rPr>
              <w:t>Report due</w:t>
            </w:r>
            <w:r>
              <w:rPr>
                <w:bCs w:val="0"/>
                <w:szCs w:val="24"/>
              </w:rPr>
              <w:t xml:space="preserve"> </w:t>
            </w:r>
          </w:p>
        </w:tc>
        <w:tc>
          <w:tcPr>
            <w:tcW w:w="1559" w:type="dxa"/>
            <w:tcBorders>
              <w:bottom w:val="single" w:sz="18" w:space="0" w:color="4F81BD"/>
            </w:tcBorders>
          </w:tcPr>
          <w:p w14:paraId="16F38564" w14:textId="77777777" w:rsidR="009921D4" w:rsidRPr="00C26C5B" w:rsidRDefault="009921D4" w:rsidP="00073662">
            <w:pPr>
              <w:pStyle w:val="Heading2"/>
              <w:rPr>
                <w:bCs w:val="0"/>
                <w:szCs w:val="24"/>
              </w:rPr>
            </w:pPr>
            <w:r w:rsidRPr="00C26C5B">
              <w:rPr>
                <w:bCs w:val="0"/>
                <w:szCs w:val="24"/>
              </w:rPr>
              <w:t>Payment</w:t>
            </w:r>
          </w:p>
        </w:tc>
      </w:tr>
      <w:tr w:rsidR="00D6217D" w:rsidRPr="00C26C5B" w14:paraId="3769687E" w14:textId="77777777" w:rsidTr="0053788B">
        <w:trPr>
          <w:trHeight w:val="797"/>
        </w:trPr>
        <w:tc>
          <w:tcPr>
            <w:tcW w:w="2435" w:type="dxa"/>
            <w:vMerge w:val="restart"/>
            <w:shd w:val="clear" w:color="auto" w:fill="auto"/>
          </w:tcPr>
          <w:p w14:paraId="2B6AC24E" w14:textId="27E80F7F" w:rsidR="00D6217D" w:rsidRPr="009F18AF" w:rsidRDefault="00C41E31" w:rsidP="00C41E31">
            <w:pPr>
              <w:pStyle w:val="Heading2"/>
              <w:spacing w:before="0" w:after="0"/>
              <w:rPr>
                <w:b w:val="0"/>
                <w:color w:val="auto"/>
                <w:sz w:val="23"/>
                <w:szCs w:val="23"/>
              </w:rPr>
            </w:pPr>
            <w:r>
              <w:rPr>
                <w:b w:val="0"/>
                <w:color w:val="auto"/>
                <w:sz w:val="23"/>
                <w:szCs w:val="23"/>
              </w:rPr>
              <w:t>I</w:t>
            </w:r>
            <w:r w:rsidR="0072241B" w:rsidRPr="009F18AF">
              <w:rPr>
                <w:b w:val="0"/>
                <w:color w:val="auto"/>
                <w:sz w:val="23"/>
                <w:szCs w:val="23"/>
              </w:rPr>
              <w:t>n accordance with clause 8 of this Agreement</w:t>
            </w:r>
          </w:p>
        </w:tc>
        <w:tc>
          <w:tcPr>
            <w:tcW w:w="4386" w:type="dxa"/>
            <w:shd w:val="clear" w:color="auto" w:fill="auto"/>
          </w:tcPr>
          <w:p w14:paraId="152F6495" w14:textId="6451D0D0" w:rsidR="00D6217D" w:rsidRPr="00BB06AF" w:rsidRDefault="00D6217D" w:rsidP="0053788B">
            <w:pPr>
              <w:rPr>
                <w:b/>
                <w:color w:val="auto"/>
                <w:szCs w:val="23"/>
              </w:rPr>
            </w:pPr>
            <w:r w:rsidRPr="009F18AF">
              <w:rPr>
                <w:rFonts w:cs="Calibri"/>
                <w:szCs w:val="23"/>
                <w:lang w:eastAsia="en-US"/>
              </w:rPr>
              <w:t>SAHMRI meeting the conditions precedent under the Agreement to lease between the SA Minister for Transport and SAHMRI</w:t>
            </w:r>
          </w:p>
        </w:tc>
        <w:tc>
          <w:tcPr>
            <w:tcW w:w="1533" w:type="dxa"/>
            <w:shd w:val="clear" w:color="auto" w:fill="auto"/>
          </w:tcPr>
          <w:p w14:paraId="56327454" w14:textId="739D2F53" w:rsidR="00D6217D" w:rsidRPr="009F18AF" w:rsidRDefault="00821AA9" w:rsidP="0079712B">
            <w:pPr>
              <w:pStyle w:val="Heading2"/>
              <w:spacing w:before="0" w:after="0"/>
              <w:rPr>
                <w:b w:val="0"/>
                <w:color w:val="auto"/>
                <w:sz w:val="23"/>
                <w:szCs w:val="23"/>
              </w:rPr>
            </w:pPr>
            <w:r>
              <w:rPr>
                <w:b w:val="0"/>
                <w:color w:val="auto"/>
                <w:sz w:val="23"/>
                <w:szCs w:val="23"/>
              </w:rPr>
              <w:t>January</w:t>
            </w:r>
            <w:r w:rsidRPr="009F18AF">
              <w:rPr>
                <w:b w:val="0"/>
                <w:color w:val="auto"/>
                <w:sz w:val="23"/>
                <w:szCs w:val="23"/>
              </w:rPr>
              <w:t xml:space="preserve"> 201</w:t>
            </w:r>
            <w:r>
              <w:rPr>
                <w:b w:val="0"/>
                <w:color w:val="auto"/>
                <w:sz w:val="23"/>
                <w:szCs w:val="23"/>
              </w:rPr>
              <w:t>9</w:t>
            </w:r>
          </w:p>
        </w:tc>
        <w:tc>
          <w:tcPr>
            <w:tcW w:w="1559" w:type="dxa"/>
            <w:shd w:val="clear" w:color="auto" w:fill="auto"/>
          </w:tcPr>
          <w:p w14:paraId="68A5B04D" w14:textId="2FB32971" w:rsidR="00D6217D" w:rsidRPr="009F18AF" w:rsidRDefault="00D6217D" w:rsidP="00823DAF">
            <w:pPr>
              <w:pStyle w:val="Heading2"/>
              <w:spacing w:before="0" w:after="0"/>
              <w:rPr>
                <w:b w:val="0"/>
                <w:color w:val="auto"/>
                <w:sz w:val="23"/>
                <w:szCs w:val="23"/>
              </w:rPr>
            </w:pPr>
            <w:r w:rsidRPr="009F18AF">
              <w:rPr>
                <w:b w:val="0"/>
                <w:color w:val="auto"/>
                <w:sz w:val="23"/>
                <w:szCs w:val="23"/>
              </w:rPr>
              <w:t>$</w:t>
            </w:r>
            <w:r w:rsidR="002702C2">
              <w:rPr>
                <w:b w:val="0"/>
                <w:color w:val="auto"/>
                <w:sz w:val="23"/>
                <w:szCs w:val="23"/>
              </w:rPr>
              <w:t>26</w:t>
            </w:r>
            <w:r w:rsidRPr="009F18AF">
              <w:rPr>
                <w:b w:val="0"/>
                <w:color w:val="auto"/>
                <w:sz w:val="23"/>
                <w:szCs w:val="23"/>
              </w:rPr>
              <w:t>.7</w:t>
            </w:r>
            <w:r w:rsidR="00FE40B2">
              <w:rPr>
                <w:b w:val="0"/>
                <w:color w:val="auto"/>
                <w:sz w:val="23"/>
                <w:szCs w:val="23"/>
              </w:rPr>
              <w:t>2</w:t>
            </w:r>
            <w:r w:rsidRPr="009F18AF">
              <w:rPr>
                <w:b w:val="0"/>
                <w:color w:val="auto"/>
                <w:sz w:val="23"/>
                <w:szCs w:val="23"/>
              </w:rPr>
              <w:t>m</w:t>
            </w:r>
          </w:p>
        </w:tc>
      </w:tr>
      <w:tr w:rsidR="002702C2" w:rsidRPr="00C26C5B" w14:paraId="59801544" w14:textId="77777777" w:rsidTr="0079712B">
        <w:trPr>
          <w:trHeight w:val="515"/>
        </w:trPr>
        <w:tc>
          <w:tcPr>
            <w:tcW w:w="2435" w:type="dxa"/>
            <w:vMerge/>
            <w:shd w:val="clear" w:color="auto" w:fill="auto"/>
          </w:tcPr>
          <w:p w14:paraId="5E5BCB13" w14:textId="77777777" w:rsidR="002702C2" w:rsidRPr="009F18AF" w:rsidRDefault="002702C2" w:rsidP="00DE6504">
            <w:pPr>
              <w:pStyle w:val="Heading2"/>
              <w:rPr>
                <w:b w:val="0"/>
                <w:bCs w:val="0"/>
                <w:color w:val="auto"/>
                <w:sz w:val="23"/>
                <w:szCs w:val="23"/>
              </w:rPr>
            </w:pPr>
          </w:p>
        </w:tc>
        <w:tc>
          <w:tcPr>
            <w:tcW w:w="4386" w:type="dxa"/>
            <w:shd w:val="clear" w:color="auto" w:fill="auto"/>
          </w:tcPr>
          <w:p w14:paraId="2A318BC1" w14:textId="73604C60" w:rsidR="002702C2" w:rsidRPr="009F18AF" w:rsidRDefault="002702C2" w:rsidP="002702C2">
            <w:pPr>
              <w:spacing w:after="0" w:line="240" w:lineRule="auto"/>
              <w:jc w:val="left"/>
              <w:rPr>
                <w:rFonts w:cs="Calibri"/>
                <w:color w:val="auto"/>
                <w:szCs w:val="23"/>
                <w:lang w:eastAsia="en-US"/>
              </w:rPr>
            </w:pPr>
            <w:r>
              <w:rPr>
                <w:rFonts w:cs="Calibri"/>
                <w:color w:val="auto"/>
                <w:szCs w:val="23"/>
                <w:lang w:eastAsia="en-US"/>
              </w:rPr>
              <w:t xml:space="preserve">A report from SAHMRI confirming the </w:t>
            </w:r>
            <w:r w:rsidRPr="009F18AF">
              <w:rPr>
                <w:rFonts w:cs="Calibri"/>
                <w:color w:val="auto"/>
                <w:szCs w:val="23"/>
                <w:lang w:eastAsia="en-US"/>
              </w:rPr>
              <w:t xml:space="preserve">transfer of title </w:t>
            </w:r>
            <w:r>
              <w:rPr>
                <w:rFonts w:cs="Calibri"/>
                <w:color w:val="auto"/>
                <w:szCs w:val="23"/>
                <w:lang w:eastAsia="en-US"/>
              </w:rPr>
              <w:t xml:space="preserve">from ProTom International Holdings to SAHMRI </w:t>
            </w:r>
            <w:r w:rsidR="00CC57CE">
              <w:rPr>
                <w:rFonts w:cs="Calibri"/>
                <w:color w:val="auto"/>
                <w:szCs w:val="23"/>
                <w:lang w:eastAsia="en-US"/>
              </w:rPr>
              <w:t xml:space="preserve"> and the onsite delivery </w:t>
            </w:r>
            <w:r w:rsidRPr="009F18AF">
              <w:rPr>
                <w:rFonts w:cs="Calibri"/>
                <w:color w:val="auto"/>
                <w:szCs w:val="23"/>
                <w:lang w:eastAsia="en-US"/>
              </w:rPr>
              <w:t>of the following equipment:</w:t>
            </w:r>
          </w:p>
          <w:p w14:paraId="2ACEFB91" w14:textId="44E88543" w:rsidR="00CC57CE" w:rsidRPr="00CC57CE" w:rsidRDefault="002702C2" w:rsidP="00CC57CE">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ascii="Corbel" w:hAnsi="Corbel" w:cs="Calibri"/>
                <w:sz w:val="23"/>
                <w:szCs w:val="23"/>
                <w:lang w:eastAsia="en-US"/>
              </w:rPr>
            </w:pPr>
            <w:r w:rsidRPr="00CC57CE">
              <w:rPr>
                <w:rFonts w:ascii="Corbel" w:hAnsi="Corbel" w:cs="Calibri"/>
                <w:sz w:val="23"/>
                <w:szCs w:val="23"/>
                <w:lang w:eastAsia="en-US"/>
              </w:rPr>
              <w:t>The synchrotron</w:t>
            </w:r>
          </w:p>
          <w:p w14:paraId="7A1F79D3" w14:textId="77777777" w:rsidR="00CC57CE" w:rsidRPr="00CC57CE" w:rsidRDefault="002702C2" w:rsidP="00CC57CE">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ascii="Corbel" w:hAnsi="Corbel" w:cs="Calibri"/>
                <w:sz w:val="23"/>
                <w:szCs w:val="23"/>
                <w:lang w:eastAsia="en-US"/>
              </w:rPr>
            </w:pPr>
            <w:r w:rsidRPr="00CC57CE">
              <w:rPr>
                <w:rFonts w:ascii="Corbel" w:hAnsi="Corbel" w:cs="Calibri"/>
                <w:sz w:val="23"/>
                <w:szCs w:val="23"/>
                <w:lang w:eastAsia="en-US"/>
              </w:rPr>
              <w:t>Radio-Frequency Quadrupole</w:t>
            </w:r>
          </w:p>
          <w:p w14:paraId="4DCD3FB1" w14:textId="77777777" w:rsidR="00CC57CE" w:rsidRPr="00CC57CE" w:rsidRDefault="002702C2" w:rsidP="00CC57CE">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ascii="Corbel" w:hAnsi="Corbel" w:cs="Calibri"/>
                <w:sz w:val="23"/>
                <w:szCs w:val="23"/>
                <w:lang w:eastAsia="en-US"/>
              </w:rPr>
            </w:pPr>
            <w:r w:rsidRPr="00CC57CE">
              <w:rPr>
                <w:rFonts w:ascii="Corbel" w:hAnsi="Corbel" w:cs="Calibri"/>
                <w:sz w:val="23"/>
                <w:szCs w:val="23"/>
                <w:lang w:eastAsia="en-US"/>
              </w:rPr>
              <w:t>Main Power Supply</w:t>
            </w:r>
          </w:p>
          <w:p w14:paraId="47DD2C82" w14:textId="11AB6686" w:rsidR="00CC57CE" w:rsidRPr="00CC57CE" w:rsidRDefault="002702C2" w:rsidP="00CC57CE">
            <w:pPr>
              <w:pStyle w:val="ListParagraph"/>
              <w:numPr>
                <w:ilvl w:val="0"/>
                <w:numId w:val="31"/>
              </w:numPr>
              <w:tabs>
                <w:tab w:val="left" w:pos="-1440"/>
                <w:tab w:val="left" w:pos="-720"/>
                <w:tab w:val="left" w:pos="-270"/>
              </w:tabs>
              <w:spacing w:before="120" w:after="120" w:line="240" w:lineRule="atLeast"/>
              <w:contextualSpacing/>
              <w:rPr>
                <w:rFonts w:ascii="Corbel" w:hAnsi="Corbel" w:cs="Calibri"/>
                <w:sz w:val="23"/>
                <w:szCs w:val="23"/>
                <w:lang w:eastAsia="en-US"/>
              </w:rPr>
            </w:pPr>
            <w:r w:rsidRPr="00CC57CE">
              <w:rPr>
                <w:rFonts w:ascii="Corbel" w:hAnsi="Corbel" w:cs="Calibri"/>
                <w:sz w:val="23"/>
                <w:szCs w:val="23"/>
                <w:lang w:eastAsia="en-US"/>
              </w:rPr>
              <w:t xml:space="preserve">3 medPhoton cone beam computed </w:t>
            </w:r>
            <w:r w:rsidR="00CC57CE">
              <w:rPr>
                <w:rFonts w:ascii="Corbel" w:hAnsi="Corbel" w:cs="Calibri"/>
                <w:sz w:val="23"/>
                <w:szCs w:val="23"/>
                <w:lang w:eastAsia="en-US"/>
              </w:rPr>
              <w:t xml:space="preserve"> </w:t>
            </w:r>
            <w:r w:rsidRPr="00CC57CE">
              <w:rPr>
                <w:rFonts w:ascii="Corbel" w:hAnsi="Corbel" w:cs="Calibri"/>
                <w:sz w:val="23"/>
                <w:szCs w:val="23"/>
                <w:lang w:eastAsia="en-US"/>
              </w:rPr>
              <w:t>tomography systems</w:t>
            </w:r>
          </w:p>
          <w:p w14:paraId="58FB446A" w14:textId="575E9045" w:rsidR="00CC57CE" w:rsidRPr="00CC57CE" w:rsidRDefault="002702C2" w:rsidP="00CC57CE">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ascii="Corbel" w:hAnsi="Corbel" w:cs="Calibri"/>
                <w:sz w:val="23"/>
                <w:szCs w:val="23"/>
                <w:lang w:eastAsia="en-US"/>
              </w:rPr>
            </w:pPr>
            <w:r w:rsidRPr="00CC57CE">
              <w:rPr>
                <w:rFonts w:ascii="Corbel" w:hAnsi="Corbel" w:cs="Calibri"/>
                <w:sz w:val="23"/>
                <w:szCs w:val="23"/>
                <w:lang w:eastAsia="en-US"/>
              </w:rPr>
              <w:t>3 patient positioning systems</w:t>
            </w:r>
          </w:p>
          <w:p w14:paraId="4A7AB01E" w14:textId="416166E1" w:rsidR="00CC57CE" w:rsidRPr="00CC57CE" w:rsidRDefault="002702C2" w:rsidP="00CC57CE">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ascii="Corbel" w:hAnsi="Corbel" w:cs="Calibri"/>
                <w:sz w:val="23"/>
                <w:szCs w:val="23"/>
                <w:lang w:eastAsia="en-US"/>
              </w:rPr>
            </w:pPr>
            <w:r w:rsidRPr="00CC57CE">
              <w:rPr>
                <w:rFonts w:ascii="Corbel" w:hAnsi="Corbel" w:cs="Calibri"/>
                <w:sz w:val="23"/>
                <w:szCs w:val="23"/>
                <w:lang w:eastAsia="en-US"/>
              </w:rPr>
              <w:t>3 2D X-ray systems</w:t>
            </w:r>
          </w:p>
          <w:p w14:paraId="7C201C1D" w14:textId="3BB409F0" w:rsidR="00CC57CE" w:rsidRPr="00CC57CE" w:rsidRDefault="002702C2" w:rsidP="00CC57CE">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ascii="Corbel" w:hAnsi="Corbel" w:cs="Calibri"/>
                <w:sz w:val="23"/>
                <w:szCs w:val="23"/>
                <w:lang w:eastAsia="en-US"/>
              </w:rPr>
            </w:pPr>
            <w:r w:rsidRPr="00CC57CE">
              <w:rPr>
                <w:rFonts w:ascii="Corbel" w:hAnsi="Corbel" w:cs="Calibri"/>
                <w:sz w:val="23"/>
                <w:szCs w:val="23"/>
                <w:lang w:eastAsia="en-US"/>
              </w:rPr>
              <w:t>3 scanning nozzles; and</w:t>
            </w:r>
          </w:p>
          <w:p w14:paraId="028A7B56" w14:textId="5B9E86E0" w:rsidR="002702C2" w:rsidRPr="00CC57CE" w:rsidRDefault="00CC57CE" w:rsidP="00CC57CE">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cs="Calibri"/>
                <w:szCs w:val="23"/>
                <w:lang w:eastAsia="en-US"/>
              </w:rPr>
            </w:pPr>
            <w:r>
              <w:rPr>
                <w:rFonts w:ascii="Corbel" w:hAnsi="Corbel" w:cs="Calibri"/>
                <w:sz w:val="23"/>
                <w:szCs w:val="23"/>
                <w:lang w:eastAsia="en-US"/>
              </w:rPr>
              <w:t>2</w:t>
            </w:r>
            <w:r w:rsidR="002702C2" w:rsidRPr="00CC57CE">
              <w:rPr>
                <w:rFonts w:ascii="Corbel" w:hAnsi="Corbel" w:cs="Calibri"/>
                <w:sz w:val="23"/>
                <w:szCs w:val="23"/>
                <w:lang w:eastAsia="en-US"/>
              </w:rPr>
              <w:t xml:space="preserve"> gantries</w:t>
            </w:r>
          </w:p>
        </w:tc>
        <w:tc>
          <w:tcPr>
            <w:tcW w:w="1533" w:type="dxa"/>
            <w:shd w:val="clear" w:color="auto" w:fill="auto"/>
          </w:tcPr>
          <w:p w14:paraId="15AA4725" w14:textId="1BE9A3AF" w:rsidR="002702C2" w:rsidRPr="009F18AF" w:rsidRDefault="002702C2" w:rsidP="00073662">
            <w:pPr>
              <w:pStyle w:val="Heading2"/>
              <w:rPr>
                <w:b w:val="0"/>
                <w:color w:val="auto"/>
                <w:sz w:val="23"/>
                <w:szCs w:val="23"/>
              </w:rPr>
            </w:pPr>
            <w:r>
              <w:rPr>
                <w:b w:val="0"/>
                <w:color w:val="auto"/>
                <w:sz w:val="23"/>
                <w:szCs w:val="23"/>
              </w:rPr>
              <w:t>April 2019</w:t>
            </w:r>
          </w:p>
        </w:tc>
        <w:tc>
          <w:tcPr>
            <w:tcW w:w="1559" w:type="dxa"/>
            <w:shd w:val="clear" w:color="auto" w:fill="auto"/>
          </w:tcPr>
          <w:p w14:paraId="40781310" w14:textId="64D8C186" w:rsidR="002702C2" w:rsidRPr="009F18AF" w:rsidRDefault="002702C2" w:rsidP="009F18AF">
            <w:pPr>
              <w:pStyle w:val="Heading2"/>
              <w:rPr>
                <w:b w:val="0"/>
                <w:color w:val="auto"/>
                <w:sz w:val="23"/>
                <w:szCs w:val="23"/>
              </w:rPr>
            </w:pPr>
            <w:r>
              <w:rPr>
                <w:b w:val="0"/>
                <w:color w:val="auto"/>
                <w:sz w:val="23"/>
                <w:szCs w:val="23"/>
              </w:rPr>
              <w:t>$14.0m</w:t>
            </w:r>
          </w:p>
        </w:tc>
      </w:tr>
      <w:tr w:rsidR="002702C2" w:rsidRPr="00C26C5B" w14:paraId="4EE00DEC" w14:textId="77777777" w:rsidTr="0079712B">
        <w:trPr>
          <w:trHeight w:val="515"/>
        </w:trPr>
        <w:tc>
          <w:tcPr>
            <w:tcW w:w="2435" w:type="dxa"/>
            <w:vMerge/>
            <w:shd w:val="clear" w:color="auto" w:fill="auto"/>
          </w:tcPr>
          <w:p w14:paraId="6537BF50" w14:textId="77777777" w:rsidR="002702C2" w:rsidRPr="009F18AF" w:rsidRDefault="002702C2" w:rsidP="00DE6504">
            <w:pPr>
              <w:pStyle w:val="Heading2"/>
              <w:rPr>
                <w:b w:val="0"/>
                <w:bCs w:val="0"/>
                <w:color w:val="auto"/>
                <w:sz w:val="23"/>
                <w:szCs w:val="23"/>
              </w:rPr>
            </w:pPr>
          </w:p>
        </w:tc>
        <w:tc>
          <w:tcPr>
            <w:tcW w:w="4386" w:type="dxa"/>
            <w:shd w:val="clear" w:color="auto" w:fill="auto"/>
          </w:tcPr>
          <w:p w14:paraId="09272631" w14:textId="3FA608E9" w:rsidR="002702C2" w:rsidRPr="009F18AF" w:rsidRDefault="002702C2" w:rsidP="002702C2">
            <w:pPr>
              <w:spacing w:after="0"/>
              <w:rPr>
                <w:rFonts w:cstheme="minorHAnsi"/>
                <w:szCs w:val="23"/>
              </w:rPr>
            </w:pPr>
            <w:r>
              <w:rPr>
                <w:rFonts w:cstheme="minorHAnsi"/>
                <w:szCs w:val="23"/>
              </w:rPr>
              <w:t xml:space="preserve"> A report from SAHMRI confirming</w:t>
            </w:r>
            <w:r w:rsidRPr="009F18AF">
              <w:rPr>
                <w:rFonts w:cstheme="minorHAnsi"/>
                <w:szCs w:val="23"/>
              </w:rPr>
              <w:t xml:space="preserve"> factory acceptance testing of:</w:t>
            </w:r>
          </w:p>
          <w:p w14:paraId="3DF0D980" w14:textId="7E80498E" w:rsidR="002702C2" w:rsidRPr="009F18AF" w:rsidRDefault="002702C2" w:rsidP="002702C2">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ascii="Corbel" w:hAnsi="Corbel" w:cstheme="minorHAnsi"/>
                <w:color w:val="000000"/>
                <w:sz w:val="23"/>
                <w:szCs w:val="23"/>
              </w:rPr>
            </w:pPr>
            <w:r w:rsidRPr="009F18AF">
              <w:rPr>
                <w:rFonts w:ascii="Corbel" w:hAnsi="Corbel" w:cstheme="minorHAnsi"/>
                <w:color w:val="000000"/>
                <w:sz w:val="23"/>
                <w:szCs w:val="23"/>
              </w:rPr>
              <w:t xml:space="preserve">2 gantries, </w:t>
            </w:r>
          </w:p>
          <w:p w14:paraId="5BD4EA13" w14:textId="77777777" w:rsidR="002702C2" w:rsidRPr="009F18AF" w:rsidRDefault="002702C2" w:rsidP="002702C2">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ascii="Corbel" w:hAnsi="Corbel" w:cstheme="minorHAnsi"/>
                <w:color w:val="000000"/>
                <w:sz w:val="23"/>
                <w:szCs w:val="23"/>
              </w:rPr>
            </w:pPr>
            <w:r w:rsidRPr="009F18AF">
              <w:rPr>
                <w:rFonts w:ascii="Corbel" w:hAnsi="Corbel" w:cstheme="minorHAnsi"/>
                <w:color w:val="000000"/>
                <w:sz w:val="23"/>
                <w:szCs w:val="23"/>
              </w:rPr>
              <w:t>Synchrotron; and</w:t>
            </w:r>
          </w:p>
          <w:p w14:paraId="1224CE4C" w14:textId="77777777" w:rsidR="002702C2" w:rsidRDefault="002702C2" w:rsidP="002702C2">
            <w:pPr>
              <w:pStyle w:val="ListParagraph"/>
              <w:numPr>
                <w:ilvl w:val="0"/>
                <w:numId w:val="31"/>
              </w:numPr>
              <w:tabs>
                <w:tab w:val="left" w:pos="-1440"/>
                <w:tab w:val="left" w:pos="-720"/>
                <w:tab w:val="left" w:pos="-270"/>
                <w:tab w:val="left" w:pos="-180"/>
                <w:tab w:val="left" w:pos="-90"/>
              </w:tabs>
              <w:spacing w:before="120" w:after="120" w:line="240" w:lineRule="atLeast"/>
              <w:contextualSpacing/>
              <w:rPr>
                <w:rFonts w:ascii="Corbel" w:hAnsi="Corbel" w:cstheme="minorHAnsi"/>
                <w:color w:val="000000"/>
                <w:sz w:val="23"/>
                <w:szCs w:val="23"/>
              </w:rPr>
            </w:pPr>
            <w:r w:rsidRPr="009F18AF">
              <w:rPr>
                <w:rFonts w:ascii="Corbel" w:hAnsi="Corbel" w:cstheme="minorHAnsi"/>
                <w:color w:val="000000"/>
                <w:sz w:val="23"/>
                <w:szCs w:val="23"/>
              </w:rPr>
              <w:t>nozzle subassemblies and related components at MIT/Bates</w:t>
            </w:r>
          </w:p>
          <w:p w14:paraId="26B35AB9" w14:textId="77777777" w:rsidR="002702C2" w:rsidRPr="009F18AF" w:rsidRDefault="002702C2" w:rsidP="00D6217D">
            <w:pPr>
              <w:spacing w:after="0"/>
              <w:rPr>
                <w:rFonts w:cstheme="minorHAnsi"/>
                <w:szCs w:val="23"/>
              </w:rPr>
            </w:pPr>
          </w:p>
        </w:tc>
        <w:tc>
          <w:tcPr>
            <w:tcW w:w="1533" w:type="dxa"/>
            <w:shd w:val="clear" w:color="auto" w:fill="auto"/>
          </w:tcPr>
          <w:p w14:paraId="49AC2BF2" w14:textId="6B81C9CE" w:rsidR="002702C2" w:rsidRPr="009F18AF" w:rsidRDefault="002702C2" w:rsidP="00073662">
            <w:pPr>
              <w:pStyle w:val="Heading2"/>
              <w:rPr>
                <w:b w:val="0"/>
                <w:color w:val="auto"/>
                <w:sz w:val="23"/>
                <w:szCs w:val="23"/>
              </w:rPr>
            </w:pPr>
            <w:r w:rsidRPr="009F18AF">
              <w:rPr>
                <w:b w:val="0"/>
                <w:color w:val="auto"/>
                <w:sz w:val="23"/>
                <w:szCs w:val="23"/>
              </w:rPr>
              <w:t>April 2022</w:t>
            </w:r>
          </w:p>
        </w:tc>
        <w:tc>
          <w:tcPr>
            <w:tcW w:w="1559" w:type="dxa"/>
            <w:shd w:val="clear" w:color="auto" w:fill="auto"/>
          </w:tcPr>
          <w:p w14:paraId="6D1EBA5A" w14:textId="5C392785" w:rsidR="002702C2" w:rsidRPr="009F18AF" w:rsidRDefault="0079712B" w:rsidP="00CC57CE">
            <w:pPr>
              <w:pStyle w:val="Heading2"/>
              <w:rPr>
                <w:b w:val="0"/>
                <w:color w:val="auto"/>
                <w:sz w:val="23"/>
                <w:szCs w:val="23"/>
              </w:rPr>
            </w:pPr>
            <w:r>
              <w:rPr>
                <w:b w:val="0"/>
                <w:color w:val="auto"/>
                <w:sz w:val="23"/>
                <w:szCs w:val="23"/>
              </w:rPr>
              <w:t>$27.</w:t>
            </w:r>
            <w:r w:rsidR="00CC57CE">
              <w:rPr>
                <w:b w:val="0"/>
                <w:color w:val="auto"/>
                <w:sz w:val="23"/>
                <w:szCs w:val="23"/>
              </w:rPr>
              <w:t>28</w:t>
            </w:r>
          </w:p>
        </w:tc>
      </w:tr>
    </w:tbl>
    <w:p w14:paraId="4A1C44A0" w14:textId="77777777" w:rsidR="00172360" w:rsidRDefault="00172360" w:rsidP="00281874">
      <w:pPr>
        <w:pStyle w:val="Normalnumbered"/>
        <w:numPr>
          <w:ilvl w:val="0"/>
          <w:numId w:val="0"/>
        </w:numPr>
        <w:ind w:left="567"/>
      </w:pPr>
    </w:p>
    <w:p w14:paraId="398190BB" w14:textId="4F09526A" w:rsidR="00172360" w:rsidRDefault="002E144A" w:rsidP="00AD21E7">
      <w:pPr>
        <w:pStyle w:val="Normalnumbered"/>
        <w:numPr>
          <w:ilvl w:val="0"/>
          <w:numId w:val="14"/>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r w:rsidR="00AF056D">
        <w:t xml:space="preserve">  If a performance milestone is not met by the due date, funding will be rolled over to a subsequent period subject to Commonwealth Budget Rules</w:t>
      </w:r>
    </w:p>
    <w:p w14:paraId="3A9A3146" w14:textId="77777777" w:rsidR="00F3245D" w:rsidRDefault="00F3245D" w:rsidP="00F3245D">
      <w:pPr>
        <w:pStyle w:val="Heading2"/>
      </w:pPr>
      <w:r>
        <w:t>Reporting arrangements</w:t>
      </w:r>
    </w:p>
    <w:p w14:paraId="48610E04" w14:textId="77777777" w:rsidR="00ED2AC4" w:rsidRDefault="00233742" w:rsidP="00AD21E7">
      <w:pPr>
        <w:pStyle w:val="Normalnumbered"/>
        <w:numPr>
          <w:ilvl w:val="0"/>
          <w:numId w:val="14"/>
        </w:numPr>
        <w:spacing w:before="120" w:line="240" w:lineRule="auto"/>
        <w:rPr>
          <w:szCs w:val="23"/>
        </w:rPr>
      </w:pPr>
      <w:r>
        <w:t xml:space="preserve">South Australia </w:t>
      </w:r>
      <w:r w:rsidR="009E151E">
        <w:t xml:space="preserve">will </w:t>
      </w:r>
      <w:r w:rsidR="0095223D">
        <w:t>provide</w:t>
      </w:r>
      <w:r>
        <w:t xml:space="preserve"> </w:t>
      </w:r>
      <w:r w:rsidR="0095223D">
        <w:t xml:space="preserve">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 against the project milestones.</w:t>
      </w:r>
      <w:r w:rsidR="00ED2AC4">
        <w:rPr>
          <w:szCs w:val="23"/>
        </w:rPr>
        <w:t xml:space="preserve"> </w:t>
      </w:r>
    </w:p>
    <w:p w14:paraId="4E638326" w14:textId="12E43E78" w:rsidR="00343570" w:rsidRDefault="00CC57CE" w:rsidP="00AD21E7">
      <w:pPr>
        <w:pStyle w:val="Normalnumbered"/>
        <w:numPr>
          <w:ilvl w:val="0"/>
          <w:numId w:val="14"/>
        </w:numPr>
        <w:spacing w:before="120" w:line="240" w:lineRule="auto"/>
        <w:rPr>
          <w:szCs w:val="23"/>
        </w:rPr>
      </w:pPr>
      <w:r>
        <w:rPr>
          <w:szCs w:val="23"/>
        </w:rPr>
        <w:t>South Australia will prepare a final Project Report within 90 days of the completion of all the projects agreed under this Agreement</w:t>
      </w:r>
      <w:r w:rsidR="00A3141A">
        <w:rPr>
          <w:szCs w:val="23"/>
        </w:rPr>
        <w:t xml:space="preserve"> and confirm the installation and integration of the accelerator equipment into treatment rooms and is fit for designated use. This final report will</w:t>
      </w:r>
      <w:r w:rsidR="0053788B">
        <w:rPr>
          <w:szCs w:val="23"/>
        </w:rPr>
        <w:t xml:space="preserve"> </w:t>
      </w:r>
      <w:r w:rsidR="00343570">
        <w:rPr>
          <w:szCs w:val="23"/>
        </w:rPr>
        <w:t xml:space="preserve">be used for public information and dissemination purposes and will evaluate the Project from </w:t>
      </w:r>
      <w:r w:rsidR="00F26E74">
        <w:rPr>
          <w:szCs w:val="23"/>
        </w:rPr>
        <w:t xml:space="preserve">South Australia’s perspective </w:t>
      </w:r>
      <w:r w:rsidR="00343570">
        <w:rPr>
          <w:szCs w:val="23"/>
        </w:rPr>
        <w:t>and include a description of the conduct, benefits an</w:t>
      </w:r>
      <w:r w:rsidR="009F18AF">
        <w:rPr>
          <w:szCs w:val="23"/>
        </w:rPr>
        <w:t>d</w:t>
      </w:r>
      <w:r w:rsidR="00343570">
        <w:rPr>
          <w:szCs w:val="23"/>
        </w:rPr>
        <w:t xml:space="preserve"> outcomes of the Project. </w:t>
      </w:r>
    </w:p>
    <w:p w14:paraId="5AAB1E85" w14:textId="77777777" w:rsidR="008E7527" w:rsidRDefault="008E7527" w:rsidP="009E093C">
      <w:pPr>
        <w:pStyle w:val="Heading1"/>
      </w:pPr>
      <w:r>
        <w:lastRenderedPageBreak/>
        <w:t>Part 5</w:t>
      </w:r>
      <w:r w:rsidRPr="00751725">
        <w:t xml:space="preserve"> — financial arrangements</w:t>
      </w:r>
    </w:p>
    <w:p w14:paraId="71BECCB9" w14:textId="39B19A4F" w:rsidR="008E7527" w:rsidRDefault="008E7527" w:rsidP="00AD21E7">
      <w:pPr>
        <w:pStyle w:val="Normalnumbered"/>
        <w:numPr>
          <w:ilvl w:val="0"/>
          <w:numId w:val="14"/>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EB59AA">
        <w:t xml:space="preserve">South </w:t>
      </w:r>
      <w:r w:rsidR="00B51A9D">
        <w:t>Australia of</w:t>
      </w:r>
      <w:r>
        <w:t xml:space="preserve"> </w:t>
      </w:r>
      <w:r w:rsidR="00800298">
        <w:t>$68</w:t>
      </w:r>
      <w:r w:rsidR="00B51A9D">
        <w:t xml:space="preserve"> </w:t>
      </w:r>
      <w:r w:rsidR="00800298">
        <w:t xml:space="preserve">million </w:t>
      </w:r>
      <w:r>
        <w:t xml:space="preserve">in respect of this Agreement. </w:t>
      </w:r>
      <w:r w:rsidRPr="000E48C3">
        <w:t xml:space="preserve"> </w:t>
      </w:r>
      <w:r w:rsidR="00343570">
        <w:t xml:space="preserve">All payments are GST exclusive. </w:t>
      </w:r>
    </w:p>
    <w:p w14:paraId="3FC0D170" w14:textId="09F22950" w:rsidR="008E7527" w:rsidRDefault="005A5E7A" w:rsidP="00AD21E7">
      <w:pPr>
        <w:pStyle w:val="Normalnumbered"/>
        <w:numPr>
          <w:ilvl w:val="0"/>
          <w:numId w:val="14"/>
        </w:numPr>
      </w:pPr>
      <w:r>
        <w:t>T</w:t>
      </w:r>
      <w:r w:rsidR="008E7527" w:rsidRPr="002B7E1B">
        <w:t xml:space="preserve">he Commonwealth’s funding contribution will not be reduced where </w:t>
      </w:r>
      <w:r w:rsidR="00DE198B">
        <w:t>South Australia</w:t>
      </w:r>
      <w:r w:rsidR="008E7527" w:rsidRPr="002B7E1B">
        <w:t xml:space="preserve"> secure</w:t>
      </w:r>
      <w:r w:rsidR="00DE198B">
        <w:t>s</w:t>
      </w:r>
      <w:r w:rsidR="008E7527" w:rsidRPr="002B7E1B">
        <w:t xml:space="preserve"> funding from other activity partners</w:t>
      </w:r>
      <w:r w:rsidR="002E144A">
        <w:t>.</w:t>
      </w:r>
    </w:p>
    <w:p w14:paraId="632F95AB" w14:textId="7D41902D" w:rsidR="008E7527" w:rsidRPr="00751725" w:rsidRDefault="008E7527" w:rsidP="00AD21E7">
      <w:pPr>
        <w:pStyle w:val="Normalnumbered"/>
        <w:keepNext/>
        <w:keepLines/>
        <w:numPr>
          <w:ilvl w:val="0"/>
          <w:numId w:val="14"/>
        </w:numPr>
      </w:pPr>
      <w:r w:rsidRPr="00751725">
        <w:t>The Commonwealth</w:t>
      </w:r>
      <w:r>
        <w:t>’s</w:t>
      </w:r>
      <w:r w:rsidR="00800298">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w:t>
      </w:r>
      <w:r w:rsidR="00EB59AA">
        <w:t xml:space="preserve">South Australia </w:t>
      </w:r>
      <w:r>
        <w:t xml:space="preserve">paid in accordance with </w:t>
      </w:r>
      <w:r w:rsidRPr="002B7E1B">
        <w:rPr>
          <w:i/>
        </w:rPr>
        <w:t>Schedule</w:t>
      </w:r>
      <w:r w:rsidR="00B51A9D">
        <w:rPr>
          <w:i/>
        </w:rPr>
        <w:t xml:space="preserve"> </w:t>
      </w:r>
      <w:r w:rsidRPr="002B7E1B">
        <w:rPr>
          <w:i/>
        </w:rPr>
        <w:t>D — Payment Arrangements</w:t>
      </w:r>
      <w:r>
        <w:t xml:space="preserve"> of the </w:t>
      </w:r>
      <w:r w:rsidR="00C41265">
        <w:t>IGA FFR</w:t>
      </w:r>
      <w:r w:rsidR="00C2605C">
        <w:t>, are shown in Table 2</w:t>
      </w:r>
      <w:r w:rsidRPr="00751725">
        <w:t>.</w:t>
      </w:r>
    </w:p>
    <w:p w14:paraId="338DB51C" w14:textId="5B71E7C6" w:rsidR="008E7527" w:rsidRPr="00A05C1E" w:rsidRDefault="00E204BB" w:rsidP="00E204BB">
      <w:pPr>
        <w:pStyle w:val="Normalnumbered"/>
        <w:numPr>
          <w:ilvl w:val="0"/>
          <w:numId w:val="0"/>
        </w:numPr>
        <w:rPr>
          <w:b/>
          <w:i/>
        </w:rPr>
      </w:pPr>
      <w:r>
        <w:rPr>
          <w:b/>
        </w:rPr>
        <w:t>Table 2</w:t>
      </w:r>
      <w:r w:rsidR="008E7527" w:rsidRPr="00E204BB">
        <w:rPr>
          <w:b/>
        </w:rPr>
        <w:t>: Estimated financial contributions</w:t>
      </w:r>
    </w:p>
    <w:tbl>
      <w:tblPr>
        <w:tblW w:w="9747" w:type="dxa"/>
        <w:tblLook w:val="01E0" w:firstRow="1" w:lastRow="1" w:firstColumn="1" w:lastColumn="1" w:noHBand="0" w:noVBand="0"/>
      </w:tblPr>
      <w:tblGrid>
        <w:gridCol w:w="4928"/>
        <w:gridCol w:w="1606"/>
        <w:gridCol w:w="1606"/>
        <w:gridCol w:w="1607"/>
      </w:tblGrid>
      <w:tr w:rsidR="00A3141A" w14:paraId="00EF64F8" w14:textId="77777777" w:rsidTr="00A3141A">
        <w:trPr>
          <w:cantSplit/>
        </w:trPr>
        <w:tc>
          <w:tcPr>
            <w:tcW w:w="4928" w:type="dxa"/>
            <w:tcBorders>
              <w:top w:val="single" w:sz="4" w:space="0" w:color="000080"/>
            </w:tcBorders>
          </w:tcPr>
          <w:p w14:paraId="4C2176FC" w14:textId="77777777" w:rsidR="00A3141A" w:rsidRPr="00C2711B" w:rsidRDefault="00A3141A" w:rsidP="00BB4F41">
            <w:pPr>
              <w:keepNext/>
              <w:keepLines/>
              <w:spacing w:before="40" w:after="40"/>
              <w:jc w:val="left"/>
              <w:rPr>
                <w:b/>
              </w:rPr>
            </w:pPr>
            <w:r w:rsidRPr="00C2711B">
              <w:rPr>
                <w:b/>
              </w:rPr>
              <w:t>($ million)</w:t>
            </w:r>
          </w:p>
        </w:tc>
        <w:tc>
          <w:tcPr>
            <w:tcW w:w="1606" w:type="dxa"/>
            <w:tcBorders>
              <w:top w:val="single" w:sz="4" w:space="0" w:color="000080"/>
              <w:bottom w:val="single" w:sz="4" w:space="0" w:color="000080"/>
            </w:tcBorders>
          </w:tcPr>
          <w:p w14:paraId="3ADE735F" w14:textId="77777777" w:rsidR="00A3141A" w:rsidRDefault="00A3141A" w:rsidP="00BB4F41">
            <w:pPr>
              <w:keepNext/>
              <w:keepLines/>
              <w:spacing w:before="40" w:after="40"/>
              <w:jc w:val="right"/>
            </w:pPr>
            <w:r>
              <w:t>2018-19</w:t>
            </w:r>
          </w:p>
        </w:tc>
        <w:tc>
          <w:tcPr>
            <w:tcW w:w="1606" w:type="dxa"/>
            <w:tcBorders>
              <w:top w:val="single" w:sz="4" w:space="0" w:color="000080"/>
              <w:bottom w:val="single" w:sz="4" w:space="0" w:color="000080"/>
            </w:tcBorders>
          </w:tcPr>
          <w:p w14:paraId="429E76D7" w14:textId="77777777" w:rsidR="00A3141A" w:rsidRDefault="00A3141A" w:rsidP="00BB4F41">
            <w:pPr>
              <w:keepNext/>
              <w:keepLines/>
              <w:spacing w:before="40" w:after="40"/>
              <w:jc w:val="right"/>
            </w:pPr>
            <w:r>
              <w:t>2021-22</w:t>
            </w:r>
          </w:p>
        </w:tc>
        <w:tc>
          <w:tcPr>
            <w:tcW w:w="1607" w:type="dxa"/>
            <w:tcBorders>
              <w:top w:val="single" w:sz="4" w:space="0" w:color="000080"/>
              <w:bottom w:val="single" w:sz="4" w:space="0" w:color="000080"/>
            </w:tcBorders>
          </w:tcPr>
          <w:p w14:paraId="5441F20B" w14:textId="77777777" w:rsidR="00A3141A" w:rsidRDefault="00A3141A" w:rsidP="00BB4F41">
            <w:pPr>
              <w:keepNext/>
              <w:keepLines/>
              <w:spacing w:before="40" w:after="40"/>
              <w:jc w:val="right"/>
            </w:pPr>
            <w:r>
              <w:t>Total</w:t>
            </w:r>
          </w:p>
        </w:tc>
      </w:tr>
      <w:tr w:rsidR="00A3141A" w14:paraId="714FDCFC" w14:textId="77777777" w:rsidTr="00A3141A">
        <w:trPr>
          <w:cantSplit/>
        </w:trPr>
        <w:tc>
          <w:tcPr>
            <w:tcW w:w="4928" w:type="dxa"/>
          </w:tcPr>
          <w:p w14:paraId="7B0130D1" w14:textId="77777777" w:rsidR="00A3141A" w:rsidRPr="005B4C1B" w:rsidRDefault="00A3141A" w:rsidP="00BB4F41">
            <w:pPr>
              <w:keepNext/>
              <w:keepLines/>
              <w:spacing w:before="60" w:after="60"/>
              <w:rPr>
                <w:b/>
              </w:rPr>
            </w:pPr>
            <w:r w:rsidRPr="005B4C1B">
              <w:rPr>
                <w:b/>
              </w:rPr>
              <w:t>Estimated total budget</w:t>
            </w:r>
          </w:p>
        </w:tc>
        <w:tc>
          <w:tcPr>
            <w:tcW w:w="1606" w:type="dxa"/>
            <w:tcBorders>
              <w:top w:val="single" w:sz="4" w:space="0" w:color="000080"/>
            </w:tcBorders>
          </w:tcPr>
          <w:p w14:paraId="77BAC101" w14:textId="2B73EFF1" w:rsidR="00A3141A" w:rsidRPr="005B4C1B" w:rsidRDefault="00A3141A" w:rsidP="00BB4F41">
            <w:pPr>
              <w:keepNext/>
              <w:keepLines/>
              <w:spacing w:before="40" w:after="40"/>
              <w:jc w:val="right"/>
              <w:rPr>
                <w:b/>
              </w:rPr>
            </w:pPr>
            <w:r>
              <w:rPr>
                <w:b/>
              </w:rPr>
              <w:t>40.72</w:t>
            </w:r>
          </w:p>
        </w:tc>
        <w:tc>
          <w:tcPr>
            <w:tcW w:w="1606" w:type="dxa"/>
            <w:tcBorders>
              <w:top w:val="single" w:sz="4" w:space="0" w:color="000080"/>
            </w:tcBorders>
          </w:tcPr>
          <w:p w14:paraId="4695AE3C" w14:textId="1AEC6D0B" w:rsidR="00A3141A" w:rsidRPr="005B4C1B" w:rsidRDefault="00A3141A" w:rsidP="00BB4F41">
            <w:pPr>
              <w:keepNext/>
              <w:keepLines/>
              <w:spacing w:before="40" w:after="40"/>
              <w:jc w:val="right"/>
              <w:rPr>
                <w:b/>
              </w:rPr>
            </w:pPr>
            <w:r>
              <w:rPr>
                <w:b/>
              </w:rPr>
              <w:t>27.28</w:t>
            </w:r>
          </w:p>
        </w:tc>
        <w:tc>
          <w:tcPr>
            <w:tcW w:w="1607" w:type="dxa"/>
            <w:tcBorders>
              <w:top w:val="single" w:sz="4" w:space="0" w:color="000080"/>
            </w:tcBorders>
          </w:tcPr>
          <w:p w14:paraId="774A1D38" w14:textId="7B200427" w:rsidR="00A3141A" w:rsidRPr="005B4C1B" w:rsidRDefault="00A3141A" w:rsidP="00BB4F41">
            <w:pPr>
              <w:keepNext/>
              <w:keepLines/>
              <w:spacing w:before="40" w:after="40"/>
              <w:jc w:val="right"/>
              <w:rPr>
                <w:b/>
              </w:rPr>
            </w:pPr>
            <w:r>
              <w:rPr>
                <w:b/>
              </w:rPr>
              <w:t>68.0</w:t>
            </w:r>
          </w:p>
        </w:tc>
      </w:tr>
      <w:tr w:rsidR="00A3141A" w14:paraId="6BF142AE" w14:textId="77777777" w:rsidTr="00A3141A">
        <w:trPr>
          <w:cantSplit/>
        </w:trPr>
        <w:tc>
          <w:tcPr>
            <w:tcW w:w="4928" w:type="dxa"/>
          </w:tcPr>
          <w:p w14:paraId="1FDDA21D" w14:textId="77777777" w:rsidR="00A3141A" w:rsidRPr="004A673A" w:rsidRDefault="00A3141A" w:rsidP="00BB4F41">
            <w:pPr>
              <w:keepNext/>
              <w:keepLines/>
              <w:spacing w:before="60" w:after="60"/>
              <w:jc w:val="left"/>
            </w:pPr>
            <w:r>
              <w:t>Less estimated National Partnership Payments</w:t>
            </w:r>
          </w:p>
        </w:tc>
        <w:tc>
          <w:tcPr>
            <w:tcW w:w="1606" w:type="dxa"/>
            <w:tcBorders>
              <w:bottom w:val="single" w:sz="4" w:space="0" w:color="000080"/>
            </w:tcBorders>
          </w:tcPr>
          <w:p w14:paraId="14A10209" w14:textId="453D44B1" w:rsidR="00A3141A" w:rsidRPr="005B4C1B" w:rsidRDefault="00A3141A" w:rsidP="00BB4F41">
            <w:pPr>
              <w:keepNext/>
              <w:keepLines/>
              <w:spacing w:before="40" w:after="40"/>
              <w:jc w:val="right"/>
            </w:pPr>
            <w:r>
              <w:t>40.72</w:t>
            </w:r>
          </w:p>
        </w:tc>
        <w:tc>
          <w:tcPr>
            <w:tcW w:w="1606" w:type="dxa"/>
            <w:tcBorders>
              <w:bottom w:val="single" w:sz="4" w:space="0" w:color="000080"/>
            </w:tcBorders>
          </w:tcPr>
          <w:p w14:paraId="7AFA3D91" w14:textId="164C3F1C" w:rsidR="00A3141A" w:rsidRDefault="00A3141A" w:rsidP="00BB4F41">
            <w:pPr>
              <w:keepNext/>
              <w:keepLines/>
              <w:spacing w:before="40" w:after="40"/>
              <w:jc w:val="right"/>
            </w:pPr>
            <w:r>
              <w:t>27.28</w:t>
            </w:r>
          </w:p>
        </w:tc>
        <w:tc>
          <w:tcPr>
            <w:tcW w:w="1607" w:type="dxa"/>
            <w:tcBorders>
              <w:bottom w:val="single" w:sz="4" w:space="0" w:color="000080"/>
            </w:tcBorders>
          </w:tcPr>
          <w:p w14:paraId="6D18D005" w14:textId="77777777" w:rsidR="00A3141A" w:rsidRPr="005B4C1B" w:rsidRDefault="00A3141A" w:rsidP="00BB4F41">
            <w:pPr>
              <w:keepNext/>
              <w:keepLines/>
              <w:spacing w:before="40" w:after="40"/>
              <w:jc w:val="right"/>
            </w:pPr>
            <w:r>
              <w:t>68.0</w:t>
            </w:r>
          </w:p>
        </w:tc>
      </w:tr>
      <w:tr w:rsidR="00A3141A" w14:paraId="0E820F91" w14:textId="77777777" w:rsidTr="00A3141A">
        <w:trPr>
          <w:cantSplit/>
        </w:trPr>
        <w:tc>
          <w:tcPr>
            <w:tcW w:w="4928" w:type="dxa"/>
            <w:tcBorders>
              <w:bottom w:val="single" w:sz="4" w:space="0" w:color="000080"/>
            </w:tcBorders>
          </w:tcPr>
          <w:p w14:paraId="2197F896" w14:textId="77777777" w:rsidR="00A3141A" w:rsidRPr="006146F2" w:rsidRDefault="00A3141A" w:rsidP="00A3141A">
            <w:pPr>
              <w:keepNext/>
              <w:keepLines/>
              <w:spacing w:before="40" w:after="40"/>
              <w:jc w:val="left"/>
            </w:pPr>
            <w:r w:rsidRPr="006146F2">
              <w:t>Balance of non-Commonwealth contribution</w:t>
            </w:r>
            <w:r>
              <w:t>s</w:t>
            </w:r>
          </w:p>
        </w:tc>
        <w:tc>
          <w:tcPr>
            <w:tcW w:w="1606" w:type="dxa"/>
            <w:tcBorders>
              <w:bottom w:val="single" w:sz="4" w:space="0" w:color="000080"/>
            </w:tcBorders>
          </w:tcPr>
          <w:p w14:paraId="5E285135" w14:textId="5540BB70" w:rsidR="00A3141A" w:rsidRDefault="00A3141A" w:rsidP="00BB4F41">
            <w:pPr>
              <w:keepNext/>
              <w:keepLines/>
              <w:spacing w:before="40" w:after="40"/>
              <w:jc w:val="right"/>
            </w:pPr>
            <w:r>
              <w:t>0.0</w:t>
            </w:r>
          </w:p>
        </w:tc>
        <w:tc>
          <w:tcPr>
            <w:tcW w:w="1606" w:type="dxa"/>
            <w:tcBorders>
              <w:bottom w:val="single" w:sz="4" w:space="0" w:color="000080"/>
            </w:tcBorders>
          </w:tcPr>
          <w:p w14:paraId="5DBF57DB" w14:textId="2F6398DF" w:rsidR="00A3141A" w:rsidRDefault="00A3141A" w:rsidP="00BB4F41">
            <w:pPr>
              <w:keepNext/>
              <w:keepLines/>
              <w:spacing w:before="40" w:after="40"/>
              <w:jc w:val="right"/>
            </w:pPr>
            <w:r>
              <w:t>0.0</w:t>
            </w:r>
          </w:p>
        </w:tc>
        <w:tc>
          <w:tcPr>
            <w:tcW w:w="1607" w:type="dxa"/>
            <w:tcBorders>
              <w:bottom w:val="single" w:sz="4" w:space="0" w:color="000080"/>
            </w:tcBorders>
          </w:tcPr>
          <w:p w14:paraId="109A6785" w14:textId="061DE114" w:rsidR="00A3141A" w:rsidRDefault="00A3141A" w:rsidP="00BB4F41">
            <w:pPr>
              <w:keepNext/>
              <w:keepLines/>
              <w:spacing w:before="40" w:after="40"/>
              <w:jc w:val="right"/>
            </w:pPr>
            <w:r>
              <w:t>0.0</w:t>
            </w:r>
          </w:p>
        </w:tc>
      </w:tr>
    </w:tbl>
    <w:p w14:paraId="7436DF37" w14:textId="0BD46222" w:rsidR="008E7527" w:rsidRDefault="008E7527" w:rsidP="00EB26B9">
      <w:pPr>
        <w:pStyle w:val="ChartandTableFootnoteAlpha"/>
        <w:numPr>
          <w:ilvl w:val="0"/>
          <w:numId w:val="0"/>
        </w:numPr>
        <w:spacing w:after="240"/>
        <w:ind w:left="283"/>
      </w:pPr>
    </w:p>
    <w:p w14:paraId="781E3963" w14:textId="77777777" w:rsidR="008E7527" w:rsidRDefault="008E7527" w:rsidP="00AD21E7">
      <w:pPr>
        <w:pStyle w:val="Normalnumbered"/>
        <w:numPr>
          <w:ilvl w:val="0"/>
          <w:numId w:val="14"/>
        </w:numPr>
      </w:pPr>
      <w:r w:rsidRPr="00C738BD">
        <w:t xml:space="preserve">Having regard to the agreed estimated costs of projects specified in </w:t>
      </w:r>
      <w:r w:rsidR="006B43AF">
        <w:t>this</w:t>
      </w:r>
      <w:r>
        <w:t xml:space="preserve"> Agreement</w:t>
      </w:r>
      <w:r w:rsidR="00800298">
        <w:t>, South Australia</w:t>
      </w:r>
      <w:r w:rsidRPr="00C738BD">
        <w:t xml:space="preserve"> will not be required to pay a refund to the Commonwealth if the actual cost of the project is less than the agreed</w:t>
      </w:r>
      <w:r w:rsidR="00515AF2">
        <w:t xml:space="preserve"> estimated cost of the project.  </w:t>
      </w:r>
      <w:r w:rsidR="00800298">
        <w:t>Similarly, South Australia</w:t>
      </w:r>
      <w:r>
        <w:t xml:space="preserve"> </w:t>
      </w:r>
      <w:r w:rsidRPr="00C738BD">
        <w:t>bear</w:t>
      </w:r>
      <w:r w:rsidR="00800298">
        <w:t>s</w:t>
      </w:r>
      <w:r w:rsidRPr="00C738BD">
        <w:t xml:space="preserve"> all risk should the costs of a project exceed the agreed estimated cost</w:t>
      </w:r>
      <w:r>
        <w:t>s.</w:t>
      </w:r>
      <w:r w:rsidR="00DE198B">
        <w:t xml:space="preserve"> </w:t>
      </w:r>
      <w:r w:rsidRPr="00C738BD">
        <w:t xml:space="preserve"> The Parties acknowledge that this arrangement provides the </w:t>
      </w:r>
      <w:r w:rsidR="00800298">
        <w:t>maximum incentive for South Australia</w:t>
      </w:r>
      <w:r w:rsidRPr="00C738BD">
        <w:t xml:space="preserve"> to deliver projects cost effectively and efficiently.</w:t>
      </w:r>
    </w:p>
    <w:p w14:paraId="3A8C8746" w14:textId="77777777" w:rsidR="00814667" w:rsidRDefault="003A2157">
      <w:pPr>
        <w:pStyle w:val="Heading1"/>
      </w:pPr>
      <w:bookmarkStart w:id="2" w:name="top"/>
      <w:bookmarkEnd w:id="2"/>
      <w:r>
        <w:t xml:space="preserve">Part </w:t>
      </w:r>
      <w:r w:rsidR="000B4080">
        <w:t>6</w:t>
      </w:r>
      <w:r w:rsidR="00814667">
        <w:t xml:space="preserve"> — governance arrangements</w:t>
      </w:r>
    </w:p>
    <w:p w14:paraId="3C2E4918" w14:textId="77777777" w:rsidR="00BC4728" w:rsidRDefault="00BC4728" w:rsidP="00BC4728">
      <w:pPr>
        <w:pStyle w:val="Heading2"/>
      </w:pPr>
      <w:r w:rsidRPr="006F096A">
        <w:t>Enforceability of the Agreement</w:t>
      </w:r>
    </w:p>
    <w:p w14:paraId="56B6EE31" w14:textId="77777777" w:rsidR="00BC4728" w:rsidRPr="00C40EBC" w:rsidRDefault="00BC4728" w:rsidP="00AD21E7">
      <w:pPr>
        <w:pStyle w:val="Normalnumbered"/>
        <w:numPr>
          <w:ilvl w:val="0"/>
          <w:numId w:val="14"/>
        </w:numPr>
        <w:spacing w:line="240" w:lineRule="auto"/>
      </w:pPr>
      <w:r>
        <w:rPr>
          <w:szCs w:val="23"/>
        </w:rPr>
        <w:t>The Parties do not intend any of the provisions of this Agreement to be legally enforceable. However, that does not lessen the Parties’ commitment to this Agreement.</w:t>
      </w:r>
    </w:p>
    <w:p w14:paraId="42DCAAC9" w14:textId="77777777" w:rsidR="00814667" w:rsidRDefault="00814667">
      <w:pPr>
        <w:pStyle w:val="Heading2"/>
      </w:pPr>
      <w:r>
        <w:t>Variation of the Agreement</w:t>
      </w:r>
    </w:p>
    <w:p w14:paraId="2690CAD2" w14:textId="7EC5360E" w:rsidR="00292587" w:rsidRPr="00DE36EB" w:rsidRDefault="00607B03" w:rsidP="00AD21E7">
      <w:pPr>
        <w:pStyle w:val="Normalnumbered"/>
        <w:numPr>
          <w:ilvl w:val="0"/>
          <w:numId w:val="14"/>
        </w:numPr>
      </w:pPr>
      <w:r>
        <w:t>The A</w:t>
      </w:r>
      <w:r w:rsidR="00814667">
        <w:t xml:space="preserve">greement may be amended at any time by agreement in writing by </w:t>
      </w:r>
      <w:r w:rsidR="00814667" w:rsidRPr="00DE36EB">
        <w:t>the Parties.</w:t>
      </w:r>
    </w:p>
    <w:p w14:paraId="1BC1A00D" w14:textId="23FDEAA7" w:rsidR="00292587" w:rsidRDefault="000D31C6" w:rsidP="00AD21E7">
      <w:pPr>
        <w:pStyle w:val="Normalnumbered"/>
        <w:numPr>
          <w:ilvl w:val="0"/>
          <w:numId w:val="14"/>
        </w:numPr>
      </w:pPr>
      <w:r>
        <w:t xml:space="preserve">Either </w:t>
      </w:r>
      <w:r w:rsidR="00814667" w:rsidRPr="00DE36EB">
        <w:t>Party to the Agreement may terminate their part</w:t>
      </w:r>
      <w:r w:rsidR="00814667">
        <w:t>icipation in the Agreement at any time by notifying the other Part</w:t>
      </w:r>
      <w:r>
        <w:t>y</w:t>
      </w:r>
      <w:r w:rsidR="00C2605C">
        <w:rPr>
          <w:i/>
        </w:rPr>
        <w:t xml:space="preserve"> </w:t>
      </w:r>
      <w:r w:rsidR="00814667">
        <w:t>in writing.</w:t>
      </w:r>
      <w:r w:rsidR="00AF056D">
        <w:t xml:space="preserve"> </w:t>
      </w:r>
    </w:p>
    <w:p w14:paraId="6E25CA51" w14:textId="77777777" w:rsidR="009526E4" w:rsidRDefault="009526E4" w:rsidP="0036119D">
      <w:pPr>
        <w:pStyle w:val="Heading2"/>
      </w:pPr>
      <w:r>
        <w:t>Delegations</w:t>
      </w:r>
    </w:p>
    <w:p w14:paraId="3ACF7D16" w14:textId="77777777" w:rsidR="009526E4" w:rsidRDefault="009526E4" w:rsidP="00AD21E7">
      <w:pPr>
        <w:pStyle w:val="Normalnumbered"/>
        <w:numPr>
          <w:ilvl w:val="0"/>
          <w:numId w:val="14"/>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44FE91FA" w14:textId="77777777" w:rsidR="0036119D" w:rsidRDefault="0036119D" w:rsidP="0036119D">
      <w:pPr>
        <w:pStyle w:val="Heading2"/>
      </w:pPr>
      <w:r>
        <w:t>Dispute resolution</w:t>
      </w:r>
    </w:p>
    <w:p w14:paraId="75330D9E" w14:textId="77777777" w:rsidR="0036119D" w:rsidRPr="00DE36EB" w:rsidRDefault="00697494" w:rsidP="00AD21E7">
      <w:pPr>
        <w:pStyle w:val="Normalnumbered"/>
        <w:numPr>
          <w:ilvl w:val="0"/>
          <w:numId w:val="14"/>
        </w:numPr>
      </w:pPr>
      <w:r w:rsidRPr="00DE36EB">
        <w:t>E</w:t>
      </w:r>
      <w:r w:rsidR="006942B7">
        <w:t xml:space="preserve">ither </w:t>
      </w:r>
      <w:r w:rsidR="0036119D" w:rsidRPr="00DE36EB">
        <w:t>Party may give notice to</w:t>
      </w:r>
      <w:r w:rsidR="006942B7">
        <w:t xml:space="preserve"> the</w:t>
      </w:r>
      <w:r w:rsidR="0036119D" w:rsidRPr="00DE36EB">
        <w:t xml:space="preserve"> other </w:t>
      </w:r>
      <w:r w:rsidR="006942B7">
        <w:t xml:space="preserve">Party </w:t>
      </w:r>
      <w:r w:rsidR="0036119D" w:rsidRPr="00DE36EB">
        <w:t>of a dispute under this Agreement.</w:t>
      </w:r>
    </w:p>
    <w:p w14:paraId="429E5285" w14:textId="77777777" w:rsidR="0036119D" w:rsidRPr="00DE36EB" w:rsidRDefault="0036119D" w:rsidP="00AD21E7">
      <w:pPr>
        <w:pStyle w:val="Normalnumbered"/>
        <w:numPr>
          <w:ilvl w:val="0"/>
          <w:numId w:val="14"/>
        </w:numPr>
      </w:pPr>
      <w:r w:rsidRPr="00DE36EB">
        <w:t xml:space="preserve">Officials of </w:t>
      </w:r>
      <w:r w:rsidR="006942B7">
        <w:t xml:space="preserve">both </w:t>
      </w:r>
      <w:r w:rsidRPr="00DE36EB">
        <w:t>Parties will attempt to resolve any dispute in the first instance.</w:t>
      </w:r>
    </w:p>
    <w:p w14:paraId="4ED0965A" w14:textId="77777777" w:rsidR="0036119D" w:rsidRDefault="0036119D" w:rsidP="00AD21E7">
      <w:pPr>
        <w:pStyle w:val="Normalnumbered"/>
        <w:numPr>
          <w:ilvl w:val="0"/>
          <w:numId w:val="14"/>
        </w:numPr>
      </w:pPr>
      <w:r w:rsidRPr="00DE36EB">
        <w:t>If a dispute cannot be resolved by officials, it may be escalated to the relevant Ministers.</w:t>
      </w:r>
    </w:p>
    <w:p w14:paraId="6F98D604" w14:textId="77777777" w:rsidR="0036119D" w:rsidRDefault="0036119D" w:rsidP="000614F9">
      <w:pPr>
        <w:pStyle w:val="Normalnumbered"/>
        <w:numPr>
          <w:ilvl w:val="0"/>
          <w:numId w:val="0"/>
        </w:numPr>
        <w:jc w:val="left"/>
        <w:sectPr w:rsidR="0036119D" w:rsidSect="00A37805">
          <w:headerReference w:type="even" r:id="rId16"/>
          <w:headerReference w:type="default" r:id="rId17"/>
          <w:footerReference w:type="even" r:id="rId18"/>
          <w:footerReference w:type="default" r:id="rId19"/>
          <w:footerReference w:type="first" r:id="rId20"/>
          <w:pgSz w:w="11906" w:h="16838" w:code="9"/>
          <w:pgMar w:top="1134" w:right="1134" w:bottom="1134" w:left="1134" w:header="709" w:footer="709" w:gutter="0"/>
          <w:pgNumType w:start="0"/>
          <w:cols w:space="708"/>
          <w:titlePg/>
          <w:docGrid w:linePitch="360"/>
        </w:sectPr>
      </w:pPr>
    </w:p>
    <w:p w14:paraId="555746CC"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33B0AC92" w14:textId="77777777">
        <w:trPr>
          <w:cantSplit/>
          <w:jc w:val="center"/>
        </w:trPr>
        <w:tc>
          <w:tcPr>
            <w:tcW w:w="4536" w:type="dxa"/>
          </w:tcPr>
          <w:p w14:paraId="1043D6CE"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15945662" w14:textId="77777777" w:rsidR="00814667" w:rsidRPr="00A50751" w:rsidRDefault="00814667">
            <w:pPr>
              <w:pStyle w:val="LineForSignature"/>
            </w:pPr>
            <w:r>
              <w:tab/>
            </w:r>
          </w:p>
          <w:p w14:paraId="76C2B442" w14:textId="2E186F85" w:rsidR="00814667" w:rsidRDefault="00814667">
            <w:pPr>
              <w:pStyle w:val="SingleParagraph"/>
              <w:rPr>
                <w:rStyle w:val="Bold"/>
              </w:rPr>
            </w:pPr>
            <w:r>
              <w:rPr>
                <w:rStyle w:val="Bold"/>
              </w:rPr>
              <w:t xml:space="preserve">The Honourable </w:t>
            </w:r>
            <w:r w:rsidR="00FF7BA1">
              <w:rPr>
                <w:rStyle w:val="Bold"/>
              </w:rPr>
              <w:t>Greg Hunt</w:t>
            </w:r>
            <w:r w:rsidR="0099742A">
              <w:rPr>
                <w:rStyle w:val="Bold"/>
              </w:rPr>
              <w:t xml:space="preserve"> </w:t>
            </w:r>
            <w:r>
              <w:rPr>
                <w:rStyle w:val="Bold"/>
              </w:rPr>
              <w:t>MP</w:t>
            </w:r>
          </w:p>
          <w:p w14:paraId="268A2CD5" w14:textId="5979446A" w:rsidR="00814667" w:rsidRDefault="00FF7BA1">
            <w:pPr>
              <w:pStyle w:val="Position"/>
              <w:rPr>
                <w:lang w:val="en-GB"/>
              </w:rPr>
            </w:pPr>
            <w:r>
              <w:rPr>
                <w:lang w:val="en-GB"/>
              </w:rPr>
              <w:t>Minister for Health</w:t>
            </w:r>
          </w:p>
          <w:p w14:paraId="1DE6AD97" w14:textId="77777777" w:rsidR="00814667" w:rsidRDefault="006679C0">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tcMar>
              <w:left w:w="0" w:type="dxa"/>
              <w:right w:w="0" w:type="dxa"/>
            </w:tcMar>
          </w:tcPr>
          <w:p w14:paraId="359E34E6" w14:textId="77777777" w:rsidR="00814667" w:rsidRPr="00A50751" w:rsidRDefault="00814667">
            <w:pPr>
              <w:rPr>
                <w:rFonts w:ascii="Book Antiqua" w:hAnsi="Book Antiqua"/>
                <w:lang w:val="en-GB"/>
              </w:rPr>
            </w:pPr>
          </w:p>
        </w:tc>
        <w:tc>
          <w:tcPr>
            <w:tcW w:w="4536" w:type="dxa"/>
          </w:tcPr>
          <w:p w14:paraId="11603A7E" w14:textId="77777777" w:rsidR="00814667" w:rsidRPr="00A50751" w:rsidRDefault="00814667">
            <w:pPr>
              <w:rPr>
                <w:rFonts w:ascii="Book Antiqua" w:hAnsi="Book Antiqua"/>
                <w:lang w:val="en-GB"/>
              </w:rPr>
            </w:pPr>
          </w:p>
        </w:tc>
      </w:tr>
      <w:tr w:rsidR="00814667" w:rsidRPr="00A50751" w14:paraId="72F76513" w14:textId="77777777" w:rsidTr="00827609">
        <w:trPr>
          <w:cantSplit/>
          <w:trHeight w:val="1400"/>
          <w:jc w:val="center"/>
        </w:trPr>
        <w:tc>
          <w:tcPr>
            <w:tcW w:w="4536" w:type="dxa"/>
          </w:tcPr>
          <w:p w14:paraId="5244C925"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33E56A82" w14:textId="77777777" w:rsidR="00814667" w:rsidRPr="00A50751" w:rsidRDefault="00814667">
            <w:pPr>
              <w:pStyle w:val="SingleParagraph"/>
              <w:rPr>
                <w:rFonts w:ascii="Book Antiqua" w:hAnsi="Book Antiqua"/>
                <w:lang w:val="en-GB"/>
              </w:rPr>
            </w:pPr>
          </w:p>
        </w:tc>
        <w:tc>
          <w:tcPr>
            <w:tcW w:w="4536" w:type="dxa"/>
          </w:tcPr>
          <w:p w14:paraId="0333BD72" w14:textId="77777777" w:rsidR="00814667" w:rsidRPr="00A50751" w:rsidRDefault="00814667">
            <w:pPr>
              <w:pStyle w:val="SingleParagraph"/>
              <w:rPr>
                <w:rFonts w:ascii="Book Antiqua" w:hAnsi="Book Antiqua"/>
                <w:lang w:val="en-GB"/>
              </w:rPr>
            </w:pPr>
          </w:p>
        </w:tc>
      </w:tr>
      <w:tr w:rsidR="00814667" w:rsidRPr="00A50751" w14:paraId="3F9C5EB9" w14:textId="77777777">
        <w:trPr>
          <w:cantSplit/>
          <w:trHeight w:val="143"/>
          <w:jc w:val="center"/>
        </w:trPr>
        <w:tc>
          <w:tcPr>
            <w:tcW w:w="4536" w:type="dxa"/>
          </w:tcPr>
          <w:p w14:paraId="17ED7F9F"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0D45A898" w14:textId="77777777" w:rsidR="00814667" w:rsidRPr="00A50751" w:rsidRDefault="00814667">
            <w:pPr>
              <w:pStyle w:val="LineForSignature"/>
            </w:pPr>
            <w:r w:rsidRPr="00A50751">
              <w:tab/>
            </w:r>
          </w:p>
          <w:p w14:paraId="0C81A0AE" w14:textId="77777777" w:rsidR="00827609" w:rsidRDefault="00814667">
            <w:pPr>
              <w:pStyle w:val="SingleParagraph"/>
              <w:rPr>
                <w:b/>
              </w:rPr>
            </w:pPr>
            <w:r>
              <w:rPr>
                <w:rStyle w:val="Bold"/>
              </w:rPr>
              <w:t>The Honourable</w:t>
            </w:r>
            <w:r w:rsidR="00827609" w:rsidRPr="00827609">
              <w:rPr>
                <w:rFonts w:ascii="Times New Roman" w:hAnsi="Times New Roman"/>
                <w:snapToGrid w:val="0"/>
                <w:color w:val="auto"/>
                <w:sz w:val="24"/>
                <w:szCs w:val="24"/>
                <w:lang w:eastAsia="en-US"/>
              </w:rPr>
              <w:t xml:space="preserve"> </w:t>
            </w:r>
            <w:r w:rsidR="00827609" w:rsidRPr="00827609">
              <w:rPr>
                <w:b/>
              </w:rPr>
              <w:t xml:space="preserve">Hon Steven Wade MLC, Minister for Health and Wellbeing </w:t>
            </w:r>
          </w:p>
          <w:p w14:paraId="6010CB31" w14:textId="77777777" w:rsidR="00827609" w:rsidRDefault="00827609" w:rsidP="00827609">
            <w:pPr>
              <w:pStyle w:val="SingleParagraph"/>
              <w:rPr>
                <w:b/>
              </w:rPr>
            </w:pPr>
            <w:r w:rsidRPr="00827609">
              <w:rPr>
                <w:b/>
              </w:rPr>
              <w:t>South Australia</w:t>
            </w:r>
          </w:p>
          <w:p w14:paraId="6AAC262C" w14:textId="6F27AC7B" w:rsidR="00542A8C" w:rsidRDefault="00542A8C" w:rsidP="00827609">
            <w:pPr>
              <w:pStyle w:val="SingleParagraph"/>
              <w:rPr>
                <w:lang w:val="en-GB"/>
              </w:rPr>
            </w:pPr>
            <w:r>
              <w:rPr>
                <w:lang w:val="en-GB"/>
              </w:rPr>
              <w:t xml:space="preserve"> </w:t>
            </w:r>
          </w:p>
          <w:p w14:paraId="69415254"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c>
          <w:tcPr>
            <w:tcW w:w="284" w:type="dxa"/>
            <w:tcMar>
              <w:left w:w="0" w:type="dxa"/>
              <w:right w:w="0" w:type="dxa"/>
            </w:tcMar>
          </w:tcPr>
          <w:p w14:paraId="0A005362" w14:textId="77777777" w:rsidR="00814667" w:rsidRPr="00A50751" w:rsidRDefault="00814667">
            <w:pPr>
              <w:rPr>
                <w:rFonts w:ascii="Book Antiqua" w:hAnsi="Book Antiqua"/>
                <w:lang w:val="en-GB"/>
              </w:rPr>
            </w:pPr>
          </w:p>
        </w:tc>
        <w:tc>
          <w:tcPr>
            <w:tcW w:w="4536" w:type="dxa"/>
          </w:tcPr>
          <w:p w14:paraId="04B21A02" w14:textId="2FF904B7" w:rsidR="00814667" w:rsidRPr="00A50751" w:rsidRDefault="00814667">
            <w:pPr>
              <w:pStyle w:val="SingleParagraph"/>
              <w:tabs>
                <w:tab w:val="num" w:pos="1134"/>
              </w:tabs>
              <w:spacing w:after="240"/>
              <w:ind w:left="1134" w:hanging="567"/>
              <w:rPr>
                <w:lang w:val="en-GB"/>
              </w:rPr>
            </w:pPr>
          </w:p>
        </w:tc>
      </w:tr>
      <w:tr w:rsidR="00814667" w:rsidRPr="00A50751" w14:paraId="06289B16" w14:textId="77777777">
        <w:trPr>
          <w:cantSplit/>
          <w:jc w:val="center"/>
        </w:trPr>
        <w:tc>
          <w:tcPr>
            <w:tcW w:w="4536" w:type="dxa"/>
          </w:tcPr>
          <w:p w14:paraId="6CEAA82F"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1431022" w14:textId="77777777" w:rsidR="00814667" w:rsidRPr="00A50751" w:rsidRDefault="00814667">
            <w:pPr>
              <w:pStyle w:val="SingleParagraph"/>
              <w:rPr>
                <w:rFonts w:ascii="Book Antiqua" w:hAnsi="Book Antiqua"/>
                <w:lang w:val="en-GB"/>
              </w:rPr>
            </w:pPr>
          </w:p>
        </w:tc>
        <w:tc>
          <w:tcPr>
            <w:tcW w:w="4536" w:type="dxa"/>
          </w:tcPr>
          <w:p w14:paraId="04CEA1FA" w14:textId="77777777" w:rsidR="00814667" w:rsidRPr="00A50751" w:rsidRDefault="00814667">
            <w:pPr>
              <w:pStyle w:val="SingleParagraph"/>
              <w:rPr>
                <w:rFonts w:ascii="Book Antiqua" w:hAnsi="Book Antiqua"/>
                <w:lang w:val="en-GB"/>
              </w:rPr>
            </w:pPr>
          </w:p>
        </w:tc>
      </w:tr>
    </w:tbl>
    <w:p w14:paraId="7D43B377" w14:textId="77777777" w:rsidR="008843EE" w:rsidRDefault="008843EE" w:rsidP="0020144E"/>
    <w:sectPr w:rsidR="008843EE" w:rsidSect="00C606F6">
      <w:headerReference w:type="first" r:id="rId21"/>
      <w:footerReference w:type="first" r:id="rId22"/>
      <w:type w:val="oddPage"/>
      <w:pgSz w:w="11906" w:h="16838" w:code="9"/>
      <w:pgMar w:top="1134" w:right="1134" w:bottom="1134" w:left="1134" w:header="709" w:footer="709" w:gutter="0"/>
      <w:pgNumType w:start="1" w:chapStyle="9"/>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6CAB3" w15:done="0"/>
  <w15:commentEx w15:paraId="2FF33C66" w15:done="0"/>
  <w15:commentEx w15:paraId="773C3F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6CAB3" w16cid:durableId="1F7C223F"/>
  <w16cid:commentId w16cid:paraId="2FF33C66" w16cid:durableId="1F8ACA09"/>
  <w16cid:commentId w16cid:paraId="773C3F56" w16cid:durableId="1F8AC9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8CCDF" w14:textId="77777777" w:rsidR="0069038A" w:rsidRDefault="0069038A">
      <w:r>
        <w:separator/>
      </w:r>
    </w:p>
  </w:endnote>
  <w:endnote w:type="continuationSeparator" w:id="0">
    <w:p w14:paraId="0EFB3257" w14:textId="77777777" w:rsidR="0069038A" w:rsidRDefault="0069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17F9"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4B9C6274" w14:textId="77777777" w:rsidR="00AB76C6" w:rsidRDefault="00AB76C6">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FA63" w14:textId="50DD3CDC" w:rsidR="00AB76C6" w:rsidRDefault="00A37805">
    <w:pPr>
      <w:pStyle w:val="FooterOdd"/>
      <w:keepNext/>
      <w:tabs>
        <w:tab w:val="num" w:pos="567"/>
      </w:tabs>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FA4DF" w14:textId="3A79DA61" w:rsidR="00AB76C6" w:rsidRDefault="00AB76C6">
    <w:pPr>
      <w:pStyle w:val="FooterOdd"/>
      <w:keepNext/>
      <w:tabs>
        <w:tab w:val="num" w:pos="56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ED90C" w14:textId="3F575011" w:rsidR="00AB76C6" w:rsidRDefault="00AB76C6" w:rsidP="00751725">
    <w:pPr>
      <w:pStyle w:val="FooterEven"/>
      <w:jc w:val="right"/>
    </w:pPr>
    <w:r>
      <w:t xml:space="preserve">Page </w:t>
    </w:r>
    <w:r w:rsidR="007E5344">
      <w:rPr>
        <w:rStyle w:val="PageNumber"/>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E429A" w14:textId="77777777" w:rsidR="0069038A" w:rsidRDefault="0069038A">
      <w:r>
        <w:separator/>
      </w:r>
    </w:p>
  </w:footnote>
  <w:footnote w:type="continuationSeparator" w:id="0">
    <w:p w14:paraId="34903F72" w14:textId="77777777" w:rsidR="0069038A" w:rsidRDefault="0069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CDBFF"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7DA3" w14:textId="4AA5AAE1" w:rsidR="00AB76C6" w:rsidRPr="00814590" w:rsidRDefault="00AB76C6">
    <w:pPr>
      <w:pStyle w:val="HeaderOdd"/>
      <w:tabs>
        <w:tab w:val="num" w:pos="1134"/>
      </w:tabs>
      <w:rPr>
        <w:color w:val="800000"/>
      </w:rPr>
    </w:pPr>
    <w:r>
      <w:rPr>
        <w:color w:val="800000"/>
      </w:rPr>
      <w:t xml:space="preserve">Project Agreement for </w:t>
    </w:r>
    <w:r w:rsidR="006967AF">
      <w:rPr>
        <w:color w:val="800000"/>
      </w:rPr>
      <w:t>the Proton Beam Facility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07765" w14:textId="32B8DC79" w:rsidR="00AB76C6" w:rsidRPr="00814590" w:rsidRDefault="00AB76C6" w:rsidP="0036474E">
    <w:pPr>
      <w:pStyle w:val="HeaderOdd"/>
      <w:tabs>
        <w:tab w:val="num" w:pos="1134"/>
      </w:tabs>
      <w:rPr>
        <w:color w:val="800000"/>
      </w:rPr>
    </w:pPr>
    <w:r>
      <w:rPr>
        <w:color w:val="800000"/>
      </w:rPr>
      <w:t xml:space="preserve">Project Agreement for </w:t>
    </w:r>
    <w:r w:rsidR="0072241B">
      <w:rPr>
        <w:color w:val="800000"/>
      </w:rPr>
      <w:t>the Proton Beam 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5">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8">
    <w:nsid w:val="2FD778F8"/>
    <w:multiLevelType w:val="multilevel"/>
    <w:tmpl w:val="AA226DB0"/>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nsid w:val="536E7BB1"/>
    <w:multiLevelType w:val="hybridMultilevel"/>
    <w:tmpl w:val="25D49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3">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5">
    <w:nsid w:val="5AF37847"/>
    <w:multiLevelType w:val="multilevel"/>
    <w:tmpl w:val="ABCAF7C4"/>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5EEB2AE3"/>
    <w:multiLevelType w:val="hybridMultilevel"/>
    <w:tmpl w:val="FBFCB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38623F"/>
    <w:multiLevelType w:val="hybridMultilevel"/>
    <w:tmpl w:val="BAAE1592"/>
    <w:lvl w:ilvl="0" w:tplc="9B8E28BA">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95C34D6"/>
    <w:multiLevelType w:val="hybridMultilevel"/>
    <w:tmpl w:val="6B52A1A2"/>
    <w:lvl w:ilvl="0" w:tplc="C4A0A786">
      <w:start w:val="27"/>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5D6FCF"/>
    <w:multiLevelType w:val="hybridMultilevel"/>
    <w:tmpl w:val="309A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DF4E46"/>
    <w:multiLevelType w:val="hybridMultilevel"/>
    <w:tmpl w:val="C412938A"/>
    <w:lvl w:ilvl="0" w:tplc="044047DA">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D192B15"/>
    <w:multiLevelType w:val="hybridMultilevel"/>
    <w:tmpl w:val="E70C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4">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5">
    <w:nsid w:val="78854AAC"/>
    <w:multiLevelType w:val="hybridMultilevel"/>
    <w:tmpl w:val="2670F44A"/>
    <w:lvl w:ilvl="0" w:tplc="5D341A3E">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10"/>
  </w:num>
  <w:num w:numId="9">
    <w:abstractNumId w:val="13"/>
  </w:num>
  <w:num w:numId="10">
    <w:abstractNumId w:val="2"/>
  </w:num>
  <w:num w:numId="11">
    <w:abstractNumId w:val="16"/>
  </w:num>
  <w:num w:numId="12">
    <w:abstractNumId w:val="3"/>
  </w:num>
  <w:num w:numId="13">
    <w:abstractNumId w:val="6"/>
  </w:num>
  <w:num w:numId="14">
    <w:abstractNumId w:val="25"/>
  </w:num>
  <w:num w:numId="15">
    <w:abstractNumId w:val="1"/>
  </w:num>
  <w:num w:numId="16">
    <w:abstractNumId w:val="12"/>
  </w:num>
  <w:num w:numId="17">
    <w:abstractNumId w:val="23"/>
  </w:num>
  <w:num w:numId="18">
    <w:abstractNumId w:val="9"/>
  </w:num>
  <w:num w:numId="19">
    <w:abstractNumId w:val="14"/>
  </w:num>
  <w:num w:numId="20">
    <w:abstractNumId w:val="24"/>
  </w:num>
  <w:num w:numId="21">
    <w:abstractNumId w:val="4"/>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5"/>
  </w:num>
  <w:num w:numId="29">
    <w:abstractNumId w:val="11"/>
  </w:num>
  <w:num w:numId="30">
    <w:abstractNumId w:val="22"/>
  </w:num>
  <w:num w:numId="31">
    <w:abstractNumId w:val="17"/>
  </w:num>
  <w:num w:numId="32">
    <w:abstractNumId w:val="8"/>
  </w:num>
  <w:num w:numId="33">
    <w:abstractNumId w:val="18"/>
  </w:num>
  <w:num w:numId="34">
    <w:abstractNumId w:val="21"/>
  </w:num>
  <w:num w:numId="35">
    <w:abstractNumId w:val="19"/>
  </w:num>
  <w:num w:numId="36">
    <w:abstractNumId w:val="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ni Mead">
    <w15:presenceInfo w15:providerId="AD" w15:userId="S-1-5-21-912226208-1961981592-654838779-19261"/>
  </w15:person>
  <w15:person w15:author="Marni Mead">
    <w15:presenceInfo w15:providerId="AD" w15:userId="S-1-5-21-912226208-1961981592-654838779-19261"/>
  </w15:person>
  <w15:person w15:author="Marni Mead [2]">
    <w15:presenceInfo w15:providerId="AD" w15:userId="S-1-5-21-912226208-1961981592-654838779-19261"/>
  </w15:person>
  <w15:person w15:author="TURK, Cameron">
    <w15:presenceInfo w15:providerId="AD" w15:userId="S-1-5-21-6776287-205683911-1939875897-20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0A75"/>
    <w:rsid w:val="00005A5D"/>
    <w:rsid w:val="000076D9"/>
    <w:rsid w:val="000142DD"/>
    <w:rsid w:val="00021708"/>
    <w:rsid w:val="00026A81"/>
    <w:rsid w:val="00030CB2"/>
    <w:rsid w:val="000343F1"/>
    <w:rsid w:val="00035F32"/>
    <w:rsid w:val="00036132"/>
    <w:rsid w:val="000416BF"/>
    <w:rsid w:val="00044700"/>
    <w:rsid w:val="00051779"/>
    <w:rsid w:val="00055F02"/>
    <w:rsid w:val="0006051B"/>
    <w:rsid w:val="000614F9"/>
    <w:rsid w:val="0006451A"/>
    <w:rsid w:val="0006551D"/>
    <w:rsid w:val="00065679"/>
    <w:rsid w:val="0007004C"/>
    <w:rsid w:val="000724F6"/>
    <w:rsid w:val="00073662"/>
    <w:rsid w:val="00074611"/>
    <w:rsid w:val="00074A62"/>
    <w:rsid w:val="00082580"/>
    <w:rsid w:val="000840C3"/>
    <w:rsid w:val="00086712"/>
    <w:rsid w:val="0009036E"/>
    <w:rsid w:val="00091DF8"/>
    <w:rsid w:val="0009355D"/>
    <w:rsid w:val="00093CB6"/>
    <w:rsid w:val="00093DD8"/>
    <w:rsid w:val="00097794"/>
    <w:rsid w:val="000A0C9E"/>
    <w:rsid w:val="000A5191"/>
    <w:rsid w:val="000B4080"/>
    <w:rsid w:val="000B7685"/>
    <w:rsid w:val="000C714F"/>
    <w:rsid w:val="000D19D8"/>
    <w:rsid w:val="000D1C37"/>
    <w:rsid w:val="000D2A05"/>
    <w:rsid w:val="000D31C6"/>
    <w:rsid w:val="000D4377"/>
    <w:rsid w:val="000D7BBC"/>
    <w:rsid w:val="000E075D"/>
    <w:rsid w:val="000E2AF6"/>
    <w:rsid w:val="000E36B7"/>
    <w:rsid w:val="000E3C70"/>
    <w:rsid w:val="000E48C3"/>
    <w:rsid w:val="000F0038"/>
    <w:rsid w:val="000F0880"/>
    <w:rsid w:val="000F25D5"/>
    <w:rsid w:val="000F5CEE"/>
    <w:rsid w:val="000F6CF6"/>
    <w:rsid w:val="0010353F"/>
    <w:rsid w:val="00103FD6"/>
    <w:rsid w:val="001065EE"/>
    <w:rsid w:val="00110F5D"/>
    <w:rsid w:val="001134AC"/>
    <w:rsid w:val="00115166"/>
    <w:rsid w:val="00115A97"/>
    <w:rsid w:val="00122DBA"/>
    <w:rsid w:val="00122EFA"/>
    <w:rsid w:val="001262B5"/>
    <w:rsid w:val="00132587"/>
    <w:rsid w:val="00137120"/>
    <w:rsid w:val="001404A9"/>
    <w:rsid w:val="00140F43"/>
    <w:rsid w:val="00145D5C"/>
    <w:rsid w:val="0014797A"/>
    <w:rsid w:val="00151133"/>
    <w:rsid w:val="00160506"/>
    <w:rsid w:val="0016131F"/>
    <w:rsid w:val="0016132F"/>
    <w:rsid w:val="001629FA"/>
    <w:rsid w:val="00165CAB"/>
    <w:rsid w:val="00166312"/>
    <w:rsid w:val="00167BB8"/>
    <w:rsid w:val="00172360"/>
    <w:rsid w:val="00172E3A"/>
    <w:rsid w:val="00173F81"/>
    <w:rsid w:val="00174C2A"/>
    <w:rsid w:val="00175FB9"/>
    <w:rsid w:val="00177A0A"/>
    <w:rsid w:val="00180F76"/>
    <w:rsid w:val="00183EAB"/>
    <w:rsid w:val="00185CC1"/>
    <w:rsid w:val="00187BEB"/>
    <w:rsid w:val="00187D68"/>
    <w:rsid w:val="001931E8"/>
    <w:rsid w:val="00194232"/>
    <w:rsid w:val="00194587"/>
    <w:rsid w:val="00196814"/>
    <w:rsid w:val="001A1422"/>
    <w:rsid w:val="001A14C1"/>
    <w:rsid w:val="001A3A9A"/>
    <w:rsid w:val="001A3F52"/>
    <w:rsid w:val="001A4093"/>
    <w:rsid w:val="001A79C1"/>
    <w:rsid w:val="001A7A15"/>
    <w:rsid w:val="001B0EE4"/>
    <w:rsid w:val="001B19A0"/>
    <w:rsid w:val="001B1CA3"/>
    <w:rsid w:val="001B2361"/>
    <w:rsid w:val="001B447F"/>
    <w:rsid w:val="001B580E"/>
    <w:rsid w:val="001B7933"/>
    <w:rsid w:val="001C346E"/>
    <w:rsid w:val="001C3717"/>
    <w:rsid w:val="001C5CC5"/>
    <w:rsid w:val="001D2C27"/>
    <w:rsid w:val="001D3CAD"/>
    <w:rsid w:val="001D6E9A"/>
    <w:rsid w:val="001E20EC"/>
    <w:rsid w:val="001E4479"/>
    <w:rsid w:val="001E7173"/>
    <w:rsid w:val="001E74D0"/>
    <w:rsid w:val="001E7803"/>
    <w:rsid w:val="001F1D48"/>
    <w:rsid w:val="001F6F39"/>
    <w:rsid w:val="001F6FE8"/>
    <w:rsid w:val="0020144E"/>
    <w:rsid w:val="00205E18"/>
    <w:rsid w:val="00206773"/>
    <w:rsid w:val="002069F9"/>
    <w:rsid w:val="00212869"/>
    <w:rsid w:val="00221308"/>
    <w:rsid w:val="00222C97"/>
    <w:rsid w:val="00224188"/>
    <w:rsid w:val="00225761"/>
    <w:rsid w:val="002265BE"/>
    <w:rsid w:val="00233742"/>
    <w:rsid w:val="00233835"/>
    <w:rsid w:val="00241EE9"/>
    <w:rsid w:val="00244500"/>
    <w:rsid w:val="00247D45"/>
    <w:rsid w:val="00252406"/>
    <w:rsid w:val="00252551"/>
    <w:rsid w:val="00261ABA"/>
    <w:rsid w:val="00262E18"/>
    <w:rsid w:val="002631FE"/>
    <w:rsid w:val="0026571E"/>
    <w:rsid w:val="002679BA"/>
    <w:rsid w:val="002702C2"/>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2259"/>
    <w:rsid w:val="002D7CF9"/>
    <w:rsid w:val="002E144A"/>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77B9"/>
    <w:rsid w:val="00321E0A"/>
    <w:rsid w:val="00327051"/>
    <w:rsid w:val="00333506"/>
    <w:rsid w:val="00340987"/>
    <w:rsid w:val="003410AA"/>
    <w:rsid w:val="00343570"/>
    <w:rsid w:val="0034465F"/>
    <w:rsid w:val="00352A6B"/>
    <w:rsid w:val="00352EC1"/>
    <w:rsid w:val="00361054"/>
    <w:rsid w:val="0036119D"/>
    <w:rsid w:val="003637A0"/>
    <w:rsid w:val="0036474E"/>
    <w:rsid w:val="00364CF3"/>
    <w:rsid w:val="00365CAA"/>
    <w:rsid w:val="00367EAB"/>
    <w:rsid w:val="00371CF5"/>
    <w:rsid w:val="00372573"/>
    <w:rsid w:val="00377AB2"/>
    <w:rsid w:val="003877C3"/>
    <w:rsid w:val="0039283B"/>
    <w:rsid w:val="00396EA4"/>
    <w:rsid w:val="003A2157"/>
    <w:rsid w:val="003A3363"/>
    <w:rsid w:val="003A3905"/>
    <w:rsid w:val="003A3CC1"/>
    <w:rsid w:val="003A42F3"/>
    <w:rsid w:val="003A6635"/>
    <w:rsid w:val="003A6B0E"/>
    <w:rsid w:val="003A78C6"/>
    <w:rsid w:val="003B5562"/>
    <w:rsid w:val="003B6363"/>
    <w:rsid w:val="003B737F"/>
    <w:rsid w:val="003C0CF7"/>
    <w:rsid w:val="003C2E5D"/>
    <w:rsid w:val="003C3763"/>
    <w:rsid w:val="003C59E0"/>
    <w:rsid w:val="003C6F2A"/>
    <w:rsid w:val="003C7711"/>
    <w:rsid w:val="003D743C"/>
    <w:rsid w:val="003E16C8"/>
    <w:rsid w:val="003E33BA"/>
    <w:rsid w:val="003E6BA0"/>
    <w:rsid w:val="003E73DB"/>
    <w:rsid w:val="003E7DF1"/>
    <w:rsid w:val="003F0ADC"/>
    <w:rsid w:val="003F59E6"/>
    <w:rsid w:val="003F5BE6"/>
    <w:rsid w:val="003F6C00"/>
    <w:rsid w:val="00406EC2"/>
    <w:rsid w:val="004120B1"/>
    <w:rsid w:val="00413E74"/>
    <w:rsid w:val="0041421D"/>
    <w:rsid w:val="0041490D"/>
    <w:rsid w:val="00414A5C"/>
    <w:rsid w:val="004156B4"/>
    <w:rsid w:val="0041697F"/>
    <w:rsid w:val="00420235"/>
    <w:rsid w:val="00420A94"/>
    <w:rsid w:val="004223AA"/>
    <w:rsid w:val="00423104"/>
    <w:rsid w:val="004267D3"/>
    <w:rsid w:val="00427E2A"/>
    <w:rsid w:val="00433E65"/>
    <w:rsid w:val="0043550B"/>
    <w:rsid w:val="00435977"/>
    <w:rsid w:val="004374B2"/>
    <w:rsid w:val="00442AB8"/>
    <w:rsid w:val="004436EA"/>
    <w:rsid w:val="0044456C"/>
    <w:rsid w:val="00450B39"/>
    <w:rsid w:val="00453BC6"/>
    <w:rsid w:val="00454498"/>
    <w:rsid w:val="00456C59"/>
    <w:rsid w:val="00477931"/>
    <w:rsid w:val="00485941"/>
    <w:rsid w:val="00490198"/>
    <w:rsid w:val="00490E28"/>
    <w:rsid w:val="0049123A"/>
    <w:rsid w:val="00497362"/>
    <w:rsid w:val="00497C77"/>
    <w:rsid w:val="004A0AE7"/>
    <w:rsid w:val="004A4DAC"/>
    <w:rsid w:val="004A523F"/>
    <w:rsid w:val="004A6062"/>
    <w:rsid w:val="004A673A"/>
    <w:rsid w:val="004A770F"/>
    <w:rsid w:val="004B01D9"/>
    <w:rsid w:val="004B0813"/>
    <w:rsid w:val="004B136A"/>
    <w:rsid w:val="004B1F38"/>
    <w:rsid w:val="004B21C5"/>
    <w:rsid w:val="004B2EF6"/>
    <w:rsid w:val="004B34A6"/>
    <w:rsid w:val="004B5612"/>
    <w:rsid w:val="004B5AA7"/>
    <w:rsid w:val="004B6083"/>
    <w:rsid w:val="004B653B"/>
    <w:rsid w:val="004B6927"/>
    <w:rsid w:val="004B7E5C"/>
    <w:rsid w:val="004C3391"/>
    <w:rsid w:val="004C3CC4"/>
    <w:rsid w:val="004C4D5E"/>
    <w:rsid w:val="004D07D0"/>
    <w:rsid w:val="004D11ED"/>
    <w:rsid w:val="004D310E"/>
    <w:rsid w:val="004D37D8"/>
    <w:rsid w:val="004D4B81"/>
    <w:rsid w:val="004D5123"/>
    <w:rsid w:val="004F5DCD"/>
    <w:rsid w:val="004F6B2B"/>
    <w:rsid w:val="005005DF"/>
    <w:rsid w:val="00505045"/>
    <w:rsid w:val="00510B96"/>
    <w:rsid w:val="00511501"/>
    <w:rsid w:val="00511B5B"/>
    <w:rsid w:val="00514864"/>
    <w:rsid w:val="00515AF2"/>
    <w:rsid w:val="0051640E"/>
    <w:rsid w:val="00516741"/>
    <w:rsid w:val="0051684E"/>
    <w:rsid w:val="00527ABC"/>
    <w:rsid w:val="0053788B"/>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B3"/>
    <w:rsid w:val="00582A03"/>
    <w:rsid w:val="00587E37"/>
    <w:rsid w:val="00593821"/>
    <w:rsid w:val="00596E88"/>
    <w:rsid w:val="00597CBD"/>
    <w:rsid w:val="005A0969"/>
    <w:rsid w:val="005A1377"/>
    <w:rsid w:val="005A5E7A"/>
    <w:rsid w:val="005B0943"/>
    <w:rsid w:val="005B0DEF"/>
    <w:rsid w:val="005B2A03"/>
    <w:rsid w:val="005B4C1B"/>
    <w:rsid w:val="005B5EA0"/>
    <w:rsid w:val="005C2684"/>
    <w:rsid w:val="005C2D25"/>
    <w:rsid w:val="005C2DDC"/>
    <w:rsid w:val="005C5620"/>
    <w:rsid w:val="005C578C"/>
    <w:rsid w:val="005C636A"/>
    <w:rsid w:val="005C7B03"/>
    <w:rsid w:val="005D1F0F"/>
    <w:rsid w:val="005D29DB"/>
    <w:rsid w:val="005D41F9"/>
    <w:rsid w:val="005E4143"/>
    <w:rsid w:val="005E724B"/>
    <w:rsid w:val="00601F7C"/>
    <w:rsid w:val="00602A48"/>
    <w:rsid w:val="00602EF7"/>
    <w:rsid w:val="00606F11"/>
    <w:rsid w:val="00607B03"/>
    <w:rsid w:val="0061059D"/>
    <w:rsid w:val="0061326F"/>
    <w:rsid w:val="00614393"/>
    <w:rsid w:val="006146F2"/>
    <w:rsid w:val="00614C00"/>
    <w:rsid w:val="00616023"/>
    <w:rsid w:val="0061700C"/>
    <w:rsid w:val="006203AA"/>
    <w:rsid w:val="00623567"/>
    <w:rsid w:val="006235E4"/>
    <w:rsid w:val="00632358"/>
    <w:rsid w:val="00637B26"/>
    <w:rsid w:val="00637B7F"/>
    <w:rsid w:val="006412B5"/>
    <w:rsid w:val="00641932"/>
    <w:rsid w:val="00643A30"/>
    <w:rsid w:val="00644083"/>
    <w:rsid w:val="0064429B"/>
    <w:rsid w:val="0064477C"/>
    <w:rsid w:val="0064581E"/>
    <w:rsid w:val="00650903"/>
    <w:rsid w:val="00657763"/>
    <w:rsid w:val="006650A8"/>
    <w:rsid w:val="006679C0"/>
    <w:rsid w:val="006721D3"/>
    <w:rsid w:val="00680ED5"/>
    <w:rsid w:val="00681956"/>
    <w:rsid w:val="00682FBA"/>
    <w:rsid w:val="00683370"/>
    <w:rsid w:val="00684EC1"/>
    <w:rsid w:val="0069038A"/>
    <w:rsid w:val="006903F9"/>
    <w:rsid w:val="006923C8"/>
    <w:rsid w:val="006942B7"/>
    <w:rsid w:val="006967AF"/>
    <w:rsid w:val="00696AB4"/>
    <w:rsid w:val="00697494"/>
    <w:rsid w:val="006976BF"/>
    <w:rsid w:val="006A05D7"/>
    <w:rsid w:val="006A4628"/>
    <w:rsid w:val="006B3F39"/>
    <w:rsid w:val="006B4213"/>
    <w:rsid w:val="006B43AF"/>
    <w:rsid w:val="006B4DF0"/>
    <w:rsid w:val="006C1013"/>
    <w:rsid w:val="006C163A"/>
    <w:rsid w:val="006C228B"/>
    <w:rsid w:val="006C2307"/>
    <w:rsid w:val="006C2931"/>
    <w:rsid w:val="006D466E"/>
    <w:rsid w:val="006D4B70"/>
    <w:rsid w:val="006D4C35"/>
    <w:rsid w:val="006D7A92"/>
    <w:rsid w:val="006E2AA7"/>
    <w:rsid w:val="006E3B48"/>
    <w:rsid w:val="006E6184"/>
    <w:rsid w:val="006E631B"/>
    <w:rsid w:val="006F096A"/>
    <w:rsid w:val="006F22E3"/>
    <w:rsid w:val="006F3095"/>
    <w:rsid w:val="006F5455"/>
    <w:rsid w:val="006F5CB6"/>
    <w:rsid w:val="006F79D3"/>
    <w:rsid w:val="0070128B"/>
    <w:rsid w:val="00703194"/>
    <w:rsid w:val="00705004"/>
    <w:rsid w:val="00706A10"/>
    <w:rsid w:val="00706E50"/>
    <w:rsid w:val="0070737C"/>
    <w:rsid w:val="00711229"/>
    <w:rsid w:val="00715018"/>
    <w:rsid w:val="007179FE"/>
    <w:rsid w:val="00717F25"/>
    <w:rsid w:val="007201B1"/>
    <w:rsid w:val="007201D7"/>
    <w:rsid w:val="0072241B"/>
    <w:rsid w:val="00724E14"/>
    <w:rsid w:val="00725AD5"/>
    <w:rsid w:val="00726DB5"/>
    <w:rsid w:val="00726EB4"/>
    <w:rsid w:val="00731945"/>
    <w:rsid w:val="007363DE"/>
    <w:rsid w:val="0073698D"/>
    <w:rsid w:val="00736C0B"/>
    <w:rsid w:val="00744D93"/>
    <w:rsid w:val="00746531"/>
    <w:rsid w:val="00750F59"/>
    <w:rsid w:val="00751725"/>
    <w:rsid w:val="00752028"/>
    <w:rsid w:val="007524E8"/>
    <w:rsid w:val="0075450A"/>
    <w:rsid w:val="0075717D"/>
    <w:rsid w:val="0076017E"/>
    <w:rsid w:val="00760DB6"/>
    <w:rsid w:val="0076165F"/>
    <w:rsid w:val="0076361C"/>
    <w:rsid w:val="007661AE"/>
    <w:rsid w:val="00766A51"/>
    <w:rsid w:val="007713C0"/>
    <w:rsid w:val="00771FFF"/>
    <w:rsid w:val="00772818"/>
    <w:rsid w:val="0077685D"/>
    <w:rsid w:val="00776EBE"/>
    <w:rsid w:val="0077788E"/>
    <w:rsid w:val="0078061A"/>
    <w:rsid w:val="00784439"/>
    <w:rsid w:val="00787E75"/>
    <w:rsid w:val="007929C2"/>
    <w:rsid w:val="00793B9B"/>
    <w:rsid w:val="0079712B"/>
    <w:rsid w:val="00797257"/>
    <w:rsid w:val="007A3157"/>
    <w:rsid w:val="007A6E20"/>
    <w:rsid w:val="007B10ED"/>
    <w:rsid w:val="007B2B2E"/>
    <w:rsid w:val="007B3BFC"/>
    <w:rsid w:val="007B4B03"/>
    <w:rsid w:val="007C4F31"/>
    <w:rsid w:val="007E5257"/>
    <w:rsid w:val="007E5344"/>
    <w:rsid w:val="007E5391"/>
    <w:rsid w:val="007E5C2E"/>
    <w:rsid w:val="007F4EF5"/>
    <w:rsid w:val="007F575E"/>
    <w:rsid w:val="00800298"/>
    <w:rsid w:val="00804105"/>
    <w:rsid w:val="00806D94"/>
    <w:rsid w:val="00807AD8"/>
    <w:rsid w:val="00811800"/>
    <w:rsid w:val="00812E1C"/>
    <w:rsid w:val="00813CFF"/>
    <w:rsid w:val="008140C5"/>
    <w:rsid w:val="00814590"/>
    <w:rsid w:val="00814667"/>
    <w:rsid w:val="008148E2"/>
    <w:rsid w:val="008149E4"/>
    <w:rsid w:val="008156B7"/>
    <w:rsid w:val="00817D90"/>
    <w:rsid w:val="00821AA9"/>
    <w:rsid w:val="00822355"/>
    <w:rsid w:val="0082332D"/>
    <w:rsid w:val="00823DAF"/>
    <w:rsid w:val="0082402C"/>
    <w:rsid w:val="00825FF5"/>
    <w:rsid w:val="008262F1"/>
    <w:rsid w:val="00827609"/>
    <w:rsid w:val="008311FA"/>
    <w:rsid w:val="008317EF"/>
    <w:rsid w:val="00831E51"/>
    <w:rsid w:val="00845BCC"/>
    <w:rsid w:val="00851465"/>
    <w:rsid w:val="008514B8"/>
    <w:rsid w:val="00852ED8"/>
    <w:rsid w:val="0085330A"/>
    <w:rsid w:val="008550CA"/>
    <w:rsid w:val="0085533A"/>
    <w:rsid w:val="00855543"/>
    <w:rsid w:val="0085738D"/>
    <w:rsid w:val="00861798"/>
    <w:rsid w:val="00862395"/>
    <w:rsid w:val="00864DD3"/>
    <w:rsid w:val="008708D6"/>
    <w:rsid w:val="00874608"/>
    <w:rsid w:val="008760D0"/>
    <w:rsid w:val="00881317"/>
    <w:rsid w:val="008843EE"/>
    <w:rsid w:val="00892CA4"/>
    <w:rsid w:val="0089363D"/>
    <w:rsid w:val="00896477"/>
    <w:rsid w:val="00896BD6"/>
    <w:rsid w:val="00896F5A"/>
    <w:rsid w:val="008A3C37"/>
    <w:rsid w:val="008B1840"/>
    <w:rsid w:val="008B29C3"/>
    <w:rsid w:val="008B70D3"/>
    <w:rsid w:val="008B73A2"/>
    <w:rsid w:val="008B7FE2"/>
    <w:rsid w:val="008C0BBA"/>
    <w:rsid w:val="008C2450"/>
    <w:rsid w:val="008C7817"/>
    <w:rsid w:val="008C7F5B"/>
    <w:rsid w:val="008D079A"/>
    <w:rsid w:val="008D16A5"/>
    <w:rsid w:val="008D2F40"/>
    <w:rsid w:val="008D5B52"/>
    <w:rsid w:val="008E0AD6"/>
    <w:rsid w:val="008E4209"/>
    <w:rsid w:val="008E48FC"/>
    <w:rsid w:val="008E55BD"/>
    <w:rsid w:val="008E7527"/>
    <w:rsid w:val="008F2AD6"/>
    <w:rsid w:val="008F44F1"/>
    <w:rsid w:val="008F4BA8"/>
    <w:rsid w:val="008F5611"/>
    <w:rsid w:val="008F5C07"/>
    <w:rsid w:val="008F696D"/>
    <w:rsid w:val="008F7777"/>
    <w:rsid w:val="00901CF5"/>
    <w:rsid w:val="00901F53"/>
    <w:rsid w:val="00906431"/>
    <w:rsid w:val="009115AF"/>
    <w:rsid w:val="00913276"/>
    <w:rsid w:val="00914E8B"/>
    <w:rsid w:val="0092019B"/>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9A9"/>
    <w:rsid w:val="00954B44"/>
    <w:rsid w:val="009610B8"/>
    <w:rsid w:val="009644B8"/>
    <w:rsid w:val="00965B34"/>
    <w:rsid w:val="0096732C"/>
    <w:rsid w:val="009678FB"/>
    <w:rsid w:val="009703B6"/>
    <w:rsid w:val="00971A4C"/>
    <w:rsid w:val="00975EB5"/>
    <w:rsid w:val="009779A2"/>
    <w:rsid w:val="00977C73"/>
    <w:rsid w:val="00983979"/>
    <w:rsid w:val="00983DC2"/>
    <w:rsid w:val="00983DF0"/>
    <w:rsid w:val="009921D4"/>
    <w:rsid w:val="0099742A"/>
    <w:rsid w:val="009A0446"/>
    <w:rsid w:val="009A062C"/>
    <w:rsid w:val="009A48AF"/>
    <w:rsid w:val="009A522D"/>
    <w:rsid w:val="009B0C68"/>
    <w:rsid w:val="009B3EA0"/>
    <w:rsid w:val="009B3F77"/>
    <w:rsid w:val="009B5132"/>
    <w:rsid w:val="009B6235"/>
    <w:rsid w:val="009C166A"/>
    <w:rsid w:val="009C1823"/>
    <w:rsid w:val="009C2059"/>
    <w:rsid w:val="009C5D0F"/>
    <w:rsid w:val="009C6FFB"/>
    <w:rsid w:val="009C7EF5"/>
    <w:rsid w:val="009D0C93"/>
    <w:rsid w:val="009D177F"/>
    <w:rsid w:val="009D2FAC"/>
    <w:rsid w:val="009E093C"/>
    <w:rsid w:val="009E1311"/>
    <w:rsid w:val="009E151E"/>
    <w:rsid w:val="009E3ACF"/>
    <w:rsid w:val="009E5DB6"/>
    <w:rsid w:val="009F18AF"/>
    <w:rsid w:val="009F2AA1"/>
    <w:rsid w:val="009F777E"/>
    <w:rsid w:val="009F7F52"/>
    <w:rsid w:val="00A0202C"/>
    <w:rsid w:val="00A0227E"/>
    <w:rsid w:val="00A052FB"/>
    <w:rsid w:val="00A05C1E"/>
    <w:rsid w:val="00A0603F"/>
    <w:rsid w:val="00A112E6"/>
    <w:rsid w:val="00A119CA"/>
    <w:rsid w:val="00A14966"/>
    <w:rsid w:val="00A15CAB"/>
    <w:rsid w:val="00A16E8F"/>
    <w:rsid w:val="00A17CCB"/>
    <w:rsid w:val="00A201DE"/>
    <w:rsid w:val="00A211A9"/>
    <w:rsid w:val="00A23C83"/>
    <w:rsid w:val="00A2422A"/>
    <w:rsid w:val="00A25265"/>
    <w:rsid w:val="00A26FC8"/>
    <w:rsid w:val="00A303A1"/>
    <w:rsid w:val="00A3141A"/>
    <w:rsid w:val="00A354A1"/>
    <w:rsid w:val="00A37805"/>
    <w:rsid w:val="00A42386"/>
    <w:rsid w:val="00A4309D"/>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71B"/>
    <w:rsid w:val="00AB5801"/>
    <w:rsid w:val="00AB5A64"/>
    <w:rsid w:val="00AB71A5"/>
    <w:rsid w:val="00AB76C6"/>
    <w:rsid w:val="00AB79E9"/>
    <w:rsid w:val="00AC5567"/>
    <w:rsid w:val="00AD04F4"/>
    <w:rsid w:val="00AD21E7"/>
    <w:rsid w:val="00AD576C"/>
    <w:rsid w:val="00AD670F"/>
    <w:rsid w:val="00AD6C71"/>
    <w:rsid w:val="00AE1E4B"/>
    <w:rsid w:val="00AE1E54"/>
    <w:rsid w:val="00AE2AFD"/>
    <w:rsid w:val="00AE35FF"/>
    <w:rsid w:val="00AE4372"/>
    <w:rsid w:val="00AE478A"/>
    <w:rsid w:val="00AF056D"/>
    <w:rsid w:val="00AF0C8D"/>
    <w:rsid w:val="00B00778"/>
    <w:rsid w:val="00B03E11"/>
    <w:rsid w:val="00B04E8C"/>
    <w:rsid w:val="00B050C0"/>
    <w:rsid w:val="00B05642"/>
    <w:rsid w:val="00B06097"/>
    <w:rsid w:val="00B10045"/>
    <w:rsid w:val="00B100DF"/>
    <w:rsid w:val="00B10CAE"/>
    <w:rsid w:val="00B12190"/>
    <w:rsid w:val="00B1294B"/>
    <w:rsid w:val="00B137C3"/>
    <w:rsid w:val="00B171BB"/>
    <w:rsid w:val="00B2247A"/>
    <w:rsid w:val="00B36551"/>
    <w:rsid w:val="00B36E9E"/>
    <w:rsid w:val="00B40E38"/>
    <w:rsid w:val="00B42166"/>
    <w:rsid w:val="00B45C9E"/>
    <w:rsid w:val="00B47319"/>
    <w:rsid w:val="00B51A9D"/>
    <w:rsid w:val="00B51ACE"/>
    <w:rsid w:val="00B619AA"/>
    <w:rsid w:val="00B623D7"/>
    <w:rsid w:val="00B66E7A"/>
    <w:rsid w:val="00B8096A"/>
    <w:rsid w:val="00B91564"/>
    <w:rsid w:val="00B9206A"/>
    <w:rsid w:val="00B9279E"/>
    <w:rsid w:val="00B93782"/>
    <w:rsid w:val="00BA1CFA"/>
    <w:rsid w:val="00BA4284"/>
    <w:rsid w:val="00BB06AF"/>
    <w:rsid w:val="00BC03E9"/>
    <w:rsid w:val="00BC1029"/>
    <w:rsid w:val="00BC2720"/>
    <w:rsid w:val="00BC4728"/>
    <w:rsid w:val="00BC4BF4"/>
    <w:rsid w:val="00BC60B3"/>
    <w:rsid w:val="00BD2253"/>
    <w:rsid w:val="00BD7496"/>
    <w:rsid w:val="00BE042D"/>
    <w:rsid w:val="00BE4802"/>
    <w:rsid w:val="00BE7212"/>
    <w:rsid w:val="00BF0D7C"/>
    <w:rsid w:val="00BF0D90"/>
    <w:rsid w:val="00BF331F"/>
    <w:rsid w:val="00C053A4"/>
    <w:rsid w:val="00C05CC6"/>
    <w:rsid w:val="00C068C7"/>
    <w:rsid w:val="00C073C2"/>
    <w:rsid w:val="00C13C12"/>
    <w:rsid w:val="00C160F4"/>
    <w:rsid w:val="00C2052C"/>
    <w:rsid w:val="00C20F99"/>
    <w:rsid w:val="00C2120D"/>
    <w:rsid w:val="00C215E7"/>
    <w:rsid w:val="00C233E9"/>
    <w:rsid w:val="00C2605C"/>
    <w:rsid w:val="00C26C5B"/>
    <w:rsid w:val="00C2711B"/>
    <w:rsid w:val="00C303B4"/>
    <w:rsid w:val="00C3740E"/>
    <w:rsid w:val="00C40EBC"/>
    <w:rsid w:val="00C41265"/>
    <w:rsid w:val="00C41E31"/>
    <w:rsid w:val="00C4202E"/>
    <w:rsid w:val="00C42ACA"/>
    <w:rsid w:val="00C50DD5"/>
    <w:rsid w:val="00C51308"/>
    <w:rsid w:val="00C51F78"/>
    <w:rsid w:val="00C539F8"/>
    <w:rsid w:val="00C53A47"/>
    <w:rsid w:val="00C56259"/>
    <w:rsid w:val="00C56B8A"/>
    <w:rsid w:val="00C57BB9"/>
    <w:rsid w:val="00C606F6"/>
    <w:rsid w:val="00C6082E"/>
    <w:rsid w:val="00C61699"/>
    <w:rsid w:val="00C62B02"/>
    <w:rsid w:val="00C64908"/>
    <w:rsid w:val="00C705B5"/>
    <w:rsid w:val="00C7093C"/>
    <w:rsid w:val="00C738BD"/>
    <w:rsid w:val="00C75D40"/>
    <w:rsid w:val="00C83627"/>
    <w:rsid w:val="00C84F4E"/>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0806"/>
    <w:rsid w:val="00CC39B1"/>
    <w:rsid w:val="00CC3D90"/>
    <w:rsid w:val="00CC57CE"/>
    <w:rsid w:val="00CD526B"/>
    <w:rsid w:val="00CD5B93"/>
    <w:rsid w:val="00CD7039"/>
    <w:rsid w:val="00CE10C3"/>
    <w:rsid w:val="00CE3B32"/>
    <w:rsid w:val="00CE4A24"/>
    <w:rsid w:val="00CE613B"/>
    <w:rsid w:val="00CE7403"/>
    <w:rsid w:val="00CE7BDF"/>
    <w:rsid w:val="00CF0826"/>
    <w:rsid w:val="00CF0D8A"/>
    <w:rsid w:val="00CF267F"/>
    <w:rsid w:val="00CF7DA0"/>
    <w:rsid w:val="00D0312C"/>
    <w:rsid w:val="00D04614"/>
    <w:rsid w:val="00D1723F"/>
    <w:rsid w:val="00D26B64"/>
    <w:rsid w:val="00D30AA4"/>
    <w:rsid w:val="00D30CE5"/>
    <w:rsid w:val="00D36645"/>
    <w:rsid w:val="00D3674A"/>
    <w:rsid w:val="00D40383"/>
    <w:rsid w:val="00D4085D"/>
    <w:rsid w:val="00D428F4"/>
    <w:rsid w:val="00D434F3"/>
    <w:rsid w:val="00D46E83"/>
    <w:rsid w:val="00D51386"/>
    <w:rsid w:val="00D52914"/>
    <w:rsid w:val="00D5485B"/>
    <w:rsid w:val="00D54E26"/>
    <w:rsid w:val="00D57346"/>
    <w:rsid w:val="00D61911"/>
    <w:rsid w:val="00D6217D"/>
    <w:rsid w:val="00D62258"/>
    <w:rsid w:val="00D625A7"/>
    <w:rsid w:val="00D677F9"/>
    <w:rsid w:val="00D702F1"/>
    <w:rsid w:val="00D729FA"/>
    <w:rsid w:val="00D7336A"/>
    <w:rsid w:val="00D73591"/>
    <w:rsid w:val="00D75E78"/>
    <w:rsid w:val="00D802FC"/>
    <w:rsid w:val="00D8532B"/>
    <w:rsid w:val="00D85463"/>
    <w:rsid w:val="00D92D88"/>
    <w:rsid w:val="00D973A5"/>
    <w:rsid w:val="00DA205D"/>
    <w:rsid w:val="00DA7233"/>
    <w:rsid w:val="00DC21C9"/>
    <w:rsid w:val="00DC2995"/>
    <w:rsid w:val="00DC3052"/>
    <w:rsid w:val="00DC4D62"/>
    <w:rsid w:val="00DC50E5"/>
    <w:rsid w:val="00DC76C7"/>
    <w:rsid w:val="00DE198B"/>
    <w:rsid w:val="00DE311A"/>
    <w:rsid w:val="00DE36EB"/>
    <w:rsid w:val="00DE4A6C"/>
    <w:rsid w:val="00DE64C1"/>
    <w:rsid w:val="00DE6504"/>
    <w:rsid w:val="00DF5BAB"/>
    <w:rsid w:val="00DF7615"/>
    <w:rsid w:val="00E10555"/>
    <w:rsid w:val="00E11087"/>
    <w:rsid w:val="00E16E0A"/>
    <w:rsid w:val="00E204BB"/>
    <w:rsid w:val="00E220BC"/>
    <w:rsid w:val="00E31096"/>
    <w:rsid w:val="00E32959"/>
    <w:rsid w:val="00E33938"/>
    <w:rsid w:val="00E33F03"/>
    <w:rsid w:val="00E354D8"/>
    <w:rsid w:val="00E3658A"/>
    <w:rsid w:val="00E3706A"/>
    <w:rsid w:val="00E3738B"/>
    <w:rsid w:val="00E37446"/>
    <w:rsid w:val="00E37730"/>
    <w:rsid w:val="00E40606"/>
    <w:rsid w:val="00E4099E"/>
    <w:rsid w:val="00E456AA"/>
    <w:rsid w:val="00E5201F"/>
    <w:rsid w:val="00E579FF"/>
    <w:rsid w:val="00E6698B"/>
    <w:rsid w:val="00E7195E"/>
    <w:rsid w:val="00E72F4A"/>
    <w:rsid w:val="00E7467D"/>
    <w:rsid w:val="00E75020"/>
    <w:rsid w:val="00E82115"/>
    <w:rsid w:val="00E832FF"/>
    <w:rsid w:val="00E83448"/>
    <w:rsid w:val="00E838D3"/>
    <w:rsid w:val="00E90BF8"/>
    <w:rsid w:val="00E92C8A"/>
    <w:rsid w:val="00E9346D"/>
    <w:rsid w:val="00E93665"/>
    <w:rsid w:val="00E94175"/>
    <w:rsid w:val="00EA21BF"/>
    <w:rsid w:val="00EA594C"/>
    <w:rsid w:val="00EA7329"/>
    <w:rsid w:val="00EA7A1C"/>
    <w:rsid w:val="00EB26B9"/>
    <w:rsid w:val="00EB5170"/>
    <w:rsid w:val="00EB5955"/>
    <w:rsid w:val="00EB59AA"/>
    <w:rsid w:val="00EB7EDA"/>
    <w:rsid w:val="00EC3E78"/>
    <w:rsid w:val="00EC5206"/>
    <w:rsid w:val="00EC5D22"/>
    <w:rsid w:val="00ED0175"/>
    <w:rsid w:val="00ED0AC8"/>
    <w:rsid w:val="00ED2AC4"/>
    <w:rsid w:val="00ED4036"/>
    <w:rsid w:val="00ED5D58"/>
    <w:rsid w:val="00EE041B"/>
    <w:rsid w:val="00EE1B27"/>
    <w:rsid w:val="00EE57AC"/>
    <w:rsid w:val="00EE74C4"/>
    <w:rsid w:val="00EE7D29"/>
    <w:rsid w:val="00EF33DE"/>
    <w:rsid w:val="00EF6486"/>
    <w:rsid w:val="00EF72D4"/>
    <w:rsid w:val="00F11A23"/>
    <w:rsid w:val="00F11DDE"/>
    <w:rsid w:val="00F120E6"/>
    <w:rsid w:val="00F12ACD"/>
    <w:rsid w:val="00F16589"/>
    <w:rsid w:val="00F2068C"/>
    <w:rsid w:val="00F234AB"/>
    <w:rsid w:val="00F24478"/>
    <w:rsid w:val="00F2587E"/>
    <w:rsid w:val="00F26E74"/>
    <w:rsid w:val="00F31DE0"/>
    <w:rsid w:val="00F3245D"/>
    <w:rsid w:val="00F34E70"/>
    <w:rsid w:val="00F375ED"/>
    <w:rsid w:val="00F4377A"/>
    <w:rsid w:val="00F46237"/>
    <w:rsid w:val="00F47765"/>
    <w:rsid w:val="00F501C6"/>
    <w:rsid w:val="00F630DB"/>
    <w:rsid w:val="00F630EF"/>
    <w:rsid w:val="00F6403E"/>
    <w:rsid w:val="00F71346"/>
    <w:rsid w:val="00F715F2"/>
    <w:rsid w:val="00F730C7"/>
    <w:rsid w:val="00F74250"/>
    <w:rsid w:val="00F76C87"/>
    <w:rsid w:val="00F81132"/>
    <w:rsid w:val="00F815CF"/>
    <w:rsid w:val="00F8684A"/>
    <w:rsid w:val="00F908C3"/>
    <w:rsid w:val="00F94C3D"/>
    <w:rsid w:val="00F95D26"/>
    <w:rsid w:val="00F979C5"/>
    <w:rsid w:val="00FA0CBF"/>
    <w:rsid w:val="00FA0E45"/>
    <w:rsid w:val="00FA2EC0"/>
    <w:rsid w:val="00FA4E87"/>
    <w:rsid w:val="00FA64FD"/>
    <w:rsid w:val="00FB4200"/>
    <w:rsid w:val="00FB5750"/>
    <w:rsid w:val="00FB6A2E"/>
    <w:rsid w:val="00FC055C"/>
    <w:rsid w:val="00FC28C6"/>
    <w:rsid w:val="00FD4437"/>
    <w:rsid w:val="00FE26A5"/>
    <w:rsid w:val="00FE347C"/>
    <w:rsid w:val="00FE40B2"/>
    <w:rsid w:val="00FE4A16"/>
    <w:rsid w:val="00FF5029"/>
    <w:rsid w:val="00FF678A"/>
    <w:rsid w:val="00FF7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3A29A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7"/>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0"/>
      </w:numPr>
      <w:tabs>
        <w:tab w:val="num" w:pos="567"/>
        <w:tab w:val="num" w:pos="850"/>
      </w:tabs>
      <w:ind w:left="850" w:hanging="284"/>
    </w:pPr>
  </w:style>
  <w:style w:type="paragraph" w:customStyle="1" w:styleId="DoubleDot">
    <w:name w:val="Double Dot"/>
    <w:basedOn w:val="Normal"/>
    <w:rsid w:val="00D51386"/>
    <w:pPr>
      <w:numPr>
        <w:ilvl w:val="2"/>
        <w:numId w:val="10"/>
      </w:numPr>
      <w:tabs>
        <w:tab w:val="num" w:pos="850"/>
        <w:tab w:val="num" w:pos="1133"/>
      </w:tabs>
      <w:ind w:left="1133" w:hanging="283"/>
    </w:pPr>
  </w:style>
  <w:style w:type="paragraph" w:customStyle="1" w:styleId="OutlineNumbered1">
    <w:name w:val="Outline Numbered 1"/>
    <w:basedOn w:val="Normal"/>
    <w:rsid w:val="00D51386"/>
    <w:pPr>
      <w:numPr>
        <w:numId w:val="7"/>
      </w:numPr>
    </w:pPr>
  </w:style>
  <w:style w:type="paragraph" w:customStyle="1" w:styleId="OutlineNumbered2">
    <w:name w:val="Outline Numbered 2"/>
    <w:basedOn w:val="Normal"/>
    <w:rsid w:val="00D51386"/>
    <w:pPr>
      <w:numPr>
        <w:ilvl w:val="1"/>
        <w:numId w:val="7"/>
      </w:numPr>
    </w:pPr>
  </w:style>
  <w:style w:type="paragraph" w:customStyle="1" w:styleId="OutlineNumbered3">
    <w:name w:val="Outline Numbered 3"/>
    <w:basedOn w:val="Normal"/>
    <w:rsid w:val="00D51386"/>
    <w:pPr>
      <w:numPr>
        <w:ilvl w:val="2"/>
        <w:numId w:val="7"/>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8"/>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0"/>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9"/>
      </w:numPr>
    </w:pPr>
  </w:style>
  <w:style w:type="paragraph" w:customStyle="1" w:styleId="BoxDash">
    <w:name w:val="Box Dash"/>
    <w:basedOn w:val="Normal"/>
    <w:uiPriority w:val="99"/>
    <w:rsid w:val="00D51386"/>
    <w:pPr>
      <w:numPr>
        <w:ilvl w:val="1"/>
        <w:numId w:val="9"/>
      </w:numPr>
    </w:pPr>
  </w:style>
  <w:style w:type="paragraph" w:customStyle="1" w:styleId="BoxDoubleDot">
    <w:name w:val="Box Double Dot"/>
    <w:basedOn w:val="BoxTextBase"/>
    <w:uiPriority w:val="99"/>
    <w:rsid w:val="00D51386"/>
    <w:pPr>
      <w:numPr>
        <w:ilvl w:val="2"/>
        <w:numId w:val="9"/>
      </w:numPr>
    </w:pPr>
  </w:style>
  <w:style w:type="paragraph" w:customStyle="1" w:styleId="RecommendationBullet">
    <w:name w:val="Recommendation Bullet"/>
    <w:basedOn w:val="RecommendationTextBase"/>
    <w:rsid w:val="00D51386"/>
    <w:pPr>
      <w:numPr>
        <w:numId w:val="11"/>
      </w:numPr>
    </w:pPr>
  </w:style>
  <w:style w:type="paragraph" w:customStyle="1" w:styleId="RecommendationDash">
    <w:name w:val="Recommendation Dash"/>
    <w:basedOn w:val="RecommendationTextBase"/>
    <w:rsid w:val="00D51386"/>
    <w:pPr>
      <w:numPr>
        <w:ilvl w:val="1"/>
        <w:numId w:val="11"/>
      </w:numPr>
    </w:pPr>
  </w:style>
  <w:style w:type="paragraph" w:customStyle="1" w:styleId="RecommendationDoubleDot">
    <w:name w:val="Recommendation Double Dot"/>
    <w:basedOn w:val="RecommendationTextBase"/>
    <w:rsid w:val="00D51386"/>
    <w:pPr>
      <w:numPr>
        <w:ilvl w:val="2"/>
        <w:numId w:val="11"/>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2"/>
      </w:numPr>
    </w:pPr>
  </w:style>
  <w:style w:type="paragraph" w:customStyle="1" w:styleId="Romannumeral">
    <w:name w:val="Roman numeral"/>
    <w:basedOn w:val="Normal"/>
    <w:rsid w:val="00D51386"/>
    <w:pPr>
      <w:numPr>
        <w:numId w:val="15"/>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8"/>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2"/>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8"/>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3"/>
      </w:numPr>
    </w:pPr>
  </w:style>
  <w:style w:type="paragraph" w:customStyle="1" w:styleId="AgreementParties">
    <w:name w:val="AgreementParties"/>
    <w:rsid w:val="00D51386"/>
    <w:pPr>
      <w:numPr>
        <w:numId w:val="16"/>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0"/>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1"/>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2"/>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2"/>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2"/>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2"/>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2"/>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2"/>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2"/>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2"/>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2"/>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861798"/>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7"/>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0"/>
      </w:numPr>
      <w:tabs>
        <w:tab w:val="num" w:pos="567"/>
        <w:tab w:val="num" w:pos="850"/>
      </w:tabs>
      <w:ind w:left="850" w:hanging="284"/>
    </w:pPr>
  </w:style>
  <w:style w:type="paragraph" w:customStyle="1" w:styleId="DoubleDot">
    <w:name w:val="Double Dot"/>
    <w:basedOn w:val="Normal"/>
    <w:rsid w:val="00D51386"/>
    <w:pPr>
      <w:numPr>
        <w:ilvl w:val="2"/>
        <w:numId w:val="10"/>
      </w:numPr>
      <w:tabs>
        <w:tab w:val="num" w:pos="850"/>
        <w:tab w:val="num" w:pos="1133"/>
      </w:tabs>
      <w:ind w:left="1133" w:hanging="283"/>
    </w:pPr>
  </w:style>
  <w:style w:type="paragraph" w:customStyle="1" w:styleId="OutlineNumbered1">
    <w:name w:val="Outline Numbered 1"/>
    <w:basedOn w:val="Normal"/>
    <w:rsid w:val="00D51386"/>
    <w:pPr>
      <w:numPr>
        <w:numId w:val="7"/>
      </w:numPr>
    </w:pPr>
  </w:style>
  <w:style w:type="paragraph" w:customStyle="1" w:styleId="OutlineNumbered2">
    <w:name w:val="Outline Numbered 2"/>
    <w:basedOn w:val="Normal"/>
    <w:rsid w:val="00D51386"/>
    <w:pPr>
      <w:numPr>
        <w:ilvl w:val="1"/>
        <w:numId w:val="7"/>
      </w:numPr>
    </w:pPr>
  </w:style>
  <w:style w:type="paragraph" w:customStyle="1" w:styleId="OutlineNumbered3">
    <w:name w:val="Outline Numbered 3"/>
    <w:basedOn w:val="Normal"/>
    <w:rsid w:val="00D51386"/>
    <w:pPr>
      <w:numPr>
        <w:ilvl w:val="2"/>
        <w:numId w:val="7"/>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8"/>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0"/>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9"/>
      </w:numPr>
    </w:pPr>
  </w:style>
  <w:style w:type="paragraph" w:customStyle="1" w:styleId="BoxDash">
    <w:name w:val="Box Dash"/>
    <w:basedOn w:val="Normal"/>
    <w:uiPriority w:val="99"/>
    <w:rsid w:val="00D51386"/>
    <w:pPr>
      <w:numPr>
        <w:ilvl w:val="1"/>
        <w:numId w:val="9"/>
      </w:numPr>
    </w:pPr>
  </w:style>
  <w:style w:type="paragraph" w:customStyle="1" w:styleId="BoxDoubleDot">
    <w:name w:val="Box Double Dot"/>
    <w:basedOn w:val="BoxTextBase"/>
    <w:uiPriority w:val="99"/>
    <w:rsid w:val="00D51386"/>
    <w:pPr>
      <w:numPr>
        <w:ilvl w:val="2"/>
        <w:numId w:val="9"/>
      </w:numPr>
    </w:pPr>
  </w:style>
  <w:style w:type="paragraph" w:customStyle="1" w:styleId="RecommendationBullet">
    <w:name w:val="Recommendation Bullet"/>
    <w:basedOn w:val="RecommendationTextBase"/>
    <w:rsid w:val="00D51386"/>
    <w:pPr>
      <w:numPr>
        <w:numId w:val="11"/>
      </w:numPr>
    </w:pPr>
  </w:style>
  <w:style w:type="paragraph" w:customStyle="1" w:styleId="RecommendationDash">
    <w:name w:val="Recommendation Dash"/>
    <w:basedOn w:val="RecommendationTextBase"/>
    <w:rsid w:val="00D51386"/>
    <w:pPr>
      <w:numPr>
        <w:ilvl w:val="1"/>
        <w:numId w:val="11"/>
      </w:numPr>
    </w:pPr>
  </w:style>
  <w:style w:type="paragraph" w:customStyle="1" w:styleId="RecommendationDoubleDot">
    <w:name w:val="Recommendation Double Dot"/>
    <w:basedOn w:val="RecommendationTextBase"/>
    <w:rsid w:val="00D51386"/>
    <w:pPr>
      <w:numPr>
        <w:ilvl w:val="2"/>
        <w:numId w:val="11"/>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2"/>
      </w:numPr>
    </w:pPr>
  </w:style>
  <w:style w:type="paragraph" w:customStyle="1" w:styleId="Romannumeral">
    <w:name w:val="Roman numeral"/>
    <w:basedOn w:val="Normal"/>
    <w:rsid w:val="00D51386"/>
    <w:pPr>
      <w:numPr>
        <w:numId w:val="15"/>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8"/>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2"/>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8"/>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3"/>
      </w:numPr>
    </w:pPr>
  </w:style>
  <w:style w:type="paragraph" w:customStyle="1" w:styleId="AgreementParties">
    <w:name w:val="AgreementParties"/>
    <w:rsid w:val="00D51386"/>
    <w:pPr>
      <w:numPr>
        <w:numId w:val="16"/>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0"/>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1"/>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2"/>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2"/>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2"/>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2"/>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2"/>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2"/>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2"/>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2"/>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2"/>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861798"/>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586">
      <w:bodyDiv w:val="1"/>
      <w:marLeft w:val="0"/>
      <w:marRight w:val="0"/>
      <w:marTop w:val="0"/>
      <w:marBottom w:val="0"/>
      <w:divBdr>
        <w:top w:val="none" w:sz="0" w:space="0" w:color="auto"/>
        <w:left w:val="none" w:sz="0" w:space="0" w:color="auto"/>
        <w:bottom w:val="none" w:sz="0" w:space="0" w:color="auto"/>
        <w:right w:val="none" w:sz="0" w:space="0" w:color="auto"/>
      </w:divBdr>
    </w:div>
    <w:div w:id="1195653021">
      <w:marLeft w:val="0"/>
      <w:marRight w:val="0"/>
      <w:marTop w:val="0"/>
      <w:marBottom w:val="0"/>
      <w:divBdr>
        <w:top w:val="none" w:sz="0" w:space="0" w:color="auto"/>
        <w:left w:val="none" w:sz="0" w:space="0" w:color="auto"/>
        <w:bottom w:val="none" w:sz="0" w:space="0" w:color="auto"/>
        <w:right w:val="none" w:sz="0" w:space="0" w:color="auto"/>
      </w:divBdr>
    </w:div>
    <w:div w:id="1195653022">
      <w:marLeft w:val="0"/>
      <w:marRight w:val="0"/>
      <w:marTop w:val="0"/>
      <w:marBottom w:val="0"/>
      <w:divBdr>
        <w:top w:val="none" w:sz="0" w:space="0" w:color="auto"/>
        <w:left w:val="none" w:sz="0" w:space="0" w:color="auto"/>
        <w:bottom w:val="none" w:sz="0" w:space="0" w:color="auto"/>
        <w:right w:val="none" w:sz="0" w:space="0" w:color="auto"/>
      </w:divBdr>
    </w:div>
    <w:div w:id="1195653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4.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2020FG-64-82183</_dlc_DocId>
    <_dlc_DocIdUrl xmlns="0f563589-9cf9-4143-b1eb-fb0534803d38">
      <Url>http://tweb/sites/fg/csrd/_layouts/15/DocIdRedir.aspx?ID=2020FG-64-82183</Url>
      <Description>2020FG-64-82183</Description>
    </_dlc_DocIdUrl>
  </documentManagement>
</p:properties>
</file>

<file path=customXml/item2.xml><?xml version="1.0" encoding="utf-8"?>
<metadata xmlns="http://www.objective.com/ecm/document/metadata/7308B0169B604BF78408B4824B579E8E" version="1.0.0">
  <systemFields>
    <field name="Objective-Id">
      <value order="0">B259472</value>
    </field>
    <field name="Objective-Title">
      <value order="0">Proton Beam PA - Health comments 04102018</value>
    </field>
    <field name="Objective-Description">
      <value order="0"/>
    </field>
    <field name="Objective-CreationStamp">
      <value order="0">2018-10-04T03:37:55Z</value>
    </field>
    <field name="Objective-IsApproved">
      <value order="0">false</value>
    </field>
    <field name="Objective-IsPublished">
      <value order="0">false</value>
    </field>
    <field name="Objective-DatePublished">
      <value order="0"/>
    </field>
    <field name="Objective-ModificationStamp">
      <value order="0">2018-10-08T23:15:14Z</value>
    </field>
    <field name="Objective-Owner">
      <value order="0">Mead. Marni</value>
    </field>
    <field name="Objective-Path">
      <value order="0">Objective Global Folder:DPC BUSINESS CLASSIFICATION SCHEME:STRATEGIC MANAGEMENT:AGREEMENTS:STRATEGIC MANAGEMENT - AGREEMENTS - Project Agreement on the Proton Beam Therapy Facility</value>
    </field>
    <field name="Objective-Parent">
      <value order="0">STRATEGIC MANAGEMENT - AGREEMENTS - Project Agreement on the Proton Beam Therapy Facility</value>
    </field>
    <field name="Objective-State">
      <value order="0">Being Edited</value>
    </field>
    <field name="Objective-VersionId">
      <value order="0">vB392554</value>
    </field>
    <field name="Objective-Version">
      <value order="0">0.2</value>
    </field>
    <field name="Objective-VersionNumber">
      <value order="0">2</value>
    </field>
    <field name="Objective-VersionComment">
      <value order="0"/>
    </field>
    <field name="Objective-FileNumber">
      <value order="0">qB189643</value>
    </field>
    <field name="Objective-Classification">
      <value order="0"/>
    </field>
    <field name="Objective-Caveats">
      <value order="0"/>
    </field>
  </systemFields>
  <catalogues>
    <catalogue name="DPC Document Type Catalogue" type="type" ori="id:cB64">
      <field name="Objective-Jurisdiction">
        <value order="0">Dept of the Premier &amp; Cabinet</value>
      </field>
      <field name="Objective-Confidentiality">
        <value order="0">For Official Use Only</value>
      </field>
      <field name="Objective-Integrity">
        <value order="0">I1</value>
      </field>
      <field name="Objective-Availability">
        <value order="0">A1</value>
      </field>
      <field name="Objective-Division/Unit">
        <value order="0">GSD - Intergovernmental Relations</value>
      </field>
      <field name="Objective-Document Type">
        <value order="0">eobjB188</value>
      </field>
      <field name="Objective-Caveat (CIA)">
        <value order="0"/>
      </field>
      <field name="Objective-Confidentiality Clause">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48AD-B399-4037-A8C9-1F217AFCFDA4}">
  <ds:schemaRefs>
    <ds:schemaRef ds:uri="http://schemas.openxmlformats.org/package/2006/metadata/core-properties"/>
    <ds:schemaRef ds:uri="http://purl.org/dc/elements/1.1/"/>
    <ds:schemaRef ds:uri="e544e5cc-ab70-42e1-849e-1a0f8bb1f4ef"/>
    <ds:schemaRef ds:uri="http://purl.org/dc/terms/"/>
    <ds:schemaRef ds:uri="0f563589-9cf9-4143-b1eb-fb0534803d38"/>
    <ds:schemaRef ds:uri="http://www.w3.org/XML/1998/namespace"/>
    <ds:schemaRef ds:uri="http://schemas.microsoft.com/office/infopath/2007/PartnerControls"/>
    <ds:schemaRef ds:uri="http://schemas.microsoft.com/sharepoint/v3"/>
    <ds:schemaRef ds:uri="http://schemas.microsoft.com/office/2006/documentManagement/types"/>
    <ds:schemaRef ds:uri="http://schemas.microsoft.com/sharepoint/v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BEFC19DD-1C14-4DA6-95B8-9386A072CEB0}"/>
</file>

<file path=customXml/itemProps5.xml><?xml version="1.0" encoding="utf-8"?>
<ds:datastoreItem xmlns:ds="http://schemas.openxmlformats.org/officeDocument/2006/customXml" ds:itemID="{514DA134-94A8-4550-9A63-96DD8F5B3EF5}">
  <ds:schemaRefs>
    <ds:schemaRef ds:uri="Microsoft.SharePoint.Taxonomy.ContentTypeSync"/>
  </ds:schemaRefs>
</ds:datastoreItem>
</file>

<file path=customXml/itemProps6.xml><?xml version="1.0" encoding="utf-8"?>
<ds:datastoreItem xmlns:ds="http://schemas.openxmlformats.org/officeDocument/2006/customXml" ds:itemID="{4FEA71BA-2A49-4E11-BEE2-375A402D1236}">
  <ds:schemaRefs>
    <ds:schemaRef ds:uri="http://schemas.microsoft.com/sharepoint/events"/>
  </ds:schemaRefs>
</ds:datastoreItem>
</file>

<file path=customXml/itemProps7.xml><?xml version="1.0" encoding="utf-8"?>
<ds:datastoreItem xmlns:ds="http://schemas.openxmlformats.org/officeDocument/2006/customXml" ds:itemID="{1802F593-6C91-4AE7-8C9C-AEE79A734911}">
  <ds:schemaRefs>
    <ds:schemaRef ds:uri="office.server.policy"/>
  </ds:schemaRefs>
</ds:datastoreItem>
</file>

<file path=customXml/itemProps8.xml><?xml version="1.0" encoding="utf-8"?>
<ds:datastoreItem xmlns:ds="http://schemas.openxmlformats.org/officeDocument/2006/customXml" ds:itemID="{645B918B-FECC-49CC-B0BA-A8922637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TotalTime>
  <Pages>7</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Jegatheeswaran, Gerthika</cp:lastModifiedBy>
  <cp:revision>2</cp:revision>
  <cp:lastPrinted>2018-08-29T02:50:00Z</cp:lastPrinted>
  <dcterms:created xsi:type="dcterms:W3CDTF">2018-11-07T05:56:00Z</dcterms:created>
  <dcterms:modified xsi:type="dcterms:W3CDTF">2018-11-07T05:56:00Z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0d3c05d5-3c3e-4b51-b790-e44051ca8fed</vt:lpwstr>
  </property>
  <property fmtid="{D5CDD505-2E9C-101B-9397-08002B2CF9AE}" pid="5" name="RecordPoint_ActiveItemUniqueId">
    <vt:lpwstr>{0d3c05d5-3c3e-4b51-b790-e44051ca8fed}</vt:lpwstr>
  </property>
  <property fmtid="{D5CDD505-2E9C-101B-9397-08002B2CF9AE}" pid="6" name="RecordPoint_WorkflowType">
    <vt:lpwstr>ActiveSubmitStub</vt:lpwstr>
  </property>
  <property fmtid="{D5CDD505-2E9C-101B-9397-08002B2CF9AE}" pid="7" name="_NewReviewCycle">
    <vt:lpwstr/>
  </property>
  <property fmtid="{D5CDD505-2E9C-101B-9397-08002B2CF9AE}" pid="8" name="RecordPoint_SubmissionCompleted">
    <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ListId">
    <vt:lpwstr>{4435c73b-6585-4bc2-a76a-5d21b1a02e06}</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ActiveItemWebId">
    <vt:lpwstr>{a4589788-615f-4b8b-8296-7f9f6dfbab44}</vt:lpwstr>
  </property>
  <property fmtid="{D5CDD505-2E9C-101B-9397-08002B2CF9AE}" pid="15" name="RecordPoint_ActiveItemSiteId">
    <vt:lpwstr>{a3a280d1-e8f1-4ce7-94f0-aaa2322da0dd}</vt:lpwstr>
  </property>
  <property fmtid="{D5CDD505-2E9C-101B-9397-08002B2CF9AE}" pid="16" name="Objective-Id">
    <vt:lpwstr>B259472</vt:lpwstr>
  </property>
  <property fmtid="{D5CDD505-2E9C-101B-9397-08002B2CF9AE}" pid="17" name="Objective-Title">
    <vt:lpwstr>Proton Beam PA - SA comments 09102018</vt:lpwstr>
  </property>
  <property fmtid="{D5CDD505-2E9C-101B-9397-08002B2CF9AE}" pid="18" name="Objective-Description">
    <vt:lpwstr/>
  </property>
  <property fmtid="{D5CDD505-2E9C-101B-9397-08002B2CF9AE}" pid="19" name="Objective-CreationStamp">
    <vt:filetime>2018-10-05T05:31:30Z</vt:filetime>
  </property>
  <property fmtid="{D5CDD505-2E9C-101B-9397-08002B2CF9AE}" pid="20" name="Objective-IsApproved">
    <vt:bool>false</vt:bool>
  </property>
  <property fmtid="{D5CDD505-2E9C-101B-9397-08002B2CF9AE}" pid="21" name="Objective-IsPublished">
    <vt:bool>false</vt:bool>
  </property>
  <property fmtid="{D5CDD505-2E9C-101B-9397-08002B2CF9AE}" pid="22" name="Objective-DatePublished">
    <vt:lpwstr/>
  </property>
  <property fmtid="{D5CDD505-2E9C-101B-9397-08002B2CF9AE}" pid="23" name="Objective-ModificationStamp">
    <vt:filetime>2018-10-08T23:23:43Z</vt:filetime>
  </property>
  <property fmtid="{D5CDD505-2E9C-101B-9397-08002B2CF9AE}" pid="24" name="Objective-Owner">
    <vt:lpwstr>Mead. Marni</vt:lpwstr>
  </property>
  <property fmtid="{D5CDD505-2E9C-101B-9397-08002B2CF9AE}" pid="25" name="Objective-Path">
    <vt:lpwstr>Objective Global Folder:DPC BUSINESS CLASSIFICATION SCHEME:STRATEGIC MANAGEMENT:AGREEMENTS:STRATEGIC MANAGEMENT - AGREEMENTS - Project Agreement on the Proton Beam Therapy Facility:</vt:lpwstr>
  </property>
  <property fmtid="{D5CDD505-2E9C-101B-9397-08002B2CF9AE}" pid="26" name="Objective-Parent">
    <vt:lpwstr>STRATEGIC MANAGEMENT - AGREEMENTS - Project Agreement on the Proton Beam Therapy Facility</vt:lpwstr>
  </property>
  <property fmtid="{D5CDD505-2E9C-101B-9397-08002B2CF9AE}" pid="27" name="Objective-State">
    <vt:lpwstr>Being Drafted</vt:lpwstr>
  </property>
  <property fmtid="{D5CDD505-2E9C-101B-9397-08002B2CF9AE}" pid="28" name="Objective-VersionId">
    <vt:lpwstr>vB392554</vt:lpwstr>
  </property>
  <property fmtid="{D5CDD505-2E9C-101B-9397-08002B2CF9AE}" pid="29" name="Objective-Version">
    <vt:lpwstr>0.2</vt:lpwstr>
  </property>
  <property fmtid="{D5CDD505-2E9C-101B-9397-08002B2CF9AE}" pid="30" name="Objective-VersionNumber">
    <vt:r8>2</vt:r8>
  </property>
  <property fmtid="{D5CDD505-2E9C-101B-9397-08002B2CF9AE}" pid="31" name="Objective-VersionComment">
    <vt:lpwstr/>
  </property>
  <property fmtid="{D5CDD505-2E9C-101B-9397-08002B2CF9AE}" pid="32" name="Objective-FileNumber">
    <vt:lpwstr/>
  </property>
  <property fmtid="{D5CDD505-2E9C-101B-9397-08002B2CF9AE}" pid="33" name="Objective-Classification">
    <vt:lpwstr>[Inherited - none]</vt:lpwstr>
  </property>
  <property fmtid="{D5CDD505-2E9C-101B-9397-08002B2CF9AE}" pid="34" name="Objective-Caveats">
    <vt:lpwstr/>
  </property>
  <property fmtid="{D5CDD505-2E9C-101B-9397-08002B2CF9AE}" pid="35" name="Objective-Jurisdiction">
    <vt:lpwstr>Dept of the Premier &amp; Cabinet</vt:lpwstr>
  </property>
  <property fmtid="{D5CDD505-2E9C-101B-9397-08002B2CF9AE}" pid="36" name="Objective-Confidentiality">
    <vt:lpwstr>For Official Use Only</vt:lpwstr>
  </property>
  <property fmtid="{D5CDD505-2E9C-101B-9397-08002B2CF9AE}" pid="37" name="Objective-Integrity">
    <vt:lpwstr>I1</vt:lpwstr>
  </property>
  <property fmtid="{D5CDD505-2E9C-101B-9397-08002B2CF9AE}" pid="38" name="Objective-Availability">
    <vt:lpwstr>A1</vt:lpwstr>
  </property>
  <property fmtid="{D5CDD505-2E9C-101B-9397-08002B2CF9AE}" pid="39" name="Objective-Confidentiality Clause">
    <vt:lpwstr/>
  </property>
  <property fmtid="{D5CDD505-2E9C-101B-9397-08002B2CF9AE}" pid="40" name="Objective-Division/Unit">
    <vt:lpwstr>GSD - Intergovernmental Relations</vt:lpwstr>
  </property>
  <property fmtid="{D5CDD505-2E9C-101B-9397-08002B2CF9AE}" pid="41" name="Objective-Document Type">
    <vt:lpwstr>eobjB188</vt:lpwstr>
  </property>
  <property fmtid="{D5CDD505-2E9C-101B-9397-08002B2CF9AE}" pid="42" name="Objective-Caveat (CIA)">
    <vt:lpwstr/>
  </property>
  <property fmtid="{D5CDD505-2E9C-101B-9397-08002B2CF9AE}" pid="43" name="Objective-Connect Creator">
    <vt:lpwstr/>
  </property>
  <property fmtid="{D5CDD505-2E9C-101B-9397-08002B2CF9AE}" pid="44" name="Objective-Comment">
    <vt:lpwstr/>
  </property>
  <property fmtid="{D5CDD505-2E9C-101B-9397-08002B2CF9AE}" pid="45" name="Objective-Jurisdiction [system]">
    <vt:lpwstr>Dept of the Premier &amp; Cabinet</vt:lpwstr>
  </property>
  <property fmtid="{D5CDD505-2E9C-101B-9397-08002B2CF9AE}" pid="46" name="Objective-Division/Unit [system]">
    <vt:lpwstr>GSD - Intergovernmental Relations</vt:lpwstr>
  </property>
  <property fmtid="{D5CDD505-2E9C-101B-9397-08002B2CF9AE}" pid="47" name="Objective-Document Type [system]">
    <vt:lpwstr>Agreement</vt:lpwstr>
  </property>
  <property fmtid="{D5CDD505-2E9C-101B-9397-08002B2CF9AE}" pid="48" name="Objective-Confidentiality [system]">
    <vt:lpwstr>For Official Use Only</vt:lpwstr>
  </property>
  <property fmtid="{D5CDD505-2E9C-101B-9397-08002B2CF9AE}" pid="49" name="Objective-Confidentiality Clause [system]">
    <vt:lpwstr/>
  </property>
  <property fmtid="{D5CDD505-2E9C-101B-9397-08002B2CF9AE}" pid="50" name="Objective-Integrity [system]">
    <vt:lpwstr>I1</vt:lpwstr>
  </property>
  <property fmtid="{D5CDD505-2E9C-101B-9397-08002B2CF9AE}" pid="51" name="Objective-Availability [system]">
    <vt:lpwstr>A1</vt:lpwstr>
  </property>
  <property fmtid="{D5CDD505-2E9C-101B-9397-08002B2CF9AE}" pid="52" name="Objective-Caveat (CIA) [system]">
    <vt:lpwstr/>
  </property>
  <property fmtid="{D5CDD505-2E9C-101B-9397-08002B2CF9AE}" pid="53" name="Objective-Connect Creator [system]">
    <vt:lpwstr/>
  </property>
  <property fmtid="{D5CDD505-2E9C-101B-9397-08002B2CF9AE}" pid="54" name="HPRMSecurityLevel">
    <vt:lpwstr>1;#UNCLASSIFIED|9c49a7c7-17c7-412f-8077-62dec89b9196</vt:lpwstr>
  </property>
  <property fmtid="{D5CDD505-2E9C-101B-9397-08002B2CF9AE}" pid="55" name="HPRMSecurityCaveat">
    <vt:lpwstr/>
  </property>
</Properties>
</file>