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520331" w14:paraId="23183143" w14:textId="77777777">
        <w:tc>
          <w:tcPr>
            <w:tcW w:w="817" w:type="pct"/>
          </w:tcPr>
          <w:p w14:paraId="53F695FC" w14:textId="77777777" w:rsidR="00520331" w:rsidRPr="001E74D0" w:rsidRDefault="00520331" w:rsidP="0062463E"/>
        </w:tc>
        <w:tc>
          <w:tcPr>
            <w:tcW w:w="4183" w:type="pct"/>
          </w:tcPr>
          <w:p w14:paraId="35E4BC4A" w14:textId="77777777" w:rsidR="00520331" w:rsidRPr="00FC55E9" w:rsidRDefault="00520331" w:rsidP="00520331">
            <w:pPr>
              <w:pStyle w:val="AgreementParties"/>
              <w:numPr>
                <w:ilvl w:val="0"/>
                <w:numId w:val="0"/>
              </w:numPr>
              <w:ind w:left="49"/>
            </w:pPr>
          </w:p>
        </w:tc>
      </w:tr>
    </w:tbl>
    <w:p w14:paraId="72268AAA" w14:textId="77777777" w:rsidR="00A21A05" w:rsidRDefault="00A21A05" w:rsidP="00A17D70">
      <w:pPr>
        <w:pStyle w:val="Title"/>
      </w:pPr>
    </w:p>
    <w:p w14:paraId="4BA285DB" w14:textId="77777777" w:rsidR="0036688B" w:rsidRPr="007D1A8F" w:rsidRDefault="002B046B" w:rsidP="00A17D70">
      <w:pPr>
        <w:pStyle w:val="Title"/>
      </w:pPr>
      <w:r w:rsidRPr="007D1A8F">
        <w:t>Northern Territory Health</w:t>
      </w:r>
      <w:r w:rsidR="0036688B" w:rsidRPr="007D1A8F">
        <w:t xml:space="preserve"> Implementation Plan </w:t>
      </w:r>
      <w:r w:rsidR="009E2419" w:rsidRPr="007D1A8F">
        <w:t>- Extension</w:t>
      </w:r>
    </w:p>
    <w:p w14:paraId="34F60431" w14:textId="237D99C0" w:rsidR="0036688B" w:rsidRPr="007D1A8F" w:rsidRDefault="00B934F5" w:rsidP="00A17D70">
      <w:pPr>
        <w:pStyle w:val="Subtitle"/>
      </w:pPr>
      <w:r w:rsidRPr="007D1A8F">
        <w:t xml:space="preserve">National Partnership </w:t>
      </w:r>
      <w:r w:rsidR="0036688B" w:rsidRPr="007D1A8F">
        <w:t>on</w:t>
      </w:r>
      <w:r w:rsidR="0036688B" w:rsidRPr="007D1A8F">
        <w:br/>
      </w:r>
      <w:r w:rsidR="002B046B" w:rsidRPr="007D1A8F">
        <w:t>Northern Territory Remote Aboriginal Investment</w:t>
      </w:r>
      <w:r w:rsidR="009E2419" w:rsidRPr="007D1A8F">
        <w:t>- Extension</w:t>
      </w:r>
    </w:p>
    <w:p w14:paraId="5D0B9946" w14:textId="77777777" w:rsidR="0036688B" w:rsidRPr="007D1A8F" w:rsidRDefault="0036688B" w:rsidP="00A17D70">
      <w:pPr>
        <w:pStyle w:val="Heading1"/>
      </w:pPr>
      <w:r w:rsidRPr="007D1A8F">
        <w:t>Part 1: Preliminaries</w:t>
      </w:r>
    </w:p>
    <w:p w14:paraId="21040B97" w14:textId="1861D72F" w:rsidR="001918B1" w:rsidRPr="007D1A8F" w:rsidRDefault="001918B1" w:rsidP="0036688B">
      <w:pPr>
        <w:pStyle w:val="Normalnumbered"/>
        <w:spacing w:after="240" w:line="260" w:lineRule="exact"/>
      </w:pPr>
      <w:r w:rsidRPr="007D1A8F">
        <w:t xml:space="preserve">This </w:t>
      </w:r>
      <w:r w:rsidR="00E47C62" w:rsidRPr="007D1A8F">
        <w:t>Implementation Plan</w:t>
      </w:r>
      <w:r w:rsidRPr="007D1A8F">
        <w:t xml:space="preserve"> is </w:t>
      </w:r>
      <w:r w:rsidR="00C22701" w:rsidRPr="007D1A8F">
        <w:t>a schedule to</w:t>
      </w:r>
      <w:r w:rsidRPr="007D1A8F">
        <w:t xml:space="preserve"> the National Partnership on </w:t>
      </w:r>
      <w:r w:rsidR="002B046B" w:rsidRPr="007D1A8F">
        <w:t xml:space="preserve">Northern Territory Remote Aboriginal Investment </w:t>
      </w:r>
      <w:r w:rsidR="00DC37FA" w:rsidRPr="007D1A8F">
        <w:t xml:space="preserve">- </w:t>
      </w:r>
      <w:r w:rsidR="007247F2" w:rsidRPr="007D1A8F">
        <w:t xml:space="preserve">Extension </w:t>
      </w:r>
      <w:r w:rsidRPr="007D1A8F">
        <w:t xml:space="preserve">and should be read in conjunction with that </w:t>
      </w:r>
      <w:r w:rsidR="005434F6" w:rsidRPr="007D1A8F">
        <w:t>National Partnership</w:t>
      </w:r>
      <w:r w:rsidRPr="007D1A8F">
        <w:t>. The objective in the National Partnership is</w:t>
      </w:r>
      <w:r w:rsidR="002B046B" w:rsidRPr="007D1A8F">
        <w:t xml:space="preserve"> to support safe and healthy communities</w:t>
      </w:r>
      <w:r w:rsidR="00D52D6A" w:rsidRPr="007D1A8F">
        <w:t xml:space="preserve"> for Aboriginal and Torres Strait Islander people</w:t>
      </w:r>
      <w:r w:rsidR="003851B1" w:rsidRPr="007D1A8F">
        <w:t xml:space="preserve"> in the Northern Territory</w:t>
      </w:r>
      <w:r w:rsidRPr="007D1A8F">
        <w:t>.</w:t>
      </w:r>
    </w:p>
    <w:p w14:paraId="333D6EAE" w14:textId="5CACDFB5" w:rsidR="002B046B" w:rsidRPr="007D1A8F" w:rsidRDefault="002B046B" w:rsidP="00B81C3B">
      <w:pPr>
        <w:pStyle w:val="Normalnumbered"/>
        <w:spacing w:after="240" w:line="260" w:lineRule="exact"/>
      </w:pPr>
      <w:r w:rsidRPr="007D1A8F">
        <w:t xml:space="preserve">The outcomes to be achieved under this Implementation Plan include improved health and wellbeing of Aboriginal </w:t>
      </w:r>
      <w:r w:rsidR="00D52D6A" w:rsidRPr="007D1A8F">
        <w:t xml:space="preserve">and Torres Strait Islander </w:t>
      </w:r>
      <w:r w:rsidRPr="007D1A8F">
        <w:t>children under 16 years in the Northern Territory</w:t>
      </w:r>
      <w:r w:rsidR="00DF328B" w:rsidRPr="007D1A8F">
        <w:t xml:space="preserve">, </w:t>
      </w:r>
      <w:r w:rsidR="00DF328B" w:rsidRPr="007D1A8F">
        <w:rPr>
          <w:szCs w:val="23"/>
        </w:rPr>
        <w:t xml:space="preserve">with a commitment by the Northern Territory to </w:t>
      </w:r>
      <w:r w:rsidR="00DA754F" w:rsidRPr="007D1A8F">
        <w:rPr>
          <w:szCs w:val="23"/>
        </w:rPr>
        <w:t xml:space="preserve">provide </w:t>
      </w:r>
      <w:r w:rsidR="00DF328B" w:rsidRPr="007D1A8F">
        <w:rPr>
          <w:szCs w:val="23"/>
        </w:rPr>
        <w:t>service</w:t>
      </w:r>
      <w:r w:rsidR="00DA754F" w:rsidRPr="007D1A8F">
        <w:rPr>
          <w:szCs w:val="23"/>
        </w:rPr>
        <w:t>s</w:t>
      </w:r>
      <w:r w:rsidR="00DF328B" w:rsidRPr="007D1A8F">
        <w:rPr>
          <w:szCs w:val="23"/>
        </w:rPr>
        <w:t xml:space="preserve"> </w:t>
      </w:r>
      <w:r w:rsidR="00197A80" w:rsidRPr="007D1A8F">
        <w:rPr>
          <w:szCs w:val="23"/>
        </w:rPr>
        <w:t xml:space="preserve">to </w:t>
      </w:r>
      <w:r w:rsidR="00DF328B" w:rsidRPr="007D1A8F">
        <w:rPr>
          <w:szCs w:val="23"/>
        </w:rPr>
        <w:t>children and communities in remote areas</w:t>
      </w:r>
      <w:r w:rsidR="00414D7F" w:rsidRPr="007D1A8F">
        <w:t xml:space="preserve"> </w:t>
      </w:r>
      <w:r w:rsidRPr="007D1A8F">
        <w:t>through:</w:t>
      </w:r>
    </w:p>
    <w:p w14:paraId="56CBE659" w14:textId="6F0F19AA" w:rsidR="002B046B" w:rsidRPr="007D1A8F" w:rsidRDefault="002B046B" w:rsidP="00B81C3B">
      <w:pPr>
        <w:pStyle w:val="Normalnumbered"/>
        <w:numPr>
          <w:ilvl w:val="1"/>
          <w:numId w:val="9"/>
        </w:numPr>
        <w:spacing w:after="240" w:line="260" w:lineRule="exact"/>
      </w:pPr>
      <w:r w:rsidRPr="007D1A8F">
        <w:t>an integrated hearing health program; and</w:t>
      </w:r>
    </w:p>
    <w:p w14:paraId="6750B5B4" w14:textId="315872B7" w:rsidR="002B046B" w:rsidRPr="007D1A8F" w:rsidRDefault="002B046B" w:rsidP="00B81C3B">
      <w:pPr>
        <w:pStyle w:val="Normalnumbered"/>
        <w:numPr>
          <w:ilvl w:val="1"/>
          <w:numId w:val="9"/>
        </w:numPr>
        <w:spacing w:after="240" w:line="260" w:lineRule="exact"/>
      </w:pPr>
      <w:r w:rsidRPr="007D1A8F">
        <w:t>an integrated oral health program.</w:t>
      </w:r>
    </w:p>
    <w:p w14:paraId="1E579E46" w14:textId="5A84EDBE" w:rsidR="00D52D6A" w:rsidRPr="007D1A8F" w:rsidRDefault="002B046B" w:rsidP="00B81C3B">
      <w:pPr>
        <w:pStyle w:val="Normalnumbered"/>
        <w:spacing w:after="240" w:line="260" w:lineRule="exact"/>
      </w:pPr>
      <w:r w:rsidRPr="007D1A8F">
        <w:t xml:space="preserve">The </w:t>
      </w:r>
      <w:r w:rsidR="003501BA" w:rsidRPr="007D1A8F">
        <w:t xml:space="preserve">Northern Territory </w:t>
      </w:r>
      <w:r w:rsidRPr="007D1A8F">
        <w:t>seeks to pursue these aims in partnership with</w:t>
      </w:r>
      <w:r w:rsidR="003501BA" w:rsidRPr="007D1A8F">
        <w:t xml:space="preserve"> the Commonwealth</w:t>
      </w:r>
      <w:r w:rsidRPr="007D1A8F">
        <w:t>, the</w:t>
      </w:r>
      <w:r w:rsidR="00D52D6A" w:rsidRPr="007D1A8F">
        <w:t xml:space="preserve"> </w:t>
      </w:r>
      <w:r w:rsidRPr="007D1A8F">
        <w:t xml:space="preserve">Aboriginal Community Controlled Health </w:t>
      </w:r>
      <w:r w:rsidR="00D52D6A" w:rsidRPr="007D1A8F">
        <w:t xml:space="preserve">Services </w:t>
      </w:r>
      <w:r w:rsidRPr="007D1A8F">
        <w:t>(ACCH</w:t>
      </w:r>
      <w:r w:rsidR="00D52D6A" w:rsidRPr="007D1A8F">
        <w:t>S</w:t>
      </w:r>
      <w:r w:rsidRPr="007D1A8F">
        <w:t xml:space="preserve">) sector and the wider community of Aboriginal </w:t>
      </w:r>
      <w:r w:rsidR="00D52D6A" w:rsidRPr="007D1A8F">
        <w:t xml:space="preserve">and Torres Strait Islander </w:t>
      </w:r>
      <w:r w:rsidRPr="007D1A8F">
        <w:t xml:space="preserve">people in the </w:t>
      </w:r>
      <w:r w:rsidR="007D1879" w:rsidRPr="007D1A8F">
        <w:t>Northern Territory</w:t>
      </w:r>
      <w:r w:rsidR="00DA1E34" w:rsidRPr="007D1A8F">
        <w:t xml:space="preserve">. </w:t>
      </w:r>
    </w:p>
    <w:p w14:paraId="225F9BC7" w14:textId="3B992879" w:rsidR="00D52D6A" w:rsidRPr="007D1A8F" w:rsidRDefault="00DA1E34" w:rsidP="003D6771">
      <w:pPr>
        <w:pStyle w:val="Normalnumbered"/>
        <w:spacing w:after="240" w:line="260" w:lineRule="exact"/>
      </w:pPr>
      <w:r w:rsidRPr="007D1A8F">
        <w:t xml:space="preserve">The Parties to this </w:t>
      </w:r>
      <w:r w:rsidR="005434F6" w:rsidRPr="007D1A8F">
        <w:t xml:space="preserve">National Partnership </w:t>
      </w:r>
      <w:r w:rsidR="002B046B" w:rsidRPr="007D1A8F">
        <w:t xml:space="preserve">recognise that </w:t>
      </w:r>
      <w:r w:rsidR="003851B1" w:rsidRPr="007D1A8F">
        <w:t xml:space="preserve">the </w:t>
      </w:r>
      <w:r w:rsidR="002B046B" w:rsidRPr="007D1A8F">
        <w:t>ACCH</w:t>
      </w:r>
      <w:r w:rsidR="00D52D6A" w:rsidRPr="007D1A8F">
        <w:t>S</w:t>
      </w:r>
      <w:r w:rsidR="002B046B" w:rsidRPr="007D1A8F">
        <w:t xml:space="preserve"> sector is an integral part of primary health care delivery in the </w:t>
      </w:r>
      <w:r w:rsidR="007D1879" w:rsidRPr="007D1A8F">
        <w:t>Northern Territory</w:t>
      </w:r>
      <w:r w:rsidR="003851B1" w:rsidRPr="007D1A8F">
        <w:t xml:space="preserve">, </w:t>
      </w:r>
      <w:r w:rsidR="00C84D1C" w:rsidRPr="007D1A8F">
        <w:t xml:space="preserve">however </w:t>
      </w:r>
      <w:r w:rsidR="002B046B" w:rsidRPr="007D1A8F">
        <w:t>the ACCH</w:t>
      </w:r>
      <w:r w:rsidR="00D52D6A" w:rsidRPr="007D1A8F">
        <w:t>S</w:t>
      </w:r>
      <w:r w:rsidR="002B046B" w:rsidRPr="007D1A8F">
        <w:t xml:space="preserve"> sector is not party to this. The </w:t>
      </w:r>
      <w:r w:rsidR="007D1879" w:rsidRPr="007D1A8F">
        <w:t xml:space="preserve">Northern Territory </w:t>
      </w:r>
      <w:r w:rsidR="002B046B" w:rsidRPr="007D1A8F">
        <w:t xml:space="preserve">will work </w:t>
      </w:r>
      <w:r w:rsidR="00976B6B" w:rsidRPr="007D1A8F">
        <w:t xml:space="preserve">with the Commonwealth </w:t>
      </w:r>
      <w:r w:rsidR="002B046B" w:rsidRPr="007D1A8F">
        <w:t xml:space="preserve">throughout the life of this </w:t>
      </w:r>
      <w:r w:rsidR="005434F6" w:rsidRPr="007D1A8F">
        <w:t xml:space="preserve">National Partnership </w:t>
      </w:r>
      <w:r w:rsidR="002B046B" w:rsidRPr="007D1A8F">
        <w:t xml:space="preserve">to enable effective planning and governance structures that include both governments and the ACCHO sector. </w:t>
      </w:r>
    </w:p>
    <w:p w14:paraId="044433ED" w14:textId="703B4924" w:rsidR="002B046B" w:rsidRPr="007D1A8F" w:rsidRDefault="002B046B" w:rsidP="00B81C3B">
      <w:pPr>
        <w:pStyle w:val="Normalnumbered"/>
        <w:spacing w:after="240" w:line="260" w:lineRule="exact"/>
      </w:pPr>
      <w:r w:rsidRPr="007D1A8F">
        <w:t>Parties to this Implementation Plan</w:t>
      </w:r>
      <w:r w:rsidR="00BB171C" w:rsidRPr="007D1A8F">
        <w:t xml:space="preserve"> also</w:t>
      </w:r>
      <w:r w:rsidRPr="007D1A8F">
        <w:t xml:space="preserve"> recognise the importance of thorough community engagement in delivering these </w:t>
      </w:r>
      <w:r w:rsidR="00414D7F" w:rsidRPr="007D1A8F">
        <w:t>programs</w:t>
      </w:r>
      <w:r w:rsidRPr="007D1A8F">
        <w:t>.</w:t>
      </w:r>
    </w:p>
    <w:p w14:paraId="4788CB50" w14:textId="77777777" w:rsidR="003E230C" w:rsidRPr="007D1A8F" w:rsidRDefault="003E230C" w:rsidP="00A17D70">
      <w:pPr>
        <w:pStyle w:val="Heading1"/>
      </w:pPr>
      <w:r w:rsidRPr="007D1A8F">
        <w:t xml:space="preserve">Part 2: Terms of this </w:t>
      </w:r>
      <w:r w:rsidR="00E47C62" w:rsidRPr="007D1A8F">
        <w:t>Implementation Plan</w:t>
      </w:r>
      <w:r w:rsidR="004D78CB" w:rsidRPr="007D1A8F">
        <w:tab/>
      </w:r>
    </w:p>
    <w:p w14:paraId="65EC8916" w14:textId="03AEDB15" w:rsidR="0036688B" w:rsidRPr="007D1A8F" w:rsidRDefault="0036688B" w:rsidP="0036688B">
      <w:pPr>
        <w:pStyle w:val="Normalnumbered"/>
        <w:spacing w:after="240" w:line="260" w:lineRule="exact"/>
      </w:pPr>
      <w:r w:rsidRPr="007D1A8F">
        <w:t>Th</w:t>
      </w:r>
      <w:r w:rsidR="00D52D6A" w:rsidRPr="007D1A8F">
        <w:t>e extension of this</w:t>
      </w:r>
      <w:r w:rsidRPr="007D1A8F">
        <w:t xml:space="preserve"> </w:t>
      </w:r>
      <w:r w:rsidR="00E47C62" w:rsidRPr="007D1A8F">
        <w:t>Implementation Plan</w:t>
      </w:r>
      <w:r w:rsidRPr="007D1A8F">
        <w:t xml:space="preserve"> will commence as soon as it is agreed between the Commonwealth of Australia, represented by the Minister </w:t>
      </w:r>
      <w:r w:rsidR="00197A80" w:rsidRPr="007D1A8F">
        <w:t xml:space="preserve">for Health </w:t>
      </w:r>
      <w:r w:rsidR="00BB171C" w:rsidRPr="007D1A8F">
        <w:t xml:space="preserve">and Aged Care, </w:t>
      </w:r>
      <w:r w:rsidRPr="007D1A8F">
        <w:t xml:space="preserve">and the </w:t>
      </w:r>
      <w:r w:rsidR="007D1879" w:rsidRPr="007D1A8F">
        <w:t xml:space="preserve">Northern Territory </w:t>
      </w:r>
      <w:r w:rsidRPr="007D1A8F">
        <w:t xml:space="preserve">of </w:t>
      </w:r>
      <w:r w:rsidR="002B046B" w:rsidRPr="007D1A8F">
        <w:t>Australia</w:t>
      </w:r>
      <w:r w:rsidRPr="007D1A8F">
        <w:t xml:space="preserve">, represented by the Minister for </w:t>
      </w:r>
      <w:r w:rsidR="002B046B" w:rsidRPr="007D1A8F">
        <w:t>Health</w:t>
      </w:r>
      <w:r w:rsidRPr="007D1A8F">
        <w:t>.</w:t>
      </w:r>
    </w:p>
    <w:p w14:paraId="3E5406B4" w14:textId="45112525" w:rsidR="0036688B" w:rsidRPr="007D1A8F" w:rsidRDefault="0036688B" w:rsidP="0036688B">
      <w:pPr>
        <w:pStyle w:val="Normalnumbered"/>
        <w:spacing w:after="240" w:line="260" w:lineRule="exact"/>
        <w:rPr>
          <w:szCs w:val="23"/>
        </w:rPr>
      </w:pPr>
      <w:r w:rsidRPr="007D1A8F">
        <w:lastRenderedPageBreak/>
        <w:t xml:space="preserve">As a schedule to the National Partnership, the purpose of this </w:t>
      </w:r>
      <w:r w:rsidR="00E47C62" w:rsidRPr="007D1A8F">
        <w:t>Implementation Plan</w:t>
      </w:r>
      <w:r w:rsidRPr="007D1A8F">
        <w:t xml:space="preserve"> is to provide the public with</w:t>
      </w:r>
      <w:r w:rsidRPr="007D1A8F">
        <w:rPr>
          <w:szCs w:val="23"/>
        </w:rPr>
        <w:t xml:space="preserve"> </w:t>
      </w:r>
      <w:r w:rsidR="007B7FDC" w:rsidRPr="007D1A8F">
        <w:rPr>
          <w:szCs w:val="23"/>
        </w:rPr>
        <w:t>an indication of</w:t>
      </w:r>
      <w:r w:rsidRPr="007D1A8F">
        <w:rPr>
          <w:szCs w:val="23"/>
        </w:rPr>
        <w:t xml:space="preserve"> </w:t>
      </w:r>
      <w:r w:rsidR="00C3353C" w:rsidRPr="007D1A8F">
        <w:rPr>
          <w:szCs w:val="23"/>
        </w:rPr>
        <w:t>how the project is intended to be delivered and demonstrate the</w:t>
      </w:r>
      <w:r w:rsidR="002B046B" w:rsidRPr="007D1A8F">
        <w:t xml:space="preserve"> </w:t>
      </w:r>
      <w:r w:rsidR="007D1879" w:rsidRPr="007D1A8F">
        <w:t>Northern Territory</w:t>
      </w:r>
      <w:r w:rsidR="00C3353C" w:rsidRPr="007D1A8F">
        <w:t xml:space="preserve">’s capacity to achieve the outcomes of the National </w:t>
      </w:r>
      <w:r w:rsidR="00F57BE4" w:rsidRPr="007D1A8F">
        <w:t>Partnership with regard to impro</w:t>
      </w:r>
      <w:r w:rsidR="00C3353C" w:rsidRPr="007D1A8F">
        <w:t>ving</w:t>
      </w:r>
      <w:r w:rsidR="000D4E7E" w:rsidRPr="007D1A8F">
        <w:t xml:space="preserve"> </w:t>
      </w:r>
      <w:r w:rsidR="002B046B" w:rsidRPr="007D1A8F">
        <w:t xml:space="preserve">the hearing and oral health of Aboriginal </w:t>
      </w:r>
      <w:r w:rsidR="00792971">
        <w:t xml:space="preserve">and Torres Strait Islander </w:t>
      </w:r>
      <w:r w:rsidR="002B046B" w:rsidRPr="007D1A8F">
        <w:t>children under 16 years of age</w:t>
      </w:r>
      <w:r w:rsidR="00197A80" w:rsidRPr="007D1A8F">
        <w:t xml:space="preserve"> in the Northern Territory</w:t>
      </w:r>
      <w:r w:rsidRPr="007D1A8F">
        <w:rPr>
          <w:szCs w:val="23"/>
        </w:rPr>
        <w:t xml:space="preserve">. </w:t>
      </w:r>
    </w:p>
    <w:p w14:paraId="38920EF1" w14:textId="77777777" w:rsidR="0036688B" w:rsidRPr="007D1A8F" w:rsidRDefault="0036688B" w:rsidP="0036688B">
      <w:pPr>
        <w:pStyle w:val="Normalnumbered"/>
        <w:spacing w:after="240" w:line="260" w:lineRule="exact"/>
        <w:rPr>
          <w:szCs w:val="23"/>
        </w:rPr>
      </w:pPr>
      <w:r w:rsidRPr="007D1A8F">
        <w:rPr>
          <w:szCs w:val="23"/>
        </w:rPr>
        <w:t xml:space="preserve">This </w:t>
      </w:r>
      <w:r w:rsidR="00E47C62" w:rsidRPr="007D1A8F">
        <w:rPr>
          <w:szCs w:val="23"/>
        </w:rPr>
        <w:t>Implementation Plan</w:t>
      </w:r>
      <w:r w:rsidRPr="007D1A8F">
        <w:rPr>
          <w:szCs w:val="23"/>
        </w:rPr>
        <w:t xml:space="preserve"> will cease on completion </w:t>
      </w:r>
      <w:r w:rsidR="00F9039F" w:rsidRPr="007D1A8F">
        <w:rPr>
          <w:szCs w:val="23"/>
        </w:rPr>
        <w:t xml:space="preserve">or termination </w:t>
      </w:r>
      <w:r w:rsidRPr="007D1A8F">
        <w:rPr>
          <w:szCs w:val="23"/>
        </w:rPr>
        <w:t xml:space="preserve">of </w:t>
      </w:r>
      <w:r w:rsidR="00AC5296" w:rsidRPr="007D1A8F">
        <w:rPr>
          <w:szCs w:val="23"/>
        </w:rPr>
        <w:t xml:space="preserve">the </w:t>
      </w:r>
      <w:r w:rsidR="005434F6" w:rsidRPr="007D1A8F">
        <w:t>National Partnership</w:t>
      </w:r>
      <w:r w:rsidR="00BC5FA5" w:rsidRPr="007D1A8F">
        <w:rPr>
          <w:szCs w:val="23"/>
        </w:rPr>
        <w:t>, including final performance reporting and processing of final payments against performance benchmarks or milestones.</w:t>
      </w:r>
    </w:p>
    <w:p w14:paraId="56540E70" w14:textId="77777777" w:rsidR="0036688B" w:rsidRPr="007D1A8F" w:rsidRDefault="0036688B" w:rsidP="0036688B">
      <w:pPr>
        <w:pStyle w:val="Normalnumbered"/>
        <w:spacing w:after="240" w:line="260" w:lineRule="exact"/>
        <w:rPr>
          <w:szCs w:val="23"/>
        </w:rPr>
      </w:pPr>
      <w:r w:rsidRPr="007D1A8F">
        <w:rPr>
          <w:szCs w:val="23"/>
        </w:rPr>
        <w:t xml:space="preserve">This </w:t>
      </w:r>
      <w:r w:rsidR="00E47C62" w:rsidRPr="007D1A8F">
        <w:rPr>
          <w:szCs w:val="23"/>
        </w:rPr>
        <w:t>Implementation Plan</w:t>
      </w:r>
      <w:r w:rsidRPr="007D1A8F">
        <w:rPr>
          <w:szCs w:val="23"/>
        </w:rPr>
        <w:t xml:space="preserve"> may be varied by written agreement between the </w:t>
      </w:r>
      <w:r w:rsidR="00D3241C" w:rsidRPr="007D1A8F">
        <w:rPr>
          <w:szCs w:val="23"/>
        </w:rPr>
        <w:t xml:space="preserve">Commonwealth and </w:t>
      </w:r>
      <w:r w:rsidR="007D1879" w:rsidRPr="007D1A8F">
        <w:t xml:space="preserve">Northern Territory </w:t>
      </w:r>
      <w:r w:rsidR="000D4E7E" w:rsidRPr="007D1A8F">
        <w:rPr>
          <w:szCs w:val="23"/>
        </w:rPr>
        <w:t>m</w:t>
      </w:r>
      <w:r w:rsidRPr="007D1A8F">
        <w:rPr>
          <w:szCs w:val="23"/>
        </w:rPr>
        <w:t>inisters</w:t>
      </w:r>
      <w:r w:rsidR="00D3241C" w:rsidRPr="007D1A8F">
        <w:rPr>
          <w:szCs w:val="23"/>
        </w:rPr>
        <w:t xml:space="preserve"> responsible for it under the overarching </w:t>
      </w:r>
      <w:r w:rsidR="005434F6" w:rsidRPr="007D1A8F">
        <w:t>National Partnership</w:t>
      </w:r>
      <w:r w:rsidRPr="007D1A8F">
        <w:rPr>
          <w:szCs w:val="23"/>
        </w:rPr>
        <w:t xml:space="preserve">. </w:t>
      </w:r>
    </w:p>
    <w:p w14:paraId="71BAC530" w14:textId="77777777" w:rsidR="0036688B" w:rsidRPr="007D1A8F" w:rsidRDefault="0036688B" w:rsidP="0036688B">
      <w:pPr>
        <w:pStyle w:val="Normalnumbered"/>
        <w:spacing w:after="240" w:line="260" w:lineRule="exact"/>
        <w:rPr>
          <w:szCs w:val="23"/>
        </w:rPr>
      </w:pPr>
      <w:r w:rsidRPr="007D1A8F">
        <w:rPr>
          <w:szCs w:val="23"/>
        </w:rPr>
        <w:t xml:space="preserve">The Parties to this </w:t>
      </w:r>
      <w:r w:rsidR="00E47C62" w:rsidRPr="007D1A8F">
        <w:rPr>
          <w:szCs w:val="23"/>
        </w:rPr>
        <w:t>Implementation Plan</w:t>
      </w:r>
      <w:r w:rsidRPr="007D1A8F">
        <w:rPr>
          <w:szCs w:val="23"/>
        </w:rPr>
        <w:t xml:space="preserve"> do not intend any of the provisions to be legally enforceable. However, that does not lessen the Parties’ commitment to </w:t>
      </w:r>
      <w:r w:rsidR="00CD5739" w:rsidRPr="007D1A8F">
        <w:rPr>
          <w:szCs w:val="23"/>
        </w:rPr>
        <w:t xml:space="preserve">the </w:t>
      </w:r>
      <w:r w:rsidR="00197A80" w:rsidRPr="007D1A8F">
        <w:rPr>
          <w:szCs w:val="23"/>
        </w:rPr>
        <w:t>P</w:t>
      </w:r>
      <w:r w:rsidR="00CD5739" w:rsidRPr="007D1A8F">
        <w:rPr>
          <w:szCs w:val="23"/>
        </w:rPr>
        <w:t xml:space="preserve">lan and its full </w:t>
      </w:r>
      <w:r w:rsidRPr="007D1A8F">
        <w:rPr>
          <w:szCs w:val="23"/>
        </w:rPr>
        <w:t>implementation.</w:t>
      </w:r>
    </w:p>
    <w:p w14:paraId="252BAEDC" w14:textId="77777777" w:rsidR="0036688B" w:rsidRPr="007D1A8F" w:rsidRDefault="0036688B" w:rsidP="00A17D70">
      <w:pPr>
        <w:pStyle w:val="Heading1"/>
      </w:pPr>
      <w:r w:rsidRPr="007D1A8F">
        <w:t xml:space="preserve">Part </w:t>
      </w:r>
      <w:r w:rsidR="00C26A29" w:rsidRPr="007D1A8F">
        <w:t>3</w:t>
      </w:r>
      <w:r w:rsidR="0013042B" w:rsidRPr="007D1A8F">
        <w:t xml:space="preserve">: Strategy for </w:t>
      </w:r>
      <w:r w:rsidRPr="007D1A8F">
        <w:t>implementation</w:t>
      </w:r>
      <w:r w:rsidR="00D52D6A" w:rsidRPr="007D1A8F">
        <w:t xml:space="preserve"> of EXTENSION</w:t>
      </w:r>
    </w:p>
    <w:p w14:paraId="17E00178" w14:textId="77777777" w:rsidR="006A434E" w:rsidRPr="007D1A8F" w:rsidRDefault="006A434E" w:rsidP="006A434E">
      <w:pPr>
        <w:pStyle w:val="Heading2"/>
      </w:pPr>
      <w:r w:rsidRPr="007D1A8F">
        <w:t>Relevant Northern Territory context</w:t>
      </w:r>
    </w:p>
    <w:p w14:paraId="07A52061" w14:textId="77777777" w:rsidR="006A434E" w:rsidRPr="007D1A8F" w:rsidRDefault="006A434E" w:rsidP="006A434E">
      <w:pPr>
        <w:pStyle w:val="Normalnumbered"/>
        <w:spacing w:after="240" w:line="260" w:lineRule="exact"/>
        <w:rPr>
          <w:szCs w:val="23"/>
        </w:rPr>
      </w:pPr>
      <w:r w:rsidRPr="007D1A8F">
        <w:rPr>
          <w:szCs w:val="23"/>
        </w:rPr>
        <w:t xml:space="preserve">In developing this Implementation Plan </w:t>
      </w:r>
      <w:r w:rsidR="00D52D6A" w:rsidRPr="007D1A8F">
        <w:rPr>
          <w:szCs w:val="23"/>
        </w:rPr>
        <w:t xml:space="preserve">– Extension </w:t>
      </w:r>
      <w:r w:rsidRPr="007D1A8F">
        <w:rPr>
          <w:szCs w:val="23"/>
        </w:rPr>
        <w:t xml:space="preserve">consideration has been given to relevant </w:t>
      </w:r>
      <w:r w:rsidRPr="007D1A8F">
        <w:t xml:space="preserve">Northern Territory </w:t>
      </w:r>
      <w:r w:rsidRPr="007D1A8F">
        <w:rPr>
          <w:szCs w:val="23"/>
        </w:rPr>
        <w:t xml:space="preserve">context. </w:t>
      </w:r>
      <w:r w:rsidRPr="007D1A8F">
        <w:t>Key factors</w:t>
      </w:r>
      <w:r w:rsidR="00D52D6A" w:rsidRPr="007D1A8F">
        <w:t>, based on hearing and oral health reporting produced by the Australian Institute of Health and Welfare,</w:t>
      </w:r>
      <w:r w:rsidRPr="007D1A8F">
        <w:t xml:space="preserve"> that have influenced the proposed direction are:</w:t>
      </w:r>
    </w:p>
    <w:p w14:paraId="484C6960" w14:textId="661755BF" w:rsidR="003851B1" w:rsidRPr="007D1A8F" w:rsidRDefault="006A434E" w:rsidP="009607E5">
      <w:pPr>
        <w:pStyle w:val="Normalnumbered"/>
        <w:numPr>
          <w:ilvl w:val="1"/>
          <w:numId w:val="9"/>
        </w:numPr>
        <w:spacing w:after="240" w:line="260" w:lineRule="exact"/>
      </w:pPr>
      <w:r w:rsidRPr="007D1A8F">
        <w:t xml:space="preserve">While more than half of the Northern Territory’s total population resides in the Darwin Region, the majority of its Aboriginal </w:t>
      </w:r>
      <w:r w:rsidR="00BB171C" w:rsidRPr="007D1A8F">
        <w:t xml:space="preserve">and Torres Strait Islander </w:t>
      </w:r>
      <w:r w:rsidRPr="007D1A8F">
        <w:t xml:space="preserve">population lives outside major regional centres. The health needs of Aboriginal </w:t>
      </w:r>
      <w:r w:rsidR="00BB171C" w:rsidRPr="007D1A8F">
        <w:t xml:space="preserve">and Torres Strait Islander </w:t>
      </w:r>
      <w:r w:rsidRPr="007D1A8F">
        <w:t>people living in Northern</w:t>
      </w:r>
      <w:r w:rsidR="00F067CC" w:rsidRPr="007D1A8F">
        <w:t> </w:t>
      </w:r>
      <w:r w:rsidRPr="007D1A8F">
        <w:t>Territory communities – particularly remote communities – remain critically high. Additional investment is required to improve the Northern Territory health system to meet these needs.</w:t>
      </w:r>
    </w:p>
    <w:p w14:paraId="36736EE7" w14:textId="00C7DEAB" w:rsidR="006A434E" w:rsidRPr="007D1A8F" w:rsidRDefault="009607E5" w:rsidP="009607E5">
      <w:pPr>
        <w:pStyle w:val="ListParagraph"/>
        <w:numPr>
          <w:ilvl w:val="1"/>
          <w:numId w:val="9"/>
        </w:numPr>
        <w:spacing w:after="240" w:line="260" w:lineRule="exact"/>
      </w:pPr>
      <w:proofErr w:type="gramStart"/>
      <w:r w:rsidRPr="007D1A8F">
        <w:t>At</w:t>
      </w:r>
      <w:proofErr w:type="gramEnd"/>
      <w:r w:rsidRPr="007D1A8F">
        <w:t xml:space="preserve"> 30 June 2020, there were an estimated 23,000 Aboriginal and Torres Strait Islander children aged under 16 in the Northern Territory—constituting 41% of its population aged under 16. </w:t>
      </w:r>
    </w:p>
    <w:p w14:paraId="05726465" w14:textId="0EB5F04F" w:rsidR="009607E5" w:rsidRPr="007D1A8F" w:rsidRDefault="00373958" w:rsidP="006A434E">
      <w:pPr>
        <w:pStyle w:val="Normalnumbered"/>
        <w:numPr>
          <w:ilvl w:val="1"/>
          <w:numId w:val="9"/>
        </w:numPr>
        <w:spacing w:after="240" w:line="260" w:lineRule="exact"/>
      </w:pPr>
      <w:r w:rsidRPr="007D1A8F">
        <w:t>O</w:t>
      </w:r>
      <w:r w:rsidR="006A434E" w:rsidRPr="007D1A8F">
        <w:t>f the Aboriginal</w:t>
      </w:r>
      <w:r w:rsidR="009607E5" w:rsidRPr="007D1A8F">
        <w:t xml:space="preserve"> and Torres Strait Islander</w:t>
      </w:r>
      <w:r w:rsidR="006A434E" w:rsidRPr="007D1A8F">
        <w:t xml:space="preserve"> children who received a relevant clinical service</w:t>
      </w:r>
      <w:r w:rsidRPr="007D1A8F">
        <w:t xml:space="preserve"> in </w:t>
      </w:r>
      <w:r w:rsidR="009607E5" w:rsidRPr="007D1A8F">
        <w:t>2020:</w:t>
      </w:r>
    </w:p>
    <w:p w14:paraId="10822D51" w14:textId="77777777" w:rsidR="009607E5" w:rsidRPr="007D1A8F" w:rsidRDefault="009607E5" w:rsidP="00990506">
      <w:pPr>
        <w:pStyle w:val="Normalnumbered"/>
        <w:numPr>
          <w:ilvl w:val="2"/>
          <w:numId w:val="9"/>
        </w:numPr>
        <w:spacing w:after="240" w:line="260" w:lineRule="exact"/>
      </w:pPr>
      <w:r w:rsidRPr="007D1A8F">
        <w:t xml:space="preserve">between 80% to 88% of children aged 7–10 experienced tooth decay </w:t>
      </w:r>
    </w:p>
    <w:p w14:paraId="6D113FDC" w14:textId="77777777" w:rsidR="009607E5" w:rsidRPr="007D1A8F" w:rsidRDefault="009607E5" w:rsidP="00990506">
      <w:pPr>
        <w:pStyle w:val="Normalnumbered"/>
        <w:numPr>
          <w:ilvl w:val="2"/>
          <w:numId w:val="9"/>
        </w:numPr>
        <w:spacing w:after="240" w:line="260" w:lineRule="exact"/>
      </w:pPr>
      <w:r w:rsidRPr="007D1A8F">
        <w:t>children aged 6 years old had on average 5.2 decayed, missing or filled baby teeth</w:t>
      </w:r>
    </w:p>
    <w:p w14:paraId="49CBC70B" w14:textId="77777777" w:rsidR="009607E5" w:rsidRPr="007D1A8F" w:rsidRDefault="009607E5" w:rsidP="00990506">
      <w:pPr>
        <w:pStyle w:val="Normalnumbered"/>
        <w:numPr>
          <w:ilvl w:val="2"/>
          <w:numId w:val="9"/>
        </w:numPr>
        <w:spacing w:after="240" w:line="260" w:lineRule="exact"/>
      </w:pPr>
      <w:r w:rsidRPr="007D1A8F">
        <w:t xml:space="preserve">children aged 15 years old had on average 4.0 decayed, missing or filled permanent teeth. </w:t>
      </w:r>
    </w:p>
    <w:p w14:paraId="299FCF08" w14:textId="74D0C44A" w:rsidR="009607E5" w:rsidRPr="007D1A8F" w:rsidRDefault="009607E5" w:rsidP="00990506">
      <w:pPr>
        <w:pStyle w:val="Normalnumbered"/>
        <w:numPr>
          <w:ilvl w:val="2"/>
          <w:numId w:val="9"/>
        </w:numPr>
        <w:spacing w:after="240" w:line="260" w:lineRule="exact"/>
      </w:pPr>
      <w:r w:rsidRPr="007D1A8F">
        <w:t xml:space="preserve">68% of children aged 0–2 and 42% of children aged 16–20 had at least </w:t>
      </w:r>
      <w:r w:rsidR="003A0FA7" w:rsidRPr="007D1A8F">
        <w:t>one</w:t>
      </w:r>
      <w:r w:rsidRPr="007D1A8F">
        <w:t xml:space="preserve"> type of ear condition.</w:t>
      </w:r>
    </w:p>
    <w:p w14:paraId="72D63E2B" w14:textId="77777777" w:rsidR="009607E5" w:rsidRPr="007D1A8F" w:rsidRDefault="009607E5" w:rsidP="00990506">
      <w:pPr>
        <w:pStyle w:val="Normalnumbered"/>
        <w:numPr>
          <w:ilvl w:val="2"/>
          <w:numId w:val="9"/>
        </w:numPr>
        <w:spacing w:after="240" w:line="260" w:lineRule="exact"/>
      </w:pPr>
      <w:r w:rsidRPr="007D1A8F">
        <w:t>43% of children who received an audiology services had some form of hearing loss.</w:t>
      </w:r>
    </w:p>
    <w:p w14:paraId="201BF6C7" w14:textId="70707570" w:rsidR="006A434E" w:rsidRPr="007D1A8F" w:rsidRDefault="009607E5" w:rsidP="009607E5">
      <w:pPr>
        <w:pStyle w:val="Normalnumbered"/>
        <w:numPr>
          <w:ilvl w:val="1"/>
          <w:numId w:val="9"/>
        </w:numPr>
        <w:spacing w:after="240" w:line="260" w:lineRule="exact"/>
      </w:pPr>
      <w:proofErr w:type="gramStart"/>
      <w:r w:rsidRPr="007D1A8F">
        <w:lastRenderedPageBreak/>
        <w:t>At</w:t>
      </w:r>
      <w:proofErr w:type="gramEnd"/>
      <w:r w:rsidRPr="007D1A8F">
        <w:t xml:space="preserve"> December 2020, there were 3,109 Indigenous children and young people on the audiology waiting list and 2,000 children and young people on the waiting list for ENT teleotology services</w:t>
      </w:r>
      <w:r w:rsidR="006A434E" w:rsidRPr="007D1A8F">
        <w:t>.</w:t>
      </w:r>
    </w:p>
    <w:p w14:paraId="6BD6ED35" w14:textId="28321D24" w:rsidR="009607E5" w:rsidRPr="007D1A8F" w:rsidRDefault="009607E5" w:rsidP="009607E5">
      <w:pPr>
        <w:pStyle w:val="Normalnumbered"/>
        <w:numPr>
          <w:ilvl w:val="1"/>
          <w:numId w:val="9"/>
        </w:numPr>
        <w:spacing w:after="240" w:line="260" w:lineRule="exact"/>
      </w:pPr>
      <w:r w:rsidRPr="007D1A8F">
        <w:t>The level of ear and oral disease necessitates a continued focus on treatments of existing conditions as well as preventive care. Where possible, services will be provided in the community.</w:t>
      </w:r>
      <w:r w:rsidRPr="007D1A8F" w:rsidDel="009607E5">
        <w:t xml:space="preserve"> Investments in integrated care – including preventive services and pathways to secondary and other referred services and specialist care – are needed so Aboriginal </w:t>
      </w:r>
      <w:r w:rsidR="00792971">
        <w:t xml:space="preserve">and Torres Strait Islander </w:t>
      </w:r>
      <w:r w:rsidRPr="007D1A8F" w:rsidDel="009607E5">
        <w:t>children can access services (including hearing and oral health services).</w:t>
      </w:r>
    </w:p>
    <w:p w14:paraId="3758F1C6" w14:textId="2DCB4D1D" w:rsidR="00ED54F0" w:rsidRPr="007D1A8F" w:rsidRDefault="00ED54F0">
      <w:pPr>
        <w:pStyle w:val="Normalnumbered"/>
        <w:spacing w:after="240" w:line="260" w:lineRule="exact"/>
        <w:rPr>
          <w:szCs w:val="23"/>
        </w:rPr>
      </w:pPr>
      <w:r w:rsidRPr="007D1A8F">
        <w:rPr>
          <w:szCs w:val="23"/>
        </w:rPr>
        <w:t xml:space="preserve">The Hearing and Oral Health Programs described in this Implementation Plan </w:t>
      </w:r>
      <w:r w:rsidR="009607E5" w:rsidRPr="007D1A8F">
        <w:rPr>
          <w:szCs w:val="23"/>
        </w:rPr>
        <w:t>will complement other Commonwealth and Northern Territory funded and non-government programs to avoid duplication of services</w:t>
      </w:r>
      <w:r w:rsidRPr="007D1A8F">
        <w:rPr>
          <w:szCs w:val="23"/>
        </w:rPr>
        <w:t xml:space="preserve">. The programs under this Implementation Plan have </w:t>
      </w:r>
      <w:r w:rsidR="00DF6386" w:rsidRPr="007D1A8F">
        <w:rPr>
          <w:szCs w:val="23"/>
        </w:rPr>
        <w:t>links to projects such as those described</w:t>
      </w:r>
      <w:r w:rsidRPr="007D1A8F">
        <w:rPr>
          <w:szCs w:val="23"/>
        </w:rPr>
        <w:t xml:space="preserve"> in Table 1.</w:t>
      </w:r>
    </w:p>
    <w:p w14:paraId="6A400FFE" w14:textId="77777777" w:rsidR="000F2FED" w:rsidRPr="007D1A8F" w:rsidRDefault="000F2FED" w:rsidP="00ED54F0">
      <w:pPr>
        <w:keepNext/>
        <w:spacing w:before="240" w:after="240"/>
        <w:rPr>
          <w:rFonts w:ascii="Consolas" w:hAnsi="Consolas"/>
          <w:b/>
          <w:color w:val="3D4B67"/>
          <w:szCs w:val="20"/>
        </w:rPr>
        <w:sectPr w:rsidR="000F2FED" w:rsidRPr="007D1A8F" w:rsidSect="000B266B">
          <w:footerReference w:type="default" r:id="rId11"/>
          <w:pgSz w:w="11906" w:h="16838" w:code="9"/>
          <w:pgMar w:top="851" w:right="1440" w:bottom="1021" w:left="1440" w:header="624" w:footer="624" w:gutter="0"/>
          <w:cols w:space="708"/>
          <w:docGrid w:linePitch="360"/>
        </w:sectPr>
      </w:pPr>
    </w:p>
    <w:p w14:paraId="36B28606" w14:textId="77777777" w:rsidR="00ED54F0" w:rsidRPr="007D1A8F" w:rsidRDefault="00ED54F0" w:rsidP="00ED54F0">
      <w:pPr>
        <w:keepNext/>
        <w:spacing w:before="240" w:after="240"/>
        <w:rPr>
          <w:rFonts w:ascii="Consolas" w:hAnsi="Consolas"/>
          <w:b/>
          <w:color w:val="3D4B67"/>
          <w:szCs w:val="20"/>
        </w:rPr>
      </w:pPr>
      <w:r w:rsidRPr="007D1A8F">
        <w:rPr>
          <w:rFonts w:ascii="Consolas" w:hAnsi="Consolas"/>
          <w:b/>
          <w:color w:val="3D4B67"/>
          <w:szCs w:val="20"/>
        </w:rPr>
        <w:lastRenderedPageBreak/>
        <w:t>Table 1: Links with existing reforms or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3361"/>
        <w:gridCol w:w="4348"/>
      </w:tblGrid>
      <w:tr w:rsidR="00ED54F0" w:rsidRPr="007D1A8F" w14:paraId="189735B8" w14:textId="77777777" w:rsidTr="000F2FED">
        <w:tc>
          <w:tcPr>
            <w:tcW w:w="725" w:type="pct"/>
            <w:shd w:val="clear" w:color="auto" w:fill="F2F2F2" w:themeFill="background1" w:themeFillShade="F2"/>
          </w:tcPr>
          <w:p w14:paraId="79CC6C98" w14:textId="77777777" w:rsidR="00ED54F0" w:rsidRPr="007D1A8F" w:rsidRDefault="00ED54F0" w:rsidP="00EF40F8">
            <w:pPr>
              <w:spacing w:before="60" w:after="60"/>
              <w:rPr>
                <w:b/>
                <w:sz w:val="20"/>
                <w:szCs w:val="20"/>
              </w:rPr>
            </w:pPr>
            <w:r w:rsidRPr="007D1A8F">
              <w:rPr>
                <w:b/>
                <w:sz w:val="20"/>
                <w:szCs w:val="20"/>
              </w:rPr>
              <w:t xml:space="preserve">Activities </w:t>
            </w:r>
          </w:p>
        </w:tc>
        <w:tc>
          <w:tcPr>
            <w:tcW w:w="1864" w:type="pct"/>
            <w:shd w:val="clear" w:color="auto" w:fill="F2F2F2" w:themeFill="background1" w:themeFillShade="F2"/>
          </w:tcPr>
          <w:p w14:paraId="326EE9F2" w14:textId="77777777" w:rsidR="00ED54F0" w:rsidRPr="007D1A8F" w:rsidRDefault="00ED54F0" w:rsidP="00EF40F8">
            <w:pPr>
              <w:spacing w:before="60" w:after="60"/>
              <w:rPr>
                <w:b/>
                <w:sz w:val="20"/>
                <w:szCs w:val="20"/>
              </w:rPr>
            </w:pPr>
            <w:r w:rsidRPr="007D1A8F">
              <w:rPr>
                <w:b/>
                <w:sz w:val="20"/>
                <w:szCs w:val="20"/>
              </w:rPr>
              <w:t>Existing reforms or projects</w:t>
            </w:r>
          </w:p>
        </w:tc>
        <w:tc>
          <w:tcPr>
            <w:tcW w:w="2411" w:type="pct"/>
            <w:shd w:val="clear" w:color="auto" w:fill="F2F2F2" w:themeFill="background1" w:themeFillShade="F2"/>
          </w:tcPr>
          <w:p w14:paraId="6411C3F3" w14:textId="77777777" w:rsidR="00ED54F0" w:rsidRPr="007D1A8F" w:rsidRDefault="00ED54F0" w:rsidP="00EF40F8">
            <w:pPr>
              <w:spacing w:before="60" w:after="60"/>
              <w:rPr>
                <w:b/>
                <w:sz w:val="20"/>
                <w:szCs w:val="20"/>
              </w:rPr>
            </w:pPr>
            <w:r w:rsidRPr="007D1A8F">
              <w:rPr>
                <w:b/>
                <w:sz w:val="20"/>
                <w:szCs w:val="20"/>
              </w:rPr>
              <w:t>Complementary nature of activities</w:t>
            </w:r>
          </w:p>
        </w:tc>
      </w:tr>
      <w:tr w:rsidR="00ED54F0" w:rsidRPr="007D1A8F" w14:paraId="46A224CA" w14:textId="77777777" w:rsidTr="000F2FED">
        <w:tc>
          <w:tcPr>
            <w:tcW w:w="725" w:type="pct"/>
          </w:tcPr>
          <w:p w14:paraId="7BF491A8" w14:textId="7922C2E0" w:rsidR="00ED54F0" w:rsidRPr="007D1A8F" w:rsidRDefault="00ED54F0" w:rsidP="00EF40F8">
            <w:pPr>
              <w:spacing w:before="60" w:after="60"/>
              <w:rPr>
                <w:bCs/>
                <w:color w:val="auto"/>
                <w:spacing w:val="4"/>
                <w:sz w:val="20"/>
                <w:szCs w:val="20"/>
                <w:lang w:val="en-US" w:eastAsia="en-US"/>
              </w:rPr>
            </w:pPr>
            <w:r w:rsidRPr="007D1A8F">
              <w:rPr>
                <w:sz w:val="20"/>
                <w:szCs w:val="20"/>
              </w:rPr>
              <w:t>Hearing Health Program</w:t>
            </w:r>
          </w:p>
        </w:tc>
        <w:tc>
          <w:tcPr>
            <w:tcW w:w="1864" w:type="pct"/>
          </w:tcPr>
          <w:p w14:paraId="7084D49C" w14:textId="77777777" w:rsidR="00ED54F0" w:rsidRPr="007D1A8F" w:rsidRDefault="00ED54F0" w:rsidP="00373958">
            <w:pPr>
              <w:spacing w:after="120"/>
              <w:rPr>
                <w:sz w:val="20"/>
                <w:szCs w:val="20"/>
              </w:rPr>
            </w:pPr>
            <w:r w:rsidRPr="007D1A8F">
              <w:rPr>
                <w:sz w:val="20"/>
                <w:szCs w:val="20"/>
              </w:rPr>
              <w:t>Northern Territory public audiology services</w:t>
            </w:r>
          </w:p>
          <w:p w14:paraId="32DD6B2B" w14:textId="77777777" w:rsidR="009607E5" w:rsidRPr="007D1A8F" w:rsidRDefault="009607E5" w:rsidP="009607E5">
            <w:pPr>
              <w:spacing w:after="120"/>
              <w:rPr>
                <w:sz w:val="20"/>
                <w:szCs w:val="20"/>
              </w:rPr>
            </w:pPr>
            <w:r w:rsidRPr="007D1A8F">
              <w:rPr>
                <w:sz w:val="20"/>
                <w:szCs w:val="20"/>
              </w:rPr>
              <w:t xml:space="preserve">Hearing Assessment Program – Early Ears </w:t>
            </w:r>
          </w:p>
          <w:p w14:paraId="73652C41" w14:textId="77777777" w:rsidR="009607E5" w:rsidRPr="007D1A8F" w:rsidRDefault="009607E5" w:rsidP="009607E5">
            <w:pPr>
              <w:spacing w:after="120"/>
              <w:rPr>
                <w:sz w:val="20"/>
                <w:szCs w:val="20"/>
              </w:rPr>
            </w:pPr>
            <w:r w:rsidRPr="007D1A8F">
              <w:rPr>
                <w:sz w:val="20"/>
                <w:szCs w:val="20"/>
              </w:rPr>
              <w:t>Ear Health Coordination (AMSANT)</w:t>
            </w:r>
          </w:p>
          <w:p w14:paraId="733FEF0C" w14:textId="7DB26D04" w:rsidR="00D675AA" w:rsidRPr="007D1A8F" w:rsidRDefault="009607E5" w:rsidP="00373958">
            <w:pPr>
              <w:spacing w:after="120"/>
              <w:rPr>
                <w:sz w:val="20"/>
                <w:szCs w:val="20"/>
              </w:rPr>
            </w:pPr>
            <w:proofErr w:type="spellStart"/>
            <w:r w:rsidRPr="007D1A8F">
              <w:rPr>
                <w:sz w:val="20"/>
                <w:szCs w:val="20"/>
              </w:rPr>
              <w:t>EarTrain</w:t>
            </w:r>
            <w:proofErr w:type="spellEnd"/>
            <w:r w:rsidRPr="007D1A8F">
              <w:rPr>
                <w:sz w:val="20"/>
                <w:szCs w:val="20"/>
              </w:rPr>
              <w:t xml:space="preserve"> ear assessment training (TAFE NSW)</w:t>
            </w:r>
            <w:r w:rsidR="007D1A8F">
              <w:rPr>
                <w:sz w:val="20"/>
                <w:szCs w:val="20"/>
              </w:rPr>
              <w:t xml:space="preserve"> </w:t>
            </w:r>
            <w:r w:rsidR="00D675AA" w:rsidRPr="007D1A8F">
              <w:rPr>
                <w:sz w:val="20"/>
                <w:szCs w:val="20"/>
              </w:rPr>
              <w:t xml:space="preserve">Primary </w:t>
            </w:r>
            <w:r w:rsidR="00DA754F" w:rsidRPr="007D1A8F">
              <w:rPr>
                <w:sz w:val="20"/>
                <w:szCs w:val="20"/>
              </w:rPr>
              <w:t>h</w:t>
            </w:r>
            <w:r w:rsidR="00D675AA" w:rsidRPr="007D1A8F">
              <w:rPr>
                <w:sz w:val="20"/>
                <w:szCs w:val="20"/>
              </w:rPr>
              <w:t xml:space="preserve">ealth </w:t>
            </w:r>
            <w:r w:rsidR="00DA754F" w:rsidRPr="007D1A8F">
              <w:rPr>
                <w:sz w:val="20"/>
                <w:szCs w:val="20"/>
              </w:rPr>
              <w:t>c</w:t>
            </w:r>
            <w:r w:rsidR="00D675AA" w:rsidRPr="007D1A8F">
              <w:rPr>
                <w:sz w:val="20"/>
                <w:szCs w:val="20"/>
              </w:rPr>
              <w:t xml:space="preserve">are </w:t>
            </w:r>
            <w:r w:rsidR="00DA754F" w:rsidRPr="007D1A8F">
              <w:rPr>
                <w:sz w:val="20"/>
                <w:szCs w:val="20"/>
              </w:rPr>
              <w:t>s</w:t>
            </w:r>
            <w:r w:rsidR="00D675AA" w:rsidRPr="007D1A8F">
              <w:rPr>
                <w:sz w:val="20"/>
                <w:szCs w:val="20"/>
              </w:rPr>
              <w:t xml:space="preserve">ervice </w:t>
            </w:r>
            <w:r w:rsidR="00DA754F" w:rsidRPr="007D1A8F">
              <w:rPr>
                <w:sz w:val="20"/>
                <w:szCs w:val="20"/>
              </w:rPr>
              <w:t>d</w:t>
            </w:r>
            <w:r w:rsidR="00D675AA" w:rsidRPr="007D1A8F">
              <w:rPr>
                <w:sz w:val="20"/>
                <w:szCs w:val="20"/>
              </w:rPr>
              <w:t xml:space="preserve">elivery </w:t>
            </w:r>
          </w:p>
          <w:p w14:paraId="76C28482" w14:textId="77777777" w:rsidR="00ED54F0" w:rsidRPr="007D1A8F" w:rsidRDefault="00ED54F0" w:rsidP="00373958">
            <w:pPr>
              <w:spacing w:after="120"/>
              <w:rPr>
                <w:sz w:val="20"/>
                <w:szCs w:val="20"/>
              </w:rPr>
            </w:pPr>
            <w:r w:rsidRPr="007D1A8F">
              <w:rPr>
                <w:sz w:val="20"/>
                <w:szCs w:val="20"/>
              </w:rPr>
              <w:t>Rural Health Outreach Fund (RHOF)/ Specialist Outreach Northern Territory (SONT)</w:t>
            </w:r>
          </w:p>
          <w:p w14:paraId="1F6277D3" w14:textId="77777777" w:rsidR="009607E5" w:rsidRPr="007D1A8F" w:rsidRDefault="009607E5" w:rsidP="009607E5">
            <w:pPr>
              <w:spacing w:after="120"/>
              <w:rPr>
                <w:sz w:val="20"/>
                <w:szCs w:val="20"/>
              </w:rPr>
            </w:pPr>
            <w:r w:rsidRPr="007D1A8F">
              <w:rPr>
                <w:sz w:val="20"/>
                <w:szCs w:val="20"/>
              </w:rPr>
              <w:t>Medical Outreach Indigenous Chronic Disease Program (MOICDP)</w:t>
            </w:r>
          </w:p>
          <w:p w14:paraId="1F9B923A" w14:textId="77777777" w:rsidR="009607E5" w:rsidRPr="007D1A8F" w:rsidRDefault="009607E5" w:rsidP="009607E5">
            <w:pPr>
              <w:spacing w:after="120"/>
              <w:rPr>
                <w:sz w:val="20"/>
                <w:szCs w:val="20"/>
              </w:rPr>
            </w:pPr>
            <w:r w:rsidRPr="007D1A8F">
              <w:rPr>
                <w:sz w:val="20"/>
                <w:szCs w:val="20"/>
              </w:rPr>
              <w:t>Remote Area Health Corp</w:t>
            </w:r>
          </w:p>
          <w:p w14:paraId="2E4573DE" w14:textId="77777777" w:rsidR="009607E5" w:rsidRPr="007D1A8F" w:rsidRDefault="009607E5" w:rsidP="009607E5">
            <w:pPr>
              <w:spacing w:after="120"/>
              <w:rPr>
                <w:sz w:val="20"/>
                <w:szCs w:val="20"/>
              </w:rPr>
            </w:pPr>
            <w:r w:rsidRPr="007D1A8F">
              <w:rPr>
                <w:sz w:val="20"/>
                <w:szCs w:val="20"/>
              </w:rPr>
              <w:t xml:space="preserve">Remote Health Workforce Surge Capacity Program </w:t>
            </w:r>
          </w:p>
          <w:p w14:paraId="137402BC" w14:textId="082BB0B0" w:rsidR="0048051A" w:rsidRPr="007D1A8F" w:rsidRDefault="005B0ABD" w:rsidP="00373958">
            <w:pPr>
              <w:spacing w:after="120"/>
              <w:rPr>
                <w:sz w:val="20"/>
                <w:szCs w:val="20"/>
              </w:rPr>
            </w:pPr>
            <w:r w:rsidRPr="007D1A8F">
              <w:rPr>
                <w:sz w:val="20"/>
                <w:szCs w:val="20"/>
              </w:rPr>
              <w:t>Healthy Ears – Better Hearing, Better Listening (HEBHBL) program, providing Clinical Nurse Consultants ENT Teleotology (CNC ENT) specialised ear health care in collaboration with and supported by ENT specialists to support patients to navigate through the ear health surgical pathway.</w:t>
            </w:r>
          </w:p>
          <w:p w14:paraId="64999E31" w14:textId="77777777" w:rsidR="00ED54F0" w:rsidRPr="007D1A8F" w:rsidRDefault="00ED54F0" w:rsidP="00373958">
            <w:pPr>
              <w:spacing w:after="120"/>
              <w:rPr>
                <w:sz w:val="20"/>
                <w:szCs w:val="20"/>
              </w:rPr>
            </w:pPr>
            <w:r w:rsidRPr="007D1A8F">
              <w:rPr>
                <w:sz w:val="20"/>
                <w:szCs w:val="20"/>
              </w:rPr>
              <w:t>Specialist care - Northern Territory hospital ear care</w:t>
            </w:r>
          </w:p>
        </w:tc>
        <w:tc>
          <w:tcPr>
            <w:tcW w:w="2411" w:type="pct"/>
          </w:tcPr>
          <w:p w14:paraId="7456AAF8" w14:textId="6AF126F3" w:rsidR="00551ED8" w:rsidRPr="007D1A8F" w:rsidRDefault="00551ED8" w:rsidP="00551ED8">
            <w:pPr>
              <w:spacing w:after="120"/>
              <w:rPr>
                <w:sz w:val="20"/>
                <w:szCs w:val="20"/>
              </w:rPr>
            </w:pPr>
            <w:r w:rsidRPr="007D1A8F">
              <w:rPr>
                <w:sz w:val="20"/>
                <w:szCs w:val="20"/>
              </w:rPr>
              <w:t xml:space="preserve">The systematic organisation of hearing health services in the </w:t>
            </w:r>
            <w:r w:rsidR="007D2C27" w:rsidRPr="007D1A8F">
              <w:rPr>
                <w:sz w:val="20"/>
                <w:szCs w:val="20"/>
              </w:rPr>
              <w:t xml:space="preserve">Northern Territory </w:t>
            </w:r>
            <w:r w:rsidRPr="007D1A8F">
              <w:rPr>
                <w:sz w:val="20"/>
                <w:szCs w:val="20"/>
              </w:rPr>
              <w:t xml:space="preserve">involves integrating all available resources to prioritise care to </w:t>
            </w:r>
            <w:r w:rsidR="009607E5" w:rsidRPr="007D1A8F">
              <w:rPr>
                <w:sz w:val="20"/>
                <w:szCs w:val="20"/>
              </w:rPr>
              <w:t xml:space="preserve">Aboriginal and Torres Strait Islander </w:t>
            </w:r>
            <w:r w:rsidRPr="007D1A8F">
              <w:rPr>
                <w:sz w:val="20"/>
                <w:szCs w:val="20"/>
              </w:rPr>
              <w:t>children and deliver connected pathways of care to communities. Services and work units are organised and deployed as a unified program and significant effort is invested in integrating electronic hearing health clinical data to support consistent shared care.</w:t>
            </w:r>
          </w:p>
          <w:p w14:paraId="3BE9DEE2" w14:textId="2E2102C2" w:rsidR="009607E5" w:rsidRPr="007D1A8F" w:rsidRDefault="00551ED8" w:rsidP="00551ED8">
            <w:pPr>
              <w:spacing w:after="120"/>
              <w:rPr>
                <w:sz w:val="20"/>
                <w:szCs w:val="20"/>
              </w:rPr>
            </w:pPr>
            <w:r w:rsidRPr="007D1A8F">
              <w:rPr>
                <w:sz w:val="20"/>
                <w:szCs w:val="20"/>
              </w:rPr>
              <w:t xml:space="preserve">At a community level all outreach hearing health services </w:t>
            </w:r>
            <w:r w:rsidR="009607E5" w:rsidRPr="007D1A8F">
              <w:rPr>
                <w:sz w:val="20"/>
                <w:szCs w:val="20"/>
              </w:rPr>
              <w:t xml:space="preserve">must work in unison and be delivered in partnership with Aboriginal and Torres Strait Islander communities. </w:t>
            </w:r>
          </w:p>
          <w:p w14:paraId="416B261E" w14:textId="0F260FDB" w:rsidR="00ED54F0" w:rsidRPr="007D1A8F" w:rsidRDefault="009607E5" w:rsidP="004D08E2">
            <w:pPr>
              <w:spacing w:after="120"/>
              <w:rPr>
                <w:sz w:val="20"/>
                <w:szCs w:val="20"/>
              </w:rPr>
            </w:pPr>
            <w:r w:rsidRPr="007D1A8F">
              <w:rPr>
                <w:sz w:val="20"/>
                <w:szCs w:val="20"/>
              </w:rPr>
              <w:t xml:space="preserve">The Hearing Health Program under this Implementation Plan will not duplicate services already provided by existing reforms or projects. The </w:t>
            </w:r>
            <w:r w:rsidR="00551ED8" w:rsidRPr="007D1A8F">
              <w:rPr>
                <w:sz w:val="20"/>
                <w:szCs w:val="20"/>
              </w:rPr>
              <w:t>Hearing Health Program</w:t>
            </w:r>
            <w:r w:rsidRPr="007D1A8F">
              <w:rPr>
                <w:sz w:val="20"/>
                <w:szCs w:val="20"/>
              </w:rPr>
              <w:t xml:space="preserve"> delivers</w:t>
            </w:r>
            <w:r w:rsidR="00551ED8" w:rsidRPr="007D1A8F">
              <w:rPr>
                <w:sz w:val="20"/>
                <w:szCs w:val="20"/>
              </w:rPr>
              <w:t xml:space="preserve"> prevention, audiology, teleotology, clinical leadership, case management, professional / skills development, health promotion, ENT consultation and surgical care</w:t>
            </w:r>
            <w:r w:rsidRPr="007D1A8F">
              <w:rPr>
                <w:sz w:val="20"/>
                <w:szCs w:val="20"/>
              </w:rPr>
              <w:t xml:space="preserve">, and </w:t>
            </w:r>
            <w:r w:rsidR="00551ED8" w:rsidRPr="007D1A8F">
              <w:rPr>
                <w:sz w:val="20"/>
                <w:szCs w:val="20"/>
              </w:rPr>
              <w:t xml:space="preserve">interfaces directly </w:t>
            </w:r>
            <w:r w:rsidR="007A0CDA" w:rsidRPr="007D1A8F">
              <w:rPr>
                <w:sz w:val="20"/>
                <w:szCs w:val="20"/>
              </w:rPr>
              <w:t xml:space="preserve">with </w:t>
            </w:r>
            <w:r w:rsidR="00551ED8" w:rsidRPr="007D1A8F">
              <w:rPr>
                <w:sz w:val="20"/>
                <w:szCs w:val="20"/>
              </w:rPr>
              <w:t>primary health care and the hospital system.</w:t>
            </w:r>
          </w:p>
        </w:tc>
      </w:tr>
      <w:tr w:rsidR="00ED54F0" w:rsidRPr="007D1A8F" w14:paraId="20F29877" w14:textId="77777777" w:rsidTr="00DD03BF">
        <w:trPr>
          <w:cantSplit/>
        </w:trPr>
        <w:tc>
          <w:tcPr>
            <w:tcW w:w="725" w:type="pct"/>
          </w:tcPr>
          <w:p w14:paraId="556A35B2" w14:textId="551A9746" w:rsidR="00ED54F0" w:rsidRPr="007D1A8F" w:rsidRDefault="00ED54F0" w:rsidP="00EF40F8">
            <w:pPr>
              <w:spacing w:before="60" w:after="60"/>
              <w:rPr>
                <w:bCs/>
                <w:color w:val="auto"/>
                <w:spacing w:val="4"/>
                <w:sz w:val="20"/>
                <w:szCs w:val="20"/>
                <w:lang w:val="en-US" w:eastAsia="en-US"/>
              </w:rPr>
            </w:pPr>
            <w:r w:rsidRPr="007D1A8F">
              <w:rPr>
                <w:sz w:val="20"/>
                <w:szCs w:val="20"/>
              </w:rPr>
              <w:t>Oral Health Program</w:t>
            </w:r>
          </w:p>
        </w:tc>
        <w:tc>
          <w:tcPr>
            <w:tcW w:w="1864" w:type="pct"/>
          </w:tcPr>
          <w:p w14:paraId="669ABF1C" w14:textId="77777777" w:rsidR="00ED54F0" w:rsidRPr="007D1A8F" w:rsidRDefault="00ED54F0" w:rsidP="00373958">
            <w:pPr>
              <w:spacing w:after="120"/>
              <w:rPr>
                <w:sz w:val="20"/>
                <w:szCs w:val="20"/>
              </w:rPr>
            </w:pPr>
            <w:r w:rsidRPr="007D1A8F">
              <w:rPr>
                <w:sz w:val="20"/>
                <w:szCs w:val="20"/>
              </w:rPr>
              <w:t xml:space="preserve">Northern Territory public dental services </w:t>
            </w:r>
          </w:p>
          <w:p w14:paraId="59A28005" w14:textId="77777777" w:rsidR="00ED54F0" w:rsidRPr="007D1A8F" w:rsidRDefault="00ED54F0" w:rsidP="00373958">
            <w:pPr>
              <w:spacing w:after="120"/>
              <w:rPr>
                <w:sz w:val="20"/>
                <w:szCs w:val="20"/>
              </w:rPr>
            </w:pPr>
            <w:r w:rsidRPr="007D1A8F">
              <w:rPr>
                <w:sz w:val="20"/>
                <w:szCs w:val="20"/>
              </w:rPr>
              <w:t xml:space="preserve">Primary </w:t>
            </w:r>
            <w:r w:rsidR="00DA754F" w:rsidRPr="007D1A8F">
              <w:rPr>
                <w:sz w:val="20"/>
                <w:szCs w:val="20"/>
              </w:rPr>
              <w:t>h</w:t>
            </w:r>
            <w:r w:rsidRPr="007D1A8F">
              <w:rPr>
                <w:sz w:val="20"/>
                <w:szCs w:val="20"/>
              </w:rPr>
              <w:t xml:space="preserve">ealth </w:t>
            </w:r>
            <w:r w:rsidR="00DA754F" w:rsidRPr="007D1A8F">
              <w:rPr>
                <w:sz w:val="20"/>
                <w:szCs w:val="20"/>
              </w:rPr>
              <w:t>c</w:t>
            </w:r>
            <w:r w:rsidRPr="007D1A8F">
              <w:rPr>
                <w:sz w:val="20"/>
                <w:szCs w:val="20"/>
              </w:rPr>
              <w:t xml:space="preserve">are </w:t>
            </w:r>
            <w:r w:rsidR="00DA754F" w:rsidRPr="007D1A8F">
              <w:rPr>
                <w:sz w:val="20"/>
                <w:szCs w:val="20"/>
              </w:rPr>
              <w:t>s</w:t>
            </w:r>
            <w:r w:rsidRPr="007D1A8F">
              <w:rPr>
                <w:sz w:val="20"/>
                <w:szCs w:val="20"/>
              </w:rPr>
              <w:t xml:space="preserve">ervice </w:t>
            </w:r>
            <w:r w:rsidR="00DA754F" w:rsidRPr="007D1A8F">
              <w:rPr>
                <w:sz w:val="20"/>
                <w:szCs w:val="20"/>
              </w:rPr>
              <w:t>d</w:t>
            </w:r>
            <w:r w:rsidRPr="007D1A8F">
              <w:rPr>
                <w:sz w:val="20"/>
                <w:szCs w:val="20"/>
              </w:rPr>
              <w:t xml:space="preserve">elivery </w:t>
            </w:r>
          </w:p>
          <w:p w14:paraId="4A161A68" w14:textId="77777777" w:rsidR="00ED54F0" w:rsidRPr="007D1A8F" w:rsidRDefault="00ED54F0" w:rsidP="00373958">
            <w:pPr>
              <w:spacing w:after="120"/>
              <w:rPr>
                <w:sz w:val="20"/>
                <w:szCs w:val="20"/>
              </w:rPr>
            </w:pPr>
            <w:r w:rsidRPr="007D1A8F">
              <w:rPr>
                <w:sz w:val="20"/>
                <w:szCs w:val="20"/>
              </w:rPr>
              <w:t>Specialist care – Northern Territory hospital dental care</w:t>
            </w:r>
          </w:p>
          <w:p w14:paraId="4CFFD269" w14:textId="77777777" w:rsidR="009607E5" w:rsidRPr="007D1A8F" w:rsidRDefault="00373958" w:rsidP="009607E5">
            <w:pPr>
              <w:spacing w:after="120"/>
              <w:rPr>
                <w:sz w:val="20"/>
                <w:szCs w:val="20"/>
              </w:rPr>
            </w:pPr>
            <w:r w:rsidRPr="007D1A8F">
              <w:rPr>
                <w:sz w:val="20"/>
                <w:szCs w:val="20"/>
              </w:rPr>
              <w:t xml:space="preserve">Healthy Smiles </w:t>
            </w:r>
            <w:r w:rsidR="009607E5" w:rsidRPr="007D1A8F">
              <w:rPr>
                <w:sz w:val="20"/>
                <w:szCs w:val="20"/>
              </w:rPr>
              <w:t>Training: Oral Health &amp; Fluoride Varnish Training for Health Professionals</w:t>
            </w:r>
          </w:p>
          <w:p w14:paraId="0D37DCB1" w14:textId="77777777" w:rsidR="009607E5" w:rsidRPr="007D1A8F" w:rsidRDefault="009607E5" w:rsidP="009607E5">
            <w:pPr>
              <w:spacing w:after="120"/>
              <w:rPr>
                <w:sz w:val="20"/>
                <w:szCs w:val="20"/>
              </w:rPr>
            </w:pPr>
            <w:r w:rsidRPr="007D1A8F">
              <w:rPr>
                <w:sz w:val="20"/>
                <w:szCs w:val="20"/>
              </w:rPr>
              <w:t>Remote Area Health Corp</w:t>
            </w:r>
          </w:p>
          <w:p w14:paraId="331A1DE9" w14:textId="77777777" w:rsidR="009607E5" w:rsidRPr="007D1A8F" w:rsidRDefault="009607E5" w:rsidP="009607E5">
            <w:pPr>
              <w:spacing w:after="120"/>
              <w:rPr>
                <w:sz w:val="20"/>
                <w:szCs w:val="20"/>
              </w:rPr>
            </w:pPr>
            <w:r w:rsidRPr="007D1A8F">
              <w:rPr>
                <w:sz w:val="20"/>
                <w:szCs w:val="20"/>
              </w:rPr>
              <w:t xml:space="preserve">Remote Health Workforce Surge Capacity Program </w:t>
            </w:r>
          </w:p>
          <w:p w14:paraId="0BFA428C" w14:textId="782A484B" w:rsidR="00373958" w:rsidRPr="007D1A8F" w:rsidRDefault="00373958" w:rsidP="00373958">
            <w:pPr>
              <w:spacing w:after="120"/>
              <w:rPr>
                <w:sz w:val="20"/>
                <w:szCs w:val="20"/>
              </w:rPr>
            </w:pPr>
          </w:p>
        </w:tc>
        <w:tc>
          <w:tcPr>
            <w:tcW w:w="2411" w:type="pct"/>
          </w:tcPr>
          <w:p w14:paraId="1AD7B29A" w14:textId="556B91E7" w:rsidR="00615D6E" w:rsidRPr="007D1A8F" w:rsidRDefault="00615D6E" w:rsidP="00373958">
            <w:pPr>
              <w:spacing w:after="120"/>
              <w:rPr>
                <w:sz w:val="20"/>
                <w:szCs w:val="20"/>
              </w:rPr>
            </w:pPr>
            <w:r w:rsidRPr="007D1A8F">
              <w:rPr>
                <w:sz w:val="20"/>
                <w:szCs w:val="20"/>
              </w:rPr>
              <w:t xml:space="preserve">The Oral Health Program delivers preventative and oral health care for </w:t>
            </w:r>
            <w:r w:rsidR="009607E5" w:rsidRPr="007D1A8F">
              <w:rPr>
                <w:sz w:val="20"/>
                <w:szCs w:val="20"/>
              </w:rPr>
              <w:t>Aboriginal and Torres Strait Islander</w:t>
            </w:r>
            <w:r w:rsidRPr="007D1A8F">
              <w:rPr>
                <w:sz w:val="20"/>
                <w:szCs w:val="20"/>
              </w:rPr>
              <w:t xml:space="preserve"> children.</w:t>
            </w:r>
          </w:p>
          <w:p w14:paraId="5FEB8B32" w14:textId="34D87284" w:rsidR="00E65C6D" w:rsidRPr="007D1A8F" w:rsidRDefault="00E65C6D" w:rsidP="00E65C6D">
            <w:pPr>
              <w:spacing w:after="120"/>
              <w:rPr>
                <w:sz w:val="20"/>
                <w:szCs w:val="20"/>
              </w:rPr>
            </w:pPr>
            <w:r w:rsidRPr="007D1A8F">
              <w:rPr>
                <w:sz w:val="20"/>
                <w:szCs w:val="20"/>
              </w:rPr>
              <w:t xml:space="preserve">Existing Northern Territory funded dental health service system, primary health care system, and specialist services will complement and support the Oral Health Program under this National Partnership to provide a coordinated oral health program for Aboriginal </w:t>
            </w:r>
            <w:r w:rsidR="00227946" w:rsidRPr="007D1A8F">
              <w:rPr>
                <w:sz w:val="20"/>
                <w:szCs w:val="20"/>
              </w:rPr>
              <w:t xml:space="preserve">and Torres Strait Islander </w:t>
            </w:r>
            <w:r w:rsidRPr="007D1A8F">
              <w:rPr>
                <w:sz w:val="20"/>
                <w:szCs w:val="20"/>
              </w:rPr>
              <w:t>children.</w:t>
            </w:r>
          </w:p>
          <w:p w14:paraId="6A47E16A" w14:textId="77777777" w:rsidR="00ED54F0" w:rsidRPr="007D1A8F" w:rsidRDefault="00ED54F0" w:rsidP="00373958">
            <w:pPr>
              <w:spacing w:after="120"/>
              <w:rPr>
                <w:sz w:val="20"/>
                <w:szCs w:val="20"/>
              </w:rPr>
            </w:pPr>
            <w:r w:rsidRPr="007D1A8F">
              <w:rPr>
                <w:sz w:val="20"/>
                <w:szCs w:val="20"/>
              </w:rPr>
              <w:t>Primary health care services will work to integrate oral health, particularly primary prevention into primary care delivery.</w:t>
            </w:r>
          </w:p>
          <w:p w14:paraId="629FA10F" w14:textId="6EAE0160" w:rsidR="00373958" w:rsidRPr="007D1A8F" w:rsidRDefault="00373958" w:rsidP="00E65C6D">
            <w:pPr>
              <w:spacing w:after="120"/>
              <w:rPr>
                <w:sz w:val="20"/>
                <w:szCs w:val="20"/>
              </w:rPr>
            </w:pPr>
            <w:r w:rsidRPr="007D1A8F">
              <w:rPr>
                <w:sz w:val="20"/>
                <w:szCs w:val="20"/>
              </w:rPr>
              <w:t xml:space="preserve">Children identified </w:t>
            </w:r>
            <w:r w:rsidR="00615D6E" w:rsidRPr="007D1A8F">
              <w:rPr>
                <w:sz w:val="20"/>
                <w:szCs w:val="20"/>
              </w:rPr>
              <w:t xml:space="preserve">through the Oral Health Program </w:t>
            </w:r>
            <w:r w:rsidRPr="007D1A8F">
              <w:rPr>
                <w:sz w:val="20"/>
                <w:szCs w:val="20"/>
              </w:rPr>
              <w:t>as requiring follow up</w:t>
            </w:r>
            <w:r w:rsidR="008A778B" w:rsidRPr="007D1A8F">
              <w:rPr>
                <w:sz w:val="20"/>
                <w:szCs w:val="20"/>
              </w:rPr>
              <w:t xml:space="preserve"> </w:t>
            </w:r>
            <w:r w:rsidR="00E65C6D" w:rsidRPr="007D1A8F">
              <w:rPr>
                <w:sz w:val="20"/>
                <w:szCs w:val="20"/>
              </w:rPr>
              <w:t>s</w:t>
            </w:r>
            <w:r w:rsidR="008A778B" w:rsidRPr="007D1A8F">
              <w:rPr>
                <w:sz w:val="20"/>
                <w:szCs w:val="20"/>
              </w:rPr>
              <w:t>pecialist services</w:t>
            </w:r>
            <w:r w:rsidRPr="007D1A8F">
              <w:rPr>
                <w:sz w:val="20"/>
                <w:szCs w:val="20"/>
              </w:rPr>
              <w:t xml:space="preserve"> will be referred to</w:t>
            </w:r>
            <w:r w:rsidR="008A778B" w:rsidRPr="007D1A8F">
              <w:rPr>
                <w:sz w:val="20"/>
                <w:szCs w:val="20"/>
              </w:rPr>
              <w:t xml:space="preserve"> appropriate</w:t>
            </w:r>
            <w:r w:rsidRPr="007D1A8F">
              <w:rPr>
                <w:sz w:val="20"/>
                <w:szCs w:val="20"/>
              </w:rPr>
              <w:t xml:space="preserve"> </w:t>
            </w:r>
            <w:r w:rsidR="00E65C6D" w:rsidRPr="007D1A8F">
              <w:rPr>
                <w:sz w:val="20"/>
                <w:szCs w:val="20"/>
              </w:rPr>
              <w:t>s</w:t>
            </w:r>
            <w:r w:rsidRPr="007D1A8F">
              <w:rPr>
                <w:sz w:val="20"/>
                <w:szCs w:val="20"/>
              </w:rPr>
              <w:t>pecialist</w:t>
            </w:r>
            <w:r w:rsidR="008A778B" w:rsidRPr="007D1A8F">
              <w:rPr>
                <w:sz w:val="20"/>
                <w:szCs w:val="20"/>
              </w:rPr>
              <w:t>s</w:t>
            </w:r>
            <w:r w:rsidR="00615D6E" w:rsidRPr="007D1A8F">
              <w:rPr>
                <w:sz w:val="20"/>
                <w:szCs w:val="20"/>
              </w:rPr>
              <w:t xml:space="preserve"> in the primary health care and hospital system</w:t>
            </w:r>
            <w:r w:rsidRPr="007D1A8F">
              <w:rPr>
                <w:sz w:val="20"/>
                <w:szCs w:val="20"/>
              </w:rPr>
              <w:t>.</w:t>
            </w:r>
          </w:p>
        </w:tc>
      </w:tr>
    </w:tbl>
    <w:p w14:paraId="15CFC2CF" w14:textId="77777777" w:rsidR="00D15A8D" w:rsidRPr="007D1A8F" w:rsidRDefault="00D15A8D" w:rsidP="00D15A8D">
      <w:pPr>
        <w:pStyle w:val="Heading2"/>
      </w:pPr>
      <w:r w:rsidRPr="007D1A8F">
        <w:t xml:space="preserve">Project information </w:t>
      </w:r>
    </w:p>
    <w:p w14:paraId="5E712DCE" w14:textId="77777777" w:rsidR="00D15A8D" w:rsidRPr="007D1A8F" w:rsidRDefault="00D15A8D" w:rsidP="00ED54F0">
      <w:pPr>
        <w:pStyle w:val="Normalnumbered"/>
        <w:spacing w:after="240" w:line="260" w:lineRule="exact"/>
        <w:rPr>
          <w:szCs w:val="23"/>
        </w:rPr>
      </w:pPr>
      <w:r w:rsidRPr="007D1A8F">
        <w:rPr>
          <w:szCs w:val="23"/>
        </w:rPr>
        <w:t xml:space="preserve">The project elements are: </w:t>
      </w:r>
    </w:p>
    <w:p w14:paraId="36F710ED" w14:textId="77777777" w:rsidR="00D15A8D" w:rsidRPr="007D1A8F" w:rsidRDefault="00D15A8D" w:rsidP="00AA3C9C">
      <w:pPr>
        <w:pStyle w:val="Normalnumbered"/>
        <w:numPr>
          <w:ilvl w:val="1"/>
          <w:numId w:val="9"/>
        </w:numPr>
        <w:spacing w:after="240" w:line="260" w:lineRule="exact"/>
      </w:pPr>
      <w:r w:rsidRPr="007D1A8F">
        <w:t>Hearing health services; and</w:t>
      </w:r>
    </w:p>
    <w:p w14:paraId="3F512CD0" w14:textId="77777777" w:rsidR="00D15A8D" w:rsidRPr="007D1A8F" w:rsidRDefault="00D15A8D" w:rsidP="00AA3C9C">
      <w:pPr>
        <w:pStyle w:val="Normalnumbered"/>
        <w:numPr>
          <w:ilvl w:val="1"/>
          <w:numId w:val="9"/>
        </w:numPr>
        <w:spacing w:after="240" w:line="260" w:lineRule="exact"/>
      </w:pPr>
      <w:r w:rsidRPr="007D1A8F">
        <w:lastRenderedPageBreak/>
        <w:t>Oral health services.</w:t>
      </w:r>
    </w:p>
    <w:p w14:paraId="283103CD" w14:textId="77777777" w:rsidR="00D15A8D" w:rsidRPr="007D1A8F" w:rsidRDefault="00D15A8D" w:rsidP="00D15A8D">
      <w:pPr>
        <w:pStyle w:val="Heading2"/>
      </w:pPr>
      <w:r w:rsidRPr="007D1A8F">
        <w:t>Estimated costs</w:t>
      </w:r>
    </w:p>
    <w:p w14:paraId="7B6B99F3" w14:textId="6AAE6240" w:rsidR="00227946" w:rsidRPr="007D1A8F" w:rsidRDefault="00D15A8D" w:rsidP="00D15A8D">
      <w:pPr>
        <w:pStyle w:val="Normalnumbered"/>
        <w:spacing w:after="240" w:line="260" w:lineRule="exact"/>
      </w:pPr>
      <w:r w:rsidRPr="007D1A8F">
        <w:t xml:space="preserve">The financial contribution provided by the Commonwealth to the Northern Territory </w:t>
      </w:r>
      <w:r w:rsidR="00227946" w:rsidRPr="007D1A8F">
        <w:t xml:space="preserve">from 2015-16 to 2021-22 inclusive was </w:t>
      </w:r>
      <w:r w:rsidRPr="007D1A8F">
        <w:t>$45.313 million</w:t>
      </w:r>
      <w:r w:rsidR="00227946" w:rsidRPr="007D1A8F">
        <w:t>.</w:t>
      </w:r>
    </w:p>
    <w:p w14:paraId="69FDEE3E" w14:textId="67E5F025" w:rsidR="00D15A8D" w:rsidRPr="007D1A8F" w:rsidRDefault="00227946" w:rsidP="00D15A8D">
      <w:pPr>
        <w:pStyle w:val="Normalnumbered"/>
        <w:spacing w:after="240" w:line="260" w:lineRule="exact"/>
      </w:pPr>
      <w:r w:rsidRPr="007D1A8F">
        <w:t>The maximum financial contribution to be provided by the Commonwealth to the Northern Territory from 2022-23 to 2023-24 inclusive is</w:t>
      </w:r>
      <w:r w:rsidR="00D15A8D" w:rsidRPr="007D1A8F">
        <w:t xml:space="preserve"> </w:t>
      </w:r>
      <w:r w:rsidR="00A67F7E" w:rsidRPr="007D1A8F">
        <w:t xml:space="preserve">$14.718 million </w:t>
      </w:r>
      <w:r w:rsidR="00D15A8D" w:rsidRPr="007D1A8F">
        <w:t>payable in accordance with milestones</w:t>
      </w:r>
      <w:r w:rsidR="00DA754F" w:rsidRPr="007D1A8F">
        <w:t xml:space="preserve"> and </w:t>
      </w:r>
      <w:r w:rsidR="00D15A8D" w:rsidRPr="007D1A8F">
        <w:t>performance benchmarks set out in Part 4. All payments are exclusive of GST.</w:t>
      </w:r>
    </w:p>
    <w:p w14:paraId="4DA9C12D" w14:textId="7B3AA0F7" w:rsidR="0094062B" w:rsidRPr="007D1A8F" w:rsidRDefault="00D15A8D" w:rsidP="00D15A8D">
      <w:pPr>
        <w:pStyle w:val="Normalnumbered"/>
        <w:spacing w:after="240" w:line="260" w:lineRule="exact"/>
      </w:pPr>
      <w:r w:rsidRPr="007D1A8F">
        <w:t xml:space="preserve">The estimated overall budget (exclusive of GST) is set out in Table 2. </w:t>
      </w:r>
      <w:r w:rsidR="003D6771" w:rsidRPr="007D1A8F">
        <w:t xml:space="preserve">The budget is indicative only and the Northern Territory retains the flexibility to move funds between components and/or years, as long as outcomes are not affected. </w:t>
      </w:r>
      <w:r w:rsidRPr="007D1A8F">
        <w:t>The Commonwealth contribution can only be moved between years with the agreement of the Commonwealth.</w:t>
      </w:r>
    </w:p>
    <w:p w14:paraId="0464B078" w14:textId="77777777" w:rsidR="00D15A8D" w:rsidRPr="007D1A8F" w:rsidRDefault="00D15A8D" w:rsidP="00D15A8D">
      <w:pPr>
        <w:pStyle w:val="Heading3"/>
        <w:rPr>
          <w:i/>
        </w:rPr>
      </w:pPr>
      <w:r w:rsidRPr="007D1A8F">
        <w:t xml:space="preserve">Table 2: Estimated financial contributions </w:t>
      </w:r>
    </w:p>
    <w:tbl>
      <w:tblPr>
        <w:tblW w:w="5000" w:type="pct"/>
        <w:tblBorders>
          <w:top w:val="single" w:sz="4" w:space="0" w:color="4F81BD" w:themeColor="accent1"/>
          <w:bottom w:val="single" w:sz="4" w:space="0" w:color="4F81BD" w:themeColor="accent1"/>
        </w:tblBorders>
        <w:tblLayout w:type="fixed"/>
        <w:tblLook w:val="01E0" w:firstRow="1" w:lastRow="1" w:firstColumn="1" w:lastColumn="1" w:noHBand="0" w:noVBand="0"/>
      </w:tblPr>
      <w:tblGrid>
        <w:gridCol w:w="1308"/>
        <w:gridCol w:w="752"/>
        <w:gridCol w:w="753"/>
        <w:gridCol w:w="753"/>
        <w:gridCol w:w="753"/>
        <w:gridCol w:w="753"/>
        <w:gridCol w:w="753"/>
        <w:gridCol w:w="753"/>
        <w:gridCol w:w="753"/>
        <w:gridCol w:w="753"/>
        <w:gridCol w:w="942"/>
      </w:tblGrid>
      <w:tr w:rsidR="00DE5589" w:rsidRPr="007D1A8F" w14:paraId="7BE758AE" w14:textId="77777777" w:rsidTr="00DE5589">
        <w:trPr>
          <w:tblHeader/>
        </w:trPr>
        <w:tc>
          <w:tcPr>
            <w:tcW w:w="725" w:type="pct"/>
            <w:tcBorders>
              <w:top w:val="single" w:sz="4" w:space="0" w:color="4F81BD" w:themeColor="accent1"/>
            </w:tcBorders>
            <w:vAlign w:val="center"/>
          </w:tcPr>
          <w:p w14:paraId="25D2AC42" w14:textId="77777777" w:rsidR="008C7845" w:rsidRPr="004A10D8" w:rsidRDefault="008C7845" w:rsidP="00D15A8D">
            <w:pPr>
              <w:rPr>
                <w:b/>
                <w:bCs/>
                <w:sz w:val="20"/>
                <w:szCs w:val="20"/>
              </w:rPr>
            </w:pPr>
            <w:r w:rsidRPr="004A10D8">
              <w:rPr>
                <w:b/>
                <w:bCs/>
                <w:sz w:val="20"/>
                <w:szCs w:val="20"/>
              </w:rPr>
              <w:t>($ million)</w:t>
            </w:r>
          </w:p>
        </w:tc>
        <w:tc>
          <w:tcPr>
            <w:tcW w:w="417" w:type="pct"/>
            <w:tcBorders>
              <w:top w:val="single" w:sz="4" w:space="0" w:color="4F81BD" w:themeColor="accent1"/>
              <w:bottom w:val="single" w:sz="4" w:space="0" w:color="4F81BD" w:themeColor="accent1"/>
            </w:tcBorders>
            <w:vAlign w:val="center"/>
          </w:tcPr>
          <w:p w14:paraId="1E273074" w14:textId="77777777" w:rsidR="008C7845" w:rsidRPr="007D1A8F" w:rsidRDefault="008C7845" w:rsidP="004A10D8">
            <w:pPr>
              <w:jc w:val="center"/>
              <w:rPr>
                <w:bCs/>
                <w:sz w:val="20"/>
                <w:szCs w:val="22"/>
              </w:rPr>
            </w:pPr>
            <w:r w:rsidRPr="007D1A8F">
              <w:rPr>
                <w:bCs/>
                <w:sz w:val="20"/>
                <w:szCs w:val="22"/>
              </w:rPr>
              <w:t>2015-16</w:t>
            </w:r>
          </w:p>
        </w:tc>
        <w:tc>
          <w:tcPr>
            <w:tcW w:w="417" w:type="pct"/>
            <w:tcBorders>
              <w:top w:val="single" w:sz="4" w:space="0" w:color="4F81BD" w:themeColor="accent1"/>
              <w:bottom w:val="single" w:sz="4" w:space="0" w:color="4F81BD" w:themeColor="accent1"/>
            </w:tcBorders>
            <w:vAlign w:val="center"/>
          </w:tcPr>
          <w:p w14:paraId="607A88C3" w14:textId="77777777" w:rsidR="008C7845" w:rsidRPr="007D1A8F" w:rsidRDefault="008C7845" w:rsidP="004A10D8">
            <w:pPr>
              <w:jc w:val="center"/>
              <w:rPr>
                <w:bCs/>
                <w:sz w:val="20"/>
                <w:szCs w:val="22"/>
              </w:rPr>
            </w:pPr>
            <w:r w:rsidRPr="007D1A8F">
              <w:rPr>
                <w:bCs/>
                <w:sz w:val="20"/>
                <w:szCs w:val="22"/>
              </w:rPr>
              <w:t>2016-17</w:t>
            </w:r>
          </w:p>
        </w:tc>
        <w:tc>
          <w:tcPr>
            <w:tcW w:w="417" w:type="pct"/>
            <w:tcBorders>
              <w:top w:val="single" w:sz="4" w:space="0" w:color="4F81BD" w:themeColor="accent1"/>
              <w:bottom w:val="single" w:sz="4" w:space="0" w:color="4F81BD" w:themeColor="accent1"/>
            </w:tcBorders>
            <w:vAlign w:val="center"/>
          </w:tcPr>
          <w:p w14:paraId="57DD8AA3" w14:textId="77777777" w:rsidR="008C7845" w:rsidRPr="007D1A8F" w:rsidRDefault="008C7845" w:rsidP="004A10D8">
            <w:pPr>
              <w:jc w:val="center"/>
              <w:rPr>
                <w:bCs/>
                <w:sz w:val="20"/>
                <w:szCs w:val="22"/>
              </w:rPr>
            </w:pPr>
            <w:r w:rsidRPr="007D1A8F">
              <w:rPr>
                <w:bCs/>
                <w:sz w:val="20"/>
                <w:szCs w:val="22"/>
              </w:rPr>
              <w:t>2017-18</w:t>
            </w:r>
          </w:p>
        </w:tc>
        <w:tc>
          <w:tcPr>
            <w:tcW w:w="417" w:type="pct"/>
            <w:tcBorders>
              <w:top w:val="single" w:sz="4" w:space="0" w:color="4F81BD" w:themeColor="accent1"/>
              <w:bottom w:val="single" w:sz="4" w:space="0" w:color="4F81BD" w:themeColor="accent1"/>
            </w:tcBorders>
            <w:vAlign w:val="center"/>
          </w:tcPr>
          <w:p w14:paraId="691C7B56" w14:textId="77777777" w:rsidR="008C7845" w:rsidRPr="007D1A8F" w:rsidRDefault="008C7845" w:rsidP="004A10D8">
            <w:pPr>
              <w:jc w:val="center"/>
              <w:rPr>
                <w:bCs/>
                <w:sz w:val="20"/>
                <w:szCs w:val="22"/>
              </w:rPr>
            </w:pPr>
            <w:r w:rsidRPr="007D1A8F">
              <w:rPr>
                <w:bCs/>
                <w:sz w:val="20"/>
                <w:szCs w:val="22"/>
              </w:rPr>
              <w:t>2018-19</w:t>
            </w:r>
          </w:p>
        </w:tc>
        <w:tc>
          <w:tcPr>
            <w:tcW w:w="417" w:type="pct"/>
            <w:tcBorders>
              <w:top w:val="single" w:sz="4" w:space="0" w:color="4F81BD" w:themeColor="accent1"/>
              <w:bottom w:val="single" w:sz="4" w:space="0" w:color="4F81BD" w:themeColor="accent1"/>
            </w:tcBorders>
            <w:vAlign w:val="center"/>
          </w:tcPr>
          <w:p w14:paraId="04B47035" w14:textId="77777777" w:rsidR="008C7845" w:rsidRPr="007D1A8F" w:rsidRDefault="008C7845" w:rsidP="004A10D8">
            <w:pPr>
              <w:jc w:val="center"/>
              <w:rPr>
                <w:bCs/>
                <w:sz w:val="20"/>
                <w:szCs w:val="22"/>
              </w:rPr>
            </w:pPr>
            <w:r w:rsidRPr="007D1A8F">
              <w:rPr>
                <w:bCs/>
                <w:sz w:val="20"/>
                <w:szCs w:val="22"/>
              </w:rPr>
              <w:t>2019-20</w:t>
            </w:r>
          </w:p>
        </w:tc>
        <w:tc>
          <w:tcPr>
            <w:tcW w:w="417" w:type="pct"/>
            <w:tcBorders>
              <w:top w:val="single" w:sz="4" w:space="0" w:color="4F81BD" w:themeColor="accent1"/>
              <w:bottom w:val="single" w:sz="4" w:space="0" w:color="4F81BD" w:themeColor="accent1"/>
            </w:tcBorders>
            <w:vAlign w:val="center"/>
          </w:tcPr>
          <w:p w14:paraId="19414C31" w14:textId="77777777" w:rsidR="008C7845" w:rsidRPr="007D1A8F" w:rsidRDefault="008C7845" w:rsidP="004A10D8">
            <w:pPr>
              <w:jc w:val="center"/>
              <w:rPr>
                <w:bCs/>
                <w:sz w:val="20"/>
                <w:szCs w:val="22"/>
              </w:rPr>
            </w:pPr>
            <w:r w:rsidRPr="007D1A8F">
              <w:rPr>
                <w:bCs/>
                <w:sz w:val="20"/>
                <w:szCs w:val="22"/>
              </w:rPr>
              <w:t>2020-21</w:t>
            </w:r>
          </w:p>
        </w:tc>
        <w:tc>
          <w:tcPr>
            <w:tcW w:w="417" w:type="pct"/>
            <w:tcBorders>
              <w:top w:val="single" w:sz="4" w:space="0" w:color="4F81BD" w:themeColor="accent1"/>
              <w:bottom w:val="single" w:sz="4" w:space="0" w:color="4F81BD" w:themeColor="accent1"/>
            </w:tcBorders>
            <w:vAlign w:val="center"/>
          </w:tcPr>
          <w:p w14:paraId="7914AA58" w14:textId="726AAD83" w:rsidR="008C7845" w:rsidRPr="007D1A8F" w:rsidRDefault="008C7845" w:rsidP="004A10D8">
            <w:pPr>
              <w:jc w:val="center"/>
              <w:rPr>
                <w:bCs/>
                <w:sz w:val="20"/>
                <w:szCs w:val="22"/>
              </w:rPr>
            </w:pPr>
            <w:r w:rsidRPr="007D1A8F">
              <w:rPr>
                <w:bCs/>
                <w:sz w:val="20"/>
                <w:szCs w:val="22"/>
              </w:rPr>
              <w:t>2021-22</w:t>
            </w:r>
          </w:p>
        </w:tc>
        <w:tc>
          <w:tcPr>
            <w:tcW w:w="417" w:type="pct"/>
            <w:tcBorders>
              <w:top w:val="single" w:sz="4" w:space="0" w:color="4F81BD" w:themeColor="accent1"/>
              <w:bottom w:val="single" w:sz="4" w:space="0" w:color="4F81BD" w:themeColor="accent1"/>
            </w:tcBorders>
          </w:tcPr>
          <w:p w14:paraId="28D7FB2A" w14:textId="40B673F3" w:rsidR="008C7845" w:rsidRPr="004A10D8" w:rsidRDefault="008C7845" w:rsidP="004A10D8">
            <w:pPr>
              <w:jc w:val="center"/>
              <w:rPr>
                <w:bCs/>
                <w:sz w:val="20"/>
                <w:szCs w:val="22"/>
              </w:rPr>
            </w:pPr>
            <w:r w:rsidRPr="004A10D8">
              <w:rPr>
                <w:bCs/>
                <w:sz w:val="20"/>
                <w:szCs w:val="22"/>
              </w:rPr>
              <w:t>2022-23</w:t>
            </w:r>
          </w:p>
        </w:tc>
        <w:tc>
          <w:tcPr>
            <w:tcW w:w="417" w:type="pct"/>
            <w:tcBorders>
              <w:top w:val="single" w:sz="4" w:space="0" w:color="4F81BD" w:themeColor="accent1"/>
              <w:bottom w:val="single" w:sz="4" w:space="0" w:color="4F81BD" w:themeColor="accent1"/>
            </w:tcBorders>
          </w:tcPr>
          <w:p w14:paraId="00CB4437" w14:textId="77777777" w:rsidR="008C7845" w:rsidRPr="004A10D8" w:rsidRDefault="008C7845" w:rsidP="004A10D8">
            <w:pPr>
              <w:jc w:val="center"/>
              <w:rPr>
                <w:bCs/>
                <w:sz w:val="20"/>
                <w:szCs w:val="22"/>
              </w:rPr>
            </w:pPr>
            <w:r w:rsidRPr="004A10D8">
              <w:rPr>
                <w:bCs/>
                <w:sz w:val="20"/>
                <w:szCs w:val="22"/>
              </w:rPr>
              <w:t>2023-24</w:t>
            </w:r>
          </w:p>
        </w:tc>
        <w:tc>
          <w:tcPr>
            <w:tcW w:w="524" w:type="pct"/>
            <w:tcBorders>
              <w:top w:val="single" w:sz="4" w:space="0" w:color="4F81BD" w:themeColor="accent1"/>
              <w:bottom w:val="single" w:sz="4" w:space="0" w:color="4F81BD" w:themeColor="accent1"/>
            </w:tcBorders>
            <w:vAlign w:val="center"/>
          </w:tcPr>
          <w:p w14:paraId="1104B02D" w14:textId="77777777" w:rsidR="008C7845" w:rsidRPr="004A10D8" w:rsidRDefault="008C7845" w:rsidP="007E2B96">
            <w:pPr>
              <w:jc w:val="right"/>
              <w:rPr>
                <w:bCs/>
                <w:sz w:val="20"/>
                <w:szCs w:val="20"/>
              </w:rPr>
            </w:pPr>
            <w:r w:rsidRPr="004A10D8">
              <w:rPr>
                <w:bCs/>
                <w:sz w:val="20"/>
                <w:szCs w:val="20"/>
              </w:rPr>
              <w:t xml:space="preserve">Total </w:t>
            </w:r>
          </w:p>
        </w:tc>
      </w:tr>
      <w:tr w:rsidR="00DE5589" w:rsidRPr="007D1A8F" w14:paraId="61DCC5B2" w14:textId="77777777" w:rsidTr="00DE5589">
        <w:trPr>
          <w:trHeight w:val="385"/>
        </w:trPr>
        <w:tc>
          <w:tcPr>
            <w:tcW w:w="725" w:type="pct"/>
          </w:tcPr>
          <w:p w14:paraId="7542089A" w14:textId="133E28A8" w:rsidR="003D6771" w:rsidRPr="004A10D8" w:rsidRDefault="003D6771" w:rsidP="003D6771">
            <w:pPr>
              <w:rPr>
                <w:sz w:val="20"/>
                <w:szCs w:val="20"/>
              </w:rPr>
            </w:pPr>
            <w:r w:rsidRPr="004A10D8">
              <w:rPr>
                <w:sz w:val="20"/>
                <w:szCs w:val="20"/>
              </w:rPr>
              <w:t xml:space="preserve">Hearing Health Program </w:t>
            </w:r>
          </w:p>
        </w:tc>
        <w:tc>
          <w:tcPr>
            <w:tcW w:w="417" w:type="pct"/>
            <w:tcBorders>
              <w:top w:val="single" w:sz="4" w:space="0" w:color="4F81BD" w:themeColor="accent1"/>
              <w:bottom w:val="nil"/>
            </w:tcBorders>
            <w:vAlign w:val="center"/>
          </w:tcPr>
          <w:p w14:paraId="0150E812" w14:textId="77777777" w:rsidR="003D6771" w:rsidRPr="004A10D8" w:rsidRDefault="003D6771" w:rsidP="004A10D8">
            <w:pPr>
              <w:jc w:val="center"/>
              <w:rPr>
                <w:sz w:val="20"/>
                <w:szCs w:val="20"/>
              </w:rPr>
            </w:pPr>
            <w:r w:rsidRPr="004A10D8">
              <w:rPr>
                <w:sz w:val="20"/>
                <w:szCs w:val="20"/>
              </w:rPr>
              <w:t>3.114</w:t>
            </w:r>
          </w:p>
        </w:tc>
        <w:tc>
          <w:tcPr>
            <w:tcW w:w="417" w:type="pct"/>
            <w:tcBorders>
              <w:top w:val="single" w:sz="4" w:space="0" w:color="4F81BD" w:themeColor="accent1"/>
              <w:bottom w:val="nil"/>
            </w:tcBorders>
            <w:vAlign w:val="center"/>
          </w:tcPr>
          <w:p w14:paraId="17E3B237" w14:textId="77777777" w:rsidR="003D6771" w:rsidRPr="004A10D8" w:rsidRDefault="003D6771" w:rsidP="004A10D8">
            <w:pPr>
              <w:jc w:val="center"/>
              <w:rPr>
                <w:sz w:val="20"/>
                <w:szCs w:val="20"/>
              </w:rPr>
            </w:pPr>
            <w:r w:rsidRPr="004A10D8">
              <w:rPr>
                <w:sz w:val="20"/>
                <w:szCs w:val="20"/>
              </w:rPr>
              <w:t>3.255</w:t>
            </w:r>
          </w:p>
        </w:tc>
        <w:tc>
          <w:tcPr>
            <w:tcW w:w="417" w:type="pct"/>
            <w:tcBorders>
              <w:top w:val="single" w:sz="4" w:space="0" w:color="4F81BD" w:themeColor="accent1"/>
              <w:bottom w:val="nil"/>
            </w:tcBorders>
            <w:vAlign w:val="center"/>
          </w:tcPr>
          <w:p w14:paraId="153899E3" w14:textId="77777777" w:rsidR="003D6771" w:rsidRPr="004A10D8" w:rsidRDefault="003D6771" w:rsidP="004A10D8">
            <w:pPr>
              <w:jc w:val="center"/>
              <w:rPr>
                <w:sz w:val="20"/>
                <w:szCs w:val="20"/>
              </w:rPr>
            </w:pPr>
            <w:r w:rsidRPr="004A10D8">
              <w:rPr>
                <w:sz w:val="20"/>
                <w:szCs w:val="20"/>
              </w:rPr>
              <w:t>3.402</w:t>
            </w:r>
          </w:p>
        </w:tc>
        <w:tc>
          <w:tcPr>
            <w:tcW w:w="417" w:type="pct"/>
            <w:tcBorders>
              <w:top w:val="single" w:sz="4" w:space="0" w:color="4F81BD" w:themeColor="accent1"/>
              <w:bottom w:val="nil"/>
            </w:tcBorders>
            <w:vAlign w:val="center"/>
          </w:tcPr>
          <w:p w14:paraId="37745765" w14:textId="77777777" w:rsidR="003D6771" w:rsidRPr="004A10D8" w:rsidRDefault="003D6771" w:rsidP="004A10D8">
            <w:pPr>
              <w:jc w:val="center"/>
              <w:rPr>
                <w:sz w:val="20"/>
                <w:szCs w:val="20"/>
              </w:rPr>
            </w:pPr>
            <w:r w:rsidRPr="004A10D8">
              <w:rPr>
                <w:sz w:val="20"/>
                <w:szCs w:val="20"/>
              </w:rPr>
              <w:t>3.555</w:t>
            </w:r>
          </w:p>
        </w:tc>
        <w:tc>
          <w:tcPr>
            <w:tcW w:w="417" w:type="pct"/>
            <w:tcBorders>
              <w:top w:val="single" w:sz="4" w:space="0" w:color="4F81BD" w:themeColor="accent1"/>
              <w:bottom w:val="nil"/>
            </w:tcBorders>
            <w:vAlign w:val="center"/>
          </w:tcPr>
          <w:p w14:paraId="05498930" w14:textId="77777777" w:rsidR="003D6771" w:rsidRPr="004A10D8" w:rsidRDefault="003D6771" w:rsidP="004A10D8">
            <w:pPr>
              <w:jc w:val="center"/>
              <w:rPr>
                <w:sz w:val="20"/>
                <w:szCs w:val="20"/>
              </w:rPr>
            </w:pPr>
            <w:r w:rsidRPr="004A10D8">
              <w:rPr>
                <w:sz w:val="20"/>
                <w:szCs w:val="20"/>
              </w:rPr>
              <w:t>3.715</w:t>
            </w:r>
          </w:p>
        </w:tc>
        <w:tc>
          <w:tcPr>
            <w:tcW w:w="417" w:type="pct"/>
            <w:tcBorders>
              <w:top w:val="single" w:sz="4" w:space="0" w:color="4F81BD" w:themeColor="accent1"/>
              <w:bottom w:val="nil"/>
            </w:tcBorders>
            <w:vAlign w:val="center"/>
          </w:tcPr>
          <w:p w14:paraId="712096CE" w14:textId="77777777" w:rsidR="003D6771" w:rsidRPr="004A10D8" w:rsidRDefault="003D6771" w:rsidP="004A10D8">
            <w:pPr>
              <w:jc w:val="center"/>
              <w:rPr>
                <w:sz w:val="20"/>
                <w:szCs w:val="20"/>
              </w:rPr>
            </w:pPr>
            <w:r w:rsidRPr="004A10D8">
              <w:rPr>
                <w:sz w:val="20"/>
                <w:szCs w:val="20"/>
              </w:rPr>
              <w:t>3.882</w:t>
            </w:r>
          </w:p>
        </w:tc>
        <w:tc>
          <w:tcPr>
            <w:tcW w:w="417" w:type="pct"/>
            <w:tcBorders>
              <w:top w:val="single" w:sz="4" w:space="0" w:color="4F81BD" w:themeColor="accent1"/>
              <w:bottom w:val="nil"/>
            </w:tcBorders>
            <w:vAlign w:val="center"/>
          </w:tcPr>
          <w:p w14:paraId="0A4648A9" w14:textId="77777777" w:rsidR="003D6771" w:rsidRPr="004A10D8" w:rsidRDefault="003D6771" w:rsidP="004A10D8">
            <w:pPr>
              <w:jc w:val="center"/>
              <w:rPr>
                <w:sz w:val="20"/>
                <w:szCs w:val="20"/>
              </w:rPr>
            </w:pPr>
            <w:r w:rsidRPr="004A10D8">
              <w:rPr>
                <w:sz w:val="20"/>
                <w:szCs w:val="20"/>
              </w:rPr>
              <w:t>4.057</w:t>
            </w:r>
          </w:p>
        </w:tc>
        <w:tc>
          <w:tcPr>
            <w:tcW w:w="417" w:type="pct"/>
            <w:tcBorders>
              <w:top w:val="single" w:sz="4" w:space="0" w:color="4F81BD" w:themeColor="accent1"/>
              <w:bottom w:val="nil"/>
            </w:tcBorders>
            <w:vAlign w:val="center"/>
          </w:tcPr>
          <w:p w14:paraId="455E3D8E" w14:textId="52AA717F" w:rsidR="003D6771" w:rsidRPr="004A10D8" w:rsidRDefault="003D6771" w:rsidP="004A10D8">
            <w:pPr>
              <w:jc w:val="center"/>
              <w:rPr>
                <w:sz w:val="20"/>
                <w:szCs w:val="20"/>
              </w:rPr>
            </w:pPr>
            <w:r w:rsidRPr="004A10D8">
              <w:rPr>
                <w:sz w:val="20"/>
                <w:szCs w:val="20"/>
              </w:rPr>
              <w:t>4.057</w:t>
            </w:r>
          </w:p>
        </w:tc>
        <w:tc>
          <w:tcPr>
            <w:tcW w:w="417" w:type="pct"/>
            <w:tcBorders>
              <w:top w:val="single" w:sz="4" w:space="0" w:color="4F81BD" w:themeColor="accent1"/>
              <w:bottom w:val="nil"/>
            </w:tcBorders>
            <w:vAlign w:val="center"/>
          </w:tcPr>
          <w:p w14:paraId="4B6C5956" w14:textId="6FD10560" w:rsidR="003D6771" w:rsidRPr="004A10D8" w:rsidRDefault="003D6771" w:rsidP="004A10D8">
            <w:pPr>
              <w:jc w:val="center"/>
              <w:rPr>
                <w:sz w:val="20"/>
                <w:szCs w:val="20"/>
              </w:rPr>
            </w:pPr>
            <w:r w:rsidRPr="004A10D8">
              <w:rPr>
                <w:sz w:val="20"/>
                <w:szCs w:val="20"/>
              </w:rPr>
              <w:t>4.057</w:t>
            </w:r>
          </w:p>
        </w:tc>
        <w:tc>
          <w:tcPr>
            <w:tcW w:w="524" w:type="pct"/>
            <w:tcBorders>
              <w:top w:val="single" w:sz="4" w:space="0" w:color="4F81BD" w:themeColor="accent1"/>
              <w:bottom w:val="nil"/>
            </w:tcBorders>
            <w:vAlign w:val="center"/>
          </w:tcPr>
          <w:p w14:paraId="16AC0F89" w14:textId="726FF404" w:rsidR="003D6771" w:rsidRPr="004A10D8" w:rsidRDefault="003D6771" w:rsidP="003D6771">
            <w:pPr>
              <w:jc w:val="right"/>
              <w:rPr>
                <w:sz w:val="20"/>
                <w:szCs w:val="20"/>
              </w:rPr>
            </w:pPr>
            <w:r w:rsidRPr="004A10D8">
              <w:rPr>
                <w:sz w:val="20"/>
                <w:szCs w:val="20"/>
              </w:rPr>
              <w:t>33.0</w:t>
            </w:r>
            <w:r w:rsidR="00D306D7" w:rsidRPr="004A10D8">
              <w:rPr>
                <w:sz w:val="20"/>
                <w:szCs w:val="20"/>
              </w:rPr>
              <w:t>94</w:t>
            </w:r>
          </w:p>
        </w:tc>
      </w:tr>
      <w:tr w:rsidR="00DE5589" w:rsidRPr="007D1A8F" w14:paraId="232D8516" w14:textId="77777777" w:rsidTr="00DE5589">
        <w:tc>
          <w:tcPr>
            <w:tcW w:w="725" w:type="pct"/>
          </w:tcPr>
          <w:p w14:paraId="6D993014" w14:textId="4BF13FAE" w:rsidR="003D6771" w:rsidRPr="004A10D8" w:rsidRDefault="003D6771" w:rsidP="003D6771">
            <w:pPr>
              <w:rPr>
                <w:sz w:val="20"/>
                <w:szCs w:val="20"/>
              </w:rPr>
            </w:pPr>
            <w:r w:rsidRPr="004A10D8">
              <w:rPr>
                <w:sz w:val="20"/>
                <w:szCs w:val="20"/>
              </w:rPr>
              <w:t xml:space="preserve">Oral Health Program </w:t>
            </w:r>
          </w:p>
        </w:tc>
        <w:tc>
          <w:tcPr>
            <w:tcW w:w="417" w:type="pct"/>
            <w:tcBorders>
              <w:top w:val="nil"/>
              <w:bottom w:val="single" w:sz="4" w:space="0" w:color="4F81BD" w:themeColor="accent1"/>
            </w:tcBorders>
            <w:vAlign w:val="center"/>
          </w:tcPr>
          <w:p w14:paraId="28D6571E" w14:textId="77777777" w:rsidR="003D6771" w:rsidRPr="004A10D8" w:rsidRDefault="003D6771" w:rsidP="004A10D8">
            <w:pPr>
              <w:jc w:val="center"/>
              <w:rPr>
                <w:sz w:val="20"/>
                <w:szCs w:val="20"/>
              </w:rPr>
            </w:pPr>
            <w:r w:rsidRPr="004A10D8">
              <w:rPr>
                <w:sz w:val="20"/>
                <w:szCs w:val="20"/>
              </w:rPr>
              <w:t>2.535</w:t>
            </w:r>
          </w:p>
        </w:tc>
        <w:tc>
          <w:tcPr>
            <w:tcW w:w="417" w:type="pct"/>
            <w:tcBorders>
              <w:top w:val="nil"/>
              <w:bottom w:val="single" w:sz="4" w:space="0" w:color="4F81BD" w:themeColor="accent1"/>
            </w:tcBorders>
            <w:vAlign w:val="center"/>
          </w:tcPr>
          <w:p w14:paraId="41D8EA72" w14:textId="77777777" w:rsidR="003D6771" w:rsidRPr="004A10D8" w:rsidRDefault="003D6771" w:rsidP="004A10D8">
            <w:pPr>
              <w:jc w:val="center"/>
              <w:rPr>
                <w:sz w:val="20"/>
                <w:szCs w:val="20"/>
              </w:rPr>
            </w:pPr>
            <w:r w:rsidRPr="004A10D8">
              <w:rPr>
                <w:sz w:val="20"/>
                <w:szCs w:val="20"/>
              </w:rPr>
              <w:t>2.650</w:t>
            </w:r>
          </w:p>
        </w:tc>
        <w:tc>
          <w:tcPr>
            <w:tcW w:w="417" w:type="pct"/>
            <w:tcBorders>
              <w:top w:val="nil"/>
              <w:bottom w:val="single" w:sz="4" w:space="0" w:color="4F81BD" w:themeColor="accent1"/>
            </w:tcBorders>
            <w:vAlign w:val="center"/>
          </w:tcPr>
          <w:p w14:paraId="39A6FB5E" w14:textId="77777777" w:rsidR="003D6771" w:rsidRPr="004A10D8" w:rsidRDefault="003D6771" w:rsidP="004A10D8">
            <w:pPr>
              <w:jc w:val="center"/>
              <w:rPr>
                <w:sz w:val="20"/>
                <w:szCs w:val="20"/>
              </w:rPr>
            </w:pPr>
            <w:r w:rsidRPr="004A10D8">
              <w:rPr>
                <w:sz w:val="20"/>
                <w:szCs w:val="20"/>
              </w:rPr>
              <w:t>2.769</w:t>
            </w:r>
          </w:p>
        </w:tc>
        <w:tc>
          <w:tcPr>
            <w:tcW w:w="417" w:type="pct"/>
            <w:tcBorders>
              <w:top w:val="nil"/>
              <w:bottom w:val="single" w:sz="4" w:space="0" w:color="4F81BD" w:themeColor="accent1"/>
            </w:tcBorders>
            <w:vAlign w:val="center"/>
          </w:tcPr>
          <w:p w14:paraId="56062AD3" w14:textId="77777777" w:rsidR="003D6771" w:rsidRPr="004A10D8" w:rsidRDefault="003D6771" w:rsidP="004A10D8">
            <w:pPr>
              <w:jc w:val="center"/>
              <w:rPr>
                <w:sz w:val="20"/>
                <w:szCs w:val="20"/>
              </w:rPr>
            </w:pPr>
            <w:r w:rsidRPr="004A10D8">
              <w:rPr>
                <w:sz w:val="20"/>
                <w:szCs w:val="20"/>
              </w:rPr>
              <w:t>2.893</w:t>
            </w:r>
          </w:p>
        </w:tc>
        <w:tc>
          <w:tcPr>
            <w:tcW w:w="417" w:type="pct"/>
            <w:tcBorders>
              <w:top w:val="nil"/>
              <w:bottom w:val="single" w:sz="4" w:space="0" w:color="4F81BD" w:themeColor="accent1"/>
            </w:tcBorders>
            <w:vAlign w:val="center"/>
          </w:tcPr>
          <w:p w14:paraId="45A5CD26" w14:textId="77777777" w:rsidR="003D6771" w:rsidRPr="004A10D8" w:rsidRDefault="003D6771" w:rsidP="004A10D8">
            <w:pPr>
              <w:jc w:val="center"/>
              <w:rPr>
                <w:sz w:val="20"/>
                <w:szCs w:val="20"/>
              </w:rPr>
            </w:pPr>
            <w:r w:rsidRPr="004A10D8">
              <w:rPr>
                <w:sz w:val="20"/>
                <w:szCs w:val="20"/>
              </w:rPr>
              <w:t>3.024</w:t>
            </w:r>
          </w:p>
        </w:tc>
        <w:tc>
          <w:tcPr>
            <w:tcW w:w="417" w:type="pct"/>
            <w:tcBorders>
              <w:top w:val="nil"/>
              <w:bottom w:val="single" w:sz="4" w:space="0" w:color="4F81BD" w:themeColor="accent1"/>
            </w:tcBorders>
            <w:vAlign w:val="center"/>
          </w:tcPr>
          <w:p w14:paraId="04BC053F" w14:textId="77777777" w:rsidR="003D6771" w:rsidRPr="004A10D8" w:rsidRDefault="003D6771" w:rsidP="004A10D8">
            <w:pPr>
              <w:jc w:val="center"/>
              <w:rPr>
                <w:sz w:val="20"/>
                <w:szCs w:val="20"/>
              </w:rPr>
            </w:pPr>
            <w:r w:rsidRPr="004A10D8">
              <w:rPr>
                <w:sz w:val="20"/>
                <w:szCs w:val="20"/>
              </w:rPr>
              <w:t>3.160</w:t>
            </w:r>
          </w:p>
        </w:tc>
        <w:tc>
          <w:tcPr>
            <w:tcW w:w="417" w:type="pct"/>
            <w:tcBorders>
              <w:top w:val="nil"/>
              <w:bottom w:val="single" w:sz="4" w:space="0" w:color="4F81BD" w:themeColor="accent1"/>
            </w:tcBorders>
            <w:vAlign w:val="center"/>
          </w:tcPr>
          <w:p w14:paraId="3C21FE94" w14:textId="77777777" w:rsidR="003D6771" w:rsidRPr="004A10D8" w:rsidRDefault="003D6771" w:rsidP="004A10D8">
            <w:pPr>
              <w:jc w:val="center"/>
              <w:rPr>
                <w:sz w:val="20"/>
                <w:szCs w:val="20"/>
              </w:rPr>
            </w:pPr>
            <w:r w:rsidRPr="004A10D8">
              <w:rPr>
                <w:sz w:val="20"/>
                <w:szCs w:val="20"/>
              </w:rPr>
              <w:t>3.302</w:t>
            </w:r>
          </w:p>
        </w:tc>
        <w:tc>
          <w:tcPr>
            <w:tcW w:w="417" w:type="pct"/>
            <w:tcBorders>
              <w:top w:val="nil"/>
              <w:bottom w:val="single" w:sz="4" w:space="0" w:color="4F81BD" w:themeColor="accent1"/>
            </w:tcBorders>
            <w:vAlign w:val="center"/>
          </w:tcPr>
          <w:p w14:paraId="7F30528C" w14:textId="198CE2B7" w:rsidR="003D6771" w:rsidRPr="004A10D8" w:rsidRDefault="003D6771" w:rsidP="004A10D8">
            <w:pPr>
              <w:tabs>
                <w:tab w:val="center" w:pos="388"/>
                <w:tab w:val="right" w:pos="776"/>
              </w:tabs>
              <w:jc w:val="center"/>
              <w:rPr>
                <w:sz w:val="20"/>
                <w:szCs w:val="20"/>
              </w:rPr>
            </w:pPr>
            <w:r w:rsidRPr="004A10D8">
              <w:rPr>
                <w:sz w:val="20"/>
                <w:szCs w:val="20"/>
              </w:rPr>
              <w:t>3.302</w:t>
            </w:r>
          </w:p>
        </w:tc>
        <w:tc>
          <w:tcPr>
            <w:tcW w:w="417" w:type="pct"/>
            <w:tcBorders>
              <w:top w:val="nil"/>
              <w:bottom w:val="single" w:sz="4" w:space="0" w:color="4F81BD" w:themeColor="accent1"/>
            </w:tcBorders>
            <w:vAlign w:val="center"/>
          </w:tcPr>
          <w:p w14:paraId="7BDBBC71" w14:textId="7A8DE891" w:rsidR="003D6771" w:rsidRPr="004A10D8" w:rsidRDefault="003D6771" w:rsidP="004A10D8">
            <w:pPr>
              <w:jc w:val="center"/>
              <w:rPr>
                <w:sz w:val="20"/>
                <w:szCs w:val="20"/>
              </w:rPr>
            </w:pPr>
            <w:r w:rsidRPr="004A10D8">
              <w:rPr>
                <w:sz w:val="20"/>
                <w:szCs w:val="20"/>
              </w:rPr>
              <w:t>3.302</w:t>
            </w:r>
          </w:p>
        </w:tc>
        <w:tc>
          <w:tcPr>
            <w:tcW w:w="524" w:type="pct"/>
            <w:tcBorders>
              <w:top w:val="nil"/>
              <w:bottom w:val="single" w:sz="4" w:space="0" w:color="4F81BD" w:themeColor="accent1"/>
            </w:tcBorders>
            <w:vAlign w:val="center"/>
          </w:tcPr>
          <w:p w14:paraId="37D9375C" w14:textId="32A59FD6" w:rsidR="003D6771" w:rsidRPr="004A10D8" w:rsidRDefault="003D6771" w:rsidP="003D6771">
            <w:pPr>
              <w:jc w:val="right"/>
              <w:rPr>
                <w:sz w:val="20"/>
                <w:szCs w:val="20"/>
              </w:rPr>
            </w:pPr>
            <w:r w:rsidRPr="004A10D8">
              <w:rPr>
                <w:sz w:val="20"/>
                <w:szCs w:val="20"/>
              </w:rPr>
              <w:t>26.937</w:t>
            </w:r>
          </w:p>
        </w:tc>
      </w:tr>
      <w:tr w:rsidR="00DE5589" w:rsidRPr="007D1A8F" w14:paraId="4849BD37" w14:textId="77777777" w:rsidTr="00DE5589">
        <w:trPr>
          <w:trHeight w:val="439"/>
        </w:trPr>
        <w:tc>
          <w:tcPr>
            <w:tcW w:w="725" w:type="pct"/>
          </w:tcPr>
          <w:p w14:paraId="24576D78" w14:textId="16F1B2B5" w:rsidR="008C7845" w:rsidRPr="004A10D8" w:rsidRDefault="008C7845" w:rsidP="00D15A8D">
            <w:pPr>
              <w:rPr>
                <w:sz w:val="20"/>
                <w:szCs w:val="20"/>
              </w:rPr>
            </w:pPr>
            <w:r w:rsidRPr="004A10D8">
              <w:rPr>
                <w:sz w:val="20"/>
                <w:szCs w:val="20"/>
              </w:rPr>
              <w:t>Total budget</w:t>
            </w:r>
          </w:p>
        </w:tc>
        <w:tc>
          <w:tcPr>
            <w:tcW w:w="417" w:type="pct"/>
            <w:tcBorders>
              <w:top w:val="single" w:sz="4" w:space="0" w:color="4F81BD" w:themeColor="accent1"/>
              <w:bottom w:val="single" w:sz="4" w:space="0" w:color="4F81BD" w:themeColor="accent1"/>
            </w:tcBorders>
            <w:vAlign w:val="center"/>
          </w:tcPr>
          <w:p w14:paraId="490F4B37" w14:textId="77777777" w:rsidR="008C7845" w:rsidRPr="004A10D8" w:rsidRDefault="008C7845" w:rsidP="004A10D8">
            <w:pPr>
              <w:jc w:val="center"/>
              <w:rPr>
                <w:sz w:val="20"/>
                <w:szCs w:val="20"/>
              </w:rPr>
            </w:pPr>
            <w:r w:rsidRPr="004A10D8">
              <w:rPr>
                <w:bCs/>
                <w:iCs/>
                <w:sz w:val="20"/>
                <w:szCs w:val="20"/>
              </w:rPr>
              <w:t>5.649</w:t>
            </w:r>
          </w:p>
        </w:tc>
        <w:tc>
          <w:tcPr>
            <w:tcW w:w="417" w:type="pct"/>
            <w:tcBorders>
              <w:top w:val="single" w:sz="4" w:space="0" w:color="4F81BD" w:themeColor="accent1"/>
              <w:bottom w:val="single" w:sz="4" w:space="0" w:color="4F81BD" w:themeColor="accent1"/>
            </w:tcBorders>
            <w:vAlign w:val="center"/>
          </w:tcPr>
          <w:p w14:paraId="6AC566C7" w14:textId="77777777" w:rsidR="008C7845" w:rsidRPr="004A10D8" w:rsidRDefault="008C7845" w:rsidP="004A10D8">
            <w:pPr>
              <w:jc w:val="center"/>
              <w:rPr>
                <w:sz w:val="20"/>
                <w:szCs w:val="20"/>
              </w:rPr>
            </w:pPr>
            <w:r w:rsidRPr="004A10D8">
              <w:rPr>
                <w:bCs/>
                <w:iCs/>
                <w:sz w:val="20"/>
                <w:szCs w:val="20"/>
              </w:rPr>
              <w:t>5.905</w:t>
            </w:r>
          </w:p>
        </w:tc>
        <w:tc>
          <w:tcPr>
            <w:tcW w:w="417" w:type="pct"/>
            <w:tcBorders>
              <w:top w:val="single" w:sz="4" w:space="0" w:color="4F81BD" w:themeColor="accent1"/>
              <w:bottom w:val="single" w:sz="4" w:space="0" w:color="4F81BD" w:themeColor="accent1"/>
            </w:tcBorders>
            <w:vAlign w:val="center"/>
          </w:tcPr>
          <w:p w14:paraId="3204CC6A" w14:textId="77777777" w:rsidR="008C7845" w:rsidRPr="004A10D8" w:rsidRDefault="008C7845" w:rsidP="004A10D8">
            <w:pPr>
              <w:jc w:val="center"/>
              <w:rPr>
                <w:sz w:val="20"/>
                <w:szCs w:val="20"/>
              </w:rPr>
            </w:pPr>
            <w:r w:rsidRPr="004A10D8">
              <w:rPr>
                <w:bCs/>
                <w:iCs/>
                <w:sz w:val="20"/>
                <w:szCs w:val="20"/>
              </w:rPr>
              <w:t>6.171</w:t>
            </w:r>
          </w:p>
        </w:tc>
        <w:tc>
          <w:tcPr>
            <w:tcW w:w="417" w:type="pct"/>
            <w:tcBorders>
              <w:top w:val="single" w:sz="4" w:space="0" w:color="4F81BD" w:themeColor="accent1"/>
              <w:bottom w:val="single" w:sz="4" w:space="0" w:color="4F81BD" w:themeColor="accent1"/>
            </w:tcBorders>
            <w:vAlign w:val="center"/>
          </w:tcPr>
          <w:p w14:paraId="7D22DC8A" w14:textId="77777777" w:rsidR="008C7845" w:rsidRPr="004A10D8" w:rsidRDefault="008C7845" w:rsidP="004A10D8">
            <w:pPr>
              <w:jc w:val="center"/>
              <w:rPr>
                <w:sz w:val="20"/>
                <w:szCs w:val="20"/>
              </w:rPr>
            </w:pPr>
            <w:r w:rsidRPr="004A10D8">
              <w:rPr>
                <w:bCs/>
                <w:iCs/>
                <w:sz w:val="20"/>
                <w:szCs w:val="20"/>
              </w:rPr>
              <w:t>6.448</w:t>
            </w:r>
          </w:p>
        </w:tc>
        <w:tc>
          <w:tcPr>
            <w:tcW w:w="417" w:type="pct"/>
            <w:tcBorders>
              <w:top w:val="single" w:sz="4" w:space="0" w:color="4F81BD" w:themeColor="accent1"/>
              <w:bottom w:val="single" w:sz="4" w:space="0" w:color="4F81BD" w:themeColor="accent1"/>
            </w:tcBorders>
            <w:vAlign w:val="center"/>
          </w:tcPr>
          <w:p w14:paraId="3D7398C3" w14:textId="77777777" w:rsidR="008C7845" w:rsidRPr="004A10D8" w:rsidRDefault="008C7845" w:rsidP="004A10D8">
            <w:pPr>
              <w:jc w:val="center"/>
              <w:rPr>
                <w:sz w:val="20"/>
                <w:szCs w:val="20"/>
              </w:rPr>
            </w:pPr>
            <w:r w:rsidRPr="004A10D8">
              <w:rPr>
                <w:bCs/>
                <w:iCs/>
                <w:sz w:val="20"/>
                <w:szCs w:val="20"/>
              </w:rPr>
              <w:t>6.739</w:t>
            </w:r>
          </w:p>
        </w:tc>
        <w:tc>
          <w:tcPr>
            <w:tcW w:w="417" w:type="pct"/>
            <w:tcBorders>
              <w:top w:val="single" w:sz="4" w:space="0" w:color="4F81BD" w:themeColor="accent1"/>
              <w:bottom w:val="single" w:sz="4" w:space="0" w:color="4F81BD" w:themeColor="accent1"/>
            </w:tcBorders>
            <w:vAlign w:val="center"/>
          </w:tcPr>
          <w:p w14:paraId="16B849C8" w14:textId="77777777" w:rsidR="008C7845" w:rsidRPr="004A10D8" w:rsidRDefault="008C7845" w:rsidP="004A10D8">
            <w:pPr>
              <w:jc w:val="center"/>
              <w:rPr>
                <w:sz w:val="20"/>
                <w:szCs w:val="20"/>
              </w:rPr>
            </w:pPr>
            <w:r w:rsidRPr="004A10D8">
              <w:rPr>
                <w:bCs/>
                <w:iCs/>
                <w:sz w:val="20"/>
                <w:szCs w:val="20"/>
              </w:rPr>
              <w:t>7.042</w:t>
            </w:r>
          </w:p>
        </w:tc>
        <w:tc>
          <w:tcPr>
            <w:tcW w:w="417" w:type="pct"/>
            <w:tcBorders>
              <w:top w:val="single" w:sz="4" w:space="0" w:color="4F81BD" w:themeColor="accent1"/>
              <w:bottom w:val="single" w:sz="4" w:space="0" w:color="4F81BD" w:themeColor="accent1"/>
            </w:tcBorders>
            <w:vAlign w:val="center"/>
          </w:tcPr>
          <w:p w14:paraId="36F34870" w14:textId="77777777" w:rsidR="008C7845" w:rsidRPr="004A10D8" w:rsidRDefault="008C7845" w:rsidP="004A10D8">
            <w:pPr>
              <w:jc w:val="center"/>
              <w:rPr>
                <w:sz w:val="20"/>
                <w:szCs w:val="20"/>
              </w:rPr>
            </w:pPr>
            <w:r w:rsidRPr="004A10D8">
              <w:rPr>
                <w:bCs/>
                <w:iCs/>
                <w:sz w:val="20"/>
                <w:szCs w:val="20"/>
              </w:rPr>
              <w:t>7.359</w:t>
            </w:r>
          </w:p>
        </w:tc>
        <w:tc>
          <w:tcPr>
            <w:tcW w:w="417" w:type="pct"/>
            <w:tcBorders>
              <w:top w:val="single" w:sz="4" w:space="0" w:color="4F81BD" w:themeColor="accent1"/>
              <w:bottom w:val="single" w:sz="4" w:space="0" w:color="4F81BD" w:themeColor="accent1"/>
            </w:tcBorders>
            <w:vAlign w:val="center"/>
          </w:tcPr>
          <w:p w14:paraId="2E2EAECE" w14:textId="77777777" w:rsidR="008C7845" w:rsidRPr="004A10D8" w:rsidRDefault="008C7845" w:rsidP="004A10D8">
            <w:pPr>
              <w:jc w:val="center"/>
              <w:rPr>
                <w:bCs/>
                <w:iCs/>
                <w:sz w:val="20"/>
                <w:szCs w:val="20"/>
              </w:rPr>
            </w:pPr>
            <w:r w:rsidRPr="004A10D8">
              <w:rPr>
                <w:bCs/>
                <w:iCs/>
                <w:sz w:val="20"/>
                <w:szCs w:val="20"/>
              </w:rPr>
              <w:t>7.359</w:t>
            </w:r>
          </w:p>
        </w:tc>
        <w:tc>
          <w:tcPr>
            <w:tcW w:w="417" w:type="pct"/>
            <w:tcBorders>
              <w:top w:val="single" w:sz="4" w:space="0" w:color="4F81BD" w:themeColor="accent1"/>
              <w:bottom w:val="single" w:sz="4" w:space="0" w:color="4F81BD" w:themeColor="accent1"/>
            </w:tcBorders>
            <w:vAlign w:val="center"/>
          </w:tcPr>
          <w:p w14:paraId="4FF4DE91" w14:textId="77777777" w:rsidR="008C7845" w:rsidRPr="004A10D8" w:rsidRDefault="00A67F7E" w:rsidP="004A10D8">
            <w:pPr>
              <w:jc w:val="center"/>
              <w:rPr>
                <w:bCs/>
                <w:iCs/>
                <w:sz w:val="20"/>
                <w:szCs w:val="20"/>
              </w:rPr>
            </w:pPr>
            <w:r w:rsidRPr="004A10D8">
              <w:rPr>
                <w:bCs/>
                <w:iCs/>
                <w:sz w:val="20"/>
                <w:szCs w:val="20"/>
              </w:rPr>
              <w:t>7.359</w:t>
            </w:r>
          </w:p>
        </w:tc>
        <w:tc>
          <w:tcPr>
            <w:tcW w:w="524" w:type="pct"/>
            <w:tcBorders>
              <w:top w:val="single" w:sz="4" w:space="0" w:color="4F81BD" w:themeColor="accent1"/>
              <w:bottom w:val="single" w:sz="4" w:space="0" w:color="4F81BD" w:themeColor="accent1"/>
            </w:tcBorders>
            <w:vAlign w:val="center"/>
          </w:tcPr>
          <w:p w14:paraId="000B3054" w14:textId="516174B0" w:rsidR="008C7845" w:rsidRPr="004A10D8" w:rsidRDefault="00A67F7E" w:rsidP="007E2B96">
            <w:pPr>
              <w:jc w:val="right"/>
              <w:rPr>
                <w:bCs/>
                <w:iCs/>
                <w:sz w:val="20"/>
                <w:szCs w:val="20"/>
              </w:rPr>
            </w:pPr>
            <w:r w:rsidRPr="004A10D8">
              <w:rPr>
                <w:bCs/>
                <w:iCs/>
                <w:sz w:val="20"/>
                <w:szCs w:val="20"/>
              </w:rPr>
              <w:t>60.031</w:t>
            </w:r>
          </w:p>
        </w:tc>
      </w:tr>
      <w:tr w:rsidR="00DE5589" w:rsidRPr="007D1A8F" w14:paraId="352F7F77" w14:textId="77777777" w:rsidTr="00DE5589">
        <w:tc>
          <w:tcPr>
            <w:tcW w:w="725" w:type="pct"/>
            <w:tcBorders>
              <w:bottom w:val="single" w:sz="4" w:space="0" w:color="4F81BD" w:themeColor="accent1"/>
            </w:tcBorders>
          </w:tcPr>
          <w:p w14:paraId="4FECB163" w14:textId="73EACC15" w:rsidR="008C7845" w:rsidRPr="004A10D8" w:rsidRDefault="008C7845" w:rsidP="00D15A8D">
            <w:pPr>
              <w:rPr>
                <w:sz w:val="20"/>
                <w:szCs w:val="20"/>
              </w:rPr>
            </w:pPr>
            <w:r w:rsidRPr="004A10D8">
              <w:rPr>
                <w:b/>
                <w:sz w:val="20"/>
                <w:szCs w:val="20"/>
              </w:rPr>
              <w:t xml:space="preserve">Total </w:t>
            </w:r>
            <w:proofErr w:type="spellStart"/>
            <w:r w:rsidR="004A10D8">
              <w:rPr>
                <w:b/>
                <w:sz w:val="20"/>
                <w:szCs w:val="20"/>
              </w:rPr>
              <w:t>Cth</w:t>
            </w:r>
            <w:proofErr w:type="spellEnd"/>
            <w:r w:rsidRPr="004A10D8">
              <w:rPr>
                <w:b/>
                <w:sz w:val="20"/>
                <w:szCs w:val="20"/>
              </w:rPr>
              <w:t xml:space="preserve"> contribution</w:t>
            </w:r>
          </w:p>
        </w:tc>
        <w:tc>
          <w:tcPr>
            <w:tcW w:w="417" w:type="pct"/>
            <w:tcBorders>
              <w:top w:val="single" w:sz="4" w:space="0" w:color="4F81BD" w:themeColor="accent1"/>
              <w:bottom w:val="single" w:sz="4" w:space="0" w:color="4F81BD" w:themeColor="accent1"/>
            </w:tcBorders>
            <w:vAlign w:val="center"/>
          </w:tcPr>
          <w:p w14:paraId="465DF23D" w14:textId="77777777" w:rsidR="008C7845" w:rsidRPr="004A10D8" w:rsidRDefault="008C7845" w:rsidP="004A10D8">
            <w:pPr>
              <w:jc w:val="center"/>
              <w:rPr>
                <w:sz w:val="20"/>
                <w:szCs w:val="20"/>
              </w:rPr>
            </w:pPr>
            <w:r w:rsidRPr="004A10D8">
              <w:rPr>
                <w:bCs/>
                <w:iCs/>
                <w:sz w:val="20"/>
                <w:szCs w:val="20"/>
              </w:rPr>
              <w:t>5.649</w:t>
            </w:r>
          </w:p>
        </w:tc>
        <w:tc>
          <w:tcPr>
            <w:tcW w:w="417" w:type="pct"/>
            <w:tcBorders>
              <w:top w:val="single" w:sz="4" w:space="0" w:color="4F81BD" w:themeColor="accent1"/>
              <w:bottom w:val="single" w:sz="4" w:space="0" w:color="4F81BD" w:themeColor="accent1"/>
            </w:tcBorders>
            <w:vAlign w:val="center"/>
          </w:tcPr>
          <w:p w14:paraId="1D22EEBF" w14:textId="77777777" w:rsidR="008C7845" w:rsidRPr="004A10D8" w:rsidRDefault="008C7845" w:rsidP="004A10D8">
            <w:pPr>
              <w:jc w:val="center"/>
              <w:rPr>
                <w:sz w:val="20"/>
                <w:szCs w:val="20"/>
              </w:rPr>
            </w:pPr>
            <w:r w:rsidRPr="004A10D8">
              <w:rPr>
                <w:bCs/>
                <w:iCs/>
                <w:sz w:val="20"/>
                <w:szCs w:val="20"/>
              </w:rPr>
              <w:t>5.905</w:t>
            </w:r>
          </w:p>
        </w:tc>
        <w:tc>
          <w:tcPr>
            <w:tcW w:w="417" w:type="pct"/>
            <w:tcBorders>
              <w:top w:val="single" w:sz="4" w:space="0" w:color="4F81BD" w:themeColor="accent1"/>
              <w:bottom w:val="single" w:sz="4" w:space="0" w:color="4F81BD" w:themeColor="accent1"/>
            </w:tcBorders>
            <w:vAlign w:val="center"/>
          </w:tcPr>
          <w:p w14:paraId="602DCE08" w14:textId="77777777" w:rsidR="008C7845" w:rsidRPr="004A10D8" w:rsidRDefault="008C7845" w:rsidP="004A10D8">
            <w:pPr>
              <w:jc w:val="center"/>
              <w:rPr>
                <w:sz w:val="20"/>
                <w:szCs w:val="20"/>
              </w:rPr>
            </w:pPr>
            <w:r w:rsidRPr="004A10D8">
              <w:rPr>
                <w:bCs/>
                <w:iCs/>
                <w:sz w:val="20"/>
                <w:szCs w:val="20"/>
              </w:rPr>
              <w:t>6.171</w:t>
            </w:r>
          </w:p>
        </w:tc>
        <w:tc>
          <w:tcPr>
            <w:tcW w:w="417" w:type="pct"/>
            <w:tcBorders>
              <w:top w:val="single" w:sz="4" w:space="0" w:color="4F81BD" w:themeColor="accent1"/>
              <w:bottom w:val="single" w:sz="4" w:space="0" w:color="4F81BD" w:themeColor="accent1"/>
            </w:tcBorders>
            <w:vAlign w:val="center"/>
          </w:tcPr>
          <w:p w14:paraId="5845EF08" w14:textId="77777777" w:rsidR="008C7845" w:rsidRPr="004A10D8" w:rsidRDefault="008C7845" w:rsidP="004A10D8">
            <w:pPr>
              <w:jc w:val="center"/>
              <w:rPr>
                <w:sz w:val="20"/>
                <w:szCs w:val="20"/>
              </w:rPr>
            </w:pPr>
            <w:r w:rsidRPr="004A10D8">
              <w:rPr>
                <w:bCs/>
                <w:iCs/>
                <w:sz w:val="20"/>
                <w:szCs w:val="20"/>
              </w:rPr>
              <w:t>6.448</w:t>
            </w:r>
          </w:p>
        </w:tc>
        <w:tc>
          <w:tcPr>
            <w:tcW w:w="417" w:type="pct"/>
            <w:tcBorders>
              <w:top w:val="single" w:sz="4" w:space="0" w:color="4F81BD" w:themeColor="accent1"/>
              <w:bottom w:val="single" w:sz="4" w:space="0" w:color="4F81BD" w:themeColor="accent1"/>
            </w:tcBorders>
            <w:vAlign w:val="center"/>
          </w:tcPr>
          <w:p w14:paraId="0DEFF5DA" w14:textId="77777777" w:rsidR="008C7845" w:rsidRPr="004A10D8" w:rsidRDefault="008C7845" w:rsidP="004A10D8">
            <w:pPr>
              <w:jc w:val="center"/>
              <w:rPr>
                <w:sz w:val="20"/>
                <w:szCs w:val="20"/>
              </w:rPr>
            </w:pPr>
            <w:r w:rsidRPr="004A10D8">
              <w:rPr>
                <w:bCs/>
                <w:iCs/>
                <w:sz w:val="20"/>
                <w:szCs w:val="20"/>
              </w:rPr>
              <w:t>6.739</w:t>
            </w:r>
          </w:p>
        </w:tc>
        <w:tc>
          <w:tcPr>
            <w:tcW w:w="417" w:type="pct"/>
            <w:tcBorders>
              <w:top w:val="single" w:sz="4" w:space="0" w:color="4F81BD" w:themeColor="accent1"/>
              <w:bottom w:val="single" w:sz="4" w:space="0" w:color="4F81BD" w:themeColor="accent1"/>
            </w:tcBorders>
            <w:vAlign w:val="center"/>
          </w:tcPr>
          <w:p w14:paraId="49B76DE8" w14:textId="77777777" w:rsidR="008C7845" w:rsidRPr="004A10D8" w:rsidRDefault="008C7845" w:rsidP="004A10D8">
            <w:pPr>
              <w:jc w:val="center"/>
              <w:rPr>
                <w:sz w:val="20"/>
                <w:szCs w:val="20"/>
              </w:rPr>
            </w:pPr>
            <w:r w:rsidRPr="004A10D8">
              <w:rPr>
                <w:bCs/>
                <w:iCs/>
                <w:sz w:val="20"/>
                <w:szCs w:val="20"/>
              </w:rPr>
              <w:t>7.042</w:t>
            </w:r>
          </w:p>
        </w:tc>
        <w:tc>
          <w:tcPr>
            <w:tcW w:w="417" w:type="pct"/>
            <w:tcBorders>
              <w:top w:val="single" w:sz="4" w:space="0" w:color="4F81BD" w:themeColor="accent1"/>
              <w:bottom w:val="single" w:sz="4" w:space="0" w:color="4F81BD" w:themeColor="accent1"/>
            </w:tcBorders>
            <w:vAlign w:val="center"/>
          </w:tcPr>
          <w:p w14:paraId="1D004296" w14:textId="77777777" w:rsidR="008C7845" w:rsidRPr="004A10D8" w:rsidRDefault="008C7845" w:rsidP="004A10D8">
            <w:pPr>
              <w:jc w:val="center"/>
              <w:rPr>
                <w:sz w:val="20"/>
                <w:szCs w:val="20"/>
              </w:rPr>
            </w:pPr>
            <w:r w:rsidRPr="004A10D8">
              <w:rPr>
                <w:bCs/>
                <w:iCs/>
                <w:sz w:val="20"/>
                <w:szCs w:val="20"/>
              </w:rPr>
              <w:t>7.359</w:t>
            </w:r>
          </w:p>
        </w:tc>
        <w:tc>
          <w:tcPr>
            <w:tcW w:w="417" w:type="pct"/>
            <w:tcBorders>
              <w:top w:val="single" w:sz="4" w:space="0" w:color="4F81BD" w:themeColor="accent1"/>
              <w:bottom w:val="single" w:sz="4" w:space="0" w:color="4F81BD" w:themeColor="accent1"/>
            </w:tcBorders>
            <w:vAlign w:val="center"/>
          </w:tcPr>
          <w:p w14:paraId="2E073E26" w14:textId="4CE2359C" w:rsidR="008C7845" w:rsidRPr="004A10D8" w:rsidRDefault="00A67F7E" w:rsidP="004A10D8">
            <w:pPr>
              <w:jc w:val="center"/>
              <w:rPr>
                <w:bCs/>
                <w:iCs/>
                <w:sz w:val="20"/>
                <w:szCs w:val="20"/>
              </w:rPr>
            </w:pPr>
            <w:r w:rsidRPr="004A10D8">
              <w:rPr>
                <w:bCs/>
                <w:iCs/>
                <w:sz w:val="20"/>
                <w:szCs w:val="20"/>
              </w:rPr>
              <w:t>7.359</w:t>
            </w:r>
          </w:p>
        </w:tc>
        <w:tc>
          <w:tcPr>
            <w:tcW w:w="417" w:type="pct"/>
            <w:tcBorders>
              <w:top w:val="single" w:sz="4" w:space="0" w:color="4F81BD" w:themeColor="accent1"/>
              <w:bottom w:val="single" w:sz="4" w:space="0" w:color="4F81BD" w:themeColor="accent1"/>
            </w:tcBorders>
            <w:vAlign w:val="center"/>
          </w:tcPr>
          <w:p w14:paraId="66E8007C" w14:textId="77777777" w:rsidR="008C7845" w:rsidRPr="004A10D8" w:rsidRDefault="00A67F7E" w:rsidP="004A10D8">
            <w:pPr>
              <w:jc w:val="center"/>
              <w:rPr>
                <w:bCs/>
                <w:iCs/>
                <w:sz w:val="20"/>
                <w:szCs w:val="20"/>
              </w:rPr>
            </w:pPr>
            <w:r w:rsidRPr="004A10D8">
              <w:rPr>
                <w:bCs/>
                <w:iCs/>
                <w:sz w:val="20"/>
                <w:szCs w:val="20"/>
              </w:rPr>
              <w:t>7.359</w:t>
            </w:r>
          </w:p>
        </w:tc>
        <w:tc>
          <w:tcPr>
            <w:tcW w:w="524" w:type="pct"/>
            <w:tcBorders>
              <w:top w:val="single" w:sz="4" w:space="0" w:color="4F81BD" w:themeColor="accent1"/>
              <w:bottom w:val="single" w:sz="4" w:space="0" w:color="4F81BD" w:themeColor="accent1"/>
            </w:tcBorders>
            <w:vAlign w:val="center"/>
          </w:tcPr>
          <w:p w14:paraId="6D67763A" w14:textId="22C660DA" w:rsidR="008C7845" w:rsidRPr="004A10D8" w:rsidRDefault="00A67F7E" w:rsidP="007E2B96">
            <w:pPr>
              <w:jc w:val="right"/>
              <w:rPr>
                <w:bCs/>
                <w:iCs/>
                <w:sz w:val="20"/>
                <w:szCs w:val="20"/>
              </w:rPr>
            </w:pPr>
            <w:r w:rsidRPr="004A10D8">
              <w:rPr>
                <w:bCs/>
                <w:iCs/>
                <w:sz w:val="20"/>
                <w:szCs w:val="20"/>
              </w:rPr>
              <w:t>60.031</w:t>
            </w:r>
          </w:p>
        </w:tc>
      </w:tr>
    </w:tbl>
    <w:p w14:paraId="7A39BD63" w14:textId="238E60CD" w:rsidR="00D15A8D" w:rsidRPr="007D1A8F" w:rsidRDefault="00D15A8D" w:rsidP="00D15A8D">
      <w:pPr>
        <w:pStyle w:val="Heading2"/>
      </w:pPr>
      <w:r w:rsidRPr="007D1A8F">
        <w:t>Program logic</w:t>
      </w:r>
    </w:p>
    <w:p w14:paraId="142371E8" w14:textId="77777777" w:rsidR="00D15A8D" w:rsidRPr="007D1A8F" w:rsidRDefault="00D15A8D" w:rsidP="00D15A8D">
      <w:pPr>
        <w:pStyle w:val="Normalnumbered"/>
        <w:spacing w:after="240" w:line="260" w:lineRule="exact"/>
        <w:jc w:val="both"/>
      </w:pPr>
      <w:r w:rsidRPr="007D1A8F">
        <w:t xml:space="preserve">The way in which these project elements will achieve the outcomes and objectives set out in the </w:t>
      </w:r>
      <w:r w:rsidR="005434F6" w:rsidRPr="007D1A8F">
        <w:t xml:space="preserve">National Partnership </w:t>
      </w:r>
      <w:r w:rsidRPr="007D1A8F">
        <w:t>is detailed in Table 3.</w:t>
      </w:r>
    </w:p>
    <w:p w14:paraId="2ED59D56" w14:textId="28246D4B" w:rsidR="00D15A8D" w:rsidRPr="007D1A8F" w:rsidRDefault="00D15A8D" w:rsidP="00D15A8D">
      <w:pPr>
        <w:keepNext/>
        <w:spacing w:after="240"/>
        <w:rPr>
          <w:color w:val="3D4B67"/>
          <w:szCs w:val="23"/>
        </w:rPr>
      </w:pPr>
      <w:r w:rsidRPr="007D1A8F">
        <w:rPr>
          <w:rFonts w:ascii="Consolas" w:hAnsi="Consolas"/>
          <w:b/>
          <w:color w:val="3D4B67"/>
          <w:szCs w:val="20"/>
        </w:rPr>
        <w:t>Table 3: Program logic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181"/>
        <w:gridCol w:w="2766"/>
        <w:gridCol w:w="1857"/>
      </w:tblGrid>
      <w:tr w:rsidR="00815ADA" w:rsidRPr="007D1A8F" w14:paraId="47680DEB" w14:textId="77777777" w:rsidTr="003A43CE">
        <w:trPr>
          <w:trHeight w:val="377"/>
          <w:tblHeader/>
        </w:trPr>
        <w:tc>
          <w:tcPr>
            <w:tcW w:w="672" w:type="pct"/>
            <w:shd w:val="clear" w:color="auto" w:fill="BFBFBF" w:themeFill="background1" w:themeFillShade="BF"/>
          </w:tcPr>
          <w:p w14:paraId="5401ADBB" w14:textId="77777777" w:rsidR="00373958" w:rsidRPr="007D1A8F" w:rsidRDefault="00373958" w:rsidP="00D15A8D">
            <w:pPr>
              <w:rPr>
                <w:rFonts w:ascii="Times New Roman" w:hAnsi="Times New Roman"/>
                <w:b/>
                <w:sz w:val="20"/>
                <w:szCs w:val="20"/>
              </w:rPr>
            </w:pPr>
            <w:r w:rsidRPr="007D1A8F">
              <w:rPr>
                <w:b/>
                <w:sz w:val="20"/>
                <w:szCs w:val="20"/>
                <w:lang w:val="en-US" w:eastAsia="en-US"/>
              </w:rPr>
              <w:t>Activity</w:t>
            </w:r>
          </w:p>
        </w:tc>
        <w:tc>
          <w:tcPr>
            <w:tcW w:w="1764" w:type="pct"/>
            <w:shd w:val="clear" w:color="auto" w:fill="BFBFBF" w:themeFill="background1" w:themeFillShade="BF"/>
          </w:tcPr>
          <w:p w14:paraId="5F72AF54" w14:textId="77777777" w:rsidR="00373958" w:rsidRPr="007D1A8F" w:rsidRDefault="00373958" w:rsidP="00D15A8D">
            <w:pPr>
              <w:rPr>
                <w:b/>
                <w:sz w:val="20"/>
                <w:szCs w:val="20"/>
              </w:rPr>
            </w:pPr>
            <w:r w:rsidRPr="007D1A8F">
              <w:rPr>
                <w:b/>
                <w:sz w:val="20"/>
                <w:szCs w:val="20"/>
              </w:rPr>
              <w:t>Outputs</w:t>
            </w:r>
          </w:p>
        </w:tc>
        <w:tc>
          <w:tcPr>
            <w:tcW w:w="1534" w:type="pct"/>
            <w:shd w:val="clear" w:color="auto" w:fill="BFBFBF" w:themeFill="background1" w:themeFillShade="BF"/>
          </w:tcPr>
          <w:p w14:paraId="4DBD25E5" w14:textId="77777777" w:rsidR="00373958" w:rsidRPr="007D1A8F" w:rsidRDefault="00373958" w:rsidP="00D15A8D">
            <w:pPr>
              <w:rPr>
                <w:b/>
                <w:sz w:val="20"/>
                <w:szCs w:val="20"/>
              </w:rPr>
            </w:pPr>
            <w:r w:rsidRPr="007D1A8F">
              <w:rPr>
                <w:b/>
                <w:sz w:val="20"/>
                <w:szCs w:val="20"/>
              </w:rPr>
              <w:t>Outcomes</w:t>
            </w:r>
          </w:p>
        </w:tc>
        <w:tc>
          <w:tcPr>
            <w:tcW w:w="1030" w:type="pct"/>
            <w:shd w:val="clear" w:color="auto" w:fill="BFBFBF" w:themeFill="background1" w:themeFillShade="BF"/>
          </w:tcPr>
          <w:p w14:paraId="6C63B01C" w14:textId="77777777" w:rsidR="00373958" w:rsidRPr="007D1A8F" w:rsidRDefault="00373958" w:rsidP="00D15A8D">
            <w:pPr>
              <w:rPr>
                <w:b/>
                <w:sz w:val="20"/>
                <w:szCs w:val="20"/>
              </w:rPr>
            </w:pPr>
            <w:r w:rsidRPr="007D1A8F">
              <w:rPr>
                <w:b/>
                <w:sz w:val="20"/>
                <w:szCs w:val="20"/>
              </w:rPr>
              <w:t xml:space="preserve">Objectives </w:t>
            </w:r>
          </w:p>
        </w:tc>
      </w:tr>
      <w:tr w:rsidR="00815ADA" w:rsidRPr="007D1A8F" w14:paraId="753FDC1F" w14:textId="77777777" w:rsidTr="003A43CE">
        <w:trPr>
          <w:trHeight w:val="491"/>
        </w:trPr>
        <w:tc>
          <w:tcPr>
            <w:tcW w:w="672" w:type="pct"/>
          </w:tcPr>
          <w:p w14:paraId="7DEAD200" w14:textId="1881A167" w:rsidR="00373958" w:rsidRPr="007D1A8F" w:rsidRDefault="00FF00BA" w:rsidP="00373958">
            <w:pPr>
              <w:spacing w:after="120"/>
              <w:rPr>
                <w:iCs/>
                <w:sz w:val="20"/>
                <w:szCs w:val="20"/>
                <w:lang w:val="en-US"/>
              </w:rPr>
            </w:pPr>
            <w:r w:rsidRPr="007D1A8F">
              <w:rPr>
                <w:iCs/>
                <w:sz w:val="20"/>
                <w:szCs w:val="20"/>
                <w:lang w:val="en-US"/>
              </w:rPr>
              <w:t xml:space="preserve">Hearing Health </w:t>
            </w:r>
            <w:r w:rsidR="00373958" w:rsidRPr="007D1A8F">
              <w:rPr>
                <w:iCs/>
                <w:sz w:val="20"/>
                <w:szCs w:val="20"/>
                <w:lang w:val="en-US"/>
              </w:rPr>
              <w:t>Program</w:t>
            </w:r>
          </w:p>
        </w:tc>
        <w:tc>
          <w:tcPr>
            <w:tcW w:w="1764" w:type="pct"/>
          </w:tcPr>
          <w:p w14:paraId="34873DD7" w14:textId="3328F994" w:rsidR="00373958" w:rsidRPr="007D1A8F" w:rsidRDefault="00373958" w:rsidP="00373958">
            <w:pPr>
              <w:spacing w:after="120"/>
              <w:rPr>
                <w:iCs/>
                <w:sz w:val="20"/>
                <w:szCs w:val="20"/>
                <w:lang w:val="en-US"/>
              </w:rPr>
            </w:pPr>
            <w:r w:rsidRPr="007D1A8F">
              <w:rPr>
                <w:iCs/>
                <w:sz w:val="20"/>
                <w:szCs w:val="20"/>
                <w:lang w:val="en-US"/>
              </w:rPr>
              <w:t>An integrated</w:t>
            </w:r>
            <w:r w:rsidR="00227946" w:rsidRPr="007D1A8F">
              <w:rPr>
                <w:iCs/>
                <w:sz w:val="20"/>
                <w:szCs w:val="20"/>
                <w:lang w:val="en-US"/>
              </w:rPr>
              <w:t>,</w:t>
            </w:r>
            <w:r w:rsidR="00815ADA" w:rsidRPr="007D1A8F">
              <w:rPr>
                <w:iCs/>
                <w:sz w:val="20"/>
                <w:szCs w:val="20"/>
                <w:lang w:val="en-US"/>
              </w:rPr>
              <w:t xml:space="preserve"> coordinated</w:t>
            </w:r>
            <w:r w:rsidRPr="007D1A8F">
              <w:rPr>
                <w:iCs/>
                <w:sz w:val="20"/>
                <w:szCs w:val="20"/>
                <w:lang w:val="en-US"/>
              </w:rPr>
              <w:t xml:space="preserve"> </w:t>
            </w:r>
            <w:r w:rsidR="00227946" w:rsidRPr="007D1A8F">
              <w:rPr>
                <w:iCs/>
                <w:sz w:val="20"/>
                <w:szCs w:val="20"/>
                <w:lang w:val="en-US"/>
              </w:rPr>
              <w:t xml:space="preserve">and culturally safe </w:t>
            </w:r>
            <w:r w:rsidRPr="007D1A8F">
              <w:rPr>
                <w:iCs/>
                <w:sz w:val="20"/>
                <w:szCs w:val="20"/>
                <w:lang w:val="en-US"/>
              </w:rPr>
              <w:t xml:space="preserve">Hearing Health Program for Aboriginal </w:t>
            </w:r>
            <w:r w:rsidR="00227946" w:rsidRPr="007D1A8F">
              <w:rPr>
                <w:iCs/>
                <w:sz w:val="20"/>
                <w:szCs w:val="20"/>
                <w:lang w:val="en-US"/>
              </w:rPr>
              <w:t xml:space="preserve">and Torres Strait Islander </w:t>
            </w:r>
            <w:r w:rsidRPr="007D1A8F">
              <w:rPr>
                <w:iCs/>
                <w:sz w:val="20"/>
                <w:szCs w:val="20"/>
                <w:lang w:val="en-US"/>
              </w:rPr>
              <w:t>children which includes:</w:t>
            </w:r>
            <w:r w:rsidR="0072465B" w:rsidRPr="007D1A8F">
              <w:rPr>
                <w:iCs/>
                <w:sz w:val="20"/>
                <w:szCs w:val="20"/>
                <w:lang w:val="en-US"/>
              </w:rPr>
              <w:t xml:space="preserve"> </w:t>
            </w:r>
          </w:p>
          <w:p w14:paraId="435C340D" w14:textId="77777777" w:rsidR="0052713B" w:rsidRPr="007D1A8F" w:rsidRDefault="00815ADA" w:rsidP="0052713B">
            <w:pPr>
              <w:numPr>
                <w:ilvl w:val="0"/>
                <w:numId w:val="46"/>
              </w:numPr>
              <w:spacing w:after="120"/>
              <w:rPr>
                <w:sz w:val="20"/>
                <w:szCs w:val="20"/>
              </w:rPr>
            </w:pPr>
            <w:r w:rsidRPr="007D1A8F">
              <w:rPr>
                <w:sz w:val="20"/>
                <w:szCs w:val="20"/>
              </w:rPr>
              <w:t>Audiology</w:t>
            </w:r>
            <w:r w:rsidR="0052713B" w:rsidRPr="007D1A8F">
              <w:rPr>
                <w:sz w:val="20"/>
                <w:szCs w:val="20"/>
              </w:rPr>
              <w:t xml:space="preserve"> </w:t>
            </w:r>
            <w:r w:rsidR="00382BB9" w:rsidRPr="007D1A8F">
              <w:rPr>
                <w:sz w:val="20"/>
                <w:szCs w:val="20"/>
              </w:rPr>
              <w:t>and specialist services working with primary health care services to provide appropriate care.</w:t>
            </w:r>
          </w:p>
          <w:p w14:paraId="4345B37C" w14:textId="77777777" w:rsidR="00677D6A" w:rsidRPr="007D1A8F" w:rsidRDefault="00CE77F8" w:rsidP="00CE77F8">
            <w:pPr>
              <w:numPr>
                <w:ilvl w:val="0"/>
                <w:numId w:val="46"/>
              </w:numPr>
              <w:spacing w:after="120"/>
              <w:rPr>
                <w:sz w:val="20"/>
                <w:szCs w:val="20"/>
              </w:rPr>
            </w:pPr>
            <w:r w:rsidRPr="007D1A8F">
              <w:rPr>
                <w:iCs/>
                <w:sz w:val="20"/>
                <w:szCs w:val="20"/>
                <w:lang w:val="en-US"/>
              </w:rPr>
              <w:t>Clinical Nurse Specialists Hearing Health (CNSHH) [formerly known as Child Hearing Health Coordinators]</w:t>
            </w:r>
            <w:r w:rsidR="00382BB9" w:rsidRPr="007D1A8F">
              <w:rPr>
                <w:iCs/>
                <w:sz w:val="20"/>
                <w:szCs w:val="20"/>
                <w:lang w:val="en-US"/>
              </w:rPr>
              <w:t xml:space="preserve"> using a case management approach to oversee the treatment of children with a </w:t>
            </w:r>
            <w:proofErr w:type="spellStart"/>
            <w:r w:rsidR="00382BB9" w:rsidRPr="007D1A8F">
              <w:rPr>
                <w:iCs/>
                <w:sz w:val="20"/>
                <w:szCs w:val="20"/>
                <w:lang w:val="en-US"/>
              </w:rPr>
              <w:t>prioritised</w:t>
            </w:r>
            <w:proofErr w:type="spellEnd"/>
            <w:r w:rsidR="00382BB9" w:rsidRPr="007D1A8F">
              <w:rPr>
                <w:iCs/>
                <w:sz w:val="20"/>
                <w:szCs w:val="20"/>
                <w:lang w:val="en-US"/>
              </w:rPr>
              <w:t xml:space="preserve"> need for care by </w:t>
            </w:r>
            <w:r w:rsidR="00382BB9" w:rsidRPr="007D1A8F">
              <w:rPr>
                <w:iCs/>
                <w:sz w:val="20"/>
                <w:szCs w:val="20"/>
                <w:lang w:val="en-US"/>
              </w:rPr>
              <w:lastRenderedPageBreak/>
              <w:t>linking primary health services with specialist resources.</w:t>
            </w:r>
          </w:p>
          <w:p w14:paraId="73109FAB" w14:textId="7AEA0447" w:rsidR="0052713B" w:rsidRPr="007D1A8F" w:rsidRDefault="00227946" w:rsidP="00FF00BA">
            <w:pPr>
              <w:numPr>
                <w:ilvl w:val="0"/>
                <w:numId w:val="46"/>
              </w:numPr>
              <w:spacing w:after="120"/>
              <w:rPr>
                <w:iCs/>
                <w:sz w:val="20"/>
                <w:szCs w:val="20"/>
                <w:lang w:val="en-US"/>
              </w:rPr>
            </w:pPr>
            <w:r w:rsidRPr="007D1A8F">
              <w:rPr>
                <w:sz w:val="20"/>
                <w:szCs w:val="20"/>
              </w:rPr>
              <w:t>H</w:t>
            </w:r>
            <w:r w:rsidR="00DE246C" w:rsidRPr="007D1A8F">
              <w:rPr>
                <w:sz w:val="20"/>
                <w:szCs w:val="20"/>
              </w:rPr>
              <w:t xml:space="preserve">earing health </w:t>
            </w:r>
            <w:r w:rsidRPr="007D1A8F">
              <w:rPr>
                <w:sz w:val="20"/>
                <w:szCs w:val="20"/>
              </w:rPr>
              <w:t xml:space="preserve">prevention and </w:t>
            </w:r>
            <w:r w:rsidR="00DE246C" w:rsidRPr="007D1A8F">
              <w:rPr>
                <w:sz w:val="20"/>
                <w:szCs w:val="20"/>
              </w:rPr>
              <w:t xml:space="preserve">education </w:t>
            </w:r>
            <w:r w:rsidRPr="007D1A8F">
              <w:rPr>
                <w:sz w:val="20"/>
                <w:szCs w:val="20"/>
              </w:rPr>
              <w:t xml:space="preserve">activities </w:t>
            </w:r>
            <w:r w:rsidR="00DE246C" w:rsidRPr="007D1A8F">
              <w:rPr>
                <w:sz w:val="20"/>
                <w:szCs w:val="20"/>
              </w:rPr>
              <w:t>for families on how to prevent and manage ear disease, using culturally appropriate communication methods</w:t>
            </w:r>
            <w:r w:rsidR="00815ADA" w:rsidRPr="007D1A8F">
              <w:rPr>
                <w:sz w:val="20"/>
                <w:szCs w:val="20"/>
              </w:rPr>
              <w:t>.</w:t>
            </w:r>
          </w:p>
        </w:tc>
        <w:tc>
          <w:tcPr>
            <w:tcW w:w="1534" w:type="pct"/>
          </w:tcPr>
          <w:p w14:paraId="5FCA6652" w14:textId="173B901C" w:rsidR="00DE246C" w:rsidRPr="007D1A8F" w:rsidRDefault="00373958" w:rsidP="00BA1187">
            <w:pPr>
              <w:spacing w:after="120"/>
              <w:rPr>
                <w:iCs/>
                <w:sz w:val="20"/>
                <w:szCs w:val="20"/>
              </w:rPr>
            </w:pPr>
            <w:r w:rsidRPr="007D1A8F">
              <w:rPr>
                <w:iCs/>
                <w:sz w:val="20"/>
                <w:szCs w:val="20"/>
                <w:lang w:val="en-US"/>
              </w:rPr>
              <w:lastRenderedPageBreak/>
              <w:t xml:space="preserve">Improved health of </w:t>
            </w:r>
            <w:r w:rsidR="00227946" w:rsidRPr="007D1A8F">
              <w:rPr>
                <w:iCs/>
                <w:sz w:val="20"/>
                <w:szCs w:val="20"/>
                <w:lang w:val="en-US"/>
              </w:rPr>
              <w:t>Aboriginal and Torres Strait Islander</w:t>
            </w:r>
            <w:r w:rsidRPr="007D1A8F">
              <w:rPr>
                <w:iCs/>
                <w:sz w:val="20"/>
                <w:szCs w:val="20"/>
                <w:lang w:val="en-US"/>
              </w:rPr>
              <w:t xml:space="preserve"> children</w:t>
            </w:r>
            <w:r w:rsidR="00FF00BA" w:rsidRPr="007D1A8F">
              <w:rPr>
                <w:iCs/>
                <w:sz w:val="20"/>
                <w:szCs w:val="20"/>
              </w:rPr>
              <w:t xml:space="preserve"> through:</w:t>
            </w:r>
          </w:p>
          <w:p w14:paraId="72C433B9" w14:textId="77777777" w:rsidR="00DE246C" w:rsidRPr="007D1A8F" w:rsidRDefault="00742274" w:rsidP="008E5D02">
            <w:pPr>
              <w:numPr>
                <w:ilvl w:val="0"/>
                <w:numId w:val="46"/>
              </w:numPr>
              <w:spacing w:after="120"/>
              <w:ind w:left="484" w:hanging="425"/>
              <w:rPr>
                <w:iCs/>
                <w:sz w:val="20"/>
                <w:szCs w:val="20"/>
                <w:lang w:val="en-US"/>
              </w:rPr>
            </w:pPr>
            <w:r w:rsidRPr="007D1A8F">
              <w:rPr>
                <w:iCs/>
                <w:sz w:val="20"/>
                <w:szCs w:val="20"/>
                <w:lang w:val="en-US"/>
              </w:rPr>
              <w:t>r</w:t>
            </w:r>
            <w:r w:rsidR="00DE246C" w:rsidRPr="007D1A8F">
              <w:rPr>
                <w:iCs/>
                <w:sz w:val="20"/>
                <w:szCs w:val="20"/>
                <w:lang w:val="en-US"/>
              </w:rPr>
              <w:t>educ</w:t>
            </w:r>
            <w:r w:rsidR="003501BA" w:rsidRPr="007D1A8F">
              <w:rPr>
                <w:iCs/>
                <w:sz w:val="20"/>
                <w:szCs w:val="20"/>
                <w:lang w:val="en-US"/>
              </w:rPr>
              <w:t>ing</w:t>
            </w:r>
            <w:r w:rsidR="00DE246C" w:rsidRPr="007D1A8F">
              <w:rPr>
                <w:iCs/>
                <w:sz w:val="20"/>
                <w:szCs w:val="20"/>
                <w:lang w:val="en-US"/>
              </w:rPr>
              <w:t xml:space="preserve"> the prevalence and incidence of ear disease among Aboriginal</w:t>
            </w:r>
            <w:r w:rsidR="00227946" w:rsidRPr="007D1A8F">
              <w:rPr>
                <w:iCs/>
                <w:sz w:val="20"/>
                <w:szCs w:val="20"/>
                <w:lang w:val="en-US"/>
              </w:rPr>
              <w:t xml:space="preserve"> and Torres Strait Islander</w:t>
            </w:r>
            <w:r w:rsidR="00DE246C" w:rsidRPr="007D1A8F">
              <w:rPr>
                <w:iCs/>
                <w:sz w:val="20"/>
                <w:szCs w:val="20"/>
                <w:lang w:val="en-US"/>
              </w:rPr>
              <w:t xml:space="preserve"> children in the Northern </w:t>
            </w:r>
            <w:proofErr w:type="gramStart"/>
            <w:r w:rsidR="00DE246C" w:rsidRPr="007D1A8F">
              <w:rPr>
                <w:iCs/>
                <w:sz w:val="20"/>
                <w:szCs w:val="20"/>
                <w:lang w:val="en-US"/>
              </w:rPr>
              <w:t>Territory;</w:t>
            </w:r>
            <w:proofErr w:type="gramEnd"/>
          </w:p>
          <w:p w14:paraId="6C013B89" w14:textId="77777777" w:rsidR="00DE246C" w:rsidRPr="007D1A8F" w:rsidRDefault="00742274" w:rsidP="008E5D02">
            <w:pPr>
              <w:numPr>
                <w:ilvl w:val="0"/>
                <w:numId w:val="46"/>
              </w:numPr>
              <w:spacing w:after="120"/>
              <w:ind w:left="484" w:hanging="425"/>
              <w:rPr>
                <w:iCs/>
                <w:sz w:val="20"/>
                <w:szCs w:val="20"/>
                <w:lang w:val="en-US"/>
              </w:rPr>
            </w:pPr>
            <w:r w:rsidRPr="007D1A8F">
              <w:rPr>
                <w:iCs/>
                <w:sz w:val="20"/>
                <w:szCs w:val="20"/>
                <w:lang w:val="en-US"/>
              </w:rPr>
              <w:t>r</w:t>
            </w:r>
            <w:r w:rsidR="00DE246C" w:rsidRPr="007D1A8F">
              <w:rPr>
                <w:iCs/>
                <w:sz w:val="20"/>
                <w:szCs w:val="20"/>
                <w:lang w:val="en-US"/>
              </w:rPr>
              <w:t>educ</w:t>
            </w:r>
            <w:r w:rsidR="003501BA" w:rsidRPr="007D1A8F">
              <w:rPr>
                <w:iCs/>
                <w:sz w:val="20"/>
                <w:szCs w:val="20"/>
                <w:lang w:val="en-US"/>
              </w:rPr>
              <w:t>ing</w:t>
            </w:r>
            <w:r w:rsidR="00DE246C" w:rsidRPr="007D1A8F">
              <w:rPr>
                <w:iCs/>
                <w:sz w:val="20"/>
                <w:szCs w:val="20"/>
                <w:lang w:val="en-US"/>
              </w:rPr>
              <w:t xml:space="preserve"> the severity and impact of ear disease on the health and wellbeing (particularly improving the hearing health status) of Aboriginal </w:t>
            </w:r>
            <w:r w:rsidR="00227946" w:rsidRPr="007D1A8F">
              <w:rPr>
                <w:iCs/>
                <w:sz w:val="20"/>
                <w:szCs w:val="20"/>
                <w:lang w:val="en-US"/>
              </w:rPr>
              <w:t xml:space="preserve">and Torres Strait Islander </w:t>
            </w:r>
            <w:r w:rsidR="00DE246C" w:rsidRPr="007D1A8F">
              <w:rPr>
                <w:iCs/>
                <w:sz w:val="20"/>
                <w:szCs w:val="20"/>
                <w:lang w:val="en-US"/>
              </w:rPr>
              <w:lastRenderedPageBreak/>
              <w:t>children in the Northern Territory; and</w:t>
            </w:r>
          </w:p>
          <w:p w14:paraId="0655F660" w14:textId="77777777" w:rsidR="00373958" w:rsidRPr="007D1A8F" w:rsidRDefault="00742274" w:rsidP="008E5D02">
            <w:pPr>
              <w:numPr>
                <w:ilvl w:val="0"/>
                <w:numId w:val="46"/>
              </w:numPr>
              <w:spacing w:after="120"/>
              <w:ind w:left="484" w:hanging="425"/>
              <w:rPr>
                <w:iCs/>
                <w:sz w:val="20"/>
                <w:szCs w:val="20"/>
                <w:lang w:val="en-US"/>
              </w:rPr>
            </w:pPr>
            <w:r w:rsidRPr="007D1A8F">
              <w:rPr>
                <w:iCs/>
                <w:sz w:val="20"/>
                <w:szCs w:val="20"/>
                <w:lang w:val="en-US"/>
              </w:rPr>
              <w:t>i</w:t>
            </w:r>
            <w:r w:rsidR="00DE246C" w:rsidRPr="007D1A8F">
              <w:rPr>
                <w:iCs/>
                <w:sz w:val="20"/>
                <w:szCs w:val="20"/>
                <w:lang w:val="en-US"/>
              </w:rPr>
              <w:t>mprov</w:t>
            </w:r>
            <w:r w:rsidR="003501BA" w:rsidRPr="007D1A8F">
              <w:rPr>
                <w:iCs/>
                <w:sz w:val="20"/>
                <w:szCs w:val="20"/>
                <w:lang w:val="en-US"/>
              </w:rPr>
              <w:t>ing</w:t>
            </w:r>
            <w:r w:rsidR="00DE246C" w:rsidRPr="007D1A8F">
              <w:rPr>
                <w:iCs/>
                <w:sz w:val="20"/>
                <w:szCs w:val="20"/>
                <w:lang w:val="en-US"/>
              </w:rPr>
              <w:t xml:space="preserve"> the hearing of children who are in a treatment pathway.</w:t>
            </w:r>
          </w:p>
        </w:tc>
        <w:tc>
          <w:tcPr>
            <w:tcW w:w="1030" w:type="pct"/>
          </w:tcPr>
          <w:p w14:paraId="2AD9813D" w14:textId="631445AE" w:rsidR="00373958" w:rsidRPr="007D1A8F" w:rsidRDefault="00373958" w:rsidP="00373958">
            <w:pPr>
              <w:spacing w:after="120"/>
              <w:rPr>
                <w:iCs/>
                <w:sz w:val="20"/>
                <w:szCs w:val="20"/>
                <w:lang w:val="en-US"/>
              </w:rPr>
            </w:pPr>
            <w:r w:rsidRPr="007D1A8F">
              <w:rPr>
                <w:iCs/>
                <w:sz w:val="20"/>
                <w:szCs w:val="20"/>
                <w:lang w:val="en-US"/>
              </w:rPr>
              <w:lastRenderedPageBreak/>
              <w:t xml:space="preserve">Safer and </w:t>
            </w:r>
            <w:r w:rsidR="00A042C1" w:rsidRPr="007D1A8F">
              <w:rPr>
                <w:iCs/>
                <w:sz w:val="20"/>
                <w:szCs w:val="20"/>
                <w:lang w:val="en-US"/>
              </w:rPr>
              <w:t>healthier</w:t>
            </w:r>
            <w:r w:rsidRPr="007D1A8F">
              <w:rPr>
                <w:iCs/>
                <w:sz w:val="20"/>
                <w:szCs w:val="20"/>
                <w:lang w:val="en-US"/>
              </w:rPr>
              <w:t xml:space="preserve"> remote Aboriginal</w:t>
            </w:r>
            <w:r w:rsidR="00227946" w:rsidRPr="007D1A8F">
              <w:rPr>
                <w:iCs/>
                <w:sz w:val="20"/>
                <w:szCs w:val="20"/>
                <w:lang w:val="en-US"/>
              </w:rPr>
              <w:t xml:space="preserve"> </w:t>
            </w:r>
            <w:r w:rsidRPr="007D1A8F">
              <w:rPr>
                <w:iCs/>
                <w:sz w:val="20"/>
                <w:szCs w:val="20"/>
                <w:lang w:val="en-US"/>
              </w:rPr>
              <w:t>communities in the Northern</w:t>
            </w:r>
            <w:r w:rsidR="00155453" w:rsidRPr="007D1A8F">
              <w:rPr>
                <w:iCs/>
                <w:sz w:val="20"/>
                <w:szCs w:val="20"/>
                <w:lang w:val="en-US"/>
              </w:rPr>
              <w:t xml:space="preserve"> </w:t>
            </w:r>
            <w:r w:rsidRPr="007D1A8F">
              <w:rPr>
                <w:iCs/>
                <w:sz w:val="20"/>
                <w:szCs w:val="20"/>
                <w:lang w:val="en-US"/>
              </w:rPr>
              <w:t>Territory</w:t>
            </w:r>
            <w:r w:rsidR="00FF00BA" w:rsidRPr="007D1A8F">
              <w:rPr>
                <w:iCs/>
                <w:sz w:val="20"/>
                <w:szCs w:val="20"/>
                <w:lang w:val="en-US"/>
              </w:rPr>
              <w:t>.</w:t>
            </w:r>
          </w:p>
        </w:tc>
      </w:tr>
      <w:tr w:rsidR="00815ADA" w:rsidRPr="007D1A8F" w14:paraId="7D143AB9" w14:textId="77777777" w:rsidTr="003A43CE">
        <w:trPr>
          <w:trHeight w:val="491"/>
        </w:trPr>
        <w:tc>
          <w:tcPr>
            <w:tcW w:w="672" w:type="pct"/>
          </w:tcPr>
          <w:p w14:paraId="2DEC7EBC" w14:textId="1BC2174E" w:rsidR="00373958" w:rsidRPr="007D1A8F" w:rsidRDefault="00FF00BA" w:rsidP="00373958">
            <w:pPr>
              <w:spacing w:after="120"/>
              <w:rPr>
                <w:iCs/>
                <w:sz w:val="20"/>
                <w:szCs w:val="20"/>
                <w:lang w:val="en-US"/>
              </w:rPr>
            </w:pPr>
            <w:r w:rsidRPr="007D1A8F">
              <w:rPr>
                <w:iCs/>
                <w:sz w:val="20"/>
                <w:szCs w:val="20"/>
                <w:lang w:val="en-US"/>
              </w:rPr>
              <w:t xml:space="preserve">Oral Health </w:t>
            </w:r>
            <w:r w:rsidR="00373958" w:rsidRPr="007D1A8F">
              <w:rPr>
                <w:iCs/>
                <w:sz w:val="20"/>
                <w:szCs w:val="20"/>
                <w:lang w:val="en-US"/>
              </w:rPr>
              <w:t>Program</w:t>
            </w:r>
          </w:p>
        </w:tc>
        <w:tc>
          <w:tcPr>
            <w:tcW w:w="1764" w:type="pct"/>
          </w:tcPr>
          <w:p w14:paraId="64C6B44F" w14:textId="5119033C" w:rsidR="00373958" w:rsidRPr="007D1A8F" w:rsidRDefault="00373958" w:rsidP="00373958">
            <w:pPr>
              <w:spacing w:after="120"/>
              <w:rPr>
                <w:iCs/>
                <w:sz w:val="20"/>
                <w:szCs w:val="20"/>
                <w:lang w:val="en-US"/>
              </w:rPr>
            </w:pPr>
            <w:r w:rsidRPr="007D1A8F">
              <w:rPr>
                <w:iCs/>
                <w:sz w:val="20"/>
                <w:szCs w:val="20"/>
                <w:lang w:val="en-US"/>
              </w:rPr>
              <w:t>An integrated</w:t>
            </w:r>
            <w:r w:rsidR="00227946" w:rsidRPr="007D1A8F">
              <w:rPr>
                <w:iCs/>
                <w:sz w:val="20"/>
                <w:szCs w:val="20"/>
                <w:lang w:val="en-US"/>
              </w:rPr>
              <w:t>,</w:t>
            </w:r>
            <w:r w:rsidRPr="007D1A8F">
              <w:rPr>
                <w:iCs/>
                <w:sz w:val="20"/>
                <w:szCs w:val="20"/>
                <w:lang w:val="en-US"/>
              </w:rPr>
              <w:t xml:space="preserve"> </w:t>
            </w:r>
            <w:r w:rsidR="00815ADA" w:rsidRPr="007D1A8F">
              <w:rPr>
                <w:iCs/>
                <w:sz w:val="20"/>
                <w:szCs w:val="20"/>
                <w:lang w:val="en-US"/>
              </w:rPr>
              <w:t xml:space="preserve">coordinated </w:t>
            </w:r>
            <w:r w:rsidR="00227946" w:rsidRPr="007D1A8F">
              <w:rPr>
                <w:iCs/>
                <w:sz w:val="20"/>
                <w:szCs w:val="20"/>
                <w:lang w:val="en-US"/>
              </w:rPr>
              <w:t xml:space="preserve">and culturally safe </w:t>
            </w:r>
            <w:r w:rsidRPr="007D1A8F">
              <w:rPr>
                <w:iCs/>
                <w:sz w:val="20"/>
                <w:szCs w:val="20"/>
                <w:lang w:val="en-US"/>
              </w:rPr>
              <w:t xml:space="preserve">oral health program for Aboriginal </w:t>
            </w:r>
            <w:r w:rsidR="00227946" w:rsidRPr="007D1A8F">
              <w:rPr>
                <w:iCs/>
                <w:sz w:val="20"/>
                <w:szCs w:val="20"/>
                <w:lang w:val="en-US"/>
              </w:rPr>
              <w:t xml:space="preserve">and Torres Strait Islander </w:t>
            </w:r>
            <w:r w:rsidRPr="007D1A8F">
              <w:rPr>
                <w:iCs/>
                <w:sz w:val="20"/>
                <w:szCs w:val="20"/>
                <w:lang w:val="en-US"/>
              </w:rPr>
              <w:t>children which will deliver:</w:t>
            </w:r>
          </w:p>
          <w:p w14:paraId="36001583" w14:textId="77777777" w:rsidR="00373958" w:rsidRPr="007D1A8F" w:rsidRDefault="00373958" w:rsidP="00373958">
            <w:pPr>
              <w:numPr>
                <w:ilvl w:val="0"/>
                <w:numId w:val="46"/>
              </w:numPr>
              <w:spacing w:after="120"/>
              <w:ind w:left="484" w:hanging="425"/>
              <w:rPr>
                <w:iCs/>
                <w:sz w:val="20"/>
                <w:szCs w:val="20"/>
                <w:lang w:val="en-US"/>
              </w:rPr>
            </w:pPr>
            <w:r w:rsidRPr="007D1A8F">
              <w:rPr>
                <w:iCs/>
                <w:sz w:val="20"/>
                <w:szCs w:val="20"/>
                <w:lang w:val="en-US"/>
              </w:rPr>
              <w:t>Preventive oral health services including fluoride varnish,</w:t>
            </w:r>
            <w:r w:rsidR="00146662" w:rsidRPr="007D1A8F">
              <w:rPr>
                <w:iCs/>
                <w:sz w:val="20"/>
                <w:szCs w:val="20"/>
                <w:lang w:val="en-US"/>
              </w:rPr>
              <w:t xml:space="preserve"> fissure sealants </w:t>
            </w:r>
            <w:r w:rsidR="008A778B" w:rsidRPr="007D1A8F">
              <w:rPr>
                <w:iCs/>
                <w:sz w:val="20"/>
                <w:szCs w:val="20"/>
                <w:lang w:val="en-US"/>
              </w:rPr>
              <w:t xml:space="preserve">by </w:t>
            </w:r>
            <w:r w:rsidRPr="007D1A8F">
              <w:rPr>
                <w:iCs/>
                <w:sz w:val="20"/>
                <w:szCs w:val="20"/>
                <w:lang w:val="en-US"/>
              </w:rPr>
              <w:t xml:space="preserve">working with primary health care </w:t>
            </w:r>
            <w:r w:rsidR="00815ADA" w:rsidRPr="007D1A8F">
              <w:rPr>
                <w:iCs/>
                <w:sz w:val="20"/>
                <w:szCs w:val="20"/>
                <w:lang w:val="en-US"/>
              </w:rPr>
              <w:t xml:space="preserve">services and other stakeholders. </w:t>
            </w:r>
          </w:p>
          <w:p w14:paraId="3C462220" w14:textId="479DEE30" w:rsidR="00815ADA" w:rsidRPr="007D1A8F" w:rsidRDefault="00815ADA" w:rsidP="00815ADA">
            <w:pPr>
              <w:numPr>
                <w:ilvl w:val="0"/>
                <w:numId w:val="46"/>
              </w:numPr>
              <w:spacing w:after="120"/>
              <w:ind w:left="484" w:hanging="425"/>
              <w:rPr>
                <w:iCs/>
                <w:sz w:val="20"/>
                <w:szCs w:val="20"/>
                <w:lang w:val="en-US"/>
              </w:rPr>
            </w:pPr>
            <w:r w:rsidRPr="007D1A8F">
              <w:rPr>
                <w:iCs/>
                <w:sz w:val="20"/>
                <w:szCs w:val="20"/>
                <w:lang w:val="en-US"/>
              </w:rPr>
              <w:t xml:space="preserve">Healthy Smiles Oral health training package, a preventive oral health program, will be held across the Northern Territory for remote primary health care sector staff. </w:t>
            </w:r>
          </w:p>
          <w:p w14:paraId="6997EFCD" w14:textId="77777777" w:rsidR="0052713B" w:rsidRPr="007D1A8F" w:rsidRDefault="007A030F" w:rsidP="00FF00BA">
            <w:pPr>
              <w:numPr>
                <w:ilvl w:val="0"/>
                <w:numId w:val="46"/>
              </w:numPr>
              <w:spacing w:after="120"/>
              <w:ind w:left="484" w:hanging="425"/>
              <w:rPr>
                <w:iCs/>
                <w:sz w:val="20"/>
                <w:szCs w:val="20"/>
                <w:lang w:val="en-US"/>
              </w:rPr>
            </w:pPr>
            <w:r w:rsidRPr="007D1A8F">
              <w:rPr>
                <w:iCs/>
                <w:sz w:val="20"/>
                <w:szCs w:val="20"/>
                <w:lang w:val="en-US"/>
              </w:rPr>
              <w:t>Clinical</w:t>
            </w:r>
            <w:r w:rsidR="00447762" w:rsidRPr="007D1A8F">
              <w:rPr>
                <w:iCs/>
                <w:sz w:val="20"/>
                <w:szCs w:val="20"/>
                <w:lang w:val="en-US"/>
              </w:rPr>
              <w:t xml:space="preserve"> oral health care</w:t>
            </w:r>
            <w:r w:rsidR="00CA3686" w:rsidRPr="007D1A8F">
              <w:rPr>
                <w:iCs/>
                <w:sz w:val="20"/>
                <w:szCs w:val="20"/>
                <w:lang w:val="en-US"/>
              </w:rPr>
              <w:t xml:space="preserve"> provided by oral health professionals</w:t>
            </w:r>
            <w:r w:rsidRPr="007D1A8F">
              <w:rPr>
                <w:iCs/>
                <w:sz w:val="20"/>
                <w:szCs w:val="20"/>
                <w:lang w:val="en-US"/>
              </w:rPr>
              <w:t>.</w:t>
            </w:r>
          </w:p>
        </w:tc>
        <w:tc>
          <w:tcPr>
            <w:tcW w:w="1534" w:type="pct"/>
          </w:tcPr>
          <w:p w14:paraId="04D784EF" w14:textId="1023E158" w:rsidR="007A030F" w:rsidRPr="007D1A8F" w:rsidRDefault="00373958" w:rsidP="007A030F">
            <w:pPr>
              <w:spacing w:after="120"/>
              <w:ind w:left="59"/>
              <w:rPr>
                <w:iCs/>
                <w:sz w:val="20"/>
                <w:szCs w:val="20"/>
                <w:lang w:val="en-US"/>
              </w:rPr>
            </w:pPr>
            <w:r w:rsidRPr="007D1A8F">
              <w:rPr>
                <w:iCs/>
                <w:sz w:val="20"/>
                <w:szCs w:val="20"/>
                <w:lang w:val="en-US"/>
              </w:rPr>
              <w:t xml:space="preserve">Improved health of </w:t>
            </w:r>
            <w:r w:rsidR="00227946" w:rsidRPr="007D1A8F">
              <w:rPr>
                <w:iCs/>
                <w:sz w:val="20"/>
                <w:szCs w:val="20"/>
                <w:lang w:val="en-US"/>
              </w:rPr>
              <w:t xml:space="preserve">Aboriginal and Torres Strait Islander </w:t>
            </w:r>
            <w:r w:rsidRPr="007D1A8F">
              <w:rPr>
                <w:iCs/>
                <w:sz w:val="20"/>
                <w:szCs w:val="20"/>
                <w:lang w:val="en-US"/>
              </w:rPr>
              <w:t>children</w:t>
            </w:r>
            <w:r w:rsidR="007A030F" w:rsidRPr="007D1A8F">
              <w:rPr>
                <w:iCs/>
                <w:sz w:val="20"/>
                <w:szCs w:val="20"/>
                <w:lang w:val="en-US"/>
              </w:rPr>
              <w:t xml:space="preserve"> through:</w:t>
            </w:r>
          </w:p>
          <w:p w14:paraId="5B138928" w14:textId="77777777" w:rsidR="007A030F" w:rsidRPr="007D1A8F" w:rsidRDefault="00742274" w:rsidP="007A030F">
            <w:pPr>
              <w:numPr>
                <w:ilvl w:val="0"/>
                <w:numId w:val="46"/>
              </w:numPr>
              <w:spacing w:after="120"/>
              <w:ind w:left="484" w:hanging="425"/>
              <w:rPr>
                <w:iCs/>
                <w:sz w:val="20"/>
                <w:szCs w:val="20"/>
                <w:lang w:val="en-US"/>
              </w:rPr>
            </w:pPr>
            <w:r w:rsidRPr="007D1A8F">
              <w:rPr>
                <w:iCs/>
                <w:sz w:val="20"/>
                <w:szCs w:val="20"/>
                <w:lang w:val="en-US"/>
              </w:rPr>
              <w:t>r</w:t>
            </w:r>
            <w:r w:rsidR="007A030F" w:rsidRPr="007D1A8F">
              <w:rPr>
                <w:iCs/>
                <w:sz w:val="20"/>
                <w:szCs w:val="20"/>
                <w:lang w:val="en-US"/>
              </w:rPr>
              <w:t>educing the prevalence and incidence of oral health problems among Aboriginal</w:t>
            </w:r>
            <w:r w:rsidR="00227946" w:rsidRPr="007D1A8F">
              <w:rPr>
                <w:iCs/>
                <w:sz w:val="20"/>
                <w:szCs w:val="20"/>
                <w:lang w:val="en-US"/>
              </w:rPr>
              <w:t xml:space="preserve"> and Torres Strait Islander</w:t>
            </w:r>
            <w:r w:rsidR="007A030F" w:rsidRPr="007D1A8F">
              <w:rPr>
                <w:iCs/>
                <w:sz w:val="20"/>
                <w:szCs w:val="20"/>
                <w:lang w:val="en-US"/>
              </w:rPr>
              <w:t xml:space="preserve"> children in the Northern Territory; and</w:t>
            </w:r>
          </w:p>
          <w:p w14:paraId="1781B68D" w14:textId="77777777" w:rsidR="00373958" w:rsidRPr="007D1A8F" w:rsidRDefault="00742274" w:rsidP="007A030F">
            <w:pPr>
              <w:numPr>
                <w:ilvl w:val="0"/>
                <w:numId w:val="46"/>
              </w:numPr>
              <w:spacing w:after="120"/>
              <w:ind w:left="484" w:hanging="425"/>
              <w:rPr>
                <w:iCs/>
                <w:sz w:val="20"/>
                <w:szCs w:val="20"/>
                <w:lang w:val="en-US"/>
              </w:rPr>
            </w:pPr>
            <w:r w:rsidRPr="007D1A8F">
              <w:rPr>
                <w:iCs/>
                <w:sz w:val="20"/>
                <w:szCs w:val="20"/>
                <w:lang w:val="en-US"/>
              </w:rPr>
              <w:t>r</w:t>
            </w:r>
            <w:r w:rsidR="007A030F" w:rsidRPr="007D1A8F">
              <w:rPr>
                <w:iCs/>
                <w:sz w:val="20"/>
                <w:szCs w:val="20"/>
                <w:lang w:val="en-US"/>
              </w:rPr>
              <w:t>educing the severity and impact of oral health problems on the health and wellbeing of Aboriginal</w:t>
            </w:r>
            <w:r w:rsidR="00227946" w:rsidRPr="007D1A8F">
              <w:rPr>
                <w:iCs/>
                <w:sz w:val="20"/>
                <w:szCs w:val="20"/>
                <w:lang w:val="en-US"/>
              </w:rPr>
              <w:t xml:space="preserve"> and Torres Strait Islander</w:t>
            </w:r>
            <w:r w:rsidR="007A030F" w:rsidRPr="007D1A8F">
              <w:rPr>
                <w:iCs/>
                <w:sz w:val="20"/>
                <w:szCs w:val="20"/>
                <w:lang w:val="en-US"/>
              </w:rPr>
              <w:t xml:space="preserve"> children in the Northern Territory.</w:t>
            </w:r>
          </w:p>
        </w:tc>
        <w:tc>
          <w:tcPr>
            <w:tcW w:w="1030" w:type="pct"/>
          </w:tcPr>
          <w:p w14:paraId="6644EBBA" w14:textId="77777777" w:rsidR="00373958" w:rsidRPr="007D1A8F" w:rsidRDefault="00373958" w:rsidP="00155453">
            <w:pPr>
              <w:spacing w:after="120"/>
              <w:rPr>
                <w:iCs/>
                <w:sz w:val="20"/>
                <w:szCs w:val="20"/>
                <w:lang w:val="en-US"/>
              </w:rPr>
            </w:pPr>
            <w:r w:rsidRPr="007D1A8F">
              <w:rPr>
                <w:iCs/>
                <w:sz w:val="20"/>
                <w:szCs w:val="20"/>
                <w:lang w:val="en-US"/>
              </w:rPr>
              <w:t xml:space="preserve">Safer and healthier remote Aboriginal communities in the </w:t>
            </w:r>
            <w:r w:rsidR="00155453" w:rsidRPr="007D1A8F">
              <w:rPr>
                <w:iCs/>
                <w:sz w:val="20"/>
                <w:szCs w:val="20"/>
                <w:lang w:val="en-US"/>
              </w:rPr>
              <w:t xml:space="preserve">Northern </w:t>
            </w:r>
            <w:r w:rsidRPr="007D1A8F">
              <w:rPr>
                <w:iCs/>
                <w:sz w:val="20"/>
                <w:szCs w:val="20"/>
                <w:lang w:val="en-US"/>
              </w:rPr>
              <w:t>Territory</w:t>
            </w:r>
            <w:r w:rsidR="00FF00BA" w:rsidRPr="007D1A8F">
              <w:rPr>
                <w:iCs/>
                <w:sz w:val="20"/>
                <w:szCs w:val="20"/>
                <w:lang w:val="en-US"/>
              </w:rPr>
              <w:t>.</w:t>
            </w:r>
          </w:p>
        </w:tc>
      </w:tr>
    </w:tbl>
    <w:p w14:paraId="0C1DCA97" w14:textId="77777777" w:rsidR="00D15A8D" w:rsidRPr="007D1A8F" w:rsidRDefault="00D15A8D" w:rsidP="00D15A8D">
      <w:pPr>
        <w:pStyle w:val="Heading2"/>
      </w:pPr>
      <w:r w:rsidRPr="007D1A8F">
        <w:t>Risk management</w:t>
      </w:r>
    </w:p>
    <w:p w14:paraId="6DF1AE3D" w14:textId="77777777" w:rsidR="00D15A8D" w:rsidRPr="007D1A8F" w:rsidRDefault="00D15A8D" w:rsidP="00D15A8D">
      <w:pPr>
        <w:pStyle w:val="Normalnumbered"/>
        <w:spacing w:after="240" w:line="260" w:lineRule="exact"/>
        <w:jc w:val="both"/>
      </w:pPr>
      <w:r w:rsidRPr="007D1A8F">
        <w:t xml:space="preserve">A risk management plan is in place. Risks have been actively identified, entered into a risk log and categorised in </w:t>
      </w:r>
      <w:r w:rsidR="000F2FED" w:rsidRPr="007D1A8F">
        <w:t>terms of impact and likelihood.</w:t>
      </w:r>
    </w:p>
    <w:p w14:paraId="6BB63A84" w14:textId="77777777" w:rsidR="0036688B" w:rsidRPr="007D1A8F" w:rsidRDefault="0036688B" w:rsidP="00A17D70">
      <w:pPr>
        <w:pStyle w:val="Heading1"/>
      </w:pPr>
      <w:r w:rsidRPr="007D1A8F">
        <w:t xml:space="preserve">Part </w:t>
      </w:r>
      <w:r w:rsidR="0013042B" w:rsidRPr="007D1A8F">
        <w:t>4</w:t>
      </w:r>
      <w:r w:rsidRPr="007D1A8F">
        <w:t>:</w:t>
      </w:r>
      <w:r w:rsidR="00497DC1" w:rsidRPr="007D1A8F">
        <w:t xml:space="preserve"> </w:t>
      </w:r>
      <w:r w:rsidR="0071515C" w:rsidRPr="007D1A8F">
        <w:t>P</w:t>
      </w:r>
      <w:r w:rsidRPr="007D1A8F">
        <w:t>erformance and reporting arrangements</w:t>
      </w:r>
    </w:p>
    <w:p w14:paraId="48EFCA92" w14:textId="77777777" w:rsidR="0036688B" w:rsidRPr="007D1A8F" w:rsidRDefault="0036688B" w:rsidP="00A17D70">
      <w:pPr>
        <w:pStyle w:val="Heading2"/>
      </w:pPr>
      <w:r w:rsidRPr="007D1A8F">
        <w:t>Performance benchmarks</w:t>
      </w:r>
      <w:r w:rsidR="006B1FEC" w:rsidRPr="007D1A8F">
        <w:t xml:space="preserve"> </w:t>
      </w:r>
    </w:p>
    <w:p w14:paraId="323B1D2E" w14:textId="3628E803" w:rsidR="00DE0AA9" w:rsidRPr="007D1A8F" w:rsidRDefault="00227946" w:rsidP="00DA4737">
      <w:pPr>
        <w:pStyle w:val="Normalnumbered"/>
        <w:spacing w:after="240" w:line="260" w:lineRule="exact"/>
      </w:pPr>
      <w:r w:rsidRPr="007D1A8F">
        <w:t>Payment will be made to</w:t>
      </w:r>
      <w:r w:rsidR="0036688B" w:rsidRPr="007D1A8F">
        <w:t xml:space="preserve"> </w:t>
      </w:r>
      <w:r w:rsidR="00DE0AA9" w:rsidRPr="007D1A8F">
        <w:t xml:space="preserve">the </w:t>
      </w:r>
      <w:r w:rsidR="007D1879" w:rsidRPr="007D1A8F">
        <w:t xml:space="preserve">Northern Territory </w:t>
      </w:r>
      <w:r w:rsidR="0036688B" w:rsidRPr="007D1A8F">
        <w:t>upon meeting performance targets</w:t>
      </w:r>
      <w:r w:rsidR="007D1879" w:rsidRPr="007D1A8F">
        <w:t>,</w:t>
      </w:r>
      <w:r w:rsidR="0036688B" w:rsidRPr="007D1A8F">
        <w:t xml:space="preserve"> as set out </w:t>
      </w:r>
      <w:r w:rsidR="00DE0AA9" w:rsidRPr="007D1A8F">
        <w:t>in Table</w:t>
      </w:r>
      <w:r w:rsidR="006674C1" w:rsidRPr="007D1A8F">
        <w:t> </w:t>
      </w:r>
      <w:r w:rsidR="0080122B" w:rsidRPr="007D1A8F">
        <w:t>4</w:t>
      </w:r>
      <w:r w:rsidR="00EF40F8" w:rsidRPr="007D1A8F">
        <w:t>.</w:t>
      </w:r>
      <w:r w:rsidR="00654FD0" w:rsidRPr="007D1A8F">
        <w:t xml:space="preserve"> </w:t>
      </w:r>
      <w:r w:rsidR="009730E1" w:rsidRPr="007D1A8F">
        <w:t xml:space="preserve">Table 4 </w:t>
      </w:r>
      <w:r w:rsidR="009730E1" w:rsidRPr="007D1A8F">
        <w:rPr>
          <w:szCs w:val="23"/>
        </w:rPr>
        <w:t>contains both historical performance requirements for the period 2015</w:t>
      </w:r>
      <w:r w:rsidR="009730E1" w:rsidRPr="007D1A8F">
        <w:rPr>
          <w:szCs w:val="23"/>
        </w:rPr>
        <w:noBreakHyphen/>
        <w:t>16 to 2021</w:t>
      </w:r>
      <w:r w:rsidR="009730E1" w:rsidRPr="007D1A8F">
        <w:rPr>
          <w:szCs w:val="23"/>
        </w:rPr>
        <w:noBreakHyphen/>
        <w:t>22 and new requirements for the extension arrangements covering the period 1 July 2022 to 30 June 2024.</w:t>
      </w:r>
    </w:p>
    <w:p w14:paraId="1488FE1A" w14:textId="2F0B833E" w:rsidR="00DE0AA9" w:rsidRPr="007D1A8F" w:rsidRDefault="00DE0AA9" w:rsidP="00DA4737">
      <w:pPr>
        <w:pStyle w:val="Normalnumbered"/>
        <w:spacing w:after="240" w:line="260" w:lineRule="exact"/>
      </w:pPr>
      <w:r w:rsidRPr="007D1A8F">
        <w:t xml:space="preserve">Activity under this Implementation Plan </w:t>
      </w:r>
      <w:r w:rsidR="00D85EE8" w:rsidRPr="007D1A8F">
        <w:t xml:space="preserve">will be reported in line with the timeframes set out </w:t>
      </w:r>
      <w:r w:rsidR="00B33C3D" w:rsidRPr="007D1A8F">
        <w:t>i</w:t>
      </w:r>
      <w:r w:rsidR="00D85EE8" w:rsidRPr="007D1A8F">
        <w:t>n Table 5.</w:t>
      </w:r>
      <w:r w:rsidRPr="007D1A8F">
        <w:t xml:space="preserve"> Payments will be made based on financial years (20</w:t>
      </w:r>
      <w:r w:rsidR="00227946" w:rsidRPr="007D1A8F">
        <w:t>22</w:t>
      </w:r>
      <w:r w:rsidR="00327D6A" w:rsidRPr="007D1A8F">
        <w:t>-</w:t>
      </w:r>
      <w:r w:rsidR="00227946" w:rsidRPr="007D1A8F">
        <w:t>23</w:t>
      </w:r>
      <w:r w:rsidR="00327D6A" w:rsidRPr="007D1A8F">
        <w:t xml:space="preserve"> to 202</w:t>
      </w:r>
      <w:r w:rsidR="00173149" w:rsidRPr="007D1A8F">
        <w:t>3-24</w:t>
      </w:r>
      <w:r w:rsidR="00327D6A" w:rsidRPr="007D1A8F">
        <w:t>).</w:t>
      </w:r>
    </w:p>
    <w:p w14:paraId="2A58C6DE" w14:textId="77777777" w:rsidR="00EF40F8" w:rsidRPr="007D1A8F" w:rsidRDefault="00EF40F8" w:rsidP="008A2812">
      <w:pPr>
        <w:pStyle w:val="Normalnumbered"/>
        <w:numPr>
          <w:ilvl w:val="0"/>
          <w:numId w:val="0"/>
        </w:numPr>
        <w:ind w:left="567" w:hanging="567"/>
      </w:pPr>
    </w:p>
    <w:p w14:paraId="2AD1F8EF" w14:textId="77777777" w:rsidR="0080122B" w:rsidRPr="007D1A8F" w:rsidRDefault="0080122B" w:rsidP="008A2812">
      <w:pPr>
        <w:pStyle w:val="Normalnumbered"/>
        <w:numPr>
          <w:ilvl w:val="0"/>
          <w:numId w:val="0"/>
        </w:numPr>
        <w:ind w:left="567" w:hanging="567"/>
        <w:sectPr w:rsidR="0080122B" w:rsidRPr="007D1A8F" w:rsidSect="000B266B">
          <w:pgSz w:w="11906" w:h="16838" w:code="9"/>
          <w:pgMar w:top="851" w:right="1440" w:bottom="1021" w:left="1440" w:header="624" w:footer="624" w:gutter="0"/>
          <w:cols w:space="708"/>
          <w:docGrid w:linePitch="360"/>
        </w:sectPr>
      </w:pPr>
    </w:p>
    <w:p w14:paraId="5447AAD6" w14:textId="0340F052" w:rsidR="009A51F0" w:rsidRPr="007D1A8F" w:rsidRDefault="009A51F0" w:rsidP="009A51F0">
      <w:pPr>
        <w:keepNext/>
        <w:rPr>
          <w:rFonts w:ascii="Consolas" w:hAnsi="Consolas"/>
          <w:b/>
          <w:color w:val="3D4B67"/>
          <w:szCs w:val="20"/>
        </w:rPr>
      </w:pPr>
      <w:bookmarkStart w:id="0" w:name="_Hlk99098735"/>
      <w:r w:rsidRPr="007D1A8F">
        <w:rPr>
          <w:rFonts w:ascii="Consolas" w:hAnsi="Consolas"/>
          <w:b/>
          <w:color w:val="3D4B67"/>
          <w:szCs w:val="20"/>
        </w:rPr>
        <w:lastRenderedPageBreak/>
        <w:t>Table 4: Performance indicators and benchmarks - Hearing and Oral Health Program</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65"/>
        <w:gridCol w:w="1429"/>
        <w:gridCol w:w="3260"/>
        <w:gridCol w:w="814"/>
        <w:gridCol w:w="814"/>
        <w:gridCol w:w="814"/>
        <w:gridCol w:w="814"/>
        <w:gridCol w:w="814"/>
        <w:gridCol w:w="817"/>
        <w:gridCol w:w="820"/>
        <w:gridCol w:w="820"/>
        <w:gridCol w:w="787"/>
      </w:tblGrid>
      <w:tr w:rsidR="004A10D8" w:rsidRPr="007D1A8F" w14:paraId="3A6CCDCE" w14:textId="77777777" w:rsidTr="008332BC">
        <w:trPr>
          <w:trHeight w:val="274"/>
          <w:tblHeader/>
        </w:trPr>
        <w:tc>
          <w:tcPr>
            <w:tcW w:w="990" w:type="pct"/>
            <w:shd w:val="clear" w:color="auto" w:fill="F2F2F2" w:themeFill="background1" w:themeFillShade="F2"/>
          </w:tcPr>
          <w:p w14:paraId="5C71AE8E" w14:textId="77777777" w:rsidR="004A10D8" w:rsidRPr="007D1A8F" w:rsidRDefault="004A10D8" w:rsidP="00DC1F59">
            <w:pPr>
              <w:rPr>
                <w:b/>
                <w:sz w:val="22"/>
                <w:szCs w:val="22"/>
              </w:rPr>
            </w:pPr>
          </w:p>
        </w:tc>
        <w:tc>
          <w:tcPr>
            <w:tcW w:w="477" w:type="pct"/>
            <w:shd w:val="clear" w:color="auto" w:fill="F2F2F2" w:themeFill="background1" w:themeFillShade="F2"/>
          </w:tcPr>
          <w:p w14:paraId="10425D1F" w14:textId="77777777" w:rsidR="004A10D8" w:rsidRPr="007D1A8F" w:rsidRDefault="004A10D8" w:rsidP="00DC1F59">
            <w:pPr>
              <w:rPr>
                <w:b/>
                <w:sz w:val="22"/>
                <w:szCs w:val="22"/>
              </w:rPr>
            </w:pPr>
          </w:p>
        </w:tc>
        <w:tc>
          <w:tcPr>
            <w:tcW w:w="1088" w:type="pct"/>
            <w:shd w:val="clear" w:color="auto" w:fill="F2F2F2" w:themeFill="background1" w:themeFillShade="F2"/>
          </w:tcPr>
          <w:p w14:paraId="5CFB3870" w14:textId="77777777" w:rsidR="004A10D8" w:rsidRPr="007D1A8F" w:rsidRDefault="004A10D8" w:rsidP="00DC1F59">
            <w:pPr>
              <w:rPr>
                <w:b/>
                <w:sz w:val="22"/>
                <w:szCs w:val="22"/>
              </w:rPr>
            </w:pPr>
          </w:p>
        </w:tc>
        <w:tc>
          <w:tcPr>
            <w:tcW w:w="2444" w:type="pct"/>
            <w:gridSpan w:val="9"/>
            <w:shd w:val="clear" w:color="auto" w:fill="F2F2F2" w:themeFill="background1" w:themeFillShade="F2"/>
            <w:vAlign w:val="center"/>
          </w:tcPr>
          <w:p w14:paraId="6B8A79BA" w14:textId="02A4D7F0" w:rsidR="004A10D8" w:rsidRPr="007D1A8F" w:rsidRDefault="004A10D8" w:rsidP="00DC1F59">
            <w:pPr>
              <w:jc w:val="center"/>
              <w:rPr>
                <w:b/>
                <w:sz w:val="22"/>
                <w:szCs w:val="22"/>
              </w:rPr>
            </w:pPr>
            <w:r w:rsidRPr="007D1A8F">
              <w:rPr>
                <w:b/>
                <w:sz w:val="22"/>
                <w:szCs w:val="22"/>
              </w:rPr>
              <w:t>Payment $ millions</w:t>
            </w:r>
          </w:p>
        </w:tc>
      </w:tr>
      <w:tr w:rsidR="004A10D8" w:rsidRPr="007D1A8F" w14:paraId="5CF04B31" w14:textId="77777777" w:rsidTr="008332BC">
        <w:trPr>
          <w:trHeight w:val="296"/>
          <w:tblHeader/>
        </w:trPr>
        <w:tc>
          <w:tcPr>
            <w:tcW w:w="990" w:type="pct"/>
            <w:shd w:val="clear" w:color="auto" w:fill="F2F2F2" w:themeFill="background1" w:themeFillShade="F2"/>
          </w:tcPr>
          <w:p w14:paraId="7B202DC7" w14:textId="77777777" w:rsidR="009A51F0" w:rsidRPr="007D1A8F" w:rsidRDefault="009A51F0" w:rsidP="00DC1F59">
            <w:pPr>
              <w:rPr>
                <w:b/>
                <w:sz w:val="22"/>
                <w:szCs w:val="22"/>
              </w:rPr>
            </w:pPr>
            <w:r w:rsidRPr="007D1A8F">
              <w:rPr>
                <w:b/>
                <w:sz w:val="22"/>
                <w:szCs w:val="22"/>
              </w:rPr>
              <w:t>Performance indicators</w:t>
            </w:r>
          </w:p>
        </w:tc>
        <w:tc>
          <w:tcPr>
            <w:tcW w:w="477" w:type="pct"/>
            <w:shd w:val="clear" w:color="auto" w:fill="F2F2F2" w:themeFill="background1" w:themeFillShade="F2"/>
          </w:tcPr>
          <w:p w14:paraId="1C89123F" w14:textId="77777777" w:rsidR="009A51F0" w:rsidRPr="007D1A8F" w:rsidRDefault="009A51F0" w:rsidP="00DC1F59">
            <w:pPr>
              <w:rPr>
                <w:b/>
                <w:sz w:val="22"/>
                <w:szCs w:val="22"/>
              </w:rPr>
            </w:pPr>
            <w:r w:rsidRPr="007D1A8F">
              <w:rPr>
                <w:b/>
                <w:sz w:val="22"/>
                <w:szCs w:val="22"/>
              </w:rPr>
              <w:t xml:space="preserve">Baseline data </w:t>
            </w:r>
          </w:p>
        </w:tc>
        <w:tc>
          <w:tcPr>
            <w:tcW w:w="1088" w:type="pct"/>
            <w:shd w:val="clear" w:color="auto" w:fill="F2F2F2" w:themeFill="background1" w:themeFillShade="F2"/>
          </w:tcPr>
          <w:p w14:paraId="518DC48A" w14:textId="77777777" w:rsidR="009A51F0" w:rsidRPr="007D1A8F" w:rsidRDefault="009A51F0" w:rsidP="00DC1F59">
            <w:pPr>
              <w:rPr>
                <w:b/>
                <w:sz w:val="22"/>
                <w:szCs w:val="22"/>
              </w:rPr>
            </w:pPr>
            <w:r w:rsidRPr="007D1A8F">
              <w:rPr>
                <w:b/>
                <w:sz w:val="22"/>
                <w:szCs w:val="22"/>
              </w:rPr>
              <w:t>Performance benchmarks</w:t>
            </w:r>
          </w:p>
        </w:tc>
        <w:tc>
          <w:tcPr>
            <w:tcW w:w="272" w:type="pct"/>
            <w:shd w:val="clear" w:color="auto" w:fill="F2F2F2" w:themeFill="background1" w:themeFillShade="F2"/>
            <w:vAlign w:val="center"/>
          </w:tcPr>
          <w:p w14:paraId="46B9D12D" w14:textId="77777777" w:rsidR="009A51F0" w:rsidRPr="007D1A8F" w:rsidRDefault="009A51F0" w:rsidP="008332BC">
            <w:pPr>
              <w:jc w:val="center"/>
              <w:rPr>
                <w:b/>
                <w:sz w:val="20"/>
                <w:szCs w:val="22"/>
              </w:rPr>
            </w:pPr>
            <w:r w:rsidRPr="007D1A8F">
              <w:rPr>
                <w:b/>
                <w:sz w:val="20"/>
                <w:szCs w:val="22"/>
              </w:rPr>
              <w:t>2015-16</w:t>
            </w:r>
          </w:p>
        </w:tc>
        <w:tc>
          <w:tcPr>
            <w:tcW w:w="272" w:type="pct"/>
            <w:shd w:val="clear" w:color="auto" w:fill="F2F2F2" w:themeFill="background1" w:themeFillShade="F2"/>
            <w:vAlign w:val="center"/>
          </w:tcPr>
          <w:p w14:paraId="619A8C87" w14:textId="77777777" w:rsidR="009A51F0" w:rsidRPr="007D1A8F" w:rsidRDefault="009A51F0" w:rsidP="008332BC">
            <w:pPr>
              <w:jc w:val="center"/>
              <w:rPr>
                <w:b/>
                <w:sz w:val="20"/>
                <w:szCs w:val="22"/>
              </w:rPr>
            </w:pPr>
            <w:r w:rsidRPr="007D1A8F">
              <w:rPr>
                <w:b/>
                <w:sz w:val="20"/>
                <w:szCs w:val="22"/>
              </w:rPr>
              <w:t>2016-17</w:t>
            </w:r>
          </w:p>
        </w:tc>
        <w:tc>
          <w:tcPr>
            <w:tcW w:w="272" w:type="pct"/>
            <w:shd w:val="clear" w:color="auto" w:fill="F2F2F2" w:themeFill="background1" w:themeFillShade="F2"/>
            <w:vAlign w:val="center"/>
          </w:tcPr>
          <w:p w14:paraId="010E0771" w14:textId="77777777" w:rsidR="009A51F0" w:rsidRPr="007D1A8F" w:rsidRDefault="009A51F0" w:rsidP="008332BC">
            <w:pPr>
              <w:jc w:val="center"/>
              <w:rPr>
                <w:b/>
                <w:sz w:val="20"/>
                <w:szCs w:val="22"/>
              </w:rPr>
            </w:pPr>
            <w:r w:rsidRPr="007D1A8F">
              <w:rPr>
                <w:b/>
                <w:sz w:val="20"/>
                <w:szCs w:val="22"/>
              </w:rPr>
              <w:t>2017-18</w:t>
            </w:r>
          </w:p>
        </w:tc>
        <w:tc>
          <w:tcPr>
            <w:tcW w:w="272" w:type="pct"/>
            <w:shd w:val="clear" w:color="auto" w:fill="F2F2F2" w:themeFill="background1" w:themeFillShade="F2"/>
            <w:vAlign w:val="center"/>
          </w:tcPr>
          <w:p w14:paraId="124018D9" w14:textId="77777777" w:rsidR="009A51F0" w:rsidRPr="007D1A8F" w:rsidRDefault="009A51F0" w:rsidP="008332BC">
            <w:pPr>
              <w:jc w:val="center"/>
              <w:rPr>
                <w:b/>
                <w:sz w:val="20"/>
                <w:szCs w:val="22"/>
              </w:rPr>
            </w:pPr>
            <w:r w:rsidRPr="007D1A8F">
              <w:rPr>
                <w:b/>
                <w:sz w:val="20"/>
                <w:szCs w:val="22"/>
              </w:rPr>
              <w:t>2018-19</w:t>
            </w:r>
          </w:p>
        </w:tc>
        <w:tc>
          <w:tcPr>
            <w:tcW w:w="272" w:type="pct"/>
            <w:shd w:val="clear" w:color="auto" w:fill="F2F2F2" w:themeFill="background1" w:themeFillShade="F2"/>
            <w:vAlign w:val="center"/>
          </w:tcPr>
          <w:p w14:paraId="40060969" w14:textId="77777777" w:rsidR="009A51F0" w:rsidRPr="007D1A8F" w:rsidRDefault="009A51F0" w:rsidP="008332BC">
            <w:pPr>
              <w:jc w:val="center"/>
              <w:rPr>
                <w:b/>
                <w:sz w:val="20"/>
                <w:szCs w:val="22"/>
              </w:rPr>
            </w:pPr>
            <w:r w:rsidRPr="007D1A8F">
              <w:rPr>
                <w:b/>
                <w:sz w:val="20"/>
                <w:szCs w:val="22"/>
              </w:rPr>
              <w:t>2019-20</w:t>
            </w:r>
          </w:p>
        </w:tc>
        <w:tc>
          <w:tcPr>
            <w:tcW w:w="273" w:type="pct"/>
            <w:shd w:val="clear" w:color="auto" w:fill="F2F2F2" w:themeFill="background1" w:themeFillShade="F2"/>
            <w:vAlign w:val="center"/>
          </w:tcPr>
          <w:p w14:paraId="42A3D88C" w14:textId="77777777" w:rsidR="009A51F0" w:rsidRPr="007D1A8F" w:rsidRDefault="009A51F0" w:rsidP="008332BC">
            <w:pPr>
              <w:jc w:val="center"/>
              <w:rPr>
                <w:b/>
                <w:sz w:val="20"/>
                <w:szCs w:val="22"/>
              </w:rPr>
            </w:pPr>
            <w:r w:rsidRPr="007D1A8F">
              <w:rPr>
                <w:b/>
                <w:sz w:val="20"/>
                <w:szCs w:val="22"/>
              </w:rPr>
              <w:t>2020-21</w:t>
            </w:r>
          </w:p>
        </w:tc>
        <w:tc>
          <w:tcPr>
            <w:tcW w:w="274" w:type="pct"/>
            <w:shd w:val="clear" w:color="auto" w:fill="F2F2F2" w:themeFill="background1" w:themeFillShade="F2"/>
            <w:vAlign w:val="center"/>
          </w:tcPr>
          <w:p w14:paraId="22B75B76" w14:textId="77777777" w:rsidR="009A51F0" w:rsidRPr="007D1A8F" w:rsidRDefault="009A51F0" w:rsidP="008332BC">
            <w:pPr>
              <w:jc w:val="center"/>
              <w:rPr>
                <w:b/>
                <w:sz w:val="20"/>
                <w:szCs w:val="22"/>
              </w:rPr>
            </w:pPr>
            <w:r w:rsidRPr="007D1A8F">
              <w:rPr>
                <w:b/>
                <w:sz w:val="20"/>
                <w:szCs w:val="22"/>
              </w:rPr>
              <w:t>2021-22</w:t>
            </w:r>
          </w:p>
        </w:tc>
        <w:tc>
          <w:tcPr>
            <w:tcW w:w="274" w:type="pct"/>
            <w:shd w:val="clear" w:color="auto" w:fill="F2F2F2" w:themeFill="background1" w:themeFillShade="F2"/>
            <w:vAlign w:val="center"/>
          </w:tcPr>
          <w:p w14:paraId="6F3C8738" w14:textId="77777777" w:rsidR="009A51F0" w:rsidRPr="007D1A8F" w:rsidRDefault="009A51F0" w:rsidP="008332BC">
            <w:pPr>
              <w:jc w:val="center"/>
              <w:rPr>
                <w:b/>
                <w:sz w:val="20"/>
                <w:szCs w:val="22"/>
              </w:rPr>
            </w:pPr>
            <w:r w:rsidRPr="007D1A8F">
              <w:rPr>
                <w:b/>
                <w:sz w:val="20"/>
                <w:szCs w:val="22"/>
              </w:rPr>
              <w:t>2022-23</w:t>
            </w:r>
          </w:p>
        </w:tc>
        <w:tc>
          <w:tcPr>
            <w:tcW w:w="264" w:type="pct"/>
            <w:shd w:val="clear" w:color="auto" w:fill="F2F2F2" w:themeFill="background1" w:themeFillShade="F2"/>
            <w:vAlign w:val="center"/>
          </w:tcPr>
          <w:p w14:paraId="001C68E2" w14:textId="77777777" w:rsidR="009A51F0" w:rsidRPr="007D1A8F" w:rsidRDefault="009A51F0" w:rsidP="008332BC">
            <w:pPr>
              <w:jc w:val="center"/>
              <w:rPr>
                <w:b/>
                <w:sz w:val="20"/>
                <w:szCs w:val="22"/>
              </w:rPr>
            </w:pPr>
            <w:r w:rsidRPr="007D1A8F">
              <w:rPr>
                <w:b/>
                <w:sz w:val="20"/>
                <w:szCs w:val="22"/>
              </w:rPr>
              <w:t>2023-24</w:t>
            </w:r>
          </w:p>
        </w:tc>
      </w:tr>
      <w:tr w:rsidR="008332BC" w:rsidRPr="007D1A8F" w14:paraId="4D45E0B0" w14:textId="77777777" w:rsidTr="008332BC">
        <w:trPr>
          <w:trHeight w:val="249"/>
        </w:trPr>
        <w:tc>
          <w:tcPr>
            <w:tcW w:w="5000" w:type="pct"/>
            <w:gridSpan w:val="12"/>
            <w:vAlign w:val="center"/>
          </w:tcPr>
          <w:p w14:paraId="3AC25BBB" w14:textId="6D208077" w:rsidR="008332BC" w:rsidRPr="007D1A8F" w:rsidRDefault="008332BC" w:rsidP="00DC1F59">
            <w:pPr>
              <w:jc w:val="center"/>
              <w:rPr>
                <w:b/>
                <w:sz w:val="20"/>
                <w:szCs w:val="20"/>
              </w:rPr>
            </w:pPr>
            <w:r w:rsidRPr="007D1A8F">
              <w:rPr>
                <w:b/>
                <w:sz w:val="20"/>
                <w:szCs w:val="20"/>
              </w:rPr>
              <w:t>Hearing Health Service Delivery Measures</w:t>
            </w:r>
          </w:p>
        </w:tc>
      </w:tr>
      <w:tr w:rsidR="000415F0" w:rsidRPr="007D1A8F" w14:paraId="1E0B251D" w14:textId="77777777" w:rsidTr="008332BC">
        <w:trPr>
          <w:trHeight w:val="503"/>
        </w:trPr>
        <w:tc>
          <w:tcPr>
            <w:tcW w:w="990" w:type="pct"/>
          </w:tcPr>
          <w:p w14:paraId="0CC98BEB" w14:textId="77777777" w:rsidR="009A51F0" w:rsidRPr="007D1A8F" w:rsidRDefault="009A51F0" w:rsidP="00DC1F59">
            <w:pPr>
              <w:rPr>
                <w:b/>
                <w:sz w:val="18"/>
                <w:szCs w:val="20"/>
              </w:rPr>
            </w:pPr>
            <w:r w:rsidRPr="007D1A8F">
              <w:rPr>
                <w:b/>
                <w:sz w:val="18"/>
                <w:szCs w:val="20"/>
              </w:rPr>
              <w:t>Hearing Health Performance Measure 1</w:t>
            </w:r>
          </w:p>
          <w:p w14:paraId="2B0970E4" w14:textId="77777777" w:rsidR="009A51F0" w:rsidRPr="007D1A8F" w:rsidRDefault="009A51F0" w:rsidP="00DC1F59">
            <w:pPr>
              <w:rPr>
                <w:sz w:val="18"/>
                <w:szCs w:val="20"/>
              </w:rPr>
            </w:pPr>
            <w:r w:rsidRPr="007D1A8F">
              <w:rPr>
                <w:sz w:val="18"/>
                <w:szCs w:val="20"/>
              </w:rPr>
              <w:t>Occasions of audiology service per annum by locational spread of services.</w:t>
            </w:r>
          </w:p>
        </w:tc>
        <w:tc>
          <w:tcPr>
            <w:tcW w:w="477" w:type="pct"/>
          </w:tcPr>
          <w:p w14:paraId="243CAF59" w14:textId="77777777" w:rsidR="009A51F0" w:rsidRPr="007D1A8F" w:rsidRDefault="009A51F0" w:rsidP="00DC1F59">
            <w:pPr>
              <w:rPr>
                <w:i/>
                <w:iCs/>
                <w:sz w:val="16"/>
                <w:szCs w:val="18"/>
              </w:rPr>
            </w:pPr>
            <w:r w:rsidRPr="007D1A8F">
              <w:rPr>
                <w:i/>
                <w:iCs/>
                <w:sz w:val="16"/>
                <w:szCs w:val="18"/>
              </w:rPr>
              <w:t>2,452 services in 2016</w:t>
            </w:r>
          </w:p>
          <w:p w14:paraId="471FBEFA" w14:textId="77777777" w:rsidR="009A51F0" w:rsidRPr="007D1A8F" w:rsidRDefault="009A51F0" w:rsidP="00DC1F59">
            <w:pPr>
              <w:rPr>
                <w:i/>
                <w:iCs/>
                <w:sz w:val="16"/>
                <w:szCs w:val="18"/>
              </w:rPr>
            </w:pPr>
            <w:r w:rsidRPr="007D1A8F">
              <w:rPr>
                <w:i/>
                <w:iCs/>
                <w:sz w:val="16"/>
                <w:szCs w:val="18"/>
              </w:rPr>
              <w:t>1,700 services in 2017</w:t>
            </w:r>
          </w:p>
          <w:p w14:paraId="27EE47E6" w14:textId="77777777" w:rsidR="009A51F0" w:rsidRPr="007D1A8F" w:rsidRDefault="009A51F0" w:rsidP="00DC1F59">
            <w:pPr>
              <w:rPr>
                <w:i/>
                <w:iCs/>
                <w:sz w:val="16"/>
                <w:szCs w:val="18"/>
              </w:rPr>
            </w:pPr>
            <w:r w:rsidRPr="007D1A8F">
              <w:rPr>
                <w:i/>
                <w:iCs/>
                <w:sz w:val="16"/>
                <w:szCs w:val="18"/>
              </w:rPr>
              <w:t>1,751 services in 2018</w:t>
            </w:r>
          </w:p>
          <w:p w14:paraId="7B491C8A" w14:textId="77777777" w:rsidR="009A51F0" w:rsidRPr="007D1A8F" w:rsidRDefault="009A51F0" w:rsidP="00DC1F59">
            <w:pPr>
              <w:rPr>
                <w:i/>
                <w:iCs/>
                <w:sz w:val="16"/>
                <w:szCs w:val="18"/>
              </w:rPr>
            </w:pPr>
            <w:r w:rsidRPr="007D1A8F">
              <w:rPr>
                <w:i/>
                <w:iCs/>
                <w:sz w:val="16"/>
                <w:szCs w:val="18"/>
              </w:rPr>
              <w:t>1,896 services in 2019</w:t>
            </w:r>
          </w:p>
          <w:p w14:paraId="3ED8E01B" w14:textId="77777777" w:rsidR="009A51F0" w:rsidRPr="007D1A8F" w:rsidRDefault="009A51F0" w:rsidP="00DC1F59">
            <w:pPr>
              <w:rPr>
                <w:i/>
                <w:iCs/>
                <w:sz w:val="16"/>
                <w:szCs w:val="18"/>
              </w:rPr>
            </w:pPr>
            <w:r w:rsidRPr="007D1A8F">
              <w:rPr>
                <w:i/>
                <w:iCs/>
                <w:sz w:val="16"/>
                <w:szCs w:val="18"/>
              </w:rPr>
              <w:t>1,772 services in 2020</w:t>
            </w:r>
          </w:p>
          <w:p w14:paraId="211A3CF5" w14:textId="30F80614" w:rsidR="009A51F0" w:rsidRPr="007D1A8F" w:rsidRDefault="009A51F0" w:rsidP="00DC1F59">
            <w:pPr>
              <w:rPr>
                <w:sz w:val="18"/>
                <w:szCs w:val="20"/>
              </w:rPr>
            </w:pPr>
          </w:p>
        </w:tc>
        <w:tc>
          <w:tcPr>
            <w:tcW w:w="1088" w:type="pct"/>
          </w:tcPr>
          <w:p w14:paraId="06A151FB" w14:textId="77777777" w:rsidR="009A51F0" w:rsidRPr="007D1A8F" w:rsidRDefault="009A51F0" w:rsidP="00DC1F59">
            <w:pPr>
              <w:rPr>
                <w:sz w:val="18"/>
                <w:szCs w:val="20"/>
              </w:rPr>
            </w:pPr>
            <w:r w:rsidRPr="007D1A8F">
              <w:rPr>
                <w:sz w:val="18"/>
                <w:szCs w:val="20"/>
              </w:rPr>
              <w:t>1,700 audiology checks per annum including by community and identifying the spread across urban, remote and very remote communities across the Northern Territory.</w:t>
            </w:r>
          </w:p>
        </w:tc>
        <w:tc>
          <w:tcPr>
            <w:tcW w:w="272" w:type="pct"/>
            <w:vAlign w:val="center"/>
          </w:tcPr>
          <w:p w14:paraId="75D2CEE4" w14:textId="77777777" w:rsidR="009A51F0" w:rsidRPr="007D1A8F" w:rsidRDefault="009A51F0" w:rsidP="00DC1F59">
            <w:pPr>
              <w:jc w:val="right"/>
              <w:rPr>
                <w:sz w:val="20"/>
                <w:szCs w:val="20"/>
              </w:rPr>
            </w:pPr>
            <w:r w:rsidRPr="007D1A8F">
              <w:rPr>
                <w:sz w:val="20"/>
                <w:szCs w:val="20"/>
              </w:rPr>
              <w:t>0.467</w:t>
            </w:r>
          </w:p>
        </w:tc>
        <w:tc>
          <w:tcPr>
            <w:tcW w:w="272" w:type="pct"/>
            <w:vAlign w:val="center"/>
          </w:tcPr>
          <w:p w14:paraId="3357F053" w14:textId="77777777" w:rsidR="009A51F0" w:rsidRPr="007D1A8F" w:rsidRDefault="009A51F0" w:rsidP="00DC1F59">
            <w:pPr>
              <w:jc w:val="right"/>
              <w:rPr>
                <w:sz w:val="20"/>
                <w:szCs w:val="20"/>
              </w:rPr>
            </w:pPr>
            <w:r w:rsidRPr="007D1A8F">
              <w:rPr>
                <w:sz w:val="20"/>
                <w:szCs w:val="20"/>
              </w:rPr>
              <w:t>1.302</w:t>
            </w:r>
          </w:p>
        </w:tc>
        <w:tc>
          <w:tcPr>
            <w:tcW w:w="272" w:type="pct"/>
            <w:vAlign w:val="center"/>
          </w:tcPr>
          <w:p w14:paraId="4FAB5E6B" w14:textId="77777777" w:rsidR="009A51F0" w:rsidRPr="007D1A8F" w:rsidRDefault="009A51F0" w:rsidP="00DC1F59">
            <w:pPr>
              <w:jc w:val="right"/>
              <w:rPr>
                <w:sz w:val="20"/>
                <w:szCs w:val="20"/>
              </w:rPr>
            </w:pPr>
            <w:r w:rsidRPr="007D1A8F">
              <w:rPr>
                <w:sz w:val="20"/>
                <w:szCs w:val="20"/>
              </w:rPr>
              <w:t>1.361</w:t>
            </w:r>
          </w:p>
        </w:tc>
        <w:tc>
          <w:tcPr>
            <w:tcW w:w="272" w:type="pct"/>
            <w:vAlign w:val="center"/>
          </w:tcPr>
          <w:p w14:paraId="7C520689" w14:textId="77777777" w:rsidR="009A51F0" w:rsidRPr="007D1A8F" w:rsidRDefault="009A51F0" w:rsidP="00DC1F59">
            <w:pPr>
              <w:jc w:val="right"/>
              <w:rPr>
                <w:sz w:val="20"/>
                <w:szCs w:val="20"/>
              </w:rPr>
            </w:pPr>
            <w:r w:rsidRPr="007D1A8F">
              <w:rPr>
                <w:sz w:val="20"/>
                <w:szCs w:val="20"/>
              </w:rPr>
              <w:t>0.391</w:t>
            </w:r>
          </w:p>
        </w:tc>
        <w:tc>
          <w:tcPr>
            <w:tcW w:w="272" w:type="pct"/>
            <w:vAlign w:val="center"/>
          </w:tcPr>
          <w:p w14:paraId="71D1A389" w14:textId="77777777" w:rsidR="009A51F0" w:rsidRPr="007D1A8F" w:rsidRDefault="009A51F0" w:rsidP="00DC1F59">
            <w:pPr>
              <w:jc w:val="right"/>
              <w:rPr>
                <w:sz w:val="20"/>
                <w:szCs w:val="20"/>
              </w:rPr>
            </w:pPr>
            <w:r w:rsidRPr="007D1A8F">
              <w:rPr>
                <w:sz w:val="20"/>
                <w:szCs w:val="20"/>
              </w:rPr>
              <w:t>1.486</w:t>
            </w:r>
          </w:p>
        </w:tc>
        <w:tc>
          <w:tcPr>
            <w:tcW w:w="273" w:type="pct"/>
            <w:vAlign w:val="center"/>
          </w:tcPr>
          <w:p w14:paraId="127BC305" w14:textId="77777777" w:rsidR="009A51F0" w:rsidRPr="007D1A8F" w:rsidRDefault="009A51F0" w:rsidP="00DC1F59">
            <w:pPr>
              <w:jc w:val="right"/>
              <w:rPr>
                <w:sz w:val="20"/>
                <w:szCs w:val="20"/>
              </w:rPr>
            </w:pPr>
            <w:r w:rsidRPr="007D1A8F">
              <w:rPr>
                <w:sz w:val="20"/>
                <w:szCs w:val="20"/>
              </w:rPr>
              <w:t>1.553</w:t>
            </w:r>
          </w:p>
        </w:tc>
        <w:tc>
          <w:tcPr>
            <w:tcW w:w="274" w:type="pct"/>
            <w:vAlign w:val="center"/>
          </w:tcPr>
          <w:p w14:paraId="30F56139" w14:textId="77777777" w:rsidR="009A51F0" w:rsidRPr="007D1A8F" w:rsidRDefault="009A51F0" w:rsidP="00DC1F59">
            <w:pPr>
              <w:jc w:val="right"/>
              <w:rPr>
                <w:sz w:val="20"/>
                <w:szCs w:val="20"/>
              </w:rPr>
            </w:pPr>
            <w:r w:rsidRPr="007D1A8F">
              <w:rPr>
                <w:sz w:val="20"/>
                <w:szCs w:val="20"/>
              </w:rPr>
              <w:t>0.325</w:t>
            </w:r>
          </w:p>
        </w:tc>
        <w:tc>
          <w:tcPr>
            <w:tcW w:w="274" w:type="pct"/>
            <w:vAlign w:val="center"/>
          </w:tcPr>
          <w:p w14:paraId="509F8958" w14:textId="77777777" w:rsidR="009A51F0" w:rsidRPr="007D1A8F" w:rsidRDefault="000415F0" w:rsidP="00DC1F59">
            <w:pPr>
              <w:jc w:val="right"/>
              <w:rPr>
                <w:sz w:val="20"/>
                <w:szCs w:val="20"/>
              </w:rPr>
            </w:pPr>
            <w:r w:rsidRPr="007D1A8F">
              <w:rPr>
                <w:sz w:val="20"/>
                <w:szCs w:val="20"/>
              </w:rPr>
              <w:t>1.600</w:t>
            </w:r>
          </w:p>
        </w:tc>
        <w:tc>
          <w:tcPr>
            <w:tcW w:w="264" w:type="pct"/>
            <w:vAlign w:val="center"/>
          </w:tcPr>
          <w:p w14:paraId="1364D34E" w14:textId="77777777" w:rsidR="009A51F0" w:rsidRPr="007D1A8F" w:rsidRDefault="000415F0" w:rsidP="00DC1F59">
            <w:pPr>
              <w:jc w:val="right"/>
              <w:rPr>
                <w:sz w:val="20"/>
                <w:szCs w:val="20"/>
              </w:rPr>
            </w:pPr>
            <w:r w:rsidRPr="007D1A8F">
              <w:rPr>
                <w:sz w:val="20"/>
                <w:szCs w:val="20"/>
              </w:rPr>
              <w:t>1.600</w:t>
            </w:r>
          </w:p>
        </w:tc>
      </w:tr>
      <w:tr w:rsidR="000415F0" w:rsidRPr="007D1A8F" w14:paraId="64AF6E4C" w14:textId="77777777" w:rsidTr="008332BC">
        <w:trPr>
          <w:trHeight w:val="1134"/>
        </w:trPr>
        <w:tc>
          <w:tcPr>
            <w:tcW w:w="990" w:type="pct"/>
          </w:tcPr>
          <w:p w14:paraId="2C9B91D8" w14:textId="77777777" w:rsidR="009A51F0" w:rsidRPr="007D1A8F" w:rsidRDefault="009A51F0" w:rsidP="00DC1F59">
            <w:pPr>
              <w:rPr>
                <w:b/>
                <w:sz w:val="18"/>
                <w:szCs w:val="20"/>
              </w:rPr>
            </w:pPr>
            <w:r w:rsidRPr="007D1A8F">
              <w:rPr>
                <w:b/>
                <w:sz w:val="18"/>
                <w:szCs w:val="20"/>
              </w:rPr>
              <w:t>Hearing Health Performance Measure 2</w:t>
            </w:r>
          </w:p>
          <w:p w14:paraId="6736C9CF" w14:textId="51C658E7" w:rsidR="009A51F0" w:rsidRPr="007D1A8F" w:rsidRDefault="009A51F0" w:rsidP="00DC1F59">
            <w:pPr>
              <w:rPr>
                <w:sz w:val="18"/>
                <w:szCs w:val="20"/>
              </w:rPr>
            </w:pPr>
            <w:r w:rsidRPr="007D1A8F">
              <w:rPr>
                <w:sz w:val="18"/>
                <w:szCs w:val="20"/>
              </w:rPr>
              <w:t xml:space="preserve">Number of children receiving complex case management services from </w:t>
            </w:r>
            <w:r w:rsidRPr="007D1A8F">
              <w:rPr>
                <w:iCs/>
                <w:sz w:val="18"/>
                <w:szCs w:val="18"/>
                <w:lang w:val="en-US"/>
              </w:rPr>
              <w:t xml:space="preserve">Clinical Nurse Specialists </w:t>
            </w:r>
            <w:r w:rsidRPr="007D1A8F">
              <w:rPr>
                <w:spacing w:val="4"/>
                <w:sz w:val="18"/>
                <w:szCs w:val="20"/>
                <w:lang w:eastAsia="en-US"/>
              </w:rPr>
              <w:t>working with primary health care services.</w:t>
            </w:r>
          </w:p>
        </w:tc>
        <w:tc>
          <w:tcPr>
            <w:tcW w:w="477" w:type="pct"/>
          </w:tcPr>
          <w:p w14:paraId="3BE8E8D6" w14:textId="77777777" w:rsidR="009A51F0" w:rsidRPr="007D1A8F" w:rsidRDefault="009A51F0" w:rsidP="00DC1F59">
            <w:pPr>
              <w:rPr>
                <w:i/>
                <w:iCs/>
                <w:spacing w:val="4"/>
                <w:sz w:val="16"/>
                <w:szCs w:val="18"/>
                <w:lang w:eastAsia="en-US"/>
              </w:rPr>
            </w:pPr>
            <w:r w:rsidRPr="007D1A8F">
              <w:rPr>
                <w:i/>
                <w:iCs/>
                <w:spacing w:val="4"/>
                <w:sz w:val="16"/>
                <w:szCs w:val="18"/>
                <w:lang w:eastAsia="en-US"/>
              </w:rPr>
              <w:t>1,156 services in 2016</w:t>
            </w:r>
          </w:p>
          <w:p w14:paraId="71391D06" w14:textId="77777777" w:rsidR="009A51F0" w:rsidRPr="007D1A8F" w:rsidRDefault="009A51F0" w:rsidP="00DC1F59">
            <w:pPr>
              <w:rPr>
                <w:i/>
                <w:iCs/>
                <w:spacing w:val="4"/>
                <w:sz w:val="16"/>
                <w:szCs w:val="18"/>
                <w:lang w:eastAsia="en-US"/>
              </w:rPr>
            </w:pPr>
            <w:r w:rsidRPr="007D1A8F">
              <w:rPr>
                <w:i/>
                <w:iCs/>
                <w:spacing w:val="4"/>
                <w:sz w:val="16"/>
                <w:szCs w:val="18"/>
                <w:lang w:eastAsia="en-US"/>
              </w:rPr>
              <w:t>830 services in 2017</w:t>
            </w:r>
          </w:p>
          <w:p w14:paraId="371B73BB" w14:textId="77777777" w:rsidR="009A51F0" w:rsidRPr="007D1A8F" w:rsidRDefault="009A51F0" w:rsidP="00DC1F59">
            <w:pPr>
              <w:rPr>
                <w:i/>
                <w:iCs/>
                <w:spacing w:val="4"/>
                <w:sz w:val="16"/>
                <w:szCs w:val="18"/>
                <w:lang w:eastAsia="en-US"/>
              </w:rPr>
            </w:pPr>
            <w:r w:rsidRPr="007D1A8F">
              <w:rPr>
                <w:i/>
                <w:iCs/>
                <w:spacing w:val="4"/>
                <w:sz w:val="16"/>
                <w:szCs w:val="18"/>
                <w:lang w:eastAsia="en-US"/>
              </w:rPr>
              <w:t>848 services in 2018</w:t>
            </w:r>
          </w:p>
          <w:p w14:paraId="33338CD9" w14:textId="77777777" w:rsidR="009A51F0" w:rsidRPr="007D1A8F" w:rsidRDefault="009A51F0" w:rsidP="00DC1F59">
            <w:pPr>
              <w:rPr>
                <w:i/>
                <w:iCs/>
                <w:spacing w:val="4"/>
                <w:sz w:val="16"/>
                <w:szCs w:val="18"/>
                <w:lang w:eastAsia="en-US"/>
              </w:rPr>
            </w:pPr>
            <w:r w:rsidRPr="007D1A8F">
              <w:rPr>
                <w:i/>
                <w:iCs/>
                <w:spacing w:val="4"/>
                <w:sz w:val="16"/>
                <w:szCs w:val="18"/>
                <w:lang w:eastAsia="en-US"/>
              </w:rPr>
              <w:t>1,008 services in 2019</w:t>
            </w:r>
          </w:p>
          <w:p w14:paraId="5BAF3859" w14:textId="77777777" w:rsidR="009A51F0" w:rsidRPr="007D1A8F" w:rsidRDefault="009A51F0" w:rsidP="00DC1F59">
            <w:pPr>
              <w:rPr>
                <w:i/>
                <w:iCs/>
                <w:spacing w:val="4"/>
                <w:sz w:val="16"/>
                <w:szCs w:val="18"/>
                <w:lang w:eastAsia="en-US"/>
              </w:rPr>
            </w:pPr>
            <w:r w:rsidRPr="007D1A8F">
              <w:rPr>
                <w:i/>
                <w:iCs/>
                <w:spacing w:val="4"/>
                <w:sz w:val="16"/>
                <w:szCs w:val="18"/>
                <w:lang w:eastAsia="en-US"/>
              </w:rPr>
              <w:t>926 services in 2020</w:t>
            </w:r>
          </w:p>
          <w:p w14:paraId="6C118E2A" w14:textId="414D87F6" w:rsidR="009A51F0" w:rsidRPr="007D1A8F" w:rsidRDefault="009A51F0" w:rsidP="00DC1F59">
            <w:pPr>
              <w:rPr>
                <w:spacing w:val="4"/>
                <w:sz w:val="18"/>
                <w:szCs w:val="20"/>
                <w:lang w:eastAsia="en-US"/>
              </w:rPr>
            </w:pPr>
          </w:p>
        </w:tc>
        <w:tc>
          <w:tcPr>
            <w:tcW w:w="1088" w:type="pct"/>
          </w:tcPr>
          <w:p w14:paraId="7887C74F" w14:textId="77777777" w:rsidR="009A51F0" w:rsidRPr="007D1A8F" w:rsidRDefault="009A51F0" w:rsidP="00DC1F59">
            <w:pPr>
              <w:rPr>
                <w:b/>
                <w:sz w:val="18"/>
                <w:szCs w:val="20"/>
              </w:rPr>
            </w:pPr>
            <w:r w:rsidRPr="007D1A8F">
              <w:rPr>
                <w:spacing w:val="4"/>
                <w:sz w:val="18"/>
                <w:szCs w:val="20"/>
                <w:lang w:eastAsia="en-US"/>
              </w:rPr>
              <w:t xml:space="preserve">Coordination services for 700 children per annum provided by </w:t>
            </w:r>
            <w:r w:rsidRPr="007D1A8F">
              <w:rPr>
                <w:sz w:val="18"/>
                <w:szCs w:val="20"/>
              </w:rPr>
              <w:t>Clinical Nurse Specialists Hearing Health.</w:t>
            </w:r>
          </w:p>
        </w:tc>
        <w:tc>
          <w:tcPr>
            <w:tcW w:w="272" w:type="pct"/>
            <w:vAlign w:val="center"/>
          </w:tcPr>
          <w:p w14:paraId="0BF60AD4" w14:textId="77777777" w:rsidR="009A51F0" w:rsidRPr="007D1A8F" w:rsidRDefault="009A51F0" w:rsidP="00DC1F59">
            <w:pPr>
              <w:jc w:val="right"/>
              <w:rPr>
                <w:sz w:val="20"/>
                <w:szCs w:val="20"/>
              </w:rPr>
            </w:pPr>
            <w:r w:rsidRPr="007D1A8F">
              <w:rPr>
                <w:sz w:val="20"/>
                <w:szCs w:val="20"/>
              </w:rPr>
              <w:t>0.467</w:t>
            </w:r>
          </w:p>
        </w:tc>
        <w:tc>
          <w:tcPr>
            <w:tcW w:w="272" w:type="pct"/>
            <w:vAlign w:val="center"/>
          </w:tcPr>
          <w:p w14:paraId="790A147E" w14:textId="77777777" w:rsidR="009A51F0" w:rsidRPr="007D1A8F" w:rsidRDefault="009A51F0" w:rsidP="00DC1F59">
            <w:pPr>
              <w:jc w:val="right"/>
              <w:rPr>
                <w:sz w:val="20"/>
                <w:szCs w:val="20"/>
              </w:rPr>
            </w:pPr>
            <w:r w:rsidRPr="007D1A8F">
              <w:rPr>
                <w:sz w:val="20"/>
                <w:szCs w:val="20"/>
              </w:rPr>
              <w:t>1.302</w:t>
            </w:r>
          </w:p>
        </w:tc>
        <w:tc>
          <w:tcPr>
            <w:tcW w:w="272" w:type="pct"/>
            <w:vAlign w:val="center"/>
          </w:tcPr>
          <w:p w14:paraId="12C12FCB" w14:textId="77777777" w:rsidR="009A51F0" w:rsidRPr="007D1A8F" w:rsidRDefault="009A51F0" w:rsidP="00DC1F59">
            <w:pPr>
              <w:jc w:val="right"/>
              <w:rPr>
                <w:sz w:val="20"/>
                <w:szCs w:val="20"/>
              </w:rPr>
            </w:pPr>
            <w:r w:rsidRPr="007D1A8F">
              <w:rPr>
                <w:sz w:val="20"/>
                <w:szCs w:val="20"/>
              </w:rPr>
              <w:t>1.361</w:t>
            </w:r>
          </w:p>
        </w:tc>
        <w:tc>
          <w:tcPr>
            <w:tcW w:w="272" w:type="pct"/>
            <w:vAlign w:val="center"/>
          </w:tcPr>
          <w:p w14:paraId="185348B4" w14:textId="77777777" w:rsidR="009A51F0" w:rsidRPr="007D1A8F" w:rsidRDefault="009A51F0" w:rsidP="00DC1F59">
            <w:pPr>
              <w:jc w:val="right"/>
              <w:rPr>
                <w:sz w:val="20"/>
                <w:szCs w:val="20"/>
              </w:rPr>
            </w:pPr>
            <w:r w:rsidRPr="007D1A8F">
              <w:rPr>
                <w:sz w:val="20"/>
                <w:szCs w:val="20"/>
              </w:rPr>
              <w:t>0.391</w:t>
            </w:r>
          </w:p>
        </w:tc>
        <w:tc>
          <w:tcPr>
            <w:tcW w:w="272" w:type="pct"/>
            <w:vAlign w:val="center"/>
          </w:tcPr>
          <w:p w14:paraId="4E18DF95" w14:textId="77777777" w:rsidR="009A51F0" w:rsidRPr="007D1A8F" w:rsidRDefault="009A51F0" w:rsidP="00DC1F59">
            <w:pPr>
              <w:jc w:val="right"/>
              <w:rPr>
                <w:sz w:val="20"/>
                <w:szCs w:val="20"/>
              </w:rPr>
            </w:pPr>
            <w:r w:rsidRPr="007D1A8F">
              <w:rPr>
                <w:sz w:val="20"/>
                <w:szCs w:val="20"/>
              </w:rPr>
              <w:t>1.486</w:t>
            </w:r>
          </w:p>
        </w:tc>
        <w:tc>
          <w:tcPr>
            <w:tcW w:w="273" w:type="pct"/>
            <w:vAlign w:val="center"/>
          </w:tcPr>
          <w:p w14:paraId="2B4627D4" w14:textId="77777777" w:rsidR="009A51F0" w:rsidRPr="007D1A8F" w:rsidRDefault="009A51F0" w:rsidP="00DC1F59">
            <w:pPr>
              <w:jc w:val="right"/>
              <w:rPr>
                <w:sz w:val="20"/>
                <w:szCs w:val="20"/>
              </w:rPr>
            </w:pPr>
            <w:r w:rsidRPr="007D1A8F">
              <w:rPr>
                <w:sz w:val="20"/>
                <w:szCs w:val="20"/>
              </w:rPr>
              <w:t>1.553</w:t>
            </w:r>
          </w:p>
        </w:tc>
        <w:tc>
          <w:tcPr>
            <w:tcW w:w="274" w:type="pct"/>
            <w:vAlign w:val="center"/>
          </w:tcPr>
          <w:p w14:paraId="3D72BB8B" w14:textId="77777777" w:rsidR="009A51F0" w:rsidRPr="007D1A8F" w:rsidRDefault="009A51F0" w:rsidP="00DC1F59">
            <w:pPr>
              <w:jc w:val="right"/>
              <w:rPr>
                <w:sz w:val="20"/>
                <w:szCs w:val="20"/>
              </w:rPr>
            </w:pPr>
            <w:r w:rsidRPr="007D1A8F">
              <w:rPr>
                <w:sz w:val="20"/>
                <w:szCs w:val="20"/>
              </w:rPr>
              <w:t>0.325</w:t>
            </w:r>
          </w:p>
        </w:tc>
        <w:tc>
          <w:tcPr>
            <w:tcW w:w="274" w:type="pct"/>
            <w:vAlign w:val="center"/>
          </w:tcPr>
          <w:p w14:paraId="7591A0EE" w14:textId="77777777" w:rsidR="009A51F0" w:rsidRPr="007D1A8F" w:rsidRDefault="000415F0" w:rsidP="00DC1F59">
            <w:pPr>
              <w:jc w:val="right"/>
              <w:rPr>
                <w:sz w:val="20"/>
                <w:szCs w:val="20"/>
              </w:rPr>
            </w:pPr>
            <w:r w:rsidRPr="007D1A8F">
              <w:rPr>
                <w:sz w:val="20"/>
                <w:szCs w:val="20"/>
              </w:rPr>
              <w:t>1.600</w:t>
            </w:r>
          </w:p>
        </w:tc>
        <w:tc>
          <w:tcPr>
            <w:tcW w:w="264" w:type="pct"/>
            <w:vAlign w:val="center"/>
          </w:tcPr>
          <w:p w14:paraId="6ED7B7B4" w14:textId="77777777" w:rsidR="009A51F0" w:rsidRPr="007D1A8F" w:rsidRDefault="000415F0" w:rsidP="00DC1F59">
            <w:pPr>
              <w:jc w:val="right"/>
              <w:rPr>
                <w:sz w:val="20"/>
                <w:szCs w:val="20"/>
              </w:rPr>
            </w:pPr>
            <w:r w:rsidRPr="007D1A8F">
              <w:rPr>
                <w:sz w:val="20"/>
                <w:szCs w:val="20"/>
              </w:rPr>
              <w:t>1.600</w:t>
            </w:r>
          </w:p>
        </w:tc>
      </w:tr>
      <w:tr w:rsidR="000415F0" w:rsidRPr="007D1A8F" w14:paraId="161FFF21" w14:textId="77777777" w:rsidTr="008332BC">
        <w:trPr>
          <w:trHeight w:val="555"/>
        </w:trPr>
        <w:tc>
          <w:tcPr>
            <w:tcW w:w="990" w:type="pct"/>
          </w:tcPr>
          <w:p w14:paraId="392747D4" w14:textId="77777777" w:rsidR="009A51F0" w:rsidRPr="007D1A8F" w:rsidRDefault="009A51F0" w:rsidP="00DC1F59">
            <w:pPr>
              <w:rPr>
                <w:b/>
                <w:sz w:val="18"/>
                <w:szCs w:val="20"/>
              </w:rPr>
            </w:pPr>
            <w:r w:rsidRPr="007D1A8F">
              <w:rPr>
                <w:b/>
                <w:sz w:val="18"/>
                <w:szCs w:val="20"/>
              </w:rPr>
              <w:t>Hearing Health Performance Measure 3</w:t>
            </w:r>
          </w:p>
          <w:p w14:paraId="32FB7146" w14:textId="15B920E2" w:rsidR="009A51F0" w:rsidRPr="007D1A8F" w:rsidRDefault="009A51F0" w:rsidP="00DC1F59">
            <w:pPr>
              <w:rPr>
                <w:b/>
                <w:sz w:val="18"/>
                <w:szCs w:val="20"/>
              </w:rPr>
            </w:pPr>
            <w:r w:rsidRPr="007D1A8F">
              <w:rPr>
                <w:sz w:val="18"/>
                <w:szCs w:val="20"/>
              </w:rPr>
              <w:t>Delivery of hearing health preventative program, including hearing health promotion/training, community-based Hearing Health Prevention Program, and employment of Indigenous staff.</w:t>
            </w:r>
          </w:p>
        </w:tc>
        <w:tc>
          <w:tcPr>
            <w:tcW w:w="477" w:type="pct"/>
          </w:tcPr>
          <w:p w14:paraId="73355B6D" w14:textId="77777777" w:rsidR="009A51F0" w:rsidRPr="007D1A8F" w:rsidRDefault="009A51F0" w:rsidP="00DC1F59">
            <w:pPr>
              <w:rPr>
                <w:sz w:val="18"/>
                <w:szCs w:val="20"/>
              </w:rPr>
            </w:pPr>
            <w:r w:rsidRPr="007D1A8F">
              <w:rPr>
                <w:sz w:val="18"/>
                <w:szCs w:val="20"/>
              </w:rPr>
              <w:t>2014 data:</w:t>
            </w:r>
          </w:p>
          <w:p w14:paraId="61014BFF" w14:textId="77777777" w:rsidR="009A51F0" w:rsidRPr="007D1A8F" w:rsidRDefault="009A51F0" w:rsidP="00DC1F59">
            <w:pPr>
              <w:rPr>
                <w:sz w:val="18"/>
                <w:szCs w:val="20"/>
              </w:rPr>
            </w:pPr>
            <w:r w:rsidRPr="007D1A8F">
              <w:rPr>
                <w:sz w:val="18"/>
                <w:szCs w:val="20"/>
              </w:rPr>
              <w:t>1) 48 hearing health promotion or training services/activities</w:t>
            </w:r>
          </w:p>
          <w:p w14:paraId="09CD68F4" w14:textId="77777777" w:rsidR="009A51F0" w:rsidRPr="007D1A8F" w:rsidRDefault="009A51F0" w:rsidP="00DC1F59">
            <w:pPr>
              <w:rPr>
                <w:sz w:val="18"/>
                <w:szCs w:val="20"/>
              </w:rPr>
            </w:pPr>
          </w:p>
          <w:p w14:paraId="28402106" w14:textId="7A2F2BE1" w:rsidR="009A51F0" w:rsidRPr="007D1A8F" w:rsidRDefault="009A51F0" w:rsidP="00DC1F59">
            <w:pPr>
              <w:rPr>
                <w:sz w:val="18"/>
                <w:szCs w:val="20"/>
              </w:rPr>
            </w:pPr>
            <w:r w:rsidRPr="007D1A8F">
              <w:rPr>
                <w:sz w:val="18"/>
                <w:szCs w:val="20"/>
              </w:rPr>
              <w:t>2) 1 community receiving community-based Hearing Health prevention program (in partnership with community organisations)</w:t>
            </w:r>
          </w:p>
          <w:p w14:paraId="3F3FA87D" w14:textId="77777777" w:rsidR="009A51F0" w:rsidRPr="007D1A8F" w:rsidRDefault="009A51F0" w:rsidP="00DC1F59">
            <w:pPr>
              <w:rPr>
                <w:sz w:val="18"/>
                <w:szCs w:val="20"/>
              </w:rPr>
            </w:pPr>
          </w:p>
          <w:p w14:paraId="082F9DED" w14:textId="77777777" w:rsidR="009A51F0" w:rsidRPr="007D1A8F" w:rsidRDefault="009A51F0" w:rsidP="00DC1F59">
            <w:pPr>
              <w:rPr>
                <w:sz w:val="18"/>
                <w:szCs w:val="20"/>
              </w:rPr>
            </w:pPr>
            <w:r w:rsidRPr="007D1A8F">
              <w:rPr>
                <w:sz w:val="18"/>
                <w:szCs w:val="20"/>
              </w:rPr>
              <w:t xml:space="preserve">3) 1 full time equivalent (FTE) Indigenous staff member employed </w:t>
            </w:r>
          </w:p>
        </w:tc>
        <w:tc>
          <w:tcPr>
            <w:tcW w:w="1088" w:type="pct"/>
          </w:tcPr>
          <w:p w14:paraId="25CA50C3" w14:textId="7C701858" w:rsidR="009A51F0" w:rsidRPr="007D1A8F" w:rsidRDefault="009A51F0" w:rsidP="00DC1F59">
            <w:pPr>
              <w:rPr>
                <w:sz w:val="18"/>
                <w:szCs w:val="20"/>
              </w:rPr>
            </w:pPr>
            <w:r w:rsidRPr="007D1A8F">
              <w:rPr>
                <w:sz w:val="18"/>
                <w:szCs w:val="20"/>
              </w:rPr>
              <w:lastRenderedPageBreak/>
              <w:t>Program</w:t>
            </w:r>
            <w:r w:rsidR="007D1A8F">
              <w:rPr>
                <w:sz w:val="18"/>
                <w:szCs w:val="20"/>
              </w:rPr>
              <w:t xml:space="preserve"> </w:t>
            </w:r>
            <w:r w:rsidRPr="007D1A8F">
              <w:rPr>
                <w:sz w:val="18"/>
                <w:szCs w:val="20"/>
              </w:rPr>
              <w:t>implemented with the following indicators:</w:t>
            </w:r>
          </w:p>
          <w:p w14:paraId="5D88FD23" w14:textId="77777777" w:rsidR="009A51F0" w:rsidRPr="007D1A8F" w:rsidRDefault="009A51F0" w:rsidP="00DC1F59">
            <w:pPr>
              <w:rPr>
                <w:sz w:val="18"/>
                <w:szCs w:val="20"/>
              </w:rPr>
            </w:pPr>
            <w:r w:rsidRPr="007D1A8F">
              <w:rPr>
                <w:b/>
                <w:sz w:val="18"/>
                <w:szCs w:val="20"/>
              </w:rPr>
              <w:t xml:space="preserve">2015: </w:t>
            </w:r>
            <w:r w:rsidRPr="007D1A8F">
              <w:rPr>
                <w:sz w:val="18"/>
                <w:szCs w:val="20"/>
              </w:rPr>
              <w:t>1) 50 preventative hearing health promotion or training services/activities.</w:t>
            </w:r>
          </w:p>
          <w:p w14:paraId="6B641FAC" w14:textId="41014E89" w:rsidR="009A51F0" w:rsidRPr="007D1A8F" w:rsidRDefault="009A51F0" w:rsidP="00DC1F59">
            <w:pPr>
              <w:rPr>
                <w:sz w:val="18"/>
                <w:szCs w:val="20"/>
              </w:rPr>
            </w:pPr>
            <w:r w:rsidRPr="007D1A8F">
              <w:rPr>
                <w:sz w:val="18"/>
                <w:szCs w:val="20"/>
              </w:rPr>
              <w:t>2) 3 communities receiving community-based Hearing Health prevention programs.</w:t>
            </w:r>
          </w:p>
          <w:p w14:paraId="7B200244" w14:textId="77777777" w:rsidR="009A51F0" w:rsidRPr="007D1A8F" w:rsidRDefault="009A51F0" w:rsidP="00DC1F59">
            <w:pPr>
              <w:rPr>
                <w:sz w:val="18"/>
                <w:szCs w:val="20"/>
              </w:rPr>
            </w:pPr>
            <w:r w:rsidRPr="007D1A8F">
              <w:rPr>
                <w:sz w:val="18"/>
                <w:szCs w:val="20"/>
              </w:rPr>
              <w:t>3) 2 FTE Indigenous staff employed.</w:t>
            </w:r>
          </w:p>
          <w:p w14:paraId="1603E36A" w14:textId="77777777" w:rsidR="009A51F0" w:rsidRPr="007D1A8F" w:rsidRDefault="009A51F0" w:rsidP="00DC1F59">
            <w:pPr>
              <w:rPr>
                <w:sz w:val="18"/>
                <w:szCs w:val="20"/>
              </w:rPr>
            </w:pPr>
          </w:p>
          <w:p w14:paraId="2E3824F6" w14:textId="77777777" w:rsidR="009A51F0" w:rsidRPr="007D1A8F" w:rsidRDefault="009A51F0" w:rsidP="00DC1F59">
            <w:pPr>
              <w:rPr>
                <w:sz w:val="18"/>
                <w:szCs w:val="20"/>
              </w:rPr>
            </w:pPr>
            <w:r w:rsidRPr="007D1A8F">
              <w:rPr>
                <w:b/>
                <w:sz w:val="18"/>
                <w:szCs w:val="20"/>
              </w:rPr>
              <w:t xml:space="preserve">2016: </w:t>
            </w:r>
            <w:r w:rsidRPr="007D1A8F">
              <w:rPr>
                <w:sz w:val="18"/>
                <w:szCs w:val="20"/>
              </w:rPr>
              <w:t>1) 55 preventative hearing health promotion or training services/activities.</w:t>
            </w:r>
          </w:p>
          <w:p w14:paraId="3AEEC7D6" w14:textId="6A2EC3E5" w:rsidR="009A51F0" w:rsidRPr="007D1A8F" w:rsidRDefault="009A51F0" w:rsidP="00DC1F59">
            <w:pPr>
              <w:rPr>
                <w:sz w:val="18"/>
                <w:szCs w:val="20"/>
              </w:rPr>
            </w:pPr>
            <w:r w:rsidRPr="007D1A8F">
              <w:rPr>
                <w:sz w:val="18"/>
                <w:szCs w:val="20"/>
              </w:rPr>
              <w:t>2) 6 communities receiving community-based Hearing Health prevention programs.</w:t>
            </w:r>
          </w:p>
          <w:p w14:paraId="757527BE" w14:textId="77777777" w:rsidR="009A51F0" w:rsidRPr="007D1A8F" w:rsidRDefault="009A51F0" w:rsidP="00DC1F59">
            <w:pPr>
              <w:rPr>
                <w:sz w:val="18"/>
                <w:szCs w:val="20"/>
              </w:rPr>
            </w:pPr>
            <w:r w:rsidRPr="007D1A8F">
              <w:rPr>
                <w:sz w:val="18"/>
                <w:szCs w:val="20"/>
              </w:rPr>
              <w:t>3) 7 FTE Indigenous staff employed.</w:t>
            </w:r>
          </w:p>
          <w:p w14:paraId="2A829D69" w14:textId="77777777" w:rsidR="009A51F0" w:rsidRPr="007D1A8F" w:rsidRDefault="009A51F0" w:rsidP="00DC1F59">
            <w:pPr>
              <w:rPr>
                <w:sz w:val="18"/>
                <w:szCs w:val="20"/>
              </w:rPr>
            </w:pPr>
          </w:p>
          <w:p w14:paraId="6FDD8282" w14:textId="77777777" w:rsidR="009A51F0" w:rsidRPr="007D1A8F" w:rsidRDefault="009A51F0" w:rsidP="00DC1F59">
            <w:pPr>
              <w:rPr>
                <w:sz w:val="18"/>
                <w:szCs w:val="20"/>
              </w:rPr>
            </w:pPr>
            <w:r w:rsidRPr="007D1A8F">
              <w:rPr>
                <w:b/>
                <w:sz w:val="18"/>
                <w:szCs w:val="20"/>
              </w:rPr>
              <w:lastRenderedPageBreak/>
              <w:t xml:space="preserve">2017: </w:t>
            </w:r>
            <w:r w:rsidRPr="007D1A8F">
              <w:rPr>
                <w:sz w:val="18"/>
                <w:szCs w:val="20"/>
              </w:rPr>
              <w:t>1) 60 preventative hearing health promotion or training services/activities.</w:t>
            </w:r>
          </w:p>
          <w:p w14:paraId="1FE4AC5D" w14:textId="1F1E1823" w:rsidR="009A51F0" w:rsidRPr="007D1A8F" w:rsidRDefault="009A51F0" w:rsidP="00DC1F59">
            <w:pPr>
              <w:rPr>
                <w:sz w:val="18"/>
                <w:szCs w:val="20"/>
              </w:rPr>
            </w:pPr>
            <w:r w:rsidRPr="007D1A8F">
              <w:rPr>
                <w:sz w:val="18"/>
                <w:szCs w:val="20"/>
              </w:rPr>
              <w:t>2) 10 communities receiving community-based Hearing Health prevention programs.</w:t>
            </w:r>
          </w:p>
          <w:p w14:paraId="22B53E6F" w14:textId="77777777" w:rsidR="009A51F0" w:rsidRPr="007D1A8F" w:rsidRDefault="009A51F0" w:rsidP="00DC1F59">
            <w:pPr>
              <w:rPr>
                <w:sz w:val="18"/>
                <w:szCs w:val="20"/>
              </w:rPr>
            </w:pPr>
            <w:r w:rsidRPr="007D1A8F">
              <w:rPr>
                <w:sz w:val="18"/>
                <w:szCs w:val="20"/>
              </w:rPr>
              <w:t>3) 8 FTE Indigenous staff employed.</w:t>
            </w:r>
          </w:p>
          <w:p w14:paraId="1E28E937" w14:textId="77777777" w:rsidR="009A51F0" w:rsidRPr="007D1A8F" w:rsidRDefault="009A51F0" w:rsidP="00DC1F59">
            <w:pPr>
              <w:rPr>
                <w:sz w:val="18"/>
                <w:szCs w:val="20"/>
              </w:rPr>
            </w:pPr>
          </w:p>
          <w:p w14:paraId="2287A1FF" w14:textId="77777777" w:rsidR="009A51F0" w:rsidRPr="007D1A8F" w:rsidRDefault="009A51F0" w:rsidP="00DC1F59">
            <w:pPr>
              <w:rPr>
                <w:sz w:val="18"/>
                <w:szCs w:val="20"/>
              </w:rPr>
            </w:pPr>
            <w:r w:rsidRPr="007D1A8F">
              <w:rPr>
                <w:b/>
                <w:sz w:val="18"/>
                <w:szCs w:val="20"/>
              </w:rPr>
              <w:t xml:space="preserve">2018: </w:t>
            </w:r>
            <w:r w:rsidRPr="007D1A8F">
              <w:rPr>
                <w:sz w:val="18"/>
                <w:szCs w:val="20"/>
              </w:rPr>
              <w:t>1) 60 preventative hearing health promotion or training services/activities.</w:t>
            </w:r>
          </w:p>
          <w:p w14:paraId="485E8442" w14:textId="6090B86D" w:rsidR="009A51F0" w:rsidRPr="007D1A8F" w:rsidRDefault="009A51F0" w:rsidP="00DC1F59">
            <w:pPr>
              <w:rPr>
                <w:sz w:val="18"/>
                <w:szCs w:val="20"/>
              </w:rPr>
            </w:pPr>
            <w:r w:rsidRPr="007D1A8F">
              <w:rPr>
                <w:sz w:val="18"/>
                <w:szCs w:val="20"/>
              </w:rPr>
              <w:t>2) 12 communities receiving community-based Hearing Health prevention programs.</w:t>
            </w:r>
          </w:p>
          <w:p w14:paraId="6D04C2E6" w14:textId="77777777" w:rsidR="009A51F0" w:rsidRPr="007D1A8F" w:rsidRDefault="009A51F0" w:rsidP="00DC1F59">
            <w:pPr>
              <w:rPr>
                <w:sz w:val="18"/>
                <w:szCs w:val="20"/>
              </w:rPr>
            </w:pPr>
            <w:r w:rsidRPr="007D1A8F">
              <w:rPr>
                <w:sz w:val="18"/>
                <w:szCs w:val="20"/>
              </w:rPr>
              <w:t>3) 9 FTE Indigenous staff employed.</w:t>
            </w:r>
          </w:p>
          <w:p w14:paraId="6AB5D31C" w14:textId="77777777" w:rsidR="009A51F0" w:rsidRPr="007D1A8F" w:rsidRDefault="009A51F0" w:rsidP="00DC1F59">
            <w:pPr>
              <w:rPr>
                <w:sz w:val="18"/>
                <w:szCs w:val="20"/>
              </w:rPr>
            </w:pPr>
          </w:p>
          <w:p w14:paraId="5C70C631" w14:textId="77777777" w:rsidR="009A51F0" w:rsidRPr="007D1A8F" w:rsidRDefault="009A51F0" w:rsidP="00DC1F59">
            <w:pPr>
              <w:rPr>
                <w:sz w:val="18"/>
                <w:szCs w:val="20"/>
              </w:rPr>
            </w:pPr>
            <w:r w:rsidRPr="007D1A8F">
              <w:rPr>
                <w:b/>
                <w:sz w:val="18"/>
                <w:szCs w:val="20"/>
              </w:rPr>
              <w:t xml:space="preserve">2019-2021: </w:t>
            </w:r>
            <w:r w:rsidRPr="007D1A8F">
              <w:rPr>
                <w:sz w:val="18"/>
                <w:szCs w:val="20"/>
              </w:rPr>
              <w:t>1) 60 preventative hearing health promotion or training services/activities.</w:t>
            </w:r>
          </w:p>
          <w:p w14:paraId="6D702AA7" w14:textId="2B0012E7" w:rsidR="009A51F0" w:rsidRPr="007D1A8F" w:rsidRDefault="009A51F0" w:rsidP="00DC1F59">
            <w:pPr>
              <w:rPr>
                <w:sz w:val="18"/>
                <w:szCs w:val="20"/>
              </w:rPr>
            </w:pPr>
            <w:r w:rsidRPr="007D1A8F">
              <w:rPr>
                <w:sz w:val="18"/>
                <w:szCs w:val="20"/>
              </w:rPr>
              <w:t>2) 16 communities receiving community-based Hearing Health prevention programs.</w:t>
            </w:r>
          </w:p>
          <w:p w14:paraId="0321353E" w14:textId="77777777" w:rsidR="009A51F0" w:rsidRPr="007D1A8F" w:rsidRDefault="009A51F0" w:rsidP="00DC1F59">
            <w:pPr>
              <w:rPr>
                <w:sz w:val="18"/>
                <w:szCs w:val="20"/>
              </w:rPr>
            </w:pPr>
            <w:r w:rsidRPr="007D1A8F">
              <w:rPr>
                <w:sz w:val="18"/>
                <w:szCs w:val="20"/>
              </w:rPr>
              <w:t>3) 10 FTE Indigenous staff employed.</w:t>
            </w:r>
          </w:p>
          <w:p w14:paraId="2C0446A5" w14:textId="77777777" w:rsidR="009A51F0" w:rsidRPr="007D1A8F" w:rsidRDefault="009A51F0" w:rsidP="00DC1F59">
            <w:pPr>
              <w:rPr>
                <w:sz w:val="18"/>
                <w:szCs w:val="20"/>
              </w:rPr>
            </w:pPr>
          </w:p>
          <w:p w14:paraId="3B16E77C" w14:textId="77777777" w:rsidR="009A51F0" w:rsidRPr="007D1A8F" w:rsidRDefault="009A51F0" w:rsidP="00DC1F59">
            <w:pPr>
              <w:rPr>
                <w:sz w:val="18"/>
                <w:szCs w:val="20"/>
              </w:rPr>
            </w:pPr>
            <w:r w:rsidRPr="007D1A8F">
              <w:rPr>
                <w:b/>
                <w:sz w:val="18"/>
                <w:szCs w:val="20"/>
              </w:rPr>
              <w:t>2022</w:t>
            </w:r>
            <w:r w:rsidRPr="007D1A8F">
              <w:rPr>
                <w:rStyle w:val="FootnoteReference"/>
                <w:sz w:val="18"/>
                <w:szCs w:val="20"/>
              </w:rPr>
              <w:footnoteReference w:id="1"/>
            </w:r>
            <w:r w:rsidRPr="007D1A8F">
              <w:rPr>
                <w:b/>
                <w:sz w:val="18"/>
                <w:szCs w:val="20"/>
              </w:rPr>
              <w:t xml:space="preserve">: </w:t>
            </w:r>
            <w:r w:rsidRPr="007D1A8F">
              <w:rPr>
                <w:sz w:val="18"/>
                <w:szCs w:val="20"/>
              </w:rPr>
              <w:t>1) 15 preventative hearing health promotion or training services/activities.</w:t>
            </w:r>
          </w:p>
          <w:p w14:paraId="78BB4BB9" w14:textId="3CE1F193" w:rsidR="009A51F0" w:rsidRPr="007D1A8F" w:rsidRDefault="009A51F0" w:rsidP="00DC1F59">
            <w:pPr>
              <w:rPr>
                <w:sz w:val="18"/>
                <w:szCs w:val="20"/>
              </w:rPr>
            </w:pPr>
            <w:r w:rsidRPr="007D1A8F">
              <w:rPr>
                <w:sz w:val="18"/>
                <w:szCs w:val="20"/>
              </w:rPr>
              <w:t>2) 4 communities receiving community-based Hearing Health prevention programs.</w:t>
            </w:r>
          </w:p>
          <w:p w14:paraId="4454E394" w14:textId="77777777" w:rsidR="009A51F0" w:rsidRPr="007D1A8F" w:rsidRDefault="009A51F0" w:rsidP="00DC1F59">
            <w:pPr>
              <w:rPr>
                <w:sz w:val="18"/>
                <w:szCs w:val="20"/>
              </w:rPr>
            </w:pPr>
            <w:r w:rsidRPr="007D1A8F">
              <w:rPr>
                <w:sz w:val="18"/>
                <w:szCs w:val="20"/>
              </w:rPr>
              <w:t>3) 2 FTE Indigenous staff employed.</w:t>
            </w:r>
          </w:p>
          <w:p w14:paraId="07AB89D9" w14:textId="77777777" w:rsidR="009A51F0" w:rsidRPr="007D1A8F" w:rsidRDefault="009A51F0" w:rsidP="00DC1F59">
            <w:pPr>
              <w:rPr>
                <w:sz w:val="18"/>
                <w:szCs w:val="20"/>
              </w:rPr>
            </w:pPr>
          </w:p>
          <w:p w14:paraId="5AD3FE95" w14:textId="77777777" w:rsidR="009A51F0" w:rsidRPr="007D1A8F" w:rsidRDefault="009A51F0" w:rsidP="00DC1F59">
            <w:pPr>
              <w:rPr>
                <w:sz w:val="18"/>
                <w:szCs w:val="20"/>
              </w:rPr>
            </w:pPr>
            <w:r w:rsidRPr="007D1A8F">
              <w:rPr>
                <w:sz w:val="18"/>
                <w:szCs w:val="20"/>
              </w:rPr>
              <w:t>The Northern Territory will also provide a plan for the delivery of the balance of services to 30 June 2022 with this reporting.</w:t>
            </w:r>
          </w:p>
          <w:p w14:paraId="11DA6F2D" w14:textId="77777777" w:rsidR="009A51F0" w:rsidRPr="007D1A8F" w:rsidRDefault="009A51F0" w:rsidP="00DC1F59">
            <w:pPr>
              <w:rPr>
                <w:sz w:val="18"/>
                <w:szCs w:val="20"/>
              </w:rPr>
            </w:pPr>
          </w:p>
          <w:p w14:paraId="03E7CB0C" w14:textId="42FD5D15" w:rsidR="009A51F0" w:rsidRPr="007D1A8F" w:rsidRDefault="00D85EE8" w:rsidP="00DC1F59">
            <w:pPr>
              <w:rPr>
                <w:sz w:val="18"/>
                <w:szCs w:val="20"/>
              </w:rPr>
            </w:pPr>
            <w:r w:rsidRPr="007D1A8F">
              <w:rPr>
                <w:b/>
                <w:bCs/>
                <w:sz w:val="18"/>
                <w:szCs w:val="20"/>
              </w:rPr>
              <w:lastRenderedPageBreak/>
              <w:t xml:space="preserve">1 July 2022- 30 June </w:t>
            </w:r>
            <w:r w:rsidR="009A51F0" w:rsidRPr="007D1A8F">
              <w:rPr>
                <w:b/>
                <w:bCs/>
                <w:sz w:val="18"/>
                <w:szCs w:val="20"/>
              </w:rPr>
              <w:t>2023:</w:t>
            </w:r>
            <w:r w:rsidR="009A51F0" w:rsidRPr="007D1A8F">
              <w:rPr>
                <w:sz w:val="18"/>
                <w:szCs w:val="20"/>
              </w:rPr>
              <w:t xml:space="preserve"> 1) </w:t>
            </w:r>
            <w:r w:rsidR="0048051A" w:rsidRPr="007D1A8F">
              <w:rPr>
                <w:sz w:val="18"/>
                <w:szCs w:val="20"/>
              </w:rPr>
              <w:t xml:space="preserve">At least </w:t>
            </w:r>
            <w:r w:rsidRPr="007D1A8F">
              <w:rPr>
                <w:sz w:val="18"/>
                <w:szCs w:val="20"/>
              </w:rPr>
              <w:t>60</w:t>
            </w:r>
            <w:r w:rsidR="009A51F0" w:rsidRPr="007D1A8F">
              <w:rPr>
                <w:sz w:val="18"/>
                <w:szCs w:val="20"/>
              </w:rPr>
              <w:t xml:space="preserve"> preventative hearing health promotion or training services/activities.</w:t>
            </w:r>
          </w:p>
          <w:p w14:paraId="6E653996" w14:textId="5A792897" w:rsidR="009A51F0" w:rsidRPr="007D1A8F" w:rsidRDefault="009A51F0" w:rsidP="00DC1F59">
            <w:pPr>
              <w:rPr>
                <w:sz w:val="18"/>
                <w:szCs w:val="20"/>
              </w:rPr>
            </w:pPr>
            <w:r w:rsidRPr="007D1A8F">
              <w:rPr>
                <w:sz w:val="18"/>
                <w:szCs w:val="20"/>
              </w:rPr>
              <w:t xml:space="preserve">2) </w:t>
            </w:r>
            <w:r w:rsidR="0048051A" w:rsidRPr="007D1A8F">
              <w:rPr>
                <w:sz w:val="18"/>
                <w:szCs w:val="20"/>
              </w:rPr>
              <w:t xml:space="preserve">At least </w:t>
            </w:r>
            <w:r w:rsidR="00D85EE8" w:rsidRPr="007D1A8F">
              <w:rPr>
                <w:sz w:val="18"/>
                <w:szCs w:val="20"/>
              </w:rPr>
              <w:t>16</w:t>
            </w:r>
            <w:r w:rsidRPr="007D1A8F">
              <w:rPr>
                <w:sz w:val="18"/>
                <w:szCs w:val="20"/>
              </w:rPr>
              <w:t xml:space="preserve"> communities receiving community-based Hearing Health prevention programs.</w:t>
            </w:r>
          </w:p>
          <w:p w14:paraId="3C5F3278" w14:textId="75171460" w:rsidR="009A51F0" w:rsidRPr="007D1A8F" w:rsidRDefault="009A51F0" w:rsidP="00DC1F59">
            <w:pPr>
              <w:rPr>
                <w:sz w:val="18"/>
                <w:szCs w:val="20"/>
              </w:rPr>
            </w:pPr>
            <w:r w:rsidRPr="007D1A8F">
              <w:rPr>
                <w:sz w:val="18"/>
                <w:szCs w:val="20"/>
              </w:rPr>
              <w:t xml:space="preserve">3) </w:t>
            </w:r>
            <w:r w:rsidR="0048051A" w:rsidRPr="007D1A8F">
              <w:rPr>
                <w:sz w:val="18"/>
                <w:szCs w:val="20"/>
              </w:rPr>
              <w:t xml:space="preserve">At least </w:t>
            </w:r>
            <w:r w:rsidR="00D85EE8" w:rsidRPr="007D1A8F">
              <w:rPr>
                <w:sz w:val="18"/>
                <w:szCs w:val="20"/>
              </w:rPr>
              <w:t>10</w:t>
            </w:r>
            <w:r w:rsidRPr="007D1A8F">
              <w:rPr>
                <w:sz w:val="18"/>
                <w:szCs w:val="20"/>
              </w:rPr>
              <w:t xml:space="preserve"> FTE Indigenous staff employed.</w:t>
            </w:r>
          </w:p>
          <w:p w14:paraId="2B1FEC8D" w14:textId="77777777" w:rsidR="009A51F0" w:rsidRPr="007D1A8F" w:rsidRDefault="009A51F0" w:rsidP="00DC1F59">
            <w:pPr>
              <w:rPr>
                <w:sz w:val="18"/>
                <w:szCs w:val="20"/>
              </w:rPr>
            </w:pPr>
          </w:p>
          <w:p w14:paraId="02C2B797" w14:textId="117599D1" w:rsidR="009A51F0" w:rsidRPr="007D1A8F" w:rsidRDefault="00D85EE8" w:rsidP="00DC1F59">
            <w:pPr>
              <w:rPr>
                <w:sz w:val="18"/>
                <w:szCs w:val="20"/>
              </w:rPr>
            </w:pPr>
            <w:r w:rsidRPr="007D1A8F">
              <w:rPr>
                <w:b/>
                <w:bCs/>
                <w:sz w:val="18"/>
                <w:szCs w:val="20"/>
              </w:rPr>
              <w:t xml:space="preserve">1 July 2023 to 30 June </w:t>
            </w:r>
            <w:r w:rsidR="009A51F0" w:rsidRPr="007D1A8F">
              <w:rPr>
                <w:b/>
                <w:bCs/>
                <w:sz w:val="18"/>
                <w:szCs w:val="20"/>
              </w:rPr>
              <w:t>2024:</w:t>
            </w:r>
            <w:r w:rsidR="009A51F0" w:rsidRPr="007D1A8F">
              <w:rPr>
                <w:sz w:val="18"/>
                <w:szCs w:val="20"/>
              </w:rPr>
              <w:t xml:space="preserve"> 1) </w:t>
            </w:r>
            <w:r w:rsidR="0048051A" w:rsidRPr="007D1A8F">
              <w:rPr>
                <w:sz w:val="18"/>
                <w:szCs w:val="20"/>
              </w:rPr>
              <w:t xml:space="preserve">At least </w:t>
            </w:r>
            <w:r w:rsidRPr="007D1A8F">
              <w:rPr>
                <w:sz w:val="18"/>
                <w:szCs w:val="20"/>
              </w:rPr>
              <w:t>60</w:t>
            </w:r>
            <w:r w:rsidR="009A51F0" w:rsidRPr="007D1A8F">
              <w:rPr>
                <w:sz w:val="18"/>
                <w:szCs w:val="20"/>
              </w:rPr>
              <w:t xml:space="preserve"> preventative hearing health promotion or training services/activities.</w:t>
            </w:r>
          </w:p>
          <w:p w14:paraId="0309D195" w14:textId="34D108AC" w:rsidR="009A51F0" w:rsidRPr="007D1A8F" w:rsidRDefault="009A51F0" w:rsidP="00DC1F59">
            <w:pPr>
              <w:rPr>
                <w:sz w:val="18"/>
                <w:szCs w:val="20"/>
              </w:rPr>
            </w:pPr>
            <w:r w:rsidRPr="007D1A8F">
              <w:rPr>
                <w:sz w:val="18"/>
                <w:szCs w:val="20"/>
              </w:rPr>
              <w:t xml:space="preserve">2) </w:t>
            </w:r>
            <w:r w:rsidR="0048051A" w:rsidRPr="007D1A8F">
              <w:rPr>
                <w:sz w:val="18"/>
                <w:szCs w:val="20"/>
              </w:rPr>
              <w:t xml:space="preserve">At least </w:t>
            </w:r>
            <w:r w:rsidR="00D85EE8" w:rsidRPr="007D1A8F">
              <w:rPr>
                <w:sz w:val="18"/>
                <w:szCs w:val="20"/>
              </w:rPr>
              <w:t>16</w:t>
            </w:r>
            <w:r w:rsidRPr="007D1A8F">
              <w:rPr>
                <w:sz w:val="18"/>
                <w:szCs w:val="20"/>
              </w:rPr>
              <w:t xml:space="preserve"> communities receiving community-based Hearing Health prevention programs.</w:t>
            </w:r>
          </w:p>
          <w:p w14:paraId="3C459755" w14:textId="757E7A1E" w:rsidR="009A51F0" w:rsidRPr="007D1A8F" w:rsidRDefault="009A51F0" w:rsidP="00DC1F59">
            <w:pPr>
              <w:rPr>
                <w:sz w:val="18"/>
                <w:szCs w:val="20"/>
              </w:rPr>
            </w:pPr>
            <w:r w:rsidRPr="007D1A8F">
              <w:rPr>
                <w:sz w:val="18"/>
                <w:szCs w:val="20"/>
              </w:rPr>
              <w:t xml:space="preserve">3) </w:t>
            </w:r>
            <w:r w:rsidR="0048051A" w:rsidRPr="007D1A8F">
              <w:rPr>
                <w:sz w:val="18"/>
                <w:szCs w:val="20"/>
              </w:rPr>
              <w:t xml:space="preserve">At least </w:t>
            </w:r>
            <w:r w:rsidR="00D85EE8" w:rsidRPr="007D1A8F">
              <w:rPr>
                <w:sz w:val="18"/>
                <w:szCs w:val="20"/>
              </w:rPr>
              <w:t>10</w:t>
            </w:r>
            <w:r w:rsidRPr="007D1A8F">
              <w:rPr>
                <w:sz w:val="18"/>
                <w:szCs w:val="20"/>
              </w:rPr>
              <w:t xml:space="preserve"> FTE Indigenous staff employed.</w:t>
            </w:r>
          </w:p>
        </w:tc>
        <w:tc>
          <w:tcPr>
            <w:tcW w:w="272" w:type="pct"/>
            <w:vAlign w:val="center"/>
          </w:tcPr>
          <w:p w14:paraId="54CB60A2" w14:textId="77777777" w:rsidR="009A51F0" w:rsidRPr="007D1A8F" w:rsidRDefault="009A51F0" w:rsidP="00DC1F59">
            <w:pPr>
              <w:jc w:val="right"/>
              <w:rPr>
                <w:sz w:val="20"/>
                <w:szCs w:val="20"/>
              </w:rPr>
            </w:pPr>
            <w:r w:rsidRPr="007D1A8F">
              <w:rPr>
                <w:sz w:val="20"/>
                <w:szCs w:val="20"/>
              </w:rPr>
              <w:lastRenderedPageBreak/>
              <w:t>0.310</w:t>
            </w:r>
          </w:p>
        </w:tc>
        <w:tc>
          <w:tcPr>
            <w:tcW w:w="272" w:type="pct"/>
            <w:vAlign w:val="center"/>
          </w:tcPr>
          <w:p w14:paraId="19470F01" w14:textId="77777777" w:rsidR="009A51F0" w:rsidRPr="007D1A8F" w:rsidRDefault="009A51F0" w:rsidP="00DC1F59">
            <w:pPr>
              <w:jc w:val="right"/>
              <w:rPr>
                <w:sz w:val="20"/>
                <w:szCs w:val="20"/>
              </w:rPr>
            </w:pPr>
            <w:r w:rsidRPr="007D1A8F">
              <w:rPr>
                <w:sz w:val="20"/>
                <w:szCs w:val="20"/>
              </w:rPr>
              <w:t>0.651</w:t>
            </w:r>
          </w:p>
        </w:tc>
        <w:tc>
          <w:tcPr>
            <w:tcW w:w="272" w:type="pct"/>
            <w:vAlign w:val="center"/>
          </w:tcPr>
          <w:p w14:paraId="56175F45" w14:textId="77777777" w:rsidR="009A51F0" w:rsidRPr="007D1A8F" w:rsidRDefault="009A51F0" w:rsidP="00DC1F59">
            <w:pPr>
              <w:jc w:val="right"/>
              <w:rPr>
                <w:sz w:val="20"/>
                <w:szCs w:val="20"/>
              </w:rPr>
            </w:pPr>
            <w:r w:rsidRPr="007D1A8F">
              <w:rPr>
                <w:sz w:val="20"/>
                <w:szCs w:val="20"/>
              </w:rPr>
              <w:t>0.680</w:t>
            </w:r>
          </w:p>
        </w:tc>
        <w:tc>
          <w:tcPr>
            <w:tcW w:w="272" w:type="pct"/>
            <w:vAlign w:val="center"/>
          </w:tcPr>
          <w:p w14:paraId="59AEC5F6" w14:textId="77777777" w:rsidR="009A51F0" w:rsidRPr="007D1A8F" w:rsidRDefault="009A51F0" w:rsidP="00DC1F59">
            <w:pPr>
              <w:jc w:val="right"/>
              <w:rPr>
                <w:sz w:val="20"/>
                <w:szCs w:val="20"/>
              </w:rPr>
            </w:pPr>
            <w:r w:rsidRPr="007D1A8F">
              <w:rPr>
                <w:sz w:val="20"/>
                <w:szCs w:val="20"/>
              </w:rPr>
              <w:t>0.283</w:t>
            </w:r>
          </w:p>
        </w:tc>
        <w:tc>
          <w:tcPr>
            <w:tcW w:w="272" w:type="pct"/>
            <w:vAlign w:val="center"/>
          </w:tcPr>
          <w:p w14:paraId="20ED5DCA" w14:textId="77777777" w:rsidR="009A51F0" w:rsidRPr="007D1A8F" w:rsidRDefault="009A51F0" w:rsidP="00DC1F59">
            <w:pPr>
              <w:jc w:val="right"/>
              <w:rPr>
                <w:sz w:val="20"/>
                <w:szCs w:val="20"/>
              </w:rPr>
            </w:pPr>
            <w:r w:rsidRPr="007D1A8F">
              <w:rPr>
                <w:sz w:val="20"/>
                <w:szCs w:val="20"/>
              </w:rPr>
              <w:t>0.743</w:t>
            </w:r>
          </w:p>
        </w:tc>
        <w:tc>
          <w:tcPr>
            <w:tcW w:w="273" w:type="pct"/>
            <w:vAlign w:val="center"/>
          </w:tcPr>
          <w:p w14:paraId="4D33C5AE" w14:textId="77777777" w:rsidR="009A51F0" w:rsidRPr="007D1A8F" w:rsidRDefault="009A51F0" w:rsidP="00DC1F59">
            <w:pPr>
              <w:jc w:val="right"/>
              <w:rPr>
                <w:sz w:val="20"/>
                <w:szCs w:val="20"/>
              </w:rPr>
            </w:pPr>
            <w:r w:rsidRPr="007D1A8F">
              <w:rPr>
                <w:sz w:val="20"/>
                <w:szCs w:val="20"/>
              </w:rPr>
              <w:t>0.776</w:t>
            </w:r>
          </w:p>
        </w:tc>
        <w:tc>
          <w:tcPr>
            <w:tcW w:w="274" w:type="pct"/>
            <w:vAlign w:val="center"/>
          </w:tcPr>
          <w:p w14:paraId="56337FFF" w14:textId="77777777" w:rsidR="009A51F0" w:rsidRPr="007D1A8F" w:rsidRDefault="009A51F0" w:rsidP="00DC1F59">
            <w:pPr>
              <w:jc w:val="right"/>
              <w:rPr>
                <w:sz w:val="20"/>
                <w:szCs w:val="20"/>
              </w:rPr>
            </w:pPr>
            <w:r w:rsidRPr="007D1A8F">
              <w:rPr>
                <w:sz w:val="20"/>
                <w:szCs w:val="20"/>
              </w:rPr>
              <w:t>0.162</w:t>
            </w:r>
          </w:p>
        </w:tc>
        <w:tc>
          <w:tcPr>
            <w:tcW w:w="274" w:type="pct"/>
            <w:vAlign w:val="center"/>
          </w:tcPr>
          <w:p w14:paraId="10C24709" w14:textId="77777777" w:rsidR="009A51F0" w:rsidRPr="007D1A8F" w:rsidRDefault="000415F0" w:rsidP="00DC1F59">
            <w:pPr>
              <w:jc w:val="right"/>
              <w:rPr>
                <w:sz w:val="20"/>
                <w:szCs w:val="20"/>
              </w:rPr>
            </w:pPr>
            <w:r w:rsidRPr="007D1A8F">
              <w:rPr>
                <w:sz w:val="20"/>
                <w:szCs w:val="20"/>
              </w:rPr>
              <w:t>0.857</w:t>
            </w:r>
          </w:p>
        </w:tc>
        <w:tc>
          <w:tcPr>
            <w:tcW w:w="264" w:type="pct"/>
            <w:vAlign w:val="center"/>
          </w:tcPr>
          <w:p w14:paraId="082BDF3E" w14:textId="77777777" w:rsidR="009A51F0" w:rsidRPr="007D1A8F" w:rsidRDefault="000415F0" w:rsidP="00DC1F59">
            <w:pPr>
              <w:jc w:val="right"/>
              <w:rPr>
                <w:sz w:val="20"/>
                <w:szCs w:val="20"/>
              </w:rPr>
            </w:pPr>
            <w:r w:rsidRPr="007D1A8F">
              <w:rPr>
                <w:sz w:val="20"/>
                <w:szCs w:val="20"/>
              </w:rPr>
              <w:t>0.857</w:t>
            </w:r>
          </w:p>
        </w:tc>
      </w:tr>
      <w:tr w:rsidR="008332BC" w:rsidRPr="007D1A8F" w14:paraId="0B27177A" w14:textId="77777777" w:rsidTr="008332BC">
        <w:trPr>
          <w:trHeight w:val="249"/>
        </w:trPr>
        <w:tc>
          <w:tcPr>
            <w:tcW w:w="5000" w:type="pct"/>
            <w:gridSpan w:val="12"/>
            <w:vAlign w:val="center"/>
          </w:tcPr>
          <w:p w14:paraId="46216B88" w14:textId="51A59DEE" w:rsidR="008332BC" w:rsidRPr="007D1A8F" w:rsidRDefault="008332BC" w:rsidP="00DC1F59">
            <w:pPr>
              <w:jc w:val="center"/>
              <w:rPr>
                <w:b/>
                <w:sz w:val="20"/>
                <w:szCs w:val="20"/>
              </w:rPr>
            </w:pPr>
            <w:r w:rsidRPr="007D1A8F">
              <w:rPr>
                <w:b/>
                <w:sz w:val="20"/>
                <w:szCs w:val="20"/>
              </w:rPr>
              <w:lastRenderedPageBreak/>
              <w:t xml:space="preserve">Hearing Health Outcome Measures </w:t>
            </w:r>
          </w:p>
        </w:tc>
      </w:tr>
      <w:tr w:rsidR="000415F0" w:rsidRPr="007D1A8F" w14:paraId="1BA2E7A6" w14:textId="77777777" w:rsidTr="008332BC">
        <w:tc>
          <w:tcPr>
            <w:tcW w:w="990" w:type="pct"/>
          </w:tcPr>
          <w:p w14:paraId="75BC5957" w14:textId="77777777" w:rsidR="009A51F0" w:rsidRPr="007D1A8F" w:rsidRDefault="009A51F0" w:rsidP="00DC1F59">
            <w:pPr>
              <w:tabs>
                <w:tab w:val="left" w:pos="1478"/>
              </w:tabs>
              <w:rPr>
                <w:b/>
                <w:sz w:val="18"/>
                <w:szCs w:val="20"/>
              </w:rPr>
            </w:pPr>
            <w:r w:rsidRPr="007D1A8F">
              <w:rPr>
                <w:b/>
                <w:sz w:val="18"/>
                <w:szCs w:val="20"/>
              </w:rPr>
              <w:t>Hearing Health Outcome Measure 1</w:t>
            </w:r>
          </w:p>
          <w:p w14:paraId="55BC5D62" w14:textId="77777777" w:rsidR="009A51F0" w:rsidRPr="007D1A8F" w:rsidRDefault="009A51F0" w:rsidP="00DC1F59">
            <w:pPr>
              <w:rPr>
                <w:sz w:val="18"/>
                <w:szCs w:val="20"/>
              </w:rPr>
            </w:pPr>
            <w:r w:rsidRPr="007D1A8F">
              <w:rPr>
                <w:sz w:val="18"/>
                <w:szCs w:val="20"/>
              </w:rPr>
              <w:t>The proportion of children tested who are found to have moderate or severe conductive hearing impairment.</w:t>
            </w:r>
          </w:p>
        </w:tc>
        <w:tc>
          <w:tcPr>
            <w:tcW w:w="477" w:type="pct"/>
          </w:tcPr>
          <w:p w14:paraId="36575F54" w14:textId="77777777" w:rsidR="009A51F0" w:rsidRPr="007D1A8F" w:rsidRDefault="009A51F0" w:rsidP="00DC1F59">
            <w:pPr>
              <w:rPr>
                <w:sz w:val="18"/>
                <w:szCs w:val="20"/>
              </w:rPr>
            </w:pPr>
            <w:r w:rsidRPr="007D1A8F">
              <w:rPr>
                <w:sz w:val="18"/>
                <w:szCs w:val="20"/>
              </w:rPr>
              <w:t xml:space="preserve">11% of children tested in period </w:t>
            </w:r>
          </w:p>
          <w:p w14:paraId="50F0F47A" w14:textId="77777777" w:rsidR="009A51F0" w:rsidRPr="007D1A8F" w:rsidRDefault="009A51F0" w:rsidP="00DC1F59">
            <w:pPr>
              <w:rPr>
                <w:sz w:val="18"/>
                <w:szCs w:val="20"/>
              </w:rPr>
            </w:pPr>
            <w:r w:rsidRPr="007D1A8F">
              <w:rPr>
                <w:sz w:val="18"/>
                <w:szCs w:val="20"/>
              </w:rPr>
              <w:t>2007-2011</w:t>
            </w:r>
          </w:p>
        </w:tc>
        <w:tc>
          <w:tcPr>
            <w:tcW w:w="1088" w:type="pct"/>
          </w:tcPr>
          <w:p w14:paraId="46DFD9CA" w14:textId="77777777" w:rsidR="009A51F0" w:rsidRPr="007D1A8F" w:rsidRDefault="009A51F0" w:rsidP="00DC1F59">
            <w:pPr>
              <w:rPr>
                <w:sz w:val="18"/>
                <w:szCs w:val="20"/>
              </w:rPr>
            </w:pPr>
            <w:r w:rsidRPr="007D1A8F">
              <w:rPr>
                <w:b/>
                <w:sz w:val="18"/>
                <w:szCs w:val="20"/>
              </w:rPr>
              <w:t>Progress Report 1</w:t>
            </w:r>
            <w:r w:rsidRPr="007D1A8F">
              <w:rPr>
                <w:rStyle w:val="FootnoteReference"/>
                <w:b/>
                <w:sz w:val="18"/>
                <w:szCs w:val="20"/>
              </w:rPr>
              <w:footnoteReference w:id="2"/>
            </w:r>
            <w:r w:rsidRPr="007D1A8F">
              <w:rPr>
                <w:b/>
                <w:sz w:val="18"/>
                <w:szCs w:val="20"/>
              </w:rPr>
              <w:t>:</w:t>
            </w:r>
            <w:r w:rsidRPr="007D1A8F">
              <w:rPr>
                <w:sz w:val="18"/>
                <w:szCs w:val="20"/>
              </w:rPr>
              <w:t xml:space="preserve"> Less than 11% of all children tested between July 2012 and June 2015</w:t>
            </w:r>
          </w:p>
          <w:p w14:paraId="14B302B0" w14:textId="77777777" w:rsidR="009A51F0" w:rsidRPr="007D1A8F" w:rsidRDefault="009A51F0" w:rsidP="00DC1F59">
            <w:pPr>
              <w:pStyle w:val="TableText"/>
              <w:spacing w:before="0" w:after="0"/>
              <w:rPr>
                <w:rFonts w:ascii="Corbel" w:hAnsi="Corbel" w:cs="Times New Roman"/>
                <w:szCs w:val="20"/>
              </w:rPr>
            </w:pPr>
            <w:r w:rsidRPr="007D1A8F">
              <w:rPr>
                <w:rFonts w:ascii="Corbel" w:hAnsi="Corbel"/>
                <w:b/>
                <w:szCs w:val="20"/>
              </w:rPr>
              <w:t>Progress Report 2:</w:t>
            </w:r>
            <w:r w:rsidRPr="007D1A8F">
              <w:rPr>
                <w:rFonts w:ascii="Corbel" w:hAnsi="Corbel"/>
                <w:szCs w:val="20"/>
              </w:rPr>
              <w:t xml:space="preserve"> </w:t>
            </w:r>
            <w:r w:rsidRPr="007D1A8F">
              <w:rPr>
                <w:rFonts w:ascii="Corbel" w:hAnsi="Corbel" w:cs="Times New Roman"/>
                <w:szCs w:val="20"/>
              </w:rPr>
              <w:t>Less than 10% of children tested between July 2015 and December 2018</w:t>
            </w:r>
          </w:p>
          <w:p w14:paraId="327AC76C" w14:textId="77777777" w:rsidR="009A51F0" w:rsidRPr="007D1A8F" w:rsidRDefault="009A51F0" w:rsidP="00DC1F59">
            <w:pPr>
              <w:rPr>
                <w:sz w:val="18"/>
                <w:szCs w:val="20"/>
              </w:rPr>
            </w:pPr>
            <w:r w:rsidRPr="007D1A8F">
              <w:rPr>
                <w:b/>
                <w:sz w:val="18"/>
                <w:szCs w:val="20"/>
              </w:rPr>
              <w:t>Progress Report 3:</w:t>
            </w:r>
            <w:r w:rsidRPr="007D1A8F">
              <w:rPr>
                <w:sz w:val="18"/>
                <w:szCs w:val="20"/>
              </w:rPr>
              <w:t xml:space="preserve"> Less than 7.5% of children tested between January 2019 and December 2021</w:t>
            </w:r>
          </w:p>
        </w:tc>
        <w:tc>
          <w:tcPr>
            <w:tcW w:w="272" w:type="pct"/>
            <w:vAlign w:val="center"/>
          </w:tcPr>
          <w:p w14:paraId="2B413787" w14:textId="77777777" w:rsidR="009A51F0" w:rsidRPr="007D1A8F" w:rsidRDefault="009A51F0" w:rsidP="00DC1F59">
            <w:pPr>
              <w:jc w:val="right"/>
              <w:rPr>
                <w:sz w:val="20"/>
                <w:szCs w:val="20"/>
              </w:rPr>
            </w:pPr>
            <w:r w:rsidRPr="007D1A8F">
              <w:rPr>
                <w:sz w:val="20"/>
                <w:szCs w:val="20"/>
              </w:rPr>
              <w:t>0.374</w:t>
            </w:r>
          </w:p>
        </w:tc>
        <w:tc>
          <w:tcPr>
            <w:tcW w:w="272" w:type="pct"/>
            <w:vAlign w:val="center"/>
          </w:tcPr>
          <w:p w14:paraId="7FFBFFD8"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0192FE74"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7F385AB7" w14:textId="77777777" w:rsidR="009A51F0" w:rsidRPr="007D1A8F" w:rsidRDefault="009A51F0" w:rsidP="00DC1F59">
            <w:pPr>
              <w:jc w:val="right"/>
              <w:rPr>
                <w:sz w:val="20"/>
                <w:szCs w:val="20"/>
              </w:rPr>
            </w:pPr>
            <w:r w:rsidRPr="007D1A8F">
              <w:rPr>
                <w:sz w:val="20"/>
                <w:szCs w:val="20"/>
              </w:rPr>
              <w:t>0.498</w:t>
            </w:r>
          </w:p>
        </w:tc>
        <w:tc>
          <w:tcPr>
            <w:tcW w:w="272" w:type="pct"/>
            <w:vAlign w:val="center"/>
          </w:tcPr>
          <w:p w14:paraId="2FFD0FA0"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1A4D36C8"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1F3B5F57" w14:textId="77777777" w:rsidR="009A51F0" w:rsidRPr="007D1A8F" w:rsidRDefault="009A51F0" w:rsidP="00DC1F59">
            <w:pPr>
              <w:jc w:val="right"/>
              <w:rPr>
                <w:sz w:val="20"/>
                <w:szCs w:val="20"/>
              </w:rPr>
            </w:pPr>
            <w:r w:rsidRPr="007D1A8F">
              <w:rPr>
                <w:sz w:val="20"/>
                <w:szCs w:val="20"/>
              </w:rPr>
              <w:t>0.649</w:t>
            </w:r>
          </w:p>
        </w:tc>
        <w:tc>
          <w:tcPr>
            <w:tcW w:w="274" w:type="pct"/>
            <w:vAlign w:val="center"/>
          </w:tcPr>
          <w:p w14:paraId="43C5476D" w14:textId="77777777" w:rsidR="009A51F0" w:rsidRPr="007D1A8F" w:rsidRDefault="009A51F0" w:rsidP="00DC1F59">
            <w:pPr>
              <w:jc w:val="right"/>
              <w:rPr>
                <w:sz w:val="20"/>
                <w:szCs w:val="20"/>
              </w:rPr>
            </w:pPr>
            <w:r w:rsidRPr="007D1A8F">
              <w:rPr>
                <w:sz w:val="20"/>
                <w:szCs w:val="20"/>
              </w:rPr>
              <w:t>-</w:t>
            </w:r>
          </w:p>
        </w:tc>
        <w:tc>
          <w:tcPr>
            <w:tcW w:w="264" w:type="pct"/>
            <w:vAlign w:val="center"/>
          </w:tcPr>
          <w:p w14:paraId="0251EAA2" w14:textId="77777777" w:rsidR="009A51F0" w:rsidRPr="007D1A8F" w:rsidRDefault="009A51F0" w:rsidP="00DC1F59">
            <w:pPr>
              <w:jc w:val="right"/>
              <w:rPr>
                <w:sz w:val="20"/>
                <w:szCs w:val="20"/>
              </w:rPr>
            </w:pPr>
            <w:r w:rsidRPr="007D1A8F">
              <w:rPr>
                <w:sz w:val="20"/>
                <w:szCs w:val="20"/>
              </w:rPr>
              <w:t>-</w:t>
            </w:r>
          </w:p>
        </w:tc>
      </w:tr>
      <w:tr w:rsidR="000415F0" w:rsidRPr="007D1A8F" w14:paraId="62E105F2" w14:textId="77777777" w:rsidTr="008332BC">
        <w:trPr>
          <w:trHeight w:val="254"/>
        </w:trPr>
        <w:tc>
          <w:tcPr>
            <w:tcW w:w="990" w:type="pct"/>
          </w:tcPr>
          <w:p w14:paraId="539D97E2" w14:textId="77777777" w:rsidR="009A51F0" w:rsidRPr="007D1A8F" w:rsidRDefault="009A51F0" w:rsidP="00DC1F59">
            <w:pPr>
              <w:rPr>
                <w:rFonts w:cs="Arial"/>
                <w:b/>
                <w:spacing w:val="4"/>
                <w:sz w:val="18"/>
                <w:szCs w:val="20"/>
                <w:lang w:eastAsia="en-US"/>
              </w:rPr>
            </w:pPr>
            <w:r w:rsidRPr="007D1A8F">
              <w:rPr>
                <w:b/>
                <w:sz w:val="18"/>
                <w:szCs w:val="20"/>
              </w:rPr>
              <w:t xml:space="preserve">Hearing </w:t>
            </w:r>
            <w:r w:rsidRPr="007D1A8F">
              <w:rPr>
                <w:rFonts w:cs="Arial"/>
                <w:b/>
                <w:spacing w:val="4"/>
                <w:sz w:val="18"/>
                <w:szCs w:val="20"/>
                <w:lang w:eastAsia="en-US"/>
              </w:rPr>
              <w:t>Health Outcome Measure 2</w:t>
            </w:r>
          </w:p>
          <w:p w14:paraId="5FD89C01" w14:textId="77777777" w:rsidR="009A51F0" w:rsidRPr="007D1A8F" w:rsidRDefault="009A51F0" w:rsidP="00DC1F59">
            <w:pPr>
              <w:rPr>
                <w:spacing w:val="4"/>
                <w:sz w:val="18"/>
                <w:szCs w:val="20"/>
                <w:lang w:eastAsia="en-US"/>
              </w:rPr>
            </w:pPr>
            <w:r w:rsidRPr="007D1A8F">
              <w:rPr>
                <w:spacing w:val="4"/>
                <w:sz w:val="18"/>
                <w:szCs w:val="20"/>
                <w:lang w:eastAsia="en-US"/>
              </w:rPr>
              <w:t>The proportion of children aged 0-5 and 6</w:t>
            </w:r>
            <w:r w:rsidRPr="007D1A8F">
              <w:rPr>
                <w:spacing w:val="4"/>
                <w:sz w:val="18"/>
                <w:szCs w:val="20"/>
                <w:lang w:eastAsia="en-US"/>
              </w:rPr>
              <w:noBreakHyphen/>
              <w:t xml:space="preserve">15 years </w:t>
            </w:r>
            <w:r w:rsidRPr="007D1A8F">
              <w:rPr>
                <w:sz w:val="18"/>
                <w:szCs w:val="20"/>
              </w:rPr>
              <w:t>that have received an audiology check or CHHC service</w:t>
            </w:r>
            <w:r w:rsidRPr="007D1A8F">
              <w:rPr>
                <w:spacing w:val="4"/>
                <w:sz w:val="18"/>
                <w:szCs w:val="20"/>
                <w:lang w:eastAsia="en-US"/>
              </w:rPr>
              <w:t xml:space="preserve"> who are found to have Chronic Suppurative Otitis Media (CSOM).</w:t>
            </w:r>
          </w:p>
        </w:tc>
        <w:tc>
          <w:tcPr>
            <w:tcW w:w="477" w:type="pct"/>
          </w:tcPr>
          <w:p w14:paraId="13E5C994" w14:textId="28FBF42A" w:rsidR="009A51F0" w:rsidRPr="007D1A8F" w:rsidRDefault="009A51F0" w:rsidP="00DC1F59">
            <w:pPr>
              <w:rPr>
                <w:sz w:val="18"/>
                <w:szCs w:val="20"/>
              </w:rPr>
            </w:pPr>
            <w:r w:rsidRPr="007D1A8F">
              <w:rPr>
                <w:sz w:val="18"/>
                <w:szCs w:val="20"/>
              </w:rPr>
              <w:t>1) 14% of children (0-5 year</w:t>
            </w:r>
            <w:r w:rsidR="008332BC">
              <w:rPr>
                <w:sz w:val="18"/>
                <w:szCs w:val="20"/>
              </w:rPr>
              <w:t>s</w:t>
            </w:r>
            <w:r w:rsidRPr="007D1A8F">
              <w:rPr>
                <w:sz w:val="18"/>
                <w:szCs w:val="20"/>
              </w:rPr>
              <w:t>) tested in period 2007-2011</w:t>
            </w:r>
          </w:p>
          <w:p w14:paraId="7172E5DD" w14:textId="77777777" w:rsidR="009A51F0" w:rsidRPr="007D1A8F" w:rsidRDefault="009A51F0" w:rsidP="00DC1F59">
            <w:pPr>
              <w:rPr>
                <w:sz w:val="18"/>
                <w:szCs w:val="20"/>
              </w:rPr>
            </w:pPr>
          </w:p>
          <w:p w14:paraId="5FE94AD7" w14:textId="77777777" w:rsidR="009A51F0" w:rsidRPr="007D1A8F" w:rsidRDefault="009A51F0" w:rsidP="00DC1F59">
            <w:pPr>
              <w:rPr>
                <w:sz w:val="18"/>
                <w:szCs w:val="20"/>
              </w:rPr>
            </w:pPr>
          </w:p>
          <w:p w14:paraId="13E9082E" w14:textId="64D2B8E9" w:rsidR="009A51F0" w:rsidRPr="007D1A8F" w:rsidRDefault="009A51F0" w:rsidP="00DC1F59">
            <w:pPr>
              <w:rPr>
                <w:sz w:val="18"/>
                <w:szCs w:val="20"/>
              </w:rPr>
            </w:pPr>
            <w:r w:rsidRPr="007D1A8F">
              <w:rPr>
                <w:sz w:val="18"/>
                <w:szCs w:val="20"/>
              </w:rPr>
              <w:t>2) 11% of children (6-15 year</w:t>
            </w:r>
            <w:r w:rsidR="008332BC">
              <w:rPr>
                <w:sz w:val="18"/>
                <w:szCs w:val="20"/>
              </w:rPr>
              <w:t>s</w:t>
            </w:r>
            <w:r w:rsidRPr="007D1A8F">
              <w:rPr>
                <w:sz w:val="18"/>
                <w:szCs w:val="20"/>
              </w:rPr>
              <w:t xml:space="preserve">) </w:t>
            </w:r>
            <w:r w:rsidRPr="007D1A8F">
              <w:rPr>
                <w:sz w:val="18"/>
                <w:szCs w:val="20"/>
              </w:rPr>
              <w:lastRenderedPageBreak/>
              <w:t>tested in period 2007-2011</w:t>
            </w:r>
          </w:p>
        </w:tc>
        <w:tc>
          <w:tcPr>
            <w:tcW w:w="1088" w:type="pct"/>
          </w:tcPr>
          <w:p w14:paraId="6DEB79AA" w14:textId="77777777" w:rsidR="009A51F0" w:rsidRPr="007D1A8F" w:rsidRDefault="009A51F0" w:rsidP="00DC1F59">
            <w:pPr>
              <w:rPr>
                <w:sz w:val="18"/>
                <w:szCs w:val="20"/>
              </w:rPr>
            </w:pPr>
            <w:r w:rsidRPr="007D1A8F">
              <w:rPr>
                <w:sz w:val="18"/>
                <w:szCs w:val="20"/>
              </w:rPr>
              <w:lastRenderedPageBreak/>
              <w:t xml:space="preserve">1) </w:t>
            </w:r>
            <w:r w:rsidRPr="007D1A8F">
              <w:rPr>
                <w:b/>
                <w:sz w:val="18"/>
                <w:szCs w:val="20"/>
              </w:rPr>
              <w:t>Progress Report 1:</w:t>
            </w:r>
            <w:r w:rsidRPr="007D1A8F">
              <w:rPr>
                <w:sz w:val="18"/>
                <w:szCs w:val="20"/>
              </w:rPr>
              <w:t xml:space="preserve"> 15% or less of children tested between July 2012 and June 2015</w:t>
            </w:r>
          </w:p>
          <w:p w14:paraId="7DA76E5B" w14:textId="77777777" w:rsidR="009A51F0" w:rsidRPr="007D1A8F" w:rsidRDefault="009A51F0" w:rsidP="00DC1F59">
            <w:pPr>
              <w:rPr>
                <w:sz w:val="18"/>
                <w:szCs w:val="20"/>
              </w:rPr>
            </w:pPr>
            <w:r w:rsidRPr="007D1A8F">
              <w:rPr>
                <w:b/>
                <w:sz w:val="18"/>
                <w:szCs w:val="20"/>
              </w:rPr>
              <w:t>Progress Report 2:</w:t>
            </w:r>
            <w:r w:rsidRPr="007D1A8F">
              <w:rPr>
                <w:sz w:val="18"/>
                <w:szCs w:val="20"/>
              </w:rPr>
              <w:t xml:space="preserve"> 14% or less of children tested between July 2015 and December 2018</w:t>
            </w:r>
          </w:p>
          <w:p w14:paraId="1B41A627" w14:textId="77777777" w:rsidR="009A51F0" w:rsidRPr="007D1A8F" w:rsidRDefault="009A51F0" w:rsidP="00DC1F59">
            <w:pPr>
              <w:rPr>
                <w:sz w:val="18"/>
                <w:szCs w:val="20"/>
              </w:rPr>
            </w:pPr>
            <w:r w:rsidRPr="007D1A8F">
              <w:rPr>
                <w:b/>
                <w:sz w:val="18"/>
                <w:szCs w:val="20"/>
              </w:rPr>
              <w:t>Progress Report 3:</w:t>
            </w:r>
            <w:r w:rsidRPr="007D1A8F">
              <w:rPr>
                <w:sz w:val="18"/>
                <w:szCs w:val="20"/>
              </w:rPr>
              <w:t xml:space="preserve"> 7% or less of children tested between January 2019 and December 2021</w:t>
            </w:r>
          </w:p>
          <w:p w14:paraId="408FDAD8" w14:textId="77777777" w:rsidR="009A51F0" w:rsidRPr="007D1A8F" w:rsidRDefault="009A51F0" w:rsidP="00DC1F59">
            <w:pPr>
              <w:rPr>
                <w:b/>
                <w:sz w:val="18"/>
                <w:szCs w:val="20"/>
              </w:rPr>
            </w:pPr>
          </w:p>
          <w:p w14:paraId="69CB5E8B" w14:textId="77777777" w:rsidR="009A51F0" w:rsidRPr="007D1A8F" w:rsidRDefault="009A51F0" w:rsidP="00DC1F59">
            <w:pPr>
              <w:rPr>
                <w:sz w:val="18"/>
                <w:szCs w:val="20"/>
              </w:rPr>
            </w:pPr>
            <w:r w:rsidRPr="007D1A8F">
              <w:rPr>
                <w:sz w:val="18"/>
                <w:szCs w:val="20"/>
              </w:rPr>
              <w:t>2)</w:t>
            </w:r>
            <w:r w:rsidRPr="007D1A8F">
              <w:rPr>
                <w:b/>
                <w:sz w:val="18"/>
                <w:szCs w:val="20"/>
              </w:rPr>
              <w:t xml:space="preserve"> Progress Report 1: </w:t>
            </w:r>
            <w:r w:rsidRPr="007D1A8F">
              <w:rPr>
                <w:sz w:val="18"/>
                <w:szCs w:val="20"/>
              </w:rPr>
              <w:t>12%</w:t>
            </w:r>
            <w:r w:rsidRPr="007D1A8F">
              <w:rPr>
                <w:rStyle w:val="FootnoteReference"/>
                <w:sz w:val="18"/>
                <w:szCs w:val="20"/>
              </w:rPr>
              <w:footnoteReference w:id="3"/>
            </w:r>
            <w:r w:rsidRPr="007D1A8F">
              <w:rPr>
                <w:sz w:val="18"/>
                <w:szCs w:val="20"/>
              </w:rPr>
              <w:t xml:space="preserve"> or less for children tested between July 2012 and June 2015</w:t>
            </w:r>
          </w:p>
          <w:p w14:paraId="39F6DEAD" w14:textId="77777777" w:rsidR="009A51F0" w:rsidRPr="007D1A8F" w:rsidRDefault="009A51F0" w:rsidP="00DC1F59">
            <w:pPr>
              <w:rPr>
                <w:sz w:val="18"/>
                <w:szCs w:val="20"/>
              </w:rPr>
            </w:pPr>
            <w:r w:rsidRPr="007D1A8F">
              <w:rPr>
                <w:b/>
                <w:sz w:val="18"/>
                <w:szCs w:val="20"/>
              </w:rPr>
              <w:t>Progress Report 2:</w:t>
            </w:r>
            <w:r w:rsidRPr="007D1A8F">
              <w:rPr>
                <w:sz w:val="18"/>
                <w:szCs w:val="20"/>
              </w:rPr>
              <w:t>11% or less for children tested between July 2015 and December 2018</w:t>
            </w:r>
          </w:p>
          <w:p w14:paraId="4EC96711" w14:textId="77777777" w:rsidR="009A51F0" w:rsidRPr="007D1A8F" w:rsidRDefault="009A51F0" w:rsidP="00DC1F59">
            <w:pPr>
              <w:rPr>
                <w:b/>
                <w:sz w:val="18"/>
                <w:szCs w:val="20"/>
              </w:rPr>
            </w:pPr>
            <w:r w:rsidRPr="007D1A8F">
              <w:rPr>
                <w:b/>
                <w:sz w:val="18"/>
                <w:szCs w:val="20"/>
              </w:rPr>
              <w:t xml:space="preserve">Progress Report 3: </w:t>
            </w:r>
            <w:r w:rsidRPr="007D1A8F">
              <w:rPr>
                <w:sz w:val="18"/>
                <w:szCs w:val="20"/>
              </w:rPr>
              <w:t>7% or less of children tested between January 2019 and December 2021</w:t>
            </w:r>
          </w:p>
        </w:tc>
        <w:tc>
          <w:tcPr>
            <w:tcW w:w="272" w:type="pct"/>
            <w:vAlign w:val="center"/>
          </w:tcPr>
          <w:p w14:paraId="1F83D750" w14:textId="77777777" w:rsidR="009A51F0" w:rsidRPr="007D1A8F" w:rsidRDefault="009A51F0" w:rsidP="00DC1F59">
            <w:pPr>
              <w:jc w:val="right"/>
              <w:rPr>
                <w:sz w:val="20"/>
                <w:szCs w:val="20"/>
              </w:rPr>
            </w:pPr>
            <w:r w:rsidRPr="007D1A8F">
              <w:rPr>
                <w:sz w:val="20"/>
                <w:szCs w:val="20"/>
              </w:rPr>
              <w:lastRenderedPageBreak/>
              <w:t>1) 0.187</w:t>
            </w:r>
          </w:p>
          <w:p w14:paraId="1FE7CD44" w14:textId="77777777" w:rsidR="009A51F0" w:rsidRPr="007D1A8F" w:rsidRDefault="009A51F0" w:rsidP="00DC1F59">
            <w:pPr>
              <w:jc w:val="right"/>
              <w:rPr>
                <w:sz w:val="20"/>
                <w:szCs w:val="20"/>
              </w:rPr>
            </w:pPr>
          </w:p>
          <w:p w14:paraId="1ABA5BD5" w14:textId="77777777" w:rsidR="009A51F0" w:rsidRPr="007D1A8F" w:rsidRDefault="009A51F0" w:rsidP="00DC1F59">
            <w:pPr>
              <w:jc w:val="right"/>
              <w:rPr>
                <w:sz w:val="20"/>
                <w:szCs w:val="20"/>
              </w:rPr>
            </w:pPr>
            <w:r w:rsidRPr="007D1A8F">
              <w:rPr>
                <w:sz w:val="20"/>
                <w:szCs w:val="20"/>
              </w:rPr>
              <w:t>2) 0.187</w:t>
            </w:r>
          </w:p>
        </w:tc>
        <w:tc>
          <w:tcPr>
            <w:tcW w:w="272" w:type="pct"/>
            <w:vAlign w:val="center"/>
          </w:tcPr>
          <w:p w14:paraId="7A61C1B5"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135139F6"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2E2959ED" w14:textId="77777777" w:rsidR="009A51F0" w:rsidRPr="007D1A8F" w:rsidRDefault="009A51F0" w:rsidP="00DC1F59">
            <w:pPr>
              <w:jc w:val="right"/>
              <w:rPr>
                <w:sz w:val="20"/>
                <w:szCs w:val="20"/>
              </w:rPr>
            </w:pPr>
            <w:r w:rsidRPr="007D1A8F">
              <w:rPr>
                <w:sz w:val="20"/>
                <w:szCs w:val="20"/>
              </w:rPr>
              <w:t>1) 0.498</w:t>
            </w:r>
          </w:p>
          <w:p w14:paraId="036B9E7C" w14:textId="77777777" w:rsidR="009A51F0" w:rsidRPr="007D1A8F" w:rsidRDefault="009A51F0" w:rsidP="00DC1F59">
            <w:pPr>
              <w:jc w:val="right"/>
              <w:rPr>
                <w:sz w:val="20"/>
                <w:szCs w:val="20"/>
              </w:rPr>
            </w:pPr>
          </w:p>
          <w:p w14:paraId="52ABB62A" w14:textId="77777777" w:rsidR="009A51F0" w:rsidRPr="007D1A8F" w:rsidRDefault="009A51F0" w:rsidP="00DC1F59">
            <w:pPr>
              <w:jc w:val="right"/>
              <w:rPr>
                <w:sz w:val="20"/>
                <w:szCs w:val="20"/>
              </w:rPr>
            </w:pPr>
            <w:r w:rsidRPr="007D1A8F">
              <w:rPr>
                <w:sz w:val="20"/>
                <w:szCs w:val="20"/>
              </w:rPr>
              <w:t>2) 0.498</w:t>
            </w:r>
          </w:p>
        </w:tc>
        <w:tc>
          <w:tcPr>
            <w:tcW w:w="272" w:type="pct"/>
            <w:vAlign w:val="center"/>
          </w:tcPr>
          <w:p w14:paraId="20784F2A"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4281B2EF"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04BA48E7" w14:textId="77777777" w:rsidR="009A51F0" w:rsidRPr="007D1A8F" w:rsidRDefault="009A51F0" w:rsidP="00DC1F59">
            <w:pPr>
              <w:jc w:val="right"/>
              <w:rPr>
                <w:sz w:val="20"/>
                <w:szCs w:val="20"/>
              </w:rPr>
            </w:pPr>
            <w:r w:rsidRPr="007D1A8F">
              <w:rPr>
                <w:sz w:val="20"/>
                <w:szCs w:val="20"/>
              </w:rPr>
              <w:t>1) 0.649</w:t>
            </w:r>
          </w:p>
          <w:p w14:paraId="798B83BB" w14:textId="77777777" w:rsidR="009A51F0" w:rsidRPr="007D1A8F" w:rsidRDefault="009A51F0" w:rsidP="00DC1F59">
            <w:pPr>
              <w:jc w:val="right"/>
              <w:rPr>
                <w:sz w:val="20"/>
                <w:szCs w:val="20"/>
              </w:rPr>
            </w:pPr>
          </w:p>
          <w:p w14:paraId="78499783" w14:textId="77777777" w:rsidR="009A51F0" w:rsidRPr="007D1A8F" w:rsidRDefault="009A51F0" w:rsidP="00DC1F59">
            <w:pPr>
              <w:jc w:val="right"/>
              <w:rPr>
                <w:sz w:val="20"/>
                <w:szCs w:val="20"/>
              </w:rPr>
            </w:pPr>
            <w:r w:rsidRPr="007D1A8F">
              <w:rPr>
                <w:sz w:val="20"/>
                <w:szCs w:val="20"/>
              </w:rPr>
              <w:t>2) 0.649</w:t>
            </w:r>
          </w:p>
        </w:tc>
        <w:tc>
          <w:tcPr>
            <w:tcW w:w="274" w:type="pct"/>
            <w:vAlign w:val="center"/>
          </w:tcPr>
          <w:p w14:paraId="3A468316" w14:textId="77777777" w:rsidR="009A51F0" w:rsidRPr="007D1A8F" w:rsidRDefault="009A51F0" w:rsidP="00DC1F59">
            <w:pPr>
              <w:jc w:val="right"/>
              <w:rPr>
                <w:sz w:val="20"/>
                <w:szCs w:val="20"/>
              </w:rPr>
            </w:pPr>
            <w:r w:rsidRPr="007D1A8F">
              <w:rPr>
                <w:sz w:val="20"/>
                <w:szCs w:val="20"/>
              </w:rPr>
              <w:t>-</w:t>
            </w:r>
          </w:p>
        </w:tc>
        <w:tc>
          <w:tcPr>
            <w:tcW w:w="264" w:type="pct"/>
            <w:vAlign w:val="center"/>
          </w:tcPr>
          <w:p w14:paraId="3E1FBEA1" w14:textId="77777777" w:rsidR="009A51F0" w:rsidRPr="007D1A8F" w:rsidRDefault="009A51F0" w:rsidP="00DC1F59">
            <w:pPr>
              <w:jc w:val="right"/>
              <w:rPr>
                <w:sz w:val="20"/>
                <w:szCs w:val="20"/>
              </w:rPr>
            </w:pPr>
            <w:r w:rsidRPr="007D1A8F">
              <w:rPr>
                <w:sz w:val="20"/>
                <w:szCs w:val="20"/>
              </w:rPr>
              <w:t xml:space="preserve">- </w:t>
            </w:r>
          </w:p>
        </w:tc>
      </w:tr>
      <w:tr w:rsidR="000415F0" w:rsidRPr="007D1A8F" w14:paraId="70BD061E" w14:textId="77777777" w:rsidTr="008332BC">
        <w:trPr>
          <w:trHeight w:val="1329"/>
        </w:trPr>
        <w:tc>
          <w:tcPr>
            <w:tcW w:w="990" w:type="pct"/>
          </w:tcPr>
          <w:p w14:paraId="6DADFE7C" w14:textId="77777777" w:rsidR="009A51F0" w:rsidRPr="007D1A8F" w:rsidRDefault="009A51F0" w:rsidP="00DC1F59">
            <w:pPr>
              <w:rPr>
                <w:b/>
                <w:sz w:val="18"/>
                <w:szCs w:val="20"/>
              </w:rPr>
            </w:pPr>
            <w:r w:rsidRPr="007D1A8F">
              <w:rPr>
                <w:b/>
                <w:sz w:val="18"/>
                <w:szCs w:val="20"/>
              </w:rPr>
              <w:t>Hearing Health Outcome Measure 3</w:t>
            </w:r>
          </w:p>
          <w:p w14:paraId="4708D8A0" w14:textId="77777777" w:rsidR="009A51F0" w:rsidRPr="007D1A8F" w:rsidRDefault="009A51F0" w:rsidP="00DC1F59">
            <w:pPr>
              <w:rPr>
                <w:spacing w:val="4"/>
                <w:sz w:val="18"/>
                <w:szCs w:val="20"/>
                <w:lang w:eastAsia="en-US"/>
              </w:rPr>
            </w:pPr>
            <w:r w:rsidRPr="007D1A8F">
              <w:rPr>
                <w:sz w:val="18"/>
                <w:szCs w:val="20"/>
              </w:rPr>
              <w:t>The proportion of children aged 0-5 and 6</w:t>
            </w:r>
            <w:r w:rsidRPr="007D1A8F">
              <w:rPr>
                <w:sz w:val="18"/>
                <w:szCs w:val="20"/>
              </w:rPr>
              <w:noBreakHyphen/>
              <w:t xml:space="preserve">15 years </w:t>
            </w:r>
            <w:r w:rsidRPr="007D1A8F">
              <w:rPr>
                <w:spacing w:val="4"/>
                <w:sz w:val="18"/>
                <w:szCs w:val="20"/>
                <w:lang w:eastAsia="en-US"/>
              </w:rPr>
              <w:t>that have received an audiology check or CHHC service who are found to have dry perforation.</w:t>
            </w:r>
          </w:p>
        </w:tc>
        <w:tc>
          <w:tcPr>
            <w:tcW w:w="477" w:type="pct"/>
          </w:tcPr>
          <w:p w14:paraId="396B5C73" w14:textId="75CF339D" w:rsidR="009A51F0" w:rsidRPr="007D1A8F" w:rsidRDefault="009A51F0" w:rsidP="00DC1F59">
            <w:pPr>
              <w:rPr>
                <w:sz w:val="18"/>
                <w:szCs w:val="20"/>
              </w:rPr>
            </w:pPr>
            <w:r w:rsidRPr="007D1A8F">
              <w:rPr>
                <w:spacing w:val="4"/>
                <w:sz w:val="18"/>
                <w:szCs w:val="20"/>
                <w:lang w:eastAsia="en-US"/>
              </w:rPr>
              <w:t>1) 10% of children (0-5 year</w:t>
            </w:r>
            <w:r w:rsidR="008332BC">
              <w:rPr>
                <w:spacing w:val="4"/>
                <w:sz w:val="18"/>
                <w:szCs w:val="20"/>
                <w:lang w:eastAsia="en-US"/>
              </w:rPr>
              <w:t>s</w:t>
            </w:r>
            <w:r w:rsidRPr="007D1A8F">
              <w:rPr>
                <w:spacing w:val="4"/>
                <w:sz w:val="18"/>
                <w:szCs w:val="20"/>
                <w:lang w:eastAsia="en-US"/>
              </w:rPr>
              <w:t xml:space="preserve">) tested in period </w:t>
            </w:r>
            <w:r w:rsidRPr="007D1A8F">
              <w:rPr>
                <w:sz w:val="18"/>
                <w:szCs w:val="20"/>
              </w:rPr>
              <w:t>2007-2011</w:t>
            </w:r>
          </w:p>
          <w:p w14:paraId="66C677F3" w14:textId="77777777" w:rsidR="009A51F0" w:rsidRPr="007D1A8F" w:rsidRDefault="009A51F0" w:rsidP="00DC1F59">
            <w:pPr>
              <w:rPr>
                <w:sz w:val="18"/>
                <w:szCs w:val="20"/>
              </w:rPr>
            </w:pPr>
          </w:p>
          <w:p w14:paraId="66F48CC0" w14:textId="77777777" w:rsidR="009A51F0" w:rsidRPr="007D1A8F" w:rsidRDefault="009A51F0" w:rsidP="00DC1F59">
            <w:pPr>
              <w:rPr>
                <w:sz w:val="18"/>
                <w:szCs w:val="20"/>
              </w:rPr>
            </w:pPr>
          </w:p>
          <w:p w14:paraId="4EC89C08" w14:textId="75EBE578" w:rsidR="009A51F0" w:rsidRPr="007D1A8F" w:rsidRDefault="009A51F0" w:rsidP="00DC1F59">
            <w:pPr>
              <w:rPr>
                <w:rFonts w:cs="Arial"/>
                <w:b/>
                <w:spacing w:val="4"/>
                <w:sz w:val="18"/>
                <w:szCs w:val="20"/>
                <w:lang w:eastAsia="en-US"/>
              </w:rPr>
            </w:pPr>
            <w:r w:rsidRPr="007D1A8F">
              <w:rPr>
                <w:sz w:val="18"/>
                <w:szCs w:val="20"/>
              </w:rPr>
              <w:t>2) 17% of children (6-15 year</w:t>
            </w:r>
            <w:r w:rsidR="008332BC">
              <w:rPr>
                <w:sz w:val="18"/>
                <w:szCs w:val="20"/>
              </w:rPr>
              <w:t>s</w:t>
            </w:r>
            <w:r w:rsidRPr="007D1A8F">
              <w:rPr>
                <w:sz w:val="18"/>
                <w:szCs w:val="20"/>
              </w:rPr>
              <w:t>) tested in period 2007-2011</w:t>
            </w:r>
          </w:p>
        </w:tc>
        <w:tc>
          <w:tcPr>
            <w:tcW w:w="1088" w:type="pct"/>
          </w:tcPr>
          <w:p w14:paraId="0116C989" w14:textId="77777777" w:rsidR="009A51F0" w:rsidRPr="007D1A8F" w:rsidRDefault="009A51F0" w:rsidP="00DC1F59">
            <w:pPr>
              <w:rPr>
                <w:spacing w:val="4"/>
                <w:sz w:val="18"/>
                <w:szCs w:val="20"/>
                <w:lang w:eastAsia="en-US"/>
              </w:rPr>
            </w:pPr>
            <w:r w:rsidRPr="007D1A8F">
              <w:rPr>
                <w:spacing w:val="4"/>
                <w:sz w:val="18"/>
                <w:szCs w:val="20"/>
                <w:lang w:eastAsia="en-US"/>
              </w:rPr>
              <w:t xml:space="preserve">1) </w:t>
            </w:r>
            <w:r w:rsidRPr="007D1A8F">
              <w:rPr>
                <w:b/>
                <w:sz w:val="18"/>
                <w:szCs w:val="20"/>
              </w:rPr>
              <w:t>Progress Report 1:</w:t>
            </w:r>
            <w:r w:rsidRPr="007D1A8F">
              <w:rPr>
                <w:sz w:val="18"/>
                <w:szCs w:val="20"/>
              </w:rPr>
              <w:t xml:space="preserve"> </w:t>
            </w:r>
            <w:r w:rsidRPr="007D1A8F">
              <w:rPr>
                <w:spacing w:val="4"/>
                <w:sz w:val="18"/>
                <w:szCs w:val="20"/>
                <w:lang w:eastAsia="en-US"/>
              </w:rPr>
              <w:t xml:space="preserve">9% or less of children </w:t>
            </w:r>
            <w:r w:rsidRPr="007D1A8F">
              <w:rPr>
                <w:sz w:val="18"/>
                <w:szCs w:val="20"/>
              </w:rPr>
              <w:t>tested between July 2012 and June 2015</w:t>
            </w:r>
          </w:p>
          <w:p w14:paraId="623E2C16" w14:textId="77777777" w:rsidR="009A51F0" w:rsidRPr="007D1A8F" w:rsidRDefault="009A51F0" w:rsidP="00DC1F59">
            <w:pPr>
              <w:rPr>
                <w:spacing w:val="4"/>
                <w:sz w:val="18"/>
                <w:szCs w:val="20"/>
                <w:lang w:eastAsia="en-US"/>
              </w:rPr>
            </w:pPr>
            <w:r w:rsidRPr="007D1A8F">
              <w:rPr>
                <w:b/>
                <w:sz w:val="18"/>
                <w:szCs w:val="20"/>
              </w:rPr>
              <w:t>Progress Report 2</w:t>
            </w:r>
            <w:r w:rsidRPr="007D1A8F">
              <w:rPr>
                <w:b/>
                <w:spacing w:val="4"/>
                <w:sz w:val="18"/>
                <w:szCs w:val="20"/>
                <w:lang w:eastAsia="en-US"/>
              </w:rPr>
              <w:t xml:space="preserve">: </w:t>
            </w:r>
            <w:r w:rsidRPr="007D1A8F">
              <w:rPr>
                <w:spacing w:val="4"/>
                <w:sz w:val="18"/>
                <w:szCs w:val="20"/>
                <w:lang w:eastAsia="en-US"/>
              </w:rPr>
              <w:t xml:space="preserve">8% or less of children </w:t>
            </w:r>
            <w:r w:rsidRPr="007D1A8F">
              <w:rPr>
                <w:sz w:val="18"/>
                <w:szCs w:val="20"/>
              </w:rPr>
              <w:t>tested between July 2015 and December 2018</w:t>
            </w:r>
          </w:p>
          <w:p w14:paraId="062E455A" w14:textId="77777777" w:rsidR="009A51F0" w:rsidRPr="007D1A8F" w:rsidRDefault="009A51F0" w:rsidP="00DC1F59">
            <w:pPr>
              <w:rPr>
                <w:b/>
                <w:spacing w:val="4"/>
                <w:sz w:val="18"/>
                <w:szCs w:val="20"/>
                <w:lang w:eastAsia="en-US"/>
              </w:rPr>
            </w:pPr>
            <w:r w:rsidRPr="007D1A8F">
              <w:rPr>
                <w:b/>
                <w:sz w:val="18"/>
                <w:szCs w:val="20"/>
              </w:rPr>
              <w:t xml:space="preserve">Progress Report 3: </w:t>
            </w:r>
            <w:r w:rsidRPr="007D1A8F">
              <w:rPr>
                <w:sz w:val="18"/>
                <w:szCs w:val="20"/>
              </w:rPr>
              <w:t>5% or less of children tested between January 2019 and December 2021</w:t>
            </w:r>
          </w:p>
          <w:p w14:paraId="38274837" w14:textId="77777777" w:rsidR="009A51F0" w:rsidRPr="007D1A8F" w:rsidRDefault="009A51F0" w:rsidP="00DC1F59">
            <w:pPr>
              <w:rPr>
                <w:spacing w:val="4"/>
                <w:sz w:val="18"/>
                <w:szCs w:val="20"/>
                <w:lang w:eastAsia="en-US"/>
              </w:rPr>
            </w:pPr>
          </w:p>
          <w:p w14:paraId="560A3A80" w14:textId="77777777" w:rsidR="009A51F0" w:rsidRPr="007D1A8F" w:rsidRDefault="009A51F0" w:rsidP="00DC1F59">
            <w:pPr>
              <w:rPr>
                <w:b/>
                <w:spacing w:val="4"/>
                <w:sz w:val="18"/>
                <w:szCs w:val="20"/>
                <w:lang w:eastAsia="en-US"/>
              </w:rPr>
            </w:pPr>
            <w:r w:rsidRPr="007D1A8F">
              <w:rPr>
                <w:spacing w:val="4"/>
                <w:sz w:val="18"/>
                <w:szCs w:val="20"/>
                <w:lang w:eastAsia="en-US"/>
              </w:rPr>
              <w:t>2) </w:t>
            </w:r>
            <w:r w:rsidRPr="007D1A8F">
              <w:rPr>
                <w:b/>
                <w:sz w:val="18"/>
                <w:szCs w:val="20"/>
              </w:rPr>
              <w:t>Progress Report 1</w:t>
            </w:r>
            <w:r w:rsidRPr="007D1A8F">
              <w:rPr>
                <w:rStyle w:val="FootnoteReference"/>
                <w:b/>
                <w:sz w:val="18"/>
                <w:szCs w:val="20"/>
              </w:rPr>
              <w:footnoteReference w:id="4"/>
            </w:r>
            <w:r w:rsidRPr="007D1A8F">
              <w:rPr>
                <w:b/>
                <w:spacing w:val="4"/>
                <w:sz w:val="18"/>
                <w:szCs w:val="20"/>
                <w:lang w:eastAsia="en-US"/>
              </w:rPr>
              <w:t>:</w:t>
            </w:r>
            <w:r w:rsidRPr="007D1A8F">
              <w:rPr>
                <w:spacing w:val="4"/>
                <w:sz w:val="18"/>
                <w:szCs w:val="20"/>
                <w:lang w:eastAsia="en-US"/>
              </w:rPr>
              <w:t xml:space="preserve"> 18% or less of children </w:t>
            </w:r>
            <w:r w:rsidRPr="007D1A8F">
              <w:rPr>
                <w:sz w:val="18"/>
                <w:szCs w:val="20"/>
              </w:rPr>
              <w:t>tested between July 2012 and June 2015</w:t>
            </w:r>
          </w:p>
          <w:p w14:paraId="61731624" w14:textId="77777777" w:rsidR="009A51F0" w:rsidRPr="007D1A8F" w:rsidRDefault="009A51F0" w:rsidP="00DC1F59">
            <w:pPr>
              <w:rPr>
                <w:spacing w:val="4"/>
                <w:sz w:val="18"/>
                <w:szCs w:val="20"/>
                <w:lang w:eastAsia="en-US"/>
              </w:rPr>
            </w:pPr>
            <w:r w:rsidRPr="007D1A8F">
              <w:rPr>
                <w:b/>
                <w:sz w:val="18"/>
                <w:szCs w:val="20"/>
              </w:rPr>
              <w:t>Progress Report 2</w:t>
            </w:r>
            <w:r w:rsidRPr="007D1A8F">
              <w:rPr>
                <w:b/>
                <w:spacing w:val="4"/>
                <w:sz w:val="18"/>
                <w:szCs w:val="20"/>
                <w:lang w:eastAsia="en-US"/>
              </w:rPr>
              <w:t xml:space="preserve">: </w:t>
            </w:r>
            <w:r w:rsidRPr="007D1A8F">
              <w:rPr>
                <w:spacing w:val="4"/>
                <w:sz w:val="18"/>
                <w:szCs w:val="20"/>
                <w:lang w:eastAsia="en-US"/>
              </w:rPr>
              <w:t xml:space="preserve">17% or less of children </w:t>
            </w:r>
            <w:r w:rsidRPr="007D1A8F">
              <w:rPr>
                <w:sz w:val="18"/>
                <w:szCs w:val="20"/>
              </w:rPr>
              <w:t>tested between July 2015 and December 2018</w:t>
            </w:r>
          </w:p>
          <w:p w14:paraId="17255486" w14:textId="77777777" w:rsidR="009A51F0" w:rsidRPr="007D1A8F" w:rsidRDefault="009A51F0" w:rsidP="00DC1F59">
            <w:pPr>
              <w:rPr>
                <w:b/>
                <w:spacing w:val="4"/>
                <w:sz w:val="18"/>
                <w:szCs w:val="20"/>
                <w:lang w:eastAsia="en-US"/>
              </w:rPr>
            </w:pPr>
            <w:r w:rsidRPr="007D1A8F">
              <w:rPr>
                <w:b/>
                <w:sz w:val="18"/>
                <w:szCs w:val="20"/>
              </w:rPr>
              <w:t>Progress Report 3:</w:t>
            </w:r>
            <w:r w:rsidRPr="007D1A8F">
              <w:rPr>
                <w:sz w:val="18"/>
                <w:szCs w:val="20"/>
              </w:rPr>
              <w:t xml:space="preserve"> 9% or less of children tested between January 2019 and December 2021</w:t>
            </w:r>
          </w:p>
        </w:tc>
        <w:tc>
          <w:tcPr>
            <w:tcW w:w="272" w:type="pct"/>
            <w:vAlign w:val="center"/>
          </w:tcPr>
          <w:p w14:paraId="0E284C4F" w14:textId="77777777" w:rsidR="009A51F0" w:rsidRPr="007D1A8F" w:rsidRDefault="009A51F0" w:rsidP="00DC1F59">
            <w:pPr>
              <w:jc w:val="right"/>
              <w:rPr>
                <w:sz w:val="20"/>
                <w:szCs w:val="20"/>
              </w:rPr>
            </w:pPr>
            <w:r w:rsidRPr="007D1A8F">
              <w:rPr>
                <w:sz w:val="20"/>
                <w:szCs w:val="20"/>
              </w:rPr>
              <w:t>1) 0.187</w:t>
            </w:r>
          </w:p>
          <w:p w14:paraId="3B042BF2" w14:textId="77777777" w:rsidR="009A51F0" w:rsidRPr="007D1A8F" w:rsidRDefault="009A51F0" w:rsidP="00DC1F59">
            <w:pPr>
              <w:jc w:val="right"/>
              <w:rPr>
                <w:sz w:val="20"/>
                <w:szCs w:val="20"/>
              </w:rPr>
            </w:pPr>
          </w:p>
          <w:p w14:paraId="2A16B410" w14:textId="77777777" w:rsidR="009A51F0" w:rsidRPr="007D1A8F" w:rsidRDefault="009A51F0" w:rsidP="00DC1F59">
            <w:pPr>
              <w:jc w:val="right"/>
              <w:rPr>
                <w:sz w:val="20"/>
                <w:szCs w:val="20"/>
              </w:rPr>
            </w:pPr>
            <w:r w:rsidRPr="007D1A8F">
              <w:rPr>
                <w:sz w:val="20"/>
                <w:szCs w:val="20"/>
              </w:rPr>
              <w:t>2) 0.187</w:t>
            </w:r>
          </w:p>
        </w:tc>
        <w:tc>
          <w:tcPr>
            <w:tcW w:w="272" w:type="pct"/>
            <w:vAlign w:val="center"/>
          </w:tcPr>
          <w:p w14:paraId="440698C9"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4C204217"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0C945BDA" w14:textId="77777777" w:rsidR="009A51F0" w:rsidRPr="007D1A8F" w:rsidRDefault="009A51F0" w:rsidP="00DC1F59">
            <w:pPr>
              <w:jc w:val="right"/>
              <w:rPr>
                <w:sz w:val="20"/>
                <w:szCs w:val="20"/>
              </w:rPr>
            </w:pPr>
            <w:r w:rsidRPr="007D1A8F">
              <w:rPr>
                <w:sz w:val="20"/>
                <w:szCs w:val="20"/>
              </w:rPr>
              <w:t>1) 0.498</w:t>
            </w:r>
          </w:p>
          <w:p w14:paraId="32947876" w14:textId="77777777" w:rsidR="009A51F0" w:rsidRPr="007D1A8F" w:rsidRDefault="009A51F0" w:rsidP="00DC1F59">
            <w:pPr>
              <w:jc w:val="right"/>
              <w:rPr>
                <w:sz w:val="20"/>
                <w:szCs w:val="20"/>
              </w:rPr>
            </w:pPr>
          </w:p>
          <w:p w14:paraId="04DE1E8A" w14:textId="77777777" w:rsidR="009A51F0" w:rsidRPr="007D1A8F" w:rsidRDefault="009A51F0" w:rsidP="00DC1F59">
            <w:pPr>
              <w:jc w:val="right"/>
              <w:rPr>
                <w:sz w:val="20"/>
                <w:szCs w:val="20"/>
              </w:rPr>
            </w:pPr>
            <w:r w:rsidRPr="007D1A8F">
              <w:rPr>
                <w:sz w:val="20"/>
                <w:szCs w:val="20"/>
              </w:rPr>
              <w:t>2) 0.498</w:t>
            </w:r>
          </w:p>
        </w:tc>
        <w:tc>
          <w:tcPr>
            <w:tcW w:w="272" w:type="pct"/>
            <w:vAlign w:val="center"/>
          </w:tcPr>
          <w:p w14:paraId="5846352D"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1872DD29"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099B3142" w14:textId="77777777" w:rsidR="009A51F0" w:rsidRPr="007D1A8F" w:rsidRDefault="009A51F0" w:rsidP="00DC1F59">
            <w:pPr>
              <w:jc w:val="right"/>
              <w:rPr>
                <w:sz w:val="20"/>
                <w:szCs w:val="20"/>
              </w:rPr>
            </w:pPr>
            <w:r w:rsidRPr="007D1A8F">
              <w:rPr>
                <w:sz w:val="20"/>
                <w:szCs w:val="20"/>
              </w:rPr>
              <w:t>1) 0.649</w:t>
            </w:r>
          </w:p>
          <w:p w14:paraId="21BD6FC5" w14:textId="77777777" w:rsidR="009A51F0" w:rsidRPr="007D1A8F" w:rsidRDefault="009A51F0" w:rsidP="00DC1F59">
            <w:pPr>
              <w:jc w:val="right"/>
              <w:rPr>
                <w:sz w:val="20"/>
                <w:szCs w:val="20"/>
              </w:rPr>
            </w:pPr>
          </w:p>
          <w:p w14:paraId="7B759448" w14:textId="77777777" w:rsidR="009A51F0" w:rsidRPr="007D1A8F" w:rsidRDefault="009A51F0" w:rsidP="00DC1F59">
            <w:pPr>
              <w:jc w:val="right"/>
              <w:rPr>
                <w:sz w:val="20"/>
                <w:szCs w:val="20"/>
              </w:rPr>
            </w:pPr>
            <w:r w:rsidRPr="007D1A8F">
              <w:rPr>
                <w:sz w:val="20"/>
                <w:szCs w:val="20"/>
              </w:rPr>
              <w:t>2) 0.649</w:t>
            </w:r>
          </w:p>
        </w:tc>
        <w:tc>
          <w:tcPr>
            <w:tcW w:w="274" w:type="pct"/>
            <w:vAlign w:val="center"/>
          </w:tcPr>
          <w:p w14:paraId="68C68571" w14:textId="77777777" w:rsidR="009A51F0" w:rsidRPr="007D1A8F" w:rsidRDefault="009A51F0" w:rsidP="00DC1F59">
            <w:pPr>
              <w:jc w:val="right"/>
              <w:rPr>
                <w:sz w:val="20"/>
                <w:szCs w:val="20"/>
              </w:rPr>
            </w:pPr>
            <w:r w:rsidRPr="007D1A8F">
              <w:rPr>
                <w:sz w:val="20"/>
                <w:szCs w:val="20"/>
              </w:rPr>
              <w:t>-</w:t>
            </w:r>
          </w:p>
        </w:tc>
        <w:tc>
          <w:tcPr>
            <w:tcW w:w="264" w:type="pct"/>
            <w:vAlign w:val="center"/>
          </w:tcPr>
          <w:p w14:paraId="22FA207C" w14:textId="77777777" w:rsidR="009A51F0" w:rsidRPr="007D1A8F" w:rsidRDefault="009A51F0" w:rsidP="00DC1F59">
            <w:pPr>
              <w:jc w:val="right"/>
              <w:rPr>
                <w:sz w:val="20"/>
                <w:szCs w:val="20"/>
              </w:rPr>
            </w:pPr>
            <w:r w:rsidRPr="007D1A8F">
              <w:rPr>
                <w:sz w:val="20"/>
                <w:szCs w:val="20"/>
              </w:rPr>
              <w:t xml:space="preserve">- </w:t>
            </w:r>
          </w:p>
        </w:tc>
      </w:tr>
      <w:tr w:rsidR="000415F0" w:rsidRPr="007D1A8F" w14:paraId="39408B02" w14:textId="77777777" w:rsidTr="008332BC">
        <w:trPr>
          <w:trHeight w:val="1329"/>
        </w:trPr>
        <w:tc>
          <w:tcPr>
            <w:tcW w:w="990" w:type="pct"/>
          </w:tcPr>
          <w:p w14:paraId="1EA09B45" w14:textId="77777777" w:rsidR="009A51F0" w:rsidRPr="007D1A8F" w:rsidRDefault="009A51F0" w:rsidP="00DC1F59">
            <w:pPr>
              <w:tabs>
                <w:tab w:val="left" w:pos="1478"/>
              </w:tabs>
              <w:rPr>
                <w:b/>
                <w:sz w:val="18"/>
                <w:szCs w:val="20"/>
              </w:rPr>
            </w:pPr>
            <w:r w:rsidRPr="007D1A8F">
              <w:rPr>
                <w:b/>
                <w:sz w:val="18"/>
                <w:szCs w:val="20"/>
              </w:rPr>
              <w:lastRenderedPageBreak/>
              <w:t xml:space="preserve">Hearing Health Outcome Measure 4 </w:t>
            </w:r>
          </w:p>
          <w:p w14:paraId="12716EFA" w14:textId="77777777" w:rsidR="009A51F0" w:rsidRPr="007D1A8F" w:rsidRDefault="009A51F0" w:rsidP="00DC1F59">
            <w:pPr>
              <w:rPr>
                <w:b/>
                <w:sz w:val="18"/>
                <w:szCs w:val="20"/>
              </w:rPr>
            </w:pPr>
            <w:r w:rsidRPr="007D1A8F">
              <w:rPr>
                <w:sz w:val="18"/>
                <w:szCs w:val="20"/>
              </w:rPr>
              <w:t>The rate of improvement in hearing for children who are in a treatment pathway.</w:t>
            </w:r>
          </w:p>
        </w:tc>
        <w:tc>
          <w:tcPr>
            <w:tcW w:w="477" w:type="pct"/>
          </w:tcPr>
          <w:p w14:paraId="24BB162F" w14:textId="77777777" w:rsidR="009A51F0" w:rsidRPr="007D1A8F" w:rsidRDefault="009A51F0" w:rsidP="00DC1F59">
            <w:pPr>
              <w:rPr>
                <w:sz w:val="18"/>
                <w:szCs w:val="20"/>
              </w:rPr>
            </w:pPr>
            <w:r w:rsidRPr="007D1A8F">
              <w:rPr>
                <w:sz w:val="18"/>
                <w:szCs w:val="20"/>
              </w:rPr>
              <w:t>1) 46% of children (0-4 years) in a treatment pathway had improved hearing in the period 2007-2011</w:t>
            </w:r>
          </w:p>
          <w:p w14:paraId="384EC6BE" w14:textId="77777777" w:rsidR="009A51F0" w:rsidRPr="007D1A8F" w:rsidRDefault="009A51F0" w:rsidP="00DC1F59">
            <w:pPr>
              <w:rPr>
                <w:sz w:val="18"/>
                <w:szCs w:val="20"/>
              </w:rPr>
            </w:pPr>
          </w:p>
          <w:p w14:paraId="412B2D4E" w14:textId="77777777" w:rsidR="009A51F0" w:rsidRPr="007D1A8F" w:rsidRDefault="009A51F0" w:rsidP="00DC1F59">
            <w:pPr>
              <w:rPr>
                <w:spacing w:val="4"/>
                <w:sz w:val="18"/>
                <w:szCs w:val="20"/>
                <w:lang w:eastAsia="en-US"/>
              </w:rPr>
            </w:pPr>
            <w:r w:rsidRPr="007D1A8F">
              <w:rPr>
                <w:sz w:val="18"/>
                <w:szCs w:val="20"/>
              </w:rPr>
              <w:t>2) 55% of children (5-15 years) in a treatment pathway had improved hearing in the period 2007-2011</w:t>
            </w:r>
          </w:p>
        </w:tc>
        <w:tc>
          <w:tcPr>
            <w:tcW w:w="1088" w:type="pct"/>
          </w:tcPr>
          <w:p w14:paraId="3075F1B6" w14:textId="77777777" w:rsidR="009A51F0" w:rsidRPr="007D1A8F" w:rsidRDefault="009A51F0" w:rsidP="00DC1F59">
            <w:pPr>
              <w:rPr>
                <w:sz w:val="18"/>
                <w:szCs w:val="20"/>
              </w:rPr>
            </w:pPr>
            <w:r w:rsidRPr="007D1A8F">
              <w:rPr>
                <w:sz w:val="18"/>
                <w:szCs w:val="20"/>
              </w:rPr>
              <w:t xml:space="preserve">1) </w:t>
            </w:r>
            <w:r w:rsidRPr="007D1A8F">
              <w:rPr>
                <w:b/>
                <w:sz w:val="18"/>
                <w:szCs w:val="20"/>
              </w:rPr>
              <w:t>Progress Report 1:</w:t>
            </w:r>
            <w:r w:rsidRPr="007D1A8F">
              <w:rPr>
                <w:sz w:val="18"/>
                <w:szCs w:val="20"/>
              </w:rPr>
              <w:t xml:space="preserve"> at least 46% of children who are tested between July 2012 and June 2015.</w:t>
            </w:r>
          </w:p>
          <w:p w14:paraId="37C6ADEE" w14:textId="77777777" w:rsidR="009A51F0" w:rsidRPr="007D1A8F" w:rsidRDefault="009A51F0" w:rsidP="00DC1F59">
            <w:pPr>
              <w:rPr>
                <w:sz w:val="18"/>
                <w:szCs w:val="20"/>
              </w:rPr>
            </w:pPr>
          </w:p>
          <w:p w14:paraId="5C0B62FE" w14:textId="77777777" w:rsidR="009A51F0" w:rsidRPr="007D1A8F" w:rsidRDefault="009A51F0" w:rsidP="00DC1F59">
            <w:pPr>
              <w:rPr>
                <w:sz w:val="18"/>
                <w:szCs w:val="20"/>
              </w:rPr>
            </w:pPr>
          </w:p>
          <w:p w14:paraId="3BE19AD1" w14:textId="77777777" w:rsidR="009A51F0" w:rsidRPr="007D1A8F" w:rsidRDefault="009A51F0" w:rsidP="00DC1F59">
            <w:pPr>
              <w:rPr>
                <w:sz w:val="18"/>
                <w:szCs w:val="20"/>
              </w:rPr>
            </w:pPr>
          </w:p>
          <w:p w14:paraId="58FD1705" w14:textId="77777777" w:rsidR="009A51F0" w:rsidRPr="007D1A8F" w:rsidRDefault="009A51F0" w:rsidP="00DC1F59">
            <w:pPr>
              <w:rPr>
                <w:sz w:val="18"/>
                <w:szCs w:val="20"/>
              </w:rPr>
            </w:pPr>
          </w:p>
          <w:p w14:paraId="00690585" w14:textId="77777777" w:rsidR="009A51F0" w:rsidRPr="007D1A8F" w:rsidRDefault="009A51F0" w:rsidP="00DC1F59">
            <w:pPr>
              <w:rPr>
                <w:sz w:val="18"/>
                <w:szCs w:val="20"/>
              </w:rPr>
            </w:pPr>
          </w:p>
          <w:p w14:paraId="5805659B" w14:textId="77777777" w:rsidR="009A51F0" w:rsidRPr="007D1A8F" w:rsidRDefault="009A51F0" w:rsidP="00DC1F59">
            <w:pPr>
              <w:rPr>
                <w:sz w:val="18"/>
                <w:szCs w:val="20"/>
              </w:rPr>
            </w:pPr>
          </w:p>
          <w:p w14:paraId="6217BE2E" w14:textId="77777777" w:rsidR="009A51F0" w:rsidRPr="007D1A8F" w:rsidRDefault="009A51F0" w:rsidP="00DC1F59">
            <w:pPr>
              <w:rPr>
                <w:sz w:val="18"/>
                <w:szCs w:val="20"/>
              </w:rPr>
            </w:pPr>
          </w:p>
          <w:p w14:paraId="43E7CEE4" w14:textId="77777777" w:rsidR="009A51F0" w:rsidRPr="007D1A8F" w:rsidDel="004809ED" w:rsidRDefault="009A51F0" w:rsidP="00DC1F59">
            <w:pPr>
              <w:rPr>
                <w:spacing w:val="4"/>
                <w:sz w:val="18"/>
                <w:szCs w:val="20"/>
                <w:lang w:eastAsia="en-US"/>
              </w:rPr>
            </w:pPr>
            <w:r w:rsidRPr="007D1A8F">
              <w:rPr>
                <w:sz w:val="18"/>
                <w:szCs w:val="20"/>
              </w:rPr>
              <w:t xml:space="preserve">2) </w:t>
            </w:r>
            <w:r w:rsidRPr="007D1A8F">
              <w:rPr>
                <w:b/>
                <w:sz w:val="18"/>
                <w:szCs w:val="20"/>
              </w:rPr>
              <w:t>Progress Report 1:</w:t>
            </w:r>
            <w:r w:rsidRPr="007D1A8F">
              <w:rPr>
                <w:sz w:val="18"/>
                <w:szCs w:val="20"/>
              </w:rPr>
              <w:t xml:space="preserve"> at least 55% of children who are tested between July 2012 and June 2015.</w:t>
            </w:r>
          </w:p>
        </w:tc>
        <w:tc>
          <w:tcPr>
            <w:tcW w:w="272" w:type="pct"/>
            <w:vAlign w:val="center"/>
          </w:tcPr>
          <w:p w14:paraId="2EF8D50D" w14:textId="77777777" w:rsidR="009A51F0" w:rsidRPr="007D1A8F" w:rsidRDefault="009A51F0" w:rsidP="00DC1F59">
            <w:pPr>
              <w:jc w:val="right"/>
              <w:rPr>
                <w:sz w:val="20"/>
                <w:szCs w:val="20"/>
              </w:rPr>
            </w:pPr>
            <w:r w:rsidRPr="007D1A8F">
              <w:rPr>
                <w:sz w:val="20"/>
                <w:szCs w:val="20"/>
              </w:rPr>
              <w:t>1) 0.187</w:t>
            </w:r>
          </w:p>
          <w:p w14:paraId="1B120D7F" w14:textId="77777777" w:rsidR="009A51F0" w:rsidRPr="007D1A8F" w:rsidRDefault="009A51F0" w:rsidP="00DC1F59">
            <w:pPr>
              <w:jc w:val="right"/>
              <w:rPr>
                <w:sz w:val="20"/>
                <w:szCs w:val="20"/>
              </w:rPr>
            </w:pPr>
          </w:p>
          <w:p w14:paraId="1E9C7657" w14:textId="77777777" w:rsidR="009A51F0" w:rsidRPr="007D1A8F" w:rsidRDefault="009A51F0" w:rsidP="00DC1F59">
            <w:pPr>
              <w:jc w:val="right"/>
              <w:rPr>
                <w:sz w:val="20"/>
                <w:szCs w:val="20"/>
              </w:rPr>
            </w:pPr>
            <w:r w:rsidRPr="007D1A8F">
              <w:rPr>
                <w:sz w:val="20"/>
                <w:szCs w:val="20"/>
              </w:rPr>
              <w:t>2) 0.187</w:t>
            </w:r>
          </w:p>
        </w:tc>
        <w:tc>
          <w:tcPr>
            <w:tcW w:w="272" w:type="pct"/>
            <w:vAlign w:val="center"/>
          </w:tcPr>
          <w:p w14:paraId="737499BB"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5B3A88A1"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6F985F54"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438E075C"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3ABD395A"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084DFEE0"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33378E4C" w14:textId="77777777" w:rsidR="009A51F0" w:rsidRPr="007D1A8F" w:rsidRDefault="009A51F0" w:rsidP="00DC1F59">
            <w:pPr>
              <w:jc w:val="right"/>
              <w:rPr>
                <w:sz w:val="20"/>
                <w:szCs w:val="20"/>
              </w:rPr>
            </w:pPr>
            <w:r w:rsidRPr="007D1A8F">
              <w:rPr>
                <w:sz w:val="20"/>
                <w:szCs w:val="20"/>
              </w:rPr>
              <w:t xml:space="preserve">- </w:t>
            </w:r>
          </w:p>
        </w:tc>
        <w:tc>
          <w:tcPr>
            <w:tcW w:w="264" w:type="pct"/>
            <w:vAlign w:val="center"/>
          </w:tcPr>
          <w:p w14:paraId="755AD8EA" w14:textId="77777777" w:rsidR="009A51F0" w:rsidRPr="007D1A8F" w:rsidRDefault="009A51F0" w:rsidP="00DC1F59">
            <w:pPr>
              <w:jc w:val="right"/>
              <w:rPr>
                <w:sz w:val="20"/>
                <w:szCs w:val="20"/>
              </w:rPr>
            </w:pPr>
            <w:r w:rsidRPr="007D1A8F">
              <w:rPr>
                <w:sz w:val="20"/>
                <w:szCs w:val="20"/>
              </w:rPr>
              <w:t xml:space="preserve">- </w:t>
            </w:r>
          </w:p>
        </w:tc>
      </w:tr>
      <w:tr w:rsidR="000415F0" w:rsidRPr="007D1A8F" w14:paraId="5A7A2193" w14:textId="77777777" w:rsidTr="008332BC">
        <w:trPr>
          <w:trHeight w:val="963"/>
        </w:trPr>
        <w:tc>
          <w:tcPr>
            <w:tcW w:w="990" w:type="pct"/>
          </w:tcPr>
          <w:p w14:paraId="7C21AB42" w14:textId="77777777" w:rsidR="009A51F0" w:rsidRPr="007D1A8F" w:rsidRDefault="009A51F0" w:rsidP="00DC1F59">
            <w:pPr>
              <w:tabs>
                <w:tab w:val="left" w:pos="1478"/>
              </w:tabs>
              <w:rPr>
                <w:b/>
                <w:sz w:val="18"/>
                <w:szCs w:val="20"/>
              </w:rPr>
            </w:pPr>
            <w:r w:rsidRPr="007D1A8F">
              <w:rPr>
                <w:b/>
                <w:sz w:val="18"/>
                <w:szCs w:val="20"/>
              </w:rPr>
              <w:t xml:space="preserve">Hearing Health Outcome Measure 5 </w:t>
            </w:r>
            <w:r w:rsidRPr="007D1A8F">
              <w:rPr>
                <w:rStyle w:val="FootnoteReference"/>
                <w:sz w:val="18"/>
                <w:szCs w:val="20"/>
              </w:rPr>
              <w:footnoteReference w:id="5"/>
            </w:r>
          </w:p>
          <w:p w14:paraId="32B3F385" w14:textId="77777777" w:rsidR="009A51F0" w:rsidRPr="007D1A8F" w:rsidRDefault="009A51F0" w:rsidP="00DC1F59">
            <w:pPr>
              <w:tabs>
                <w:tab w:val="left" w:pos="1478"/>
              </w:tabs>
              <w:rPr>
                <w:sz w:val="18"/>
                <w:szCs w:val="20"/>
              </w:rPr>
            </w:pPr>
            <w:r w:rsidRPr="007D1A8F">
              <w:rPr>
                <w:sz w:val="18"/>
                <w:szCs w:val="20"/>
              </w:rPr>
              <w:t>Equitable service delivery across HSDAs and by remoteness.</w:t>
            </w:r>
          </w:p>
        </w:tc>
        <w:tc>
          <w:tcPr>
            <w:tcW w:w="477" w:type="pct"/>
          </w:tcPr>
          <w:p w14:paraId="3C920890" w14:textId="77777777" w:rsidR="009A51F0" w:rsidRPr="007D1A8F" w:rsidRDefault="009A51F0" w:rsidP="00DC1F59">
            <w:pPr>
              <w:rPr>
                <w:sz w:val="18"/>
                <w:szCs w:val="20"/>
              </w:rPr>
            </w:pPr>
            <w:r w:rsidRPr="007D1A8F">
              <w:rPr>
                <w:sz w:val="18"/>
                <w:szCs w:val="20"/>
              </w:rPr>
              <w:t>Comparable data not available.</w:t>
            </w:r>
          </w:p>
        </w:tc>
        <w:tc>
          <w:tcPr>
            <w:tcW w:w="1088" w:type="pct"/>
          </w:tcPr>
          <w:p w14:paraId="495F4E95" w14:textId="77777777" w:rsidR="009A51F0" w:rsidRPr="007D1A8F" w:rsidRDefault="009A51F0" w:rsidP="00DC1F59">
            <w:pPr>
              <w:rPr>
                <w:sz w:val="18"/>
                <w:szCs w:val="20"/>
              </w:rPr>
            </w:pPr>
            <w:r w:rsidRPr="007D1A8F">
              <w:rPr>
                <w:sz w:val="18"/>
                <w:szCs w:val="20"/>
              </w:rPr>
              <w:t>1) Coverage by regions (number of outreach trips) between July 2012 and June 2015, including an overview of the integrated program scheduling principles that support equitable service delivery.</w:t>
            </w:r>
          </w:p>
          <w:p w14:paraId="685694E6" w14:textId="77777777" w:rsidR="009A51F0" w:rsidRPr="007D1A8F" w:rsidRDefault="009A51F0" w:rsidP="00DC1F59">
            <w:pPr>
              <w:rPr>
                <w:sz w:val="18"/>
                <w:szCs w:val="20"/>
              </w:rPr>
            </w:pPr>
            <w:r w:rsidRPr="007D1A8F">
              <w:rPr>
                <w:sz w:val="18"/>
                <w:szCs w:val="20"/>
              </w:rPr>
              <w:t xml:space="preserve">2) Demand for audiology service by region </w:t>
            </w:r>
            <w:proofErr w:type="gramStart"/>
            <w:r w:rsidRPr="007D1A8F">
              <w:rPr>
                <w:sz w:val="18"/>
                <w:szCs w:val="20"/>
              </w:rPr>
              <w:t>at</w:t>
            </w:r>
            <w:proofErr w:type="gramEnd"/>
            <w:r w:rsidRPr="007D1A8F">
              <w:rPr>
                <w:sz w:val="18"/>
                <w:szCs w:val="20"/>
              </w:rPr>
              <w:t xml:space="preserve"> 1 July 2012 and 30 June 2015, including</w:t>
            </w:r>
            <w:r w:rsidRPr="007D1A8F">
              <w:t xml:space="preserve"> </w:t>
            </w:r>
            <w:r w:rsidRPr="007D1A8F">
              <w:rPr>
                <w:sz w:val="18"/>
                <w:szCs w:val="20"/>
              </w:rPr>
              <w:t>qualitative detail on the methodologies for:</w:t>
            </w:r>
          </w:p>
          <w:p w14:paraId="5C9B3589" w14:textId="77777777" w:rsidR="009A51F0" w:rsidRPr="007D1A8F" w:rsidRDefault="009A51F0" w:rsidP="00DC1F59">
            <w:pPr>
              <w:rPr>
                <w:sz w:val="18"/>
                <w:szCs w:val="20"/>
              </w:rPr>
            </w:pPr>
            <w:r w:rsidRPr="007D1A8F">
              <w:rPr>
                <w:sz w:val="18"/>
                <w:szCs w:val="20"/>
              </w:rPr>
              <w:t xml:space="preserve">a. targeting Child Hearing Coordination (case management) and audiology services to highest need; and </w:t>
            </w:r>
          </w:p>
          <w:p w14:paraId="4961BDE2" w14:textId="77777777" w:rsidR="009A51F0" w:rsidRPr="007D1A8F" w:rsidRDefault="009A51F0" w:rsidP="00DC1F59">
            <w:pPr>
              <w:rPr>
                <w:sz w:val="18"/>
                <w:szCs w:val="20"/>
              </w:rPr>
            </w:pPr>
            <w:r w:rsidRPr="007D1A8F">
              <w:rPr>
                <w:sz w:val="18"/>
                <w:szCs w:val="20"/>
              </w:rPr>
              <w:t xml:space="preserve">b. determining demand for audiology service by region </w:t>
            </w:r>
            <w:proofErr w:type="gramStart"/>
            <w:r w:rsidRPr="007D1A8F">
              <w:rPr>
                <w:sz w:val="18"/>
                <w:szCs w:val="20"/>
              </w:rPr>
              <w:t>at</w:t>
            </w:r>
            <w:proofErr w:type="gramEnd"/>
            <w:r w:rsidRPr="007D1A8F">
              <w:rPr>
                <w:sz w:val="18"/>
                <w:szCs w:val="20"/>
              </w:rPr>
              <w:t xml:space="preserve"> 1 July 2012 and 30 June 2015.</w:t>
            </w:r>
          </w:p>
        </w:tc>
        <w:tc>
          <w:tcPr>
            <w:tcW w:w="272" w:type="pct"/>
            <w:vAlign w:val="center"/>
          </w:tcPr>
          <w:p w14:paraId="45BE5D45" w14:textId="77777777" w:rsidR="009A51F0" w:rsidRPr="007D1A8F" w:rsidRDefault="009A51F0" w:rsidP="00DC1F59">
            <w:pPr>
              <w:jc w:val="right"/>
              <w:rPr>
                <w:sz w:val="20"/>
                <w:szCs w:val="20"/>
              </w:rPr>
            </w:pPr>
            <w:r w:rsidRPr="007D1A8F">
              <w:rPr>
                <w:sz w:val="20"/>
                <w:szCs w:val="20"/>
              </w:rPr>
              <w:t>0.374</w:t>
            </w:r>
          </w:p>
        </w:tc>
        <w:tc>
          <w:tcPr>
            <w:tcW w:w="272" w:type="pct"/>
            <w:vAlign w:val="center"/>
          </w:tcPr>
          <w:p w14:paraId="330CF590"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13355275"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7FA90E5E"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13993160"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7707E1D9"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047047F5"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62853ADF" w14:textId="77777777" w:rsidR="009A51F0" w:rsidRPr="007D1A8F" w:rsidRDefault="009A51F0" w:rsidP="00DC1F59">
            <w:pPr>
              <w:jc w:val="right"/>
              <w:rPr>
                <w:sz w:val="20"/>
                <w:szCs w:val="20"/>
              </w:rPr>
            </w:pPr>
            <w:r w:rsidRPr="007D1A8F">
              <w:rPr>
                <w:sz w:val="20"/>
                <w:szCs w:val="20"/>
              </w:rPr>
              <w:t xml:space="preserve">- </w:t>
            </w:r>
          </w:p>
        </w:tc>
        <w:tc>
          <w:tcPr>
            <w:tcW w:w="264" w:type="pct"/>
            <w:vAlign w:val="center"/>
          </w:tcPr>
          <w:p w14:paraId="2C30780C" w14:textId="77777777" w:rsidR="009A51F0" w:rsidRPr="007D1A8F" w:rsidRDefault="009A51F0" w:rsidP="00DC1F59">
            <w:pPr>
              <w:jc w:val="right"/>
              <w:rPr>
                <w:sz w:val="20"/>
                <w:szCs w:val="20"/>
              </w:rPr>
            </w:pPr>
            <w:r w:rsidRPr="007D1A8F">
              <w:rPr>
                <w:sz w:val="20"/>
                <w:szCs w:val="20"/>
              </w:rPr>
              <w:t xml:space="preserve">- </w:t>
            </w:r>
          </w:p>
        </w:tc>
      </w:tr>
      <w:tr w:rsidR="009A51F0" w:rsidRPr="007D1A8F" w14:paraId="2E3C1297" w14:textId="77777777" w:rsidTr="008332BC">
        <w:trPr>
          <w:trHeight w:val="249"/>
        </w:trPr>
        <w:tc>
          <w:tcPr>
            <w:tcW w:w="2556" w:type="pct"/>
            <w:gridSpan w:val="3"/>
            <w:vAlign w:val="center"/>
          </w:tcPr>
          <w:p w14:paraId="1A66ED9B" w14:textId="77777777" w:rsidR="009A51F0" w:rsidRPr="007D1A8F" w:rsidRDefault="009A51F0" w:rsidP="00DC1F59">
            <w:pPr>
              <w:jc w:val="right"/>
              <w:rPr>
                <w:b/>
                <w:spacing w:val="4"/>
                <w:sz w:val="20"/>
                <w:szCs w:val="20"/>
                <w:lang w:eastAsia="en-US"/>
              </w:rPr>
            </w:pPr>
            <w:r w:rsidRPr="007D1A8F">
              <w:rPr>
                <w:b/>
                <w:spacing w:val="4"/>
                <w:sz w:val="20"/>
                <w:szCs w:val="20"/>
                <w:lang w:eastAsia="en-US"/>
              </w:rPr>
              <w:t>Total</w:t>
            </w:r>
            <w:r w:rsidRPr="007D1A8F">
              <w:rPr>
                <w:rStyle w:val="FootnoteReference"/>
                <w:b/>
                <w:spacing w:val="4"/>
                <w:sz w:val="20"/>
                <w:szCs w:val="20"/>
                <w:lang w:eastAsia="en-US"/>
              </w:rPr>
              <w:footnoteReference w:id="6"/>
            </w:r>
          </w:p>
        </w:tc>
        <w:tc>
          <w:tcPr>
            <w:tcW w:w="272" w:type="pct"/>
          </w:tcPr>
          <w:p w14:paraId="79B607AE" w14:textId="77777777" w:rsidR="009A51F0" w:rsidRPr="007D1A8F" w:rsidRDefault="009A51F0" w:rsidP="00DC1F59">
            <w:pPr>
              <w:jc w:val="right"/>
              <w:rPr>
                <w:b/>
                <w:spacing w:val="4"/>
                <w:sz w:val="20"/>
                <w:szCs w:val="20"/>
                <w:lang w:eastAsia="en-US"/>
              </w:rPr>
            </w:pPr>
            <w:r w:rsidRPr="007D1A8F">
              <w:rPr>
                <w:b/>
                <w:spacing w:val="4"/>
                <w:sz w:val="20"/>
                <w:szCs w:val="20"/>
                <w:lang w:eastAsia="en-US"/>
              </w:rPr>
              <w:t>3.114</w:t>
            </w:r>
          </w:p>
        </w:tc>
        <w:tc>
          <w:tcPr>
            <w:tcW w:w="272" w:type="pct"/>
          </w:tcPr>
          <w:p w14:paraId="57519D23" w14:textId="77777777" w:rsidR="009A51F0" w:rsidRPr="007D1A8F" w:rsidRDefault="009A51F0" w:rsidP="00DC1F59">
            <w:pPr>
              <w:jc w:val="right"/>
              <w:rPr>
                <w:b/>
                <w:spacing w:val="4"/>
                <w:sz w:val="20"/>
                <w:szCs w:val="20"/>
                <w:lang w:eastAsia="en-US"/>
              </w:rPr>
            </w:pPr>
            <w:r w:rsidRPr="007D1A8F">
              <w:rPr>
                <w:b/>
                <w:spacing w:val="4"/>
                <w:sz w:val="20"/>
                <w:szCs w:val="20"/>
                <w:lang w:eastAsia="en-US"/>
              </w:rPr>
              <w:t>3.255</w:t>
            </w:r>
          </w:p>
        </w:tc>
        <w:tc>
          <w:tcPr>
            <w:tcW w:w="272" w:type="pct"/>
          </w:tcPr>
          <w:p w14:paraId="71063C86" w14:textId="77777777" w:rsidR="009A51F0" w:rsidRPr="007D1A8F" w:rsidRDefault="009A51F0" w:rsidP="00DC1F59">
            <w:pPr>
              <w:jc w:val="right"/>
              <w:rPr>
                <w:b/>
                <w:spacing w:val="4"/>
                <w:sz w:val="20"/>
                <w:szCs w:val="20"/>
                <w:lang w:eastAsia="en-US"/>
              </w:rPr>
            </w:pPr>
            <w:r w:rsidRPr="007D1A8F">
              <w:rPr>
                <w:b/>
                <w:spacing w:val="4"/>
                <w:sz w:val="20"/>
                <w:szCs w:val="20"/>
                <w:lang w:eastAsia="en-US"/>
              </w:rPr>
              <w:t>3.402</w:t>
            </w:r>
          </w:p>
        </w:tc>
        <w:tc>
          <w:tcPr>
            <w:tcW w:w="272" w:type="pct"/>
          </w:tcPr>
          <w:p w14:paraId="174CE7B4" w14:textId="77777777" w:rsidR="009A51F0" w:rsidRPr="007D1A8F" w:rsidRDefault="009A51F0" w:rsidP="00DC1F59">
            <w:pPr>
              <w:jc w:val="right"/>
              <w:rPr>
                <w:b/>
                <w:spacing w:val="4"/>
                <w:sz w:val="20"/>
                <w:szCs w:val="20"/>
                <w:lang w:eastAsia="en-US"/>
              </w:rPr>
            </w:pPr>
            <w:r w:rsidRPr="007D1A8F">
              <w:rPr>
                <w:b/>
                <w:spacing w:val="4"/>
                <w:sz w:val="20"/>
                <w:szCs w:val="20"/>
                <w:lang w:eastAsia="en-US"/>
              </w:rPr>
              <w:t>3.555</w:t>
            </w:r>
          </w:p>
        </w:tc>
        <w:tc>
          <w:tcPr>
            <w:tcW w:w="272" w:type="pct"/>
          </w:tcPr>
          <w:p w14:paraId="7C61A427" w14:textId="77777777" w:rsidR="009A51F0" w:rsidRPr="007D1A8F" w:rsidRDefault="009A51F0" w:rsidP="00DC1F59">
            <w:pPr>
              <w:jc w:val="right"/>
              <w:rPr>
                <w:b/>
                <w:spacing w:val="4"/>
                <w:sz w:val="20"/>
                <w:szCs w:val="20"/>
                <w:lang w:eastAsia="en-US"/>
              </w:rPr>
            </w:pPr>
            <w:r w:rsidRPr="007D1A8F">
              <w:rPr>
                <w:b/>
                <w:spacing w:val="4"/>
                <w:sz w:val="20"/>
                <w:szCs w:val="20"/>
                <w:lang w:eastAsia="en-US"/>
              </w:rPr>
              <w:t>3.715</w:t>
            </w:r>
          </w:p>
        </w:tc>
        <w:tc>
          <w:tcPr>
            <w:tcW w:w="273" w:type="pct"/>
          </w:tcPr>
          <w:p w14:paraId="48E35C1C" w14:textId="77777777" w:rsidR="009A51F0" w:rsidRPr="007D1A8F" w:rsidRDefault="009A51F0" w:rsidP="00DC1F59">
            <w:pPr>
              <w:jc w:val="right"/>
              <w:rPr>
                <w:b/>
                <w:spacing w:val="4"/>
                <w:sz w:val="20"/>
                <w:szCs w:val="20"/>
                <w:lang w:eastAsia="en-US"/>
              </w:rPr>
            </w:pPr>
            <w:r w:rsidRPr="007D1A8F">
              <w:rPr>
                <w:b/>
                <w:spacing w:val="4"/>
                <w:sz w:val="20"/>
                <w:szCs w:val="20"/>
                <w:lang w:eastAsia="en-US"/>
              </w:rPr>
              <w:t>3.882</w:t>
            </w:r>
          </w:p>
        </w:tc>
        <w:tc>
          <w:tcPr>
            <w:tcW w:w="274" w:type="pct"/>
          </w:tcPr>
          <w:p w14:paraId="55518665" w14:textId="77777777" w:rsidR="009A51F0" w:rsidRPr="007D1A8F" w:rsidRDefault="009A51F0" w:rsidP="00DC1F59">
            <w:pPr>
              <w:jc w:val="right"/>
              <w:rPr>
                <w:b/>
                <w:spacing w:val="4"/>
                <w:sz w:val="20"/>
                <w:szCs w:val="20"/>
                <w:lang w:eastAsia="en-US"/>
              </w:rPr>
            </w:pPr>
            <w:r w:rsidRPr="007D1A8F">
              <w:rPr>
                <w:b/>
                <w:spacing w:val="4"/>
                <w:sz w:val="20"/>
                <w:szCs w:val="20"/>
                <w:lang w:eastAsia="en-US"/>
              </w:rPr>
              <w:t>4.057</w:t>
            </w:r>
          </w:p>
        </w:tc>
        <w:tc>
          <w:tcPr>
            <w:tcW w:w="274" w:type="pct"/>
          </w:tcPr>
          <w:p w14:paraId="339DC3EF" w14:textId="77777777" w:rsidR="009A51F0" w:rsidRPr="007D1A8F" w:rsidRDefault="000415F0" w:rsidP="00DC1F59">
            <w:pPr>
              <w:jc w:val="right"/>
              <w:rPr>
                <w:b/>
                <w:spacing w:val="4"/>
                <w:sz w:val="20"/>
                <w:szCs w:val="20"/>
                <w:lang w:eastAsia="en-US"/>
              </w:rPr>
            </w:pPr>
            <w:r w:rsidRPr="007D1A8F">
              <w:rPr>
                <w:b/>
                <w:spacing w:val="4"/>
                <w:sz w:val="20"/>
                <w:szCs w:val="20"/>
                <w:lang w:eastAsia="en-US"/>
              </w:rPr>
              <w:t>4.057</w:t>
            </w:r>
          </w:p>
        </w:tc>
        <w:tc>
          <w:tcPr>
            <w:tcW w:w="264" w:type="pct"/>
          </w:tcPr>
          <w:p w14:paraId="4672693D" w14:textId="77777777" w:rsidR="009A51F0" w:rsidRPr="007D1A8F" w:rsidRDefault="000415F0" w:rsidP="00DC1F59">
            <w:pPr>
              <w:jc w:val="right"/>
              <w:rPr>
                <w:b/>
                <w:spacing w:val="4"/>
                <w:sz w:val="20"/>
                <w:szCs w:val="20"/>
                <w:lang w:eastAsia="en-US"/>
              </w:rPr>
            </w:pPr>
            <w:r w:rsidRPr="007D1A8F">
              <w:rPr>
                <w:b/>
                <w:spacing w:val="4"/>
                <w:sz w:val="20"/>
                <w:szCs w:val="20"/>
                <w:lang w:eastAsia="en-US"/>
              </w:rPr>
              <w:t>4.057</w:t>
            </w:r>
          </w:p>
        </w:tc>
      </w:tr>
      <w:bookmarkEnd w:id="0"/>
      <w:tr w:rsidR="008332BC" w:rsidRPr="007D1A8F" w14:paraId="45E9A3E3" w14:textId="77777777" w:rsidTr="008332BC">
        <w:trPr>
          <w:cantSplit/>
          <w:trHeight w:val="249"/>
        </w:trPr>
        <w:tc>
          <w:tcPr>
            <w:tcW w:w="5000" w:type="pct"/>
            <w:gridSpan w:val="12"/>
            <w:vAlign w:val="center"/>
          </w:tcPr>
          <w:p w14:paraId="3F694E32" w14:textId="2E3CECC5" w:rsidR="008332BC" w:rsidRPr="007D1A8F" w:rsidRDefault="008332BC" w:rsidP="00DC1F59">
            <w:pPr>
              <w:jc w:val="center"/>
              <w:rPr>
                <w:b/>
                <w:sz w:val="20"/>
                <w:szCs w:val="22"/>
              </w:rPr>
            </w:pPr>
            <w:r w:rsidRPr="007D1A8F">
              <w:rPr>
                <w:b/>
                <w:sz w:val="20"/>
                <w:szCs w:val="22"/>
              </w:rPr>
              <w:lastRenderedPageBreak/>
              <w:t>Oral Health Service Delivery Measures</w:t>
            </w:r>
          </w:p>
        </w:tc>
      </w:tr>
      <w:tr w:rsidR="000415F0" w:rsidRPr="007D1A8F" w14:paraId="545F2A0E" w14:textId="77777777" w:rsidTr="008332BC">
        <w:trPr>
          <w:cantSplit/>
          <w:trHeight w:val="503"/>
        </w:trPr>
        <w:tc>
          <w:tcPr>
            <w:tcW w:w="990" w:type="pct"/>
          </w:tcPr>
          <w:p w14:paraId="2F411F7F" w14:textId="77777777" w:rsidR="009A51F0" w:rsidRPr="007D1A8F" w:rsidRDefault="009A51F0" w:rsidP="00DC1F59">
            <w:pPr>
              <w:rPr>
                <w:b/>
                <w:sz w:val="18"/>
                <w:szCs w:val="20"/>
              </w:rPr>
            </w:pPr>
            <w:r w:rsidRPr="007D1A8F">
              <w:rPr>
                <w:b/>
                <w:sz w:val="18"/>
                <w:szCs w:val="20"/>
              </w:rPr>
              <w:t>Oral Health Performance Measure 1</w:t>
            </w:r>
          </w:p>
          <w:p w14:paraId="7062116B" w14:textId="77777777" w:rsidR="009A51F0" w:rsidRPr="007D1A8F" w:rsidRDefault="009A51F0" w:rsidP="00DC1F59">
            <w:pPr>
              <w:rPr>
                <w:sz w:val="18"/>
                <w:szCs w:val="20"/>
              </w:rPr>
            </w:pPr>
            <w:r w:rsidRPr="007D1A8F">
              <w:rPr>
                <w:sz w:val="18"/>
                <w:szCs w:val="20"/>
              </w:rPr>
              <w:t>Occasions of service per annum by clinical and preventative service types and locational spread of services.</w:t>
            </w:r>
          </w:p>
        </w:tc>
        <w:tc>
          <w:tcPr>
            <w:tcW w:w="477" w:type="pct"/>
          </w:tcPr>
          <w:p w14:paraId="7D431E3E" w14:textId="77777777" w:rsidR="009A51F0" w:rsidRPr="007D1A8F" w:rsidRDefault="009A51F0" w:rsidP="00DC1F59">
            <w:pPr>
              <w:rPr>
                <w:i/>
                <w:iCs/>
                <w:sz w:val="16"/>
                <w:szCs w:val="18"/>
              </w:rPr>
            </w:pPr>
            <w:r w:rsidRPr="007D1A8F">
              <w:rPr>
                <w:i/>
                <w:iCs/>
                <w:sz w:val="16"/>
                <w:szCs w:val="18"/>
              </w:rPr>
              <w:t>6,614 services in 2016</w:t>
            </w:r>
          </w:p>
          <w:p w14:paraId="12EC31C7" w14:textId="77777777" w:rsidR="009A51F0" w:rsidRPr="007D1A8F" w:rsidRDefault="009A51F0" w:rsidP="00DC1F59">
            <w:pPr>
              <w:rPr>
                <w:i/>
                <w:iCs/>
                <w:sz w:val="16"/>
                <w:szCs w:val="18"/>
              </w:rPr>
            </w:pPr>
            <w:r w:rsidRPr="007D1A8F">
              <w:rPr>
                <w:i/>
                <w:iCs/>
                <w:sz w:val="16"/>
                <w:szCs w:val="18"/>
              </w:rPr>
              <w:t>4,274 services in 2017</w:t>
            </w:r>
          </w:p>
          <w:p w14:paraId="0A3E5F83" w14:textId="77777777" w:rsidR="009A51F0" w:rsidRPr="007D1A8F" w:rsidRDefault="009A51F0" w:rsidP="00DC1F59">
            <w:pPr>
              <w:rPr>
                <w:i/>
                <w:iCs/>
                <w:sz w:val="16"/>
                <w:szCs w:val="18"/>
              </w:rPr>
            </w:pPr>
            <w:r w:rsidRPr="007D1A8F">
              <w:rPr>
                <w:i/>
                <w:iCs/>
                <w:sz w:val="16"/>
                <w:szCs w:val="18"/>
              </w:rPr>
              <w:t>3,886 services in 2018</w:t>
            </w:r>
          </w:p>
          <w:p w14:paraId="15E2CB41" w14:textId="77777777" w:rsidR="009A51F0" w:rsidRPr="007D1A8F" w:rsidRDefault="009A51F0" w:rsidP="00DC1F59">
            <w:pPr>
              <w:rPr>
                <w:i/>
                <w:iCs/>
                <w:sz w:val="16"/>
                <w:szCs w:val="18"/>
              </w:rPr>
            </w:pPr>
            <w:r w:rsidRPr="007D1A8F">
              <w:rPr>
                <w:i/>
                <w:iCs/>
                <w:sz w:val="16"/>
                <w:szCs w:val="18"/>
              </w:rPr>
              <w:t>4,780 services in 2019</w:t>
            </w:r>
          </w:p>
          <w:p w14:paraId="389C4BF7" w14:textId="38C8EF9F" w:rsidR="009A51F0" w:rsidRPr="007D1A8F" w:rsidRDefault="005B0ABD" w:rsidP="00DC1F59">
            <w:pPr>
              <w:rPr>
                <w:i/>
                <w:iCs/>
                <w:sz w:val="16"/>
                <w:szCs w:val="18"/>
              </w:rPr>
            </w:pPr>
            <w:r w:rsidRPr="007D1A8F">
              <w:rPr>
                <w:i/>
                <w:iCs/>
                <w:sz w:val="16"/>
                <w:szCs w:val="18"/>
              </w:rPr>
              <w:t xml:space="preserve">4,500 </w:t>
            </w:r>
            <w:r w:rsidR="009A51F0" w:rsidRPr="007D1A8F">
              <w:rPr>
                <w:i/>
                <w:iCs/>
                <w:sz w:val="16"/>
                <w:szCs w:val="18"/>
              </w:rPr>
              <w:t>services in 2020</w:t>
            </w:r>
          </w:p>
          <w:p w14:paraId="5F1B03EB" w14:textId="29FC32DE" w:rsidR="009A51F0" w:rsidRPr="007D1A8F" w:rsidRDefault="009A51F0" w:rsidP="00DC1F59">
            <w:pPr>
              <w:rPr>
                <w:sz w:val="18"/>
                <w:szCs w:val="20"/>
              </w:rPr>
            </w:pPr>
            <w:r w:rsidRPr="007D1A8F">
              <w:rPr>
                <w:i/>
                <w:iCs/>
                <w:sz w:val="16"/>
                <w:szCs w:val="18"/>
              </w:rPr>
              <w:t>2021 target = 3,</w:t>
            </w:r>
            <w:r w:rsidR="005B0ABD" w:rsidRPr="007D1A8F">
              <w:rPr>
                <w:i/>
                <w:iCs/>
                <w:sz w:val="16"/>
                <w:szCs w:val="18"/>
              </w:rPr>
              <w:t>6</w:t>
            </w:r>
            <w:r w:rsidRPr="007D1A8F">
              <w:rPr>
                <w:i/>
                <w:iCs/>
                <w:sz w:val="16"/>
                <w:szCs w:val="18"/>
              </w:rPr>
              <w:t>00</w:t>
            </w:r>
          </w:p>
        </w:tc>
        <w:tc>
          <w:tcPr>
            <w:tcW w:w="1088" w:type="pct"/>
          </w:tcPr>
          <w:p w14:paraId="0749C7BF" w14:textId="69748DAE" w:rsidR="009A51F0" w:rsidRPr="007D1A8F" w:rsidRDefault="009A51F0" w:rsidP="00DC1F59">
            <w:pPr>
              <w:rPr>
                <w:sz w:val="18"/>
                <w:szCs w:val="20"/>
              </w:rPr>
            </w:pPr>
            <w:r w:rsidRPr="007D1A8F">
              <w:rPr>
                <w:sz w:val="18"/>
                <w:szCs w:val="20"/>
              </w:rPr>
              <w:t>3,</w:t>
            </w:r>
            <w:r w:rsidR="005B0ABD" w:rsidRPr="007D1A8F">
              <w:rPr>
                <w:sz w:val="18"/>
                <w:szCs w:val="20"/>
              </w:rPr>
              <w:t>6</w:t>
            </w:r>
            <w:r w:rsidRPr="007D1A8F">
              <w:rPr>
                <w:sz w:val="18"/>
                <w:szCs w:val="20"/>
              </w:rPr>
              <w:t>00 occasions of clinical service per annum</w:t>
            </w:r>
            <w:r w:rsidRPr="007D1A8F">
              <w:rPr>
                <w:rStyle w:val="FootnoteReference"/>
                <w:sz w:val="18"/>
                <w:szCs w:val="20"/>
              </w:rPr>
              <w:footnoteReference w:id="7"/>
            </w:r>
            <w:r w:rsidRPr="007D1A8F">
              <w:rPr>
                <w:sz w:val="18"/>
                <w:szCs w:val="20"/>
              </w:rPr>
              <w:t xml:space="preserve"> by community identifying the spread across urban, remote and very remote communities across the Northern Territory (excluding fluoride varnish).</w:t>
            </w:r>
          </w:p>
        </w:tc>
        <w:tc>
          <w:tcPr>
            <w:tcW w:w="272" w:type="pct"/>
          </w:tcPr>
          <w:p w14:paraId="34809792" w14:textId="77777777" w:rsidR="009A51F0" w:rsidRPr="007D1A8F" w:rsidRDefault="009A51F0" w:rsidP="00DC1F59">
            <w:pPr>
              <w:jc w:val="right"/>
              <w:rPr>
                <w:sz w:val="20"/>
                <w:szCs w:val="20"/>
              </w:rPr>
            </w:pPr>
            <w:r w:rsidRPr="007D1A8F">
              <w:rPr>
                <w:sz w:val="20"/>
                <w:szCs w:val="20"/>
              </w:rPr>
              <w:t>1.268</w:t>
            </w:r>
          </w:p>
        </w:tc>
        <w:tc>
          <w:tcPr>
            <w:tcW w:w="272" w:type="pct"/>
          </w:tcPr>
          <w:p w14:paraId="444383D2" w14:textId="77777777" w:rsidR="009A51F0" w:rsidRPr="007D1A8F" w:rsidRDefault="009A51F0" w:rsidP="00DC1F59">
            <w:pPr>
              <w:jc w:val="right"/>
              <w:rPr>
                <w:sz w:val="20"/>
                <w:szCs w:val="20"/>
              </w:rPr>
            </w:pPr>
            <w:r w:rsidRPr="007D1A8F">
              <w:rPr>
                <w:sz w:val="20"/>
                <w:szCs w:val="20"/>
              </w:rPr>
              <w:t>1.390</w:t>
            </w:r>
          </w:p>
        </w:tc>
        <w:tc>
          <w:tcPr>
            <w:tcW w:w="272" w:type="pct"/>
          </w:tcPr>
          <w:p w14:paraId="6D24E993" w14:textId="77777777" w:rsidR="009A51F0" w:rsidRPr="007D1A8F" w:rsidRDefault="009A51F0" w:rsidP="00DC1F59">
            <w:pPr>
              <w:jc w:val="right"/>
              <w:rPr>
                <w:sz w:val="20"/>
                <w:szCs w:val="20"/>
              </w:rPr>
            </w:pPr>
            <w:r w:rsidRPr="007D1A8F">
              <w:rPr>
                <w:sz w:val="20"/>
                <w:szCs w:val="20"/>
              </w:rPr>
              <w:t>2.144</w:t>
            </w:r>
          </w:p>
        </w:tc>
        <w:tc>
          <w:tcPr>
            <w:tcW w:w="272" w:type="pct"/>
          </w:tcPr>
          <w:p w14:paraId="3C21A7E2" w14:textId="77777777" w:rsidR="009A51F0" w:rsidRPr="007D1A8F" w:rsidRDefault="009A51F0" w:rsidP="00DC1F59">
            <w:pPr>
              <w:jc w:val="right"/>
              <w:rPr>
                <w:sz w:val="20"/>
                <w:szCs w:val="20"/>
              </w:rPr>
            </w:pPr>
            <w:r w:rsidRPr="007D1A8F">
              <w:rPr>
                <w:sz w:val="20"/>
                <w:szCs w:val="20"/>
              </w:rPr>
              <w:t>1.809</w:t>
            </w:r>
          </w:p>
        </w:tc>
        <w:tc>
          <w:tcPr>
            <w:tcW w:w="272" w:type="pct"/>
          </w:tcPr>
          <w:p w14:paraId="72327020" w14:textId="77777777" w:rsidR="009A51F0" w:rsidRPr="007D1A8F" w:rsidRDefault="009A51F0" w:rsidP="00DC1F59">
            <w:pPr>
              <w:jc w:val="right"/>
              <w:rPr>
                <w:sz w:val="20"/>
                <w:szCs w:val="20"/>
              </w:rPr>
            </w:pPr>
            <w:r w:rsidRPr="007D1A8F">
              <w:rPr>
                <w:sz w:val="20"/>
                <w:szCs w:val="20"/>
              </w:rPr>
              <w:t>2.451</w:t>
            </w:r>
          </w:p>
        </w:tc>
        <w:tc>
          <w:tcPr>
            <w:tcW w:w="273" w:type="pct"/>
          </w:tcPr>
          <w:p w14:paraId="14047277" w14:textId="77777777" w:rsidR="009A51F0" w:rsidRPr="007D1A8F" w:rsidRDefault="009A51F0" w:rsidP="00DC1F59">
            <w:pPr>
              <w:jc w:val="right"/>
              <w:rPr>
                <w:sz w:val="20"/>
                <w:szCs w:val="20"/>
              </w:rPr>
            </w:pPr>
            <w:r w:rsidRPr="007D1A8F">
              <w:rPr>
                <w:sz w:val="20"/>
                <w:szCs w:val="20"/>
              </w:rPr>
              <w:t>2.612</w:t>
            </w:r>
          </w:p>
        </w:tc>
        <w:tc>
          <w:tcPr>
            <w:tcW w:w="274" w:type="pct"/>
          </w:tcPr>
          <w:p w14:paraId="09A7F602" w14:textId="77777777" w:rsidR="009A51F0" w:rsidRPr="007D1A8F" w:rsidRDefault="009A51F0" w:rsidP="00DC1F59">
            <w:pPr>
              <w:jc w:val="right"/>
              <w:rPr>
                <w:sz w:val="20"/>
                <w:szCs w:val="20"/>
              </w:rPr>
            </w:pPr>
            <w:r w:rsidRPr="007D1A8F">
              <w:rPr>
                <w:sz w:val="20"/>
                <w:szCs w:val="20"/>
              </w:rPr>
              <w:t>2.152</w:t>
            </w:r>
          </w:p>
        </w:tc>
        <w:tc>
          <w:tcPr>
            <w:tcW w:w="274" w:type="pct"/>
          </w:tcPr>
          <w:p w14:paraId="0B9555BD" w14:textId="77777777" w:rsidR="009A51F0" w:rsidRPr="007D1A8F" w:rsidRDefault="000415F0" w:rsidP="00DC1F59">
            <w:pPr>
              <w:jc w:val="right"/>
              <w:rPr>
                <w:sz w:val="20"/>
                <w:szCs w:val="20"/>
              </w:rPr>
            </w:pPr>
            <w:r w:rsidRPr="007D1A8F">
              <w:rPr>
                <w:sz w:val="20"/>
                <w:szCs w:val="20"/>
              </w:rPr>
              <w:t>2.660</w:t>
            </w:r>
          </w:p>
        </w:tc>
        <w:tc>
          <w:tcPr>
            <w:tcW w:w="264" w:type="pct"/>
          </w:tcPr>
          <w:p w14:paraId="7B06F12C" w14:textId="77777777" w:rsidR="009A51F0" w:rsidRPr="007D1A8F" w:rsidRDefault="000415F0" w:rsidP="00DC1F59">
            <w:pPr>
              <w:jc w:val="right"/>
              <w:rPr>
                <w:sz w:val="20"/>
                <w:szCs w:val="20"/>
              </w:rPr>
            </w:pPr>
            <w:r w:rsidRPr="007D1A8F">
              <w:rPr>
                <w:sz w:val="20"/>
                <w:szCs w:val="20"/>
              </w:rPr>
              <w:t>2.660</w:t>
            </w:r>
          </w:p>
        </w:tc>
      </w:tr>
      <w:tr w:rsidR="009A51F0" w:rsidRPr="007D1A8F" w14:paraId="6F4361F5" w14:textId="77777777" w:rsidTr="008332BC">
        <w:trPr>
          <w:cantSplit/>
          <w:trHeight w:val="503"/>
        </w:trPr>
        <w:tc>
          <w:tcPr>
            <w:tcW w:w="990" w:type="pct"/>
          </w:tcPr>
          <w:p w14:paraId="61DD4BB4" w14:textId="77777777" w:rsidR="009A51F0" w:rsidRPr="007D1A8F" w:rsidRDefault="009A51F0" w:rsidP="00DC1F59">
            <w:pPr>
              <w:rPr>
                <w:b/>
                <w:sz w:val="18"/>
                <w:szCs w:val="20"/>
              </w:rPr>
            </w:pPr>
            <w:r w:rsidRPr="007D1A8F">
              <w:rPr>
                <w:b/>
                <w:sz w:val="18"/>
                <w:szCs w:val="20"/>
              </w:rPr>
              <w:t>Oral Health Performance Measure 2</w:t>
            </w:r>
          </w:p>
          <w:p w14:paraId="01AE1275" w14:textId="77777777" w:rsidR="009A51F0" w:rsidRPr="007D1A8F" w:rsidRDefault="009A51F0" w:rsidP="00DC1F59">
            <w:pPr>
              <w:rPr>
                <w:sz w:val="18"/>
                <w:szCs w:val="20"/>
              </w:rPr>
            </w:pPr>
            <w:r w:rsidRPr="007D1A8F">
              <w:rPr>
                <w:sz w:val="18"/>
                <w:szCs w:val="20"/>
              </w:rPr>
              <w:t>Number of fluoride varnish applications per annum.</w:t>
            </w:r>
          </w:p>
        </w:tc>
        <w:tc>
          <w:tcPr>
            <w:tcW w:w="477" w:type="pct"/>
          </w:tcPr>
          <w:p w14:paraId="0E06D2B9" w14:textId="77777777" w:rsidR="009A51F0" w:rsidRPr="007D1A8F" w:rsidRDefault="009A51F0" w:rsidP="00DC1F59">
            <w:pPr>
              <w:rPr>
                <w:i/>
                <w:iCs/>
                <w:sz w:val="18"/>
                <w:szCs w:val="20"/>
              </w:rPr>
            </w:pPr>
            <w:r w:rsidRPr="007D1A8F">
              <w:rPr>
                <w:i/>
                <w:iCs/>
                <w:sz w:val="18"/>
                <w:szCs w:val="20"/>
              </w:rPr>
              <w:t>5,269 services in 2016</w:t>
            </w:r>
          </w:p>
          <w:p w14:paraId="36CEA9E0" w14:textId="77777777" w:rsidR="009A51F0" w:rsidRPr="007D1A8F" w:rsidRDefault="009A51F0" w:rsidP="00DC1F59">
            <w:pPr>
              <w:rPr>
                <w:i/>
                <w:iCs/>
                <w:sz w:val="18"/>
                <w:szCs w:val="20"/>
              </w:rPr>
            </w:pPr>
            <w:r w:rsidRPr="007D1A8F">
              <w:rPr>
                <w:i/>
                <w:iCs/>
                <w:sz w:val="18"/>
                <w:szCs w:val="20"/>
              </w:rPr>
              <w:t>5,267 services in 2017</w:t>
            </w:r>
          </w:p>
          <w:p w14:paraId="3157B65D" w14:textId="77777777" w:rsidR="009A51F0" w:rsidRPr="007D1A8F" w:rsidRDefault="009A51F0" w:rsidP="00DC1F59">
            <w:pPr>
              <w:rPr>
                <w:i/>
                <w:iCs/>
                <w:sz w:val="18"/>
                <w:szCs w:val="20"/>
              </w:rPr>
            </w:pPr>
            <w:r w:rsidRPr="007D1A8F">
              <w:rPr>
                <w:i/>
                <w:iCs/>
                <w:sz w:val="18"/>
                <w:szCs w:val="20"/>
              </w:rPr>
              <w:t>6,429 services in 2018</w:t>
            </w:r>
          </w:p>
          <w:p w14:paraId="0CFBEC46" w14:textId="77777777" w:rsidR="009A51F0" w:rsidRPr="007D1A8F" w:rsidRDefault="009A51F0" w:rsidP="00DC1F59">
            <w:pPr>
              <w:rPr>
                <w:i/>
                <w:iCs/>
                <w:sz w:val="18"/>
                <w:szCs w:val="20"/>
              </w:rPr>
            </w:pPr>
            <w:r w:rsidRPr="007D1A8F">
              <w:rPr>
                <w:i/>
                <w:iCs/>
                <w:sz w:val="18"/>
                <w:szCs w:val="20"/>
              </w:rPr>
              <w:t xml:space="preserve">6,815 services in 2019 </w:t>
            </w:r>
            <w:r w:rsidRPr="007D1A8F">
              <w:rPr>
                <w:i/>
                <w:iCs/>
                <w:sz w:val="16"/>
                <w:szCs w:val="18"/>
              </w:rPr>
              <w:t>(target reduced from 7,206)</w:t>
            </w:r>
          </w:p>
          <w:p w14:paraId="37A3EEC8" w14:textId="77777777" w:rsidR="009A51F0" w:rsidRPr="007D1A8F" w:rsidRDefault="009A51F0" w:rsidP="00DC1F59">
            <w:pPr>
              <w:rPr>
                <w:i/>
                <w:iCs/>
                <w:sz w:val="18"/>
                <w:szCs w:val="20"/>
              </w:rPr>
            </w:pPr>
            <w:r w:rsidRPr="007D1A8F">
              <w:rPr>
                <w:i/>
                <w:iCs/>
                <w:sz w:val="18"/>
                <w:szCs w:val="20"/>
              </w:rPr>
              <w:t xml:space="preserve">5,485 services in 2020 </w:t>
            </w:r>
          </w:p>
          <w:p w14:paraId="270C2EB9" w14:textId="77777777" w:rsidR="009A51F0" w:rsidRPr="007D1A8F" w:rsidRDefault="009A51F0" w:rsidP="00DC1F59">
            <w:pPr>
              <w:rPr>
                <w:i/>
                <w:iCs/>
                <w:sz w:val="16"/>
                <w:szCs w:val="18"/>
              </w:rPr>
            </w:pPr>
            <w:r w:rsidRPr="007D1A8F">
              <w:rPr>
                <w:i/>
                <w:iCs/>
                <w:sz w:val="16"/>
                <w:szCs w:val="18"/>
              </w:rPr>
              <w:t>(target reduced from 8,380)</w:t>
            </w:r>
          </w:p>
          <w:p w14:paraId="19692E4D" w14:textId="77777777" w:rsidR="009A51F0" w:rsidRPr="007D1A8F" w:rsidRDefault="009A51F0" w:rsidP="00DC1F59">
            <w:pPr>
              <w:rPr>
                <w:sz w:val="18"/>
                <w:szCs w:val="20"/>
              </w:rPr>
            </w:pPr>
            <w:r w:rsidRPr="007D1A8F">
              <w:rPr>
                <w:i/>
                <w:iCs/>
                <w:sz w:val="16"/>
                <w:szCs w:val="18"/>
              </w:rPr>
              <w:t>2021 target = 9,553</w:t>
            </w:r>
          </w:p>
        </w:tc>
        <w:tc>
          <w:tcPr>
            <w:tcW w:w="1088" w:type="pct"/>
          </w:tcPr>
          <w:p w14:paraId="7321F133" w14:textId="77777777" w:rsidR="005B0ABD" w:rsidRPr="007D1A8F" w:rsidRDefault="005B0ABD" w:rsidP="00DC1F59">
            <w:pPr>
              <w:rPr>
                <w:sz w:val="18"/>
                <w:szCs w:val="20"/>
              </w:rPr>
            </w:pPr>
            <w:r w:rsidRPr="007D1A8F">
              <w:rPr>
                <w:sz w:val="18"/>
                <w:szCs w:val="20"/>
              </w:rPr>
              <w:t>At least 5750 fluoride varnish applications per annum.</w:t>
            </w:r>
            <w:r w:rsidRPr="007D1A8F">
              <w:rPr>
                <w:rStyle w:val="FootnoteReference"/>
                <w:sz w:val="18"/>
                <w:szCs w:val="20"/>
              </w:rPr>
              <w:footnoteReference w:id="8"/>
            </w:r>
          </w:p>
          <w:p w14:paraId="782F1853" w14:textId="67B62D04" w:rsidR="009A51F0" w:rsidRPr="007D1A8F" w:rsidRDefault="009A51F0" w:rsidP="00DC1F59">
            <w:pPr>
              <w:rPr>
                <w:sz w:val="18"/>
                <w:szCs w:val="20"/>
              </w:rPr>
            </w:pPr>
          </w:p>
          <w:p w14:paraId="68E700CA" w14:textId="3F676651" w:rsidR="009A51F0" w:rsidRPr="007D1A8F" w:rsidRDefault="009A51F0" w:rsidP="00DC1F59">
            <w:pPr>
              <w:rPr>
                <w:sz w:val="18"/>
                <w:szCs w:val="20"/>
              </w:rPr>
            </w:pPr>
          </w:p>
        </w:tc>
        <w:tc>
          <w:tcPr>
            <w:tcW w:w="272" w:type="pct"/>
            <w:vAlign w:val="center"/>
          </w:tcPr>
          <w:p w14:paraId="01164763" w14:textId="77777777" w:rsidR="009A51F0" w:rsidRPr="007D1A8F" w:rsidRDefault="009A51F0" w:rsidP="00DC1F59">
            <w:pPr>
              <w:jc w:val="right"/>
              <w:rPr>
                <w:sz w:val="20"/>
                <w:szCs w:val="20"/>
              </w:rPr>
            </w:pPr>
            <w:r w:rsidRPr="007D1A8F">
              <w:rPr>
                <w:sz w:val="20"/>
                <w:szCs w:val="20"/>
              </w:rPr>
              <w:t>0.254</w:t>
            </w:r>
          </w:p>
        </w:tc>
        <w:tc>
          <w:tcPr>
            <w:tcW w:w="272" w:type="pct"/>
            <w:vAlign w:val="center"/>
          </w:tcPr>
          <w:p w14:paraId="4EBD5A0F" w14:textId="77777777" w:rsidR="009A51F0" w:rsidRPr="007D1A8F" w:rsidRDefault="009A51F0" w:rsidP="00DC1F59">
            <w:pPr>
              <w:jc w:val="right"/>
              <w:rPr>
                <w:sz w:val="20"/>
                <w:szCs w:val="20"/>
              </w:rPr>
            </w:pPr>
            <w:r w:rsidRPr="007D1A8F">
              <w:rPr>
                <w:sz w:val="20"/>
                <w:szCs w:val="20"/>
              </w:rPr>
              <w:t>0.265</w:t>
            </w:r>
          </w:p>
        </w:tc>
        <w:tc>
          <w:tcPr>
            <w:tcW w:w="272" w:type="pct"/>
            <w:vAlign w:val="center"/>
          </w:tcPr>
          <w:p w14:paraId="5134DB06" w14:textId="77777777" w:rsidR="009A51F0" w:rsidRPr="007D1A8F" w:rsidRDefault="009A51F0" w:rsidP="00DC1F59">
            <w:pPr>
              <w:jc w:val="right"/>
              <w:rPr>
                <w:sz w:val="20"/>
                <w:szCs w:val="20"/>
              </w:rPr>
            </w:pPr>
            <w:r w:rsidRPr="007D1A8F">
              <w:rPr>
                <w:sz w:val="20"/>
                <w:szCs w:val="20"/>
              </w:rPr>
              <w:t>0.277</w:t>
            </w:r>
          </w:p>
        </w:tc>
        <w:tc>
          <w:tcPr>
            <w:tcW w:w="272" w:type="pct"/>
            <w:vAlign w:val="center"/>
          </w:tcPr>
          <w:p w14:paraId="73C357DB" w14:textId="77777777" w:rsidR="009A51F0" w:rsidRPr="007D1A8F" w:rsidRDefault="009A51F0" w:rsidP="00DC1F59">
            <w:pPr>
              <w:jc w:val="right"/>
              <w:rPr>
                <w:sz w:val="20"/>
                <w:szCs w:val="20"/>
              </w:rPr>
            </w:pPr>
            <w:r w:rsidRPr="007D1A8F">
              <w:rPr>
                <w:sz w:val="20"/>
                <w:szCs w:val="20"/>
              </w:rPr>
              <w:t>0.289</w:t>
            </w:r>
          </w:p>
        </w:tc>
        <w:tc>
          <w:tcPr>
            <w:tcW w:w="272" w:type="pct"/>
            <w:vAlign w:val="center"/>
          </w:tcPr>
          <w:p w14:paraId="280E753B" w14:textId="77777777" w:rsidR="009A51F0" w:rsidRPr="007D1A8F" w:rsidRDefault="009A51F0" w:rsidP="00DC1F59">
            <w:pPr>
              <w:jc w:val="right"/>
              <w:rPr>
                <w:sz w:val="20"/>
                <w:szCs w:val="20"/>
              </w:rPr>
            </w:pPr>
            <w:r w:rsidRPr="007D1A8F">
              <w:rPr>
                <w:sz w:val="20"/>
                <w:szCs w:val="20"/>
              </w:rPr>
              <w:t>0.302</w:t>
            </w:r>
          </w:p>
        </w:tc>
        <w:tc>
          <w:tcPr>
            <w:tcW w:w="273" w:type="pct"/>
            <w:vAlign w:val="center"/>
          </w:tcPr>
          <w:p w14:paraId="4DB417E6" w14:textId="77777777" w:rsidR="009A51F0" w:rsidRPr="007D1A8F" w:rsidRDefault="009A51F0" w:rsidP="00DC1F59">
            <w:pPr>
              <w:jc w:val="right"/>
              <w:rPr>
                <w:sz w:val="20"/>
                <w:szCs w:val="20"/>
              </w:rPr>
            </w:pPr>
            <w:r w:rsidRPr="007D1A8F">
              <w:rPr>
                <w:sz w:val="20"/>
                <w:szCs w:val="20"/>
              </w:rPr>
              <w:t>0.316</w:t>
            </w:r>
          </w:p>
        </w:tc>
        <w:tc>
          <w:tcPr>
            <w:tcW w:w="274" w:type="pct"/>
            <w:vAlign w:val="center"/>
          </w:tcPr>
          <w:p w14:paraId="1105A6A1" w14:textId="77777777" w:rsidR="009A51F0" w:rsidRPr="007D1A8F" w:rsidRDefault="009A51F0" w:rsidP="00DC1F59">
            <w:pPr>
              <w:jc w:val="right"/>
              <w:rPr>
                <w:sz w:val="20"/>
                <w:szCs w:val="20"/>
              </w:rPr>
            </w:pPr>
            <w:r w:rsidRPr="007D1A8F">
              <w:rPr>
                <w:sz w:val="20"/>
                <w:szCs w:val="20"/>
              </w:rPr>
              <w:t>0.330</w:t>
            </w:r>
          </w:p>
        </w:tc>
        <w:tc>
          <w:tcPr>
            <w:tcW w:w="274" w:type="pct"/>
            <w:vAlign w:val="center"/>
          </w:tcPr>
          <w:p w14:paraId="20D61A53" w14:textId="77777777" w:rsidR="009A51F0" w:rsidRPr="007D1A8F" w:rsidRDefault="000415F0" w:rsidP="00DC1F59">
            <w:pPr>
              <w:jc w:val="right"/>
              <w:rPr>
                <w:sz w:val="20"/>
                <w:szCs w:val="20"/>
              </w:rPr>
            </w:pPr>
            <w:r w:rsidRPr="007D1A8F">
              <w:rPr>
                <w:sz w:val="20"/>
                <w:szCs w:val="20"/>
              </w:rPr>
              <w:t>0.400</w:t>
            </w:r>
          </w:p>
        </w:tc>
        <w:tc>
          <w:tcPr>
            <w:tcW w:w="264" w:type="pct"/>
            <w:vAlign w:val="center"/>
          </w:tcPr>
          <w:p w14:paraId="50BC9F98" w14:textId="77777777" w:rsidR="009A51F0" w:rsidRPr="007D1A8F" w:rsidRDefault="000415F0" w:rsidP="00DC1F59">
            <w:pPr>
              <w:rPr>
                <w:sz w:val="20"/>
                <w:szCs w:val="20"/>
              </w:rPr>
            </w:pPr>
            <w:r w:rsidRPr="007D1A8F">
              <w:rPr>
                <w:sz w:val="20"/>
                <w:szCs w:val="20"/>
              </w:rPr>
              <w:t>0.400</w:t>
            </w:r>
          </w:p>
        </w:tc>
      </w:tr>
      <w:tr w:rsidR="009A51F0" w:rsidRPr="007D1A8F" w14:paraId="01B3AE5A" w14:textId="77777777" w:rsidTr="008332BC">
        <w:trPr>
          <w:cantSplit/>
          <w:trHeight w:val="503"/>
        </w:trPr>
        <w:tc>
          <w:tcPr>
            <w:tcW w:w="990" w:type="pct"/>
          </w:tcPr>
          <w:p w14:paraId="0711E8BF" w14:textId="77777777" w:rsidR="009A51F0" w:rsidRPr="007D1A8F" w:rsidRDefault="009A51F0" w:rsidP="00DC1F59">
            <w:pPr>
              <w:rPr>
                <w:b/>
                <w:sz w:val="18"/>
                <w:szCs w:val="20"/>
              </w:rPr>
            </w:pPr>
            <w:r w:rsidRPr="007D1A8F">
              <w:rPr>
                <w:b/>
                <w:sz w:val="18"/>
                <w:szCs w:val="20"/>
              </w:rPr>
              <w:lastRenderedPageBreak/>
              <w:t>Oral Health Performance Measure 3</w:t>
            </w:r>
          </w:p>
          <w:p w14:paraId="551A9ADD" w14:textId="77777777" w:rsidR="009A51F0" w:rsidRPr="007D1A8F" w:rsidRDefault="009A51F0" w:rsidP="00DC1F59">
            <w:pPr>
              <w:rPr>
                <w:sz w:val="18"/>
                <w:szCs w:val="20"/>
              </w:rPr>
            </w:pPr>
            <w:r w:rsidRPr="007D1A8F">
              <w:rPr>
                <w:sz w:val="18"/>
                <w:szCs w:val="20"/>
              </w:rPr>
              <w:t>Number of fissure sealants per annum.</w:t>
            </w:r>
          </w:p>
        </w:tc>
        <w:tc>
          <w:tcPr>
            <w:tcW w:w="477" w:type="pct"/>
          </w:tcPr>
          <w:p w14:paraId="78B3E1F4" w14:textId="77777777" w:rsidR="009A51F0" w:rsidRPr="007D1A8F" w:rsidRDefault="009A51F0" w:rsidP="00DC1F59">
            <w:pPr>
              <w:rPr>
                <w:i/>
                <w:iCs/>
                <w:sz w:val="16"/>
                <w:szCs w:val="18"/>
              </w:rPr>
            </w:pPr>
            <w:r w:rsidRPr="007D1A8F">
              <w:rPr>
                <w:i/>
                <w:iCs/>
                <w:sz w:val="16"/>
                <w:szCs w:val="18"/>
              </w:rPr>
              <w:t>8,506 services in 2016</w:t>
            </w:r>
          </w:p>
          <w:p w14:paraId="27F04D65" w14:textId="77777777" w:rsidR="009A51F0" w:rsidRPr="007D1A8F" w:rsidRDefault="009A51F0" w:rsidP="00DC1F59">
            <w:pPr>
              <w:rPr>
                <w:i/>
                <w:iCs/>
                <w:sz w:val="16"/>
                <w:szCs w:val="18"/>
              </w:rPr>
            </w:pPr>
            <w:r w:rsidRPr="007D1A8F">
              <w:rPr>
                <w:i/>
                <w:iCs/>
                <w:sz w:val="16"/>
                <w:szCs w:val="18"/>
              </w:rPr>
              <w:t>7,695 services in 2017</w:t>
            </w:r>
          </w:p>
          <w:p w14:paraId="48D5E9FE" w14:textId="77777777" w:rsidR="009A51F0" w:rsidRPr="007D1A8F" w:rsidRDefault="009A51F0" w:rsidP="00DC1F59">
            <w:pPr>
              <w:rPr>
                <w:i/>
                <w:iCs/>
                <w:sz w:val="16"/>
                <w:szCs w:val="18"/>
              </w:rPr>
            </w:pPr>
            <w:r w:rsidRPr="007D1A8F">
              <w:rPr>
                <w:i/>
                <w:iCs/>
                <w:sz w:val="16"/>
                <w:szCs w:val="18"/>
              </w:rPr>
              <w:t>6,927 services in 2018</w:t>
            </w:r>
          </w:p>
          <w:p w14:paraId="517E87FE" w14:textId="77777777" w:rsidR="009A51F0" w:rsidRPr="007D1A8F" w:rsidRDefault="009A51F0" w:rsidP="00DC1F59">
            <w:pPr>
              <w:rPr>
                <w:i/>
                <w:iCs/>
                <w:sz w:val="16"/>
                <w:szCs w:val="18"/>
              </w:rPr>
            </w:pPr>
            <w:r w:rsidRPr="007D1A8F">
              <w:rPr>
                <w:i/>
                <w:iCs/>
                <w:sz w:val="16"/>
                <w:szCs w:val="18"/>
              </w:rPr>
              <w:t>6,266 services in 2019</w:t>
            </w:r>
          </w:p>
          <w:p w14:paraId="7E34097D" w14:textId="77777777" w:rsidR="009A51F0" w:rsidRPr="007D1A8F" w:rsidRDefault="009A51F0" w:rsidP="00DC1F59">
            <w:pPr>
              <w:rPr>
                <w:i/>
                <w:iCs/>
                <w:sz w:val="16"/>
                <w:szCs w:val="18"/>
              </w:rPr>
            </w:pPr>
            <w:r w:rsidRPr="007D1A8F">
              <w:rPr>
                <w:i/>
                <w:iCs/>
                <w:sz w:val="16"/>
                <w:szCs w:val="18"/>
              </w:rPr>
              <w:t>4,187 services in 2020</w:t>
            </w:r>
          </w:p>
          <w:p w14:paraId="2D5D0808" w14:textId="77777777" w:rsidR="009A51F0" w:rsidRPr="007D1A8F" w:rsidRDefault="009A51F0" w:rsidP="00DC1F59">
            <w:pPr>
              <w:rPr>
                <w:sz w:val="18"/>
                <w:szCs w:val="20"/>
              </w:rPr>
            </w:pPr>
            <w:r w:rsidRPr="007D1A8F">
              <w:rPr>
                <w:i/>
                <w:iCs/>
                <w:sz w:val="16"/>
                <w:szCs w:val="18"/>
              </w:rPr>
              <w:t>2021 target = 2,500</w:t>
            </w:r>
          </w:p>
        </w:tc>
        <w:tc>
          <w:tcPr>
            <w:tcW w:w="1088" w:type="pct"/>
          </w:tcPr>
          <w:p w14:paraId="6509EC0D" w14:textId="77777777" w:rsidR="005B0ABD" w:rsidRPr="007D1A8F" w:rsidRDefault="005B0ABD" w:rsidP="00DC1F59">
            <w:pPr>
              <w:rPr>
                <w:sz w:val="18"/>
                <w:szCs w:val="20"/>
              </w:rPr>
            </w:pPr>
            <w:r w:rsidRPr="007D1A8F">
              <w:rPr>
                <w:sz w:val="18"/>
                <w:szCs w:val="20"/>
              </w:rPr>
              <w:t>At least 1,500 fissure sealants per annum.</w:t>
            </w:r>
            <w:r w:rsidRPr="007D1A8F">
              <w:rPr>
                <w:rStyle w:val="FootnoteReference"/>
                <w:sz w:val="18"/>
                <w:szCs w:val="20"/>
              </w:rPr>
              <w:footnoteReference w:id="9"/>
            </w:r>
          </w:p>
          <w:p w14:paraId="41CB7CAF" w14:textId="425D1E27" w:rsidR="005B0ABD" w:rsidRPr="007D1A8F" w:rsidRDefault="005B0ABD" w:rsidP="00DC1F59">
            <w:pPr>
              <w:rPr>
                <w:sz w:val="18"/>
                <w:szCs w:val="20"/>
              </w:rPr>
            </w:pPr>
          </w:p>
          <w:p w14:paraId="0F208AC1" w14:textId="61CA9F65" w:rsidR="009A51F0" w:rsidRPr="007D1A8F" w:rsidRDefault="009A51F0" w:rsidP="00DC1F59">
            <w:pPr>
              <w:rPr>
                <w:sz w:val="18"/>
                <w:szCs w:val="20"/>
              </w:rPr>
            </w:pPr>
          </w:p>
        </w:tc>
        <w:tc>
          <w:tcPr>
            <w:tcW w:w="272" w:type="pct"/>
            <w:vAlign w:val="center"/>
          </w:tcPr>
          <w:p w14:paraId="6E77C5EF" w14:textId="77777777" w:rsidR="009A51F0" w:rsidRPr="007D1A8F" w:rsidRDefault="009A51F0" w:rsidP="00DC1F59">
            <w:pPr>
              <w:jc w:val="right"/>
              <w:rPr>
                <w:sz w:val="20"/>
                <w:szCs w:val="20"/>
              </w:rPr>
            </w:pPr>
            <w:r w:rsidRPr="007D1A8F">
              <w:rPr>
                <w:sz w:val="20"/>
                <w:szCs w:val="20"/>
              </w:rPr>
              <w:t>0.507</w:t>
            </w:r>
          </w:p>
        </w:tc>
        <w:tc>
          <w:tcPr>
            <w:tcW w:w="272" w:type="pct"/>
            <w:vAlign w:val="center"/>
          </w:tcPr>
          <w:p w14:paraId="03F14808" w14:textId="77777777" w:rsidR="009A51F0" w:rsidRPr="007D1A8F" w:rsidRDefault="009A51F0" w:rsidP="00DC1F59">
            <w:pPr>
              <w:jc w:val="right"/>
              <w:rPr>
                <w:sz w:val="20"/>
                <w:szCs w:val="20"/>
              </w:rPr>
            </w:pPr>
            <w:r w:rsidRPr="007D1A8F">
              <w:rPr>
                <w:sz w:val="20"/>
                <w:szCs w:val="20"/>
              </w:rPr>
              <w:t>0.265</w:t>
            </w:r>
          </w:p>
        </w:tc>
        <w:tc>
          <w:tcPr>
            <w:tcW w:w="272" w:type="pct"/>
            <w:vAlign w:val="center"/>
          </w:tcPr>
          <w:p w14:paraId="5A650517" w14:textId="77777777" w:rsidR="009A51F0" w:rsidRPr="007D1A8F" w:rsidRDefault="009A51F0" w:rsidP="00DC1F59">
            <w:pPr>
              <w:jc w:val="right"/>
              <w:rPr>
                <w:sz w:val="20"/>
                <w:szCs w:val="20"/>
              </w:rPr>
            </w:pPr>
            <w:r w:rsidRPr="007D1A8F">
              <w:rPr>
                <w:sz w:val="20"/>
                <w:szCs w:val="20"/>
              </w:rPr>
              <w:t>0.348</w:t>
            </w:r>
          </w:p>
        </w:tc>
        <w:tc>
          <w:tcPr>
            <w:tcW w:w="272" w:type="pct"/>
            <w:vAlign w:val="center"/>
          </w:tcPr>
          <w:p w14:paraId="7081274F" w14:textId="77777777" w:rsidR="009A51F0" w:rsidRPr="007D1A8F" w:rsidRDefault="009A51F0" w:rsidP="00DC1F59">
            <w:pPr>
              <w:jc w:val="right"/>
              <w:rPr>
                <w:sz w:val="20"/>
                <w:szCs w:val="20"/>
              </w:rPr>
            </w:pPr>
            <w:r w:rsidRPr="007D1A8F">
              <w:rPr>
                <w:sz w:val="20"/>
                <w:szCs w:val="20"/>
              </w:rPr>
              <w:t>0.289</w:t>
            </w:r>
          </w:p>
        </w:tc>
        <w:tc>
          <w:tcPr>
            <w:tcW w:w="272" w:type="pct"/>
            <w:vAlign w:val="center"/>
          </w:tcPr>
          <w:p w14:paraId="25CDE761" w14:textId="77777777" w:rsidR="009A51F0" w:rsidRPr="007D1A8F" w:rsidRDefault="009A51F0" w:rsidP="00DC1F59">
            <w:pPr>
              <w:jc w:val="right"/>
              <w:rPr>
                <w:sz w:val="20"/>
                <w:szCs w:val="20"/>
              </w:rPr>
            </w:pPr>
            <w:r w:rsidRPr="007D1A8F">
              <w:rPr>
                <w:sz w:val="20"/>
                <w:szCs w:val="20"/>
              </w:rPr>
              <w:t>0.271</w:t>
            </w:r>
          </w:p>
        </w:tc>
        <w:tc>
          <w:tcPr>
            <w:tcW w:w="273" w:type="pct"/>
            <w:vAlign w:val="center"/>
          </w:tcPr>
          <w:p w14:paraId="67323A72" w14:textId="77777777" w:rsidR="009A51F0" w:rsidRPr="007D1A8F" w:rsidRDefault="009A51F0" w:rsidP="00DC1F59">
            <w:pPr>
              <w:jc w:val="right"/>
              <w:rPr>
                <w:sz w:val="20"/>
                <w:szCs w:val="20"/>
              </w:rPr>
            </w:pPr>
            <w:r w:rsidRPr="007D1A8F">
              <w:rPr>
                <w:sz w:val="20"/>
                <w:szCs w:val="20"/>
              </w:rPr>
              <w:t>0.232</w:t>
            </w:r>
          </w:p>
        </w:tc>
        <w:tc>
          <w:tcPr>
            <w:tcW w:w="274" w:type="pct"/>
            <w:vAlign w:val="center"/>
          </w:tcPr>
          <w:p w14:paraId="0CF908D3" w14:textId="77777777" w:rsidR="009A51F0" w:rsidRPr="007D1A8F" w:rsidRDefault="009A51F0" w:rsidP="00DC1F59">
            <w:pPr>
              <w:jc w:val="right"/>
              <w:rPr>
                <w:sz w:val="20"/>
                <w:szCs w:val="20"/>
              </w:rPr>
            </w:pPr>
            <w:r w:rsidRPr="007D1A8F">
              <w:rPr>
                <w:sz w:val="20"/>
                <w:szCs w:val="20"/>
              </w:rPr>
              <w:t>0.242</w:t>
            </w:r>
          </w:p>
        </w:tc>
        <w:tc>
          <w:tcPr>
            <w:tcW w:w="274" w:type="pct"/>
            <w:vAlign w:val="center"/>
          </w:tcPr>
          <w:p w14:paraId="48D43F39" w14:textId="77777777" w:rsidR="009A51F0" w:rsidRPr="007D1A8F" w:rsidRDefault="000415F0" w:rsidP="00DC1F59">
            <w:pPr>
              <w:jc w:val="right"/>
              <w:rPr>
                <w:sz w:val="20"/>
                <w:szCs w:val="20"/>
              </w:rPr>
            </w:pPr>
            <w:r w:rsidRPr="007D1A8F">
              <w:rPr>
                <w:sz w:val="20"/>
                <w:szCs w:val="20"/>
              </w:rPr>
              <w:t>0.242</w:t>
            </w:r>
          </w:p>
        </w:tc>
        <w:tc>
          <w:tcPr>
            <w:tcW w:w="264" w:type="pct"/>
            <w:vAlign w:val="center"/>
          </w:tcPr>
          <w:p w14:paraId="118A4CDE" w14:textId="77777777" w:rsidR="009A51F0" w:rsidRPr="007D1A8F" w:rsidRDefault="000415F0" w:rsidP="00DC1F59">
            <w:pPr>
              <w:rPr>
                <w:sz w:val="20"/>
                <w:szCs w:val="20"/>
              </w:rPr>
            </w:pPr>
            <w:r w:rsidRPr="007D1A8F">
              <w:rPr>
                <w:sz w:val="20"/>
                <w:szCs w:val="20"/>
              </w:rPr>
              <w:t>0.242</w:t>
            </w:r>
          </w:p>
        </w:tc>
      </w:tr>
      <w:tr w:rsidR="008332BC" w:rsidRPr="007D1A8F" w14:paraId="6DF2CD3F" w14:textId="77777777" w:rsidTr="008332BC">
        <w:trPr>
          <w:cantSplit/>
          <w:trHeight w:val="249"/>
        </w:trPr>
        <w:tc>
          <w:tcPr>
            <w:tcW w:w="5000" w:type="pct"/>
            <w:gridSpan w:val="12"/>
            <w:vAlign w:val="center"/>
          </w:tcPr>
          <w:p w14:paraId="5ACFB8D6" w14:textId="21DB8073" w:rsidR="008332BC" w:rsidRPr="007D1A8F" w:rsidRDefault="008332BC" w:rsidP="00DC1F59">
            <w:pPr>
              <w:jc w:val="center"/>
              <w:rPr>
                <w:b/>
                <w:sz w:val="20"/>
                <w:szCs w:val="22"/>
              </w:rPr>
            </w:pPr>
            <w:r w:rsidRPr="007D1A8F">
              <w:br w:type="page"/>
            </w:r>
            <w:r w:rsidRPr="007D1A8F">
              <w:rPr>
                <w:b/>
                <w:sz w:val="20"/>
                <w:szCs w:val="22"/>
              </w:rPr>
              <w:t>Oral Health Outcome Measures</w:t>
            </w:r>
          </w:p>
        </w:tc>
      </w:tr>
      <w:tr w:rsidR="009A51F0" w:rsidRPr="007D1A8F" w14:paraId="6F610542" w14:textId="77777777" w:rsidTr="008332BC">
        <w:trPr>
          <w:cantSplit/>
        </w:trPr>
        <w:tc>
          <w:tcPr>
            <w:tcW w:w="990" w:type="pct"/>
          </w:tcPr>
          <w:p w14:paraId="16B8CC1F" w14:textId="77777777" w:rsidR="009A51F0" w:rsidRPr="007D1A8F" w:rsidRDefault="009A51F0" w:rsidP="00DC1F59">
            <w:pPr>
              <w:rPr>
                <w:b/>
                <w:sz w:val="18"/>
                <w:szCs w:val="20"/>
              </w:rPr>
            </w:pPr>
            <w:r w:rsidRPr="007D1A8F">
              <w:rPr>
                <w:b/>
                <w:sz w:val="18"/>
                <w:szCs w:val="20"/>
              </w:rPr>
              <w:t>Oral Health Outcome Measure 1</w:t>
            </w:r>
          </w:p>
          <w:p w14:paraId="4A7B79D5" w14:textId="77777777" w:rsidR="009A51F0" w:rsidRPr="007D1A8F" w:rsidRDefault="009A51F0" w:rsidP="00DC1F59">
            <w:pPr>
              <w:rPr>
                <w:sz w:val="18"/>
                <w:szCs w:val="20"/>
              </w:rPr>
            </w:pPr>
            <w:r w:rsidRPr="007D1A8F">
              <w:rPr>
                <w:sz w:val="18"/>
                <w:szCs w:val="20"/>
              </w:rPr>
              <w:t>Percentage of communities receiving a dental service.</w:t>
            </w:r>
          </w:p>
        </w:tc>
        <w:tc>
          <w:tcPr>
            <w:tcW w:w="477" w:type="pct"/>
          </w:tcPr>
          <w:p w14:paraId="7DFDBF89" w14:textId="77777777" w:rsidR="009A51F0" w:rsidRPr="007D1A8F" w:rsidRDefault="009A51F0" w:rsidP="00DC1F59">
            <w:pPr>
              <w:rPr>
                <w:sz w:val="18"/>
                <w:szCs w:val="20"/>
              </w:rPr>
            </w:pPr>
            <w:r w:rsidRPr="007D1A8F">
              <w:rPr>
                <w:sz w:val="18"/>
                <w:szCs w:val="20"/>
              </w:rPr>
              <w:t>Number of communities receiving dental service in 2015.</w:t>
            </w:r>
          </w:p>
        </w:tc>
        <w:tc>
          <w:tcPr>
            <w:tcW w:w="1088" w:type="pct"/>
          </w:tcPr>
          <w:p w14:paraId="0AA9DED6" w14:textId="77777777" w:rsidR="009A51F0" w:rsidRPr="007D1A8F" w:rsidRDefault="009A51F0" w:rsidP="00DC1F59">
            <w:pPr>
              <w:rPr>
                <w:sz w:val="18"/>
                <w:szCs w:val="20"/>
              </w:rPr>
            </w:pPr>
            <w:r w:rsidRPr="007D1A8F">
              <w:rPr>
                <w:sz w:val="18"/>
                <w:szCs w:val="20"/>
              </w:rPr>
              <w:t>75% of all communities across Northern Territory (excluding the major centres: Darwin, Katherine, Nhulunbuy and Alice Springs) receive a dental service within each calendar year as demonstrated through the schedule for delivery of services provided to the Commonwealth by 1 March each year. This will detail the communities anticipated to be visited in the current calendar year and communities visited in the previous calendar year.</w:t>
            </w:r>
          </w:p>
        </w:tc>
        <w:tc>
          <w:tcPr>
            <w:tcW w:w="272" w:type="pct"/>
            <w:vAlign w:val="center"/>
          </w:tcPr>
          <w:p w14:paraId="31D67928"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0BF2BCF7" w14:textId="77777777" w:rsidR="009A51F0" w:rsidRPr="007D1A8F" w:rsidRDefault="009A51F0" w:rsidP="00DC1F59">
            <w:pPr>
              <w:jc w:val="right"/>
              <w:rPr>
                <w:sz w:val="20"/>
                <w:szCs w:val="20"/>
              </w:rPr>
            </w:pPr>
            <w:r w:rsidRPr="007D1A8F">
              <w:rPr>
                <w:sz w:val="20"/>
                <w:szCs w:val="20"/>
              </w:rPr>
              <w:t>0.166</w:t>
            </w:r>
          </w:p>
        </w:tc>
        <w:tc>
          <w:tcPr>
            <w:tcW w:w="272" w:type="pct"/>
            <w:vAlign w:val="center"/>
          </w:tcPr>
          <w:p w14:paraId="7A480381"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37BB5969" w14:textId="77777777" w:rsidR="009A51F0" w:rsidRPr="007D1A8F" w:rsidRDefault="009A51F0" w:rsidP="00DC1F59">
            <w:pPr>
              <w:jc w:val="right"/>
              <w:rPr>
                <w:sz w:val="20"/>
                <w:szCs w:val="20"/>
              </w:rPr>
            </w:pPr>
            <w:r w:rsidRPr="007D1A8F">
              <w:rPr>
                <w:sz w:val="20"/>
                <w:szCs w:val="20"/>
              </w:rPr>
              <w:t>0.181</w:t>
            </w:r>
          </w:p>
        </w:tc>
        <w:tc>
          <w:tcPr>
            <w:tcW w:w="272" w:type="pct"/>
            <w:vAlign w:val="center"/>
          </w:tcPr>
          <w:p w14:paraId="2961DA34"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29FCB430"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5E997139" w14:textId="77777777" w:rsidR="009A51F0" w:rsidRPr="007D1A8F" w:rsidRDefault="009A51F0" w:rsidP="00DC1F59">
            <w:pPr>
              <w:jc w:val="right"/>
              <w:rPr>
                <w:sz w:val="20"/>
                <w:szCs w:val="20"/>
              </w:rPr>
            </w:pPr>
            <w:r w:rsidRPr="007D1A8F">
              <w:rPr>
                <w:sz w:val="20"/>
                <w:szCs w:val="20"/>
              </w:rPr>
              <w:t>0.206</w:t>
            </w:r>
          </w:p>
        </w:tc>
        <w:tc>
          <w:tcPr>
            <w:tcW w:w="274" w:type="pct"/>
            <w:vAlign w:val="center"/>
          </w:tcPr>
          <w:p w14:paraId="3F99851A" w14:textId="77777777" w:rsidR="009A51F0" w:rsidRPr="007D1A8F" w:rsidRDefault="009A51F0" w:rsidP="00DC1F59">
            <w:pPr>
              <w:jc w:val="right"/>
              <w:rPr>
                <w:sz w:val="20"/>
                <w:szCs w:val="20"/>
              </w:rPr>
            </w:pPr>
            <w:r w:rsidRPr="007D1A8F">
              <w:rPr>
                <w:sz w:val="20"/>
                <w:szCs w:val="20"/>
              </w:rPr>
              <w:t xml:space="preserve">- </w:t>
            </w:r>
          </w:p>
        </w:tc>
        <w:tc>
          <w:tcPr>
            <w:tcW w:w="264" w:type="pct"/>
            <w:vAlign w:val="center"/>
          </w:tcPr>
          <w:p w14:paraId="7F9417C6" w14:textId="77777777" w:rsidR="009A51F0" w:rsidRPr="007D1A8F" w:rsidRDefault="005B0ABD" w:rsidP="00DC1F59">
            <w:pPr>
              <w:jc w:val="right"/>
              <w:rPr>
                <w:sz w:val="20"/>
                <w:szCs w:val="20"/>
              </w:rPr>
            </w:pPr>
            <w:r w:rsidRPr="007D1A8F">
              <w:rPr>
                <w:sz w:val="20"/>
                <w:szCs w:val="20"/>
              </w:rPr>
              <w:t>-</w:t>
            </w:r>
          </w:p>
        </w:tc>
      </w:tr>
      <w:tr w:rsidR="009A51F0" w:rsidRPr="007D1A8F" w14:paraId="05CA1333" w14:textId="77777777" w:rsidTr="008332BC">
        <w:trPr>
          <w:cantSplit/>
        </w:trPr>
        <w:tc>
          <w:tcPr>
            <w:tcW w:w="990" w:type="pct"/>
          </w:tcPr>
          <w:p w14:paraId="78139867" w14:textId="77777777" w:rsidR="009A51F0" w:rsidRPr="007D1A8F" w:rsidRDefault="009A51F0" w:rsidP="00DC1F59">
            <w:pPr>
              <w:rPr>
                <w:b/>
                <w:sz w:val="18"/>
                <w:szCs w:val="20"/>
              </w:rPr>
            </w:pPr>
            <w:r w:rsidRPr="007D1A8F">
              <w:rPr>
                <w:b/>
                <w:sz w:val="18"/>
                <w:szCs w:val="20"/>
              </w:rPr>
              <w:t>Oral Health Outcome Measure 2</w:t>
            </w:r>
          </w:p>
          <w:p w14:paraId="22CAA91F" w14:textId="77777777" w:rsidR="009A51F0" w:rsidRPr="007D1A8F" w:rsidRDefault="009A51F0" w:rsidP="00DC1F59">
            <w:pPr>
              <w:rPr>
                <w:sz w:val="18"/>
                <w:szCs w:val="20"/>
              </w:rPr>
            </w:pPr>
            <w:r w:rsidRPr="007D1A8F">
              <w:rPr>
                <w:sz w:val="18"/>
                <w:szCs w:val="20"/>
              </w:rPr>
              <w:t>Prioritisation of preventive services.</w:t>
            </w:r>
          </w:p>
        </w:tc>
        <w:tc>
          <w:tcPr>
            <w:tcW w:w="477" w:type="pct"/>
          </w:tcPr>
          <w:p w14:paraId="53C6CDEC" w14:textId="77777777" w:rsidR="009A51F0" w:rsidRPr="007D1A8F" w:rsidRDefault="009A51F0" w:rsidP="00DC1F59">
            <w:pPr>
              <w:rPr>
                <w:sz w:val="18"/>
                <w:szCs w:val="20"/>
              </w:rPr>
            </w:pPr>
            <w:r w:rsidRPr="007D1A8F">
              <w:rPr>
                <w:sz w:val="18"/>
                <w:szCs w:val="20"/>
              </w:rPr>
              <w:t>Proportion of preventive services delivered within total occasions of service for 2015.</w:t>
            </w:r>
          </w:p>
        </w:tc>
        <w:tc>
          <w:tcPr>
            <w:tcW w:w="1088" w:type="pct"/>
          </w:tcPr>
          <w:p w14:paraId="0CD6B167" w14:textId="77777777" w:rsidR="009A51F0" w:rsidRPr="007D1A8F" w:rsidRDefault="009A51F0" w:rsidP="00DC1F59">
            <w:pPr>
              <w:rPr>
                <w:sz w:val="18"/>
                <w:szCs w:val="20"/>
              </w:rPr>
            </w:pPr>
            <w:r w:rsidRPr="007D1A8F">
              <w:rPr>
                <w:sz w:val="18"/>
                <w:szCs w:val="20"/>
              </w:rPr>
              <w:t>At least 50% of total items of service are preventive services.</w:t>
            </w:r>
          </w:p>
        </w:tc>
        <w:tc>
          <w:tcPr>
            <w:tcW w:w="272" w:type="pct"/>
            <w:vAlign w:val="center"/>
          </w:tcPr>
          <w:p w14:paraId="236067A7"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44754417" w14:textId="77777777" w:rsidR="009A51F0" w:rsidRPr="007D1A8F" w:rsidRDefault="009A51F0" w:rsidP="00DC1F59">
            <w:pPr>
              <w:jc w:val="right"/>
              <w:rPr>
                <w:sz w:val="20"/>
                <w:szCs w:val="20"/>
              </w:rPr>
            </w:pPr>
            <w:r w:rsidRPr="007D1A8F">
              <w:rPr>
                <w:sz w:val="20"/>
                <w:szCs w:val="20"/>
              </w:rPr>
              <w:t>0.166</w:t>
            </w:r>
          </w:p>
        </w:tc>
        <w:tc>
          <w:tcPr>
            <w:tcW w:w="272" w:type="pct"/>
            <w:vAlign w:val="center"/>
          </w:tcPr>
          <w:p w14:paraId="61C1F8B3"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696EDCC4" w14:textId="77777777" w:rsidR="009A51F0" w:rsidRPr="007D1A8F" w:rsidRDefault="009A51F0" w:rsidP="00DC1F59">
            <w:pPr>
              <w:jc w:val="right"/>
              <w:rPr>
                <w:sz w:val="20"/>
                <w:szCs w:val="20"/>
              </w:rPr>
            </w:pPr>
            <w:r w:rsidRPr="007D1A8F">
              <w:rPr>
                <w:sz w:val="20"/>
                <w:szCs w:val="20"/>
              </w:rPr>
              <w:t>0.325</w:t>
            </w:r>
          </w:p>
        </w:tc>
        <w:tc>
          <w:tcPr>
            <w:tcW w:w="272" w:type="pct"/>
            <w:vAlign w:val="center"/>
          </w:tcPr>
          <w:p w14:paraId="5D184110"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0684F84E"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3636749F" w14:textId="77777777" w:rsidR="009A51F0" w:rsidRPr="007D1A8F" w:rsidRDefault="009A51F0" w:rsidP="00DC1F59">
            <w:pPr>
              <w:jc w:val="right"/>
              <w:rPr>
                <w:sz w:val="20"/>
                <w:szCs w:val="20"/>
              </w:rPr>
            </w:pPr>
            <w:r w:rsidRPr="007D1A8F">
              <w:rPr>
                <w:sz w:val="20"/>
                <w:szCs w:val="20"/>
              </w:rPr>
              <w:t>0.372</w:t>
            </w:r>
          </w:p>
        </w:tc>
        <w:tc>
          <w:tcPr>
            <w:tcW w:w="274" w:type="pct"/>
            <w:vAlign w:val="center"/>
          </w:tcPr>
          <w:p w14:paraId="6224B8A6" w14:textId="77777777" w:rsidR="009A51F0" w:rsidRPr="007D1A8F" w:rsidRDefault="009A51F0" w:rsidP="00DC1F59">
            <w:pPr>
              <w:jc w:val="right"/>
              <w:rPr>
                <w:sz w:val="20"/>
                <w:szCs w:val="20"/>
              </w:rPr>
            </w:pPr>
            <w:r w:rsidRPr="007D1A8F">
              <w:rPr>
                <w:sz w:val="20"/>
                <w:szCs w:val="20"/>
              </w:rPr>
              <w:t xml:space="preserve">- </w:t>
            </w:r>
          </w:p>
        </w:tc>
        <w:tc>
          <w:tcPr>
            <w:tcW w:w="264" w:type="pct"/>
            <w:vAlign w:val="center"/>
          </w:tcPr>
          <w:p w14:paraId="35CC9DAF" w14:textId="77777777" w:rsidR="009A51F0" w:rsidRPr="007D1A8F" w:rsidRDefault="009A51F0" w:rsidP="00DC1F59">
            <w:pPr>
              <w:jc w:val="right"/>
              <w:rPr>
                <w:sz w:val="20"/>
                <w:szCs w:val="20"/>
              </w:rPr>
            </w:pPr>
            <w:r w:rsidRPr="007D1A8F">
              <w:rPr>
                <w:sz w:val="20"/>
                <w:szCs w:val="20"/>
              </w:rPr>
              <w:t>-</w:t>
            </w:r>
          </w:p>
        </w:tc>
      </w:tr>
      <w:tr w:rsidR="009A51F0" w:rsidRPr="007D1A8F" w14:paraId="6CBA6998" w14:textId="77777777" w:rsidTr="008332BC">
        <w:trPr>
          <w:cantSplit/>
        </w:trPr>
        <w:tc>
          <w:tcPr>
            <w:tcW w:w="990" w:type="pct"/>
          </w:tcPr>
          <w:p w14:paraId="344F5016" w14:textId="77777777" w:rsidR="009A51F0" w:rsidRPr="007D1A8F" w:rsidRDefault="009A51F0" w:rsidP="00DC1F59">
            <w:pPr>
              <w:tabs>
                <w:tab w:val="left" w:pos="1478"/>
              </w:tabs>
              <w:rPr>
                <w:b/>
                <w:sz w:val="18"/>
                <w:szCs w:val="20"/>
              </w:rPr>
            </w:pPr>
            <w:r w:rsidRPr="007D1A8F">
              <w:rPr>
                <w:b/>
                <w:sz w:val="18"/>
                <w:szCs w:val="20"/>
              </w:rPr>
              <w:lastRenderedPageBreak/>
              <w:t>Oral Health Outcome Measure 3</w:t>
            </w:r>
            <w:r w:rsidRPr="007D1A8F">
              <w:rPr>
                <w:rStyle w:val="FootnoteReference"/>
                <w:b/>
                <w:sz w:val="18"/>
                <w:szCs w:val="20"/>
              </w:rPr>
              <w:footnoteReference w:id="10"/>
            </w:r>
          </w:p>
          <w:p w14:paraId="61C03D8C" w14:textId="77777777" w:rsidR="009A51F0" w:rsidRPr="007D1A8F" w:rsidRDefault="009A51F0" w:rsidP="00DC1F59">
            <w:pPr>
              <w:tabs>
                <w:tab w:val="left" w:pos="1478"/>
              </w:tabs>
              <w:rPr>
                <w:b/>
                <w:sz w:val="18"/>
                <w:szCs w:val="20"/>
              </w:rPr>
            </w:pPr>
            <w:r w:rsidRPr="007D1A8F">
              <w:rPr>
                <w:sz w:val="18"/>
                <w:szCs w:val="20"/>
              </w:rPr>
              <w:t>Equitable service delivery across HSDAs and by remoteness.</w:t>
            </w:r>
          </w:p>
        </w:tc>
        <w:tc>
          <w:tcPr>
            <w:tcW w:w="477" w:type="pct"/>
          </w:tcPr>
          <w:p w14:paraId="270610BB" w14:textId="77777777" w:rsidR="009A51F0" w:rsidRPr="007D1A8F" w:rsidRDefault="009A51F0" w:rsidP="00DC1F59">
            <w:pPr>
              <w:rPr>
                <w:sz w:val="18"/>
                <w:szCs w:val="20"/>
              </w:rPr>
            </w:pPr>
            <w:r w:rsidRPr="007D1A8F">
              <w:rPr>
                <w:sz w:val="18"/>
                <w:szCs w:val="20"/>
              </w:rPr>
              <w:t>Comparable data not available.</w:t>
            </w:r>
          </w:p>
        </w:tc>
        <w:tc>
          <w:tcPr>
            <w:tcW w:w="1088" w:type="pct"/>
          </w:tcPr>
          <w:p w14:paraId="2EBCACDA" w14:textId="77777777" w:rsidR="009A51F0" w:rsidRPr="007D1A8F" w:rsidRDefault="009A51F0" w:rsidP="00DC1F59">
            <w:pPr>
              <w:rPr>
                <w:sz w:val="18"/>
                <w:szCs w:val="20"/>
              </w:rPr>
            </w:pPr>
            <w:r w:rsidRPr="007D1A8F">
              <w:rPr>
                <w:sz w:val="18"/>
                <w:szCs w:val="20"/>
              </w:rPr>
              <w:t>1) Coverage by regions (number of outreach trips) between July 2012 and June 2015, including an overview of the integrated program scheduling principles that support equitable service delivery.</w:t>
            </w:r>
          </w:p>
          <w:p w14:paraId="173FF5A6" w14:textId="77777777" w:rsidR="009A51F0" w:rsidRPr="007D1A8F" w:rsidRDefault="009A51F0" w:rsidP="00DC1F59">
            <w:pPr>
              <w:rPr>
                <w:sz w:val="18"/>
                <w:szCs w:val="20"/>
              </w:rPr>
            </w:pPr>
            <w:r w:rsidRPr="007D1A8F">
              <w:rPr>
                <w:sz w:val="18"/>
                <w:szCs w:val="20"/>
              </w:rPr>
              <w:t xml:space="preserve">2) Demand for service by region </w:t>
            </w:r>
            <w:proofErr w:type="gramStart"/>
            <w:r w:rsidRPr="007D1A8F">
              <w:rPr>
                <w:sz w:val="18"/>
                <w:szCs w:val="20"/>
              </w:rPr>
              <w:t>at</w:t>
            </w:r>
            <w:proofErr w:type="gramEnd"/>
            <w:r w:rsidRPr="007D1A8F">
              <w:rPr>
                <w:sz w:val="18"/>
                <w:szCs w:val="20"/>
              </w:rPr>
              <w:t xml:space="preserve"> 1 July 2012 and 30 June 2015.</w:t>
            </w:r>
          </w:p>
        </w:tc>
        <w:tc>
          <w:tcPr>
            <w:tcW w:w="272" w:type="pct"/>
            <w:vAlign w:val="center"/>
          </w:tcPr>
          <w:p w14:paraId="0BBF9B9A" w14:textId="77777777" w:rsidR="009A51F0" w:rsidRPr="007D1A8F" w:rsidRDefault="009A51F0" w:rsidP="00DC1F59">
            <w:pPr>
              <w:jc w:val="right"/>
              <w:rPr>
                <w:sz w:val="18"/>
                <w:szCs w:val="18"/>
              </w:rPr>
            </w:pPr>
            <w:r w:rsidRPr="007D1A8F">
              <w:rPr>
                <w:sz w:val="20"/>
                <w:szCs w:val="18"/>
              </w:rPr>
              <w:t>-</w:t>
            </w:r>
          </w:p>
        </w:tc>
        <w:tc>
          <w:tcPr>
            <w:tcW w:w="272" w:type="pct"/>
            <w:vAlign w:val="center"/>
          </w:tcPr>
          <w:p w14:paraId="50C1228F" w14:textId="77777777" w:rsidR="009A51F0" w:rsidRPr="007D1A8F" w:rsidRDefault="009A51F0" w:rsidP="00DC1F59">
            <w:pPr>
              <w:jc w:val="right"/>
              <w:rPr>
                <w:sz w:val="20"/>
                <w:szCs w:val="20"/>
              </w:rPr>
            </w:pPr>
            <w:r w:rsidRPr="007D1A8F">
              <w:rPr>
                <w:sz w:val="20"/>
                <w:szCs w:val="18"/>
              </w:rPr>
              <w:t>0.133</w:t>
            </w:r>
          </w:p>
        </w:tc>
        <w:tc>
          <w:tcPr>
            <w:tcW w:w="272" w:type="pct"/>
            <w:vAlign w:val="center"/>
          </w:tcPr>
          <w:p w14:paraId="1C57A9F5"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6A1FE5F5" w14:textId="77777777" w:rsidR="009A51F0" w:rsidRPr="007D1A8F" w:rsidRDefault="009A51F0" w:rsidP="00DC1F59">
            <w:pPr>
              <w:jc w:val="right"/>
              <w:rPr>
                <w:sz w:val="20"/>
                <w:szCs w:val="20"/>
              </w:rPr>
            </w:pPr>
            <w:r w:rsidRPr="007D1A8F">
              <w:rPr>
                <w:sz w:val="20"/>
                <w:szCs w:val="20"/>
              </w:rPr>
              <w:t>-</w:t>
            </w:r>
          </w:p>
        </w:tc>
        <w:tc>
          <w:tcPr>
            <w:tcW w:w="272" w:type="pct"/>
            <w:vAlign w:val="center"/>
          </w:tcPr>
          <w:p w14:paraId="64C5CC8E" w14:textId="77777777" w:rsidR="009A51F0" w:rsidRPr="007D1A8F" w:rsidRDefault="009A51F0" w:rsidP="00DC1F59">
            <w:pPr>
              <w:jc w:val="right"/>
              <w:rPr>
                <w:sz w:val="20"/>
                <w:szCs w:val="20"/>
              </w:rPr>
            </w:pPr>
            <w:r w:rsidRPr="007D1A8F">
              <w:rPr>
                <w:sz w:val="20"/>
                <w:szCs w:val="20"/>
              </w:rPr>
              <w:t>-</w:t>
            </w:r>
          </w:p>
        </w:tc>
        <w:tc>
          <w:tcPr>
            <w:tcW w:w="273" w:type="pct"/>
            <w:vAlign w:val="center"/>
          </w:tcPr>
          <w:p w14:paraId="13455AA6"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66B35DD5" w14:textId="77777777" w:rsidR="009A51F0" w:rsidRPr="007D1A8F" w:rsidRDefault="009A51F0" w:rsidP="00DC1F59">
            <w:pPr>
              <w:jc w:val="right"/>
              <w:rPr>
                <w:sz w:val="20"/>
                <w:szCs w:val="20"/>
              </w:rPr>
            </w:pPr>
            <w:r w:rsidRPr="007D1A8F">
              <w:rPr>
                <w:sz w:val="20"/>
                <w:szCs w:val="20"/>
              </w:rPr>
              <w:t>-</w:t>
            </w:r>
          </w:p>
        </w:tc>
        <w:tc>
          <w:tcPr>
            <w:tcW w:w="274" w:type="pct"/>
            <w:vAlign w:val="center"/>
          </w:tcPr>
          <w:p w14:paraId="0A2391D1" w14:textId="77777777" w:rsidR="009A51F0" w:rsidRPr="007D1A8F" w:rsidRDefault="009A51F0" w:rsidP="00DC1F59">
            <w:pPr>
              <w:jc w:val="right"/>
              <w:rPr>
                <w:sz w:val="20"/>
                <w:szCs w:val="20"/>
              </w:rPr>
            </w:pPr>
            <w:r w:rsidRPr="007D1A8F">
              <w:rPr>
                <w:sz w:val="20"/>
                <w:szCs w:val="20"/>
              </w:rPr>
              <w:t>-</w:t>
            </w:r>
          </w:p>
        </w:tc>
        <w:tc>
          <w:tcPr>
            <w:tcW w:w="264" w:type="pct"/>
            <w:vAlign w:val="center"/>
          </w:tcPr>
          <w:p w14:paraId="119DC5D0" w14:textId="77777777" w:rsidR="009A51F0" w:rsidRPr="007D1A8F" w:rsidRDefault="009A51F0" w:rsidP="00DC1F59">
            <w:pPr>
              <w:jc w:val="right"/>
              <w:rPr>
                <w:sz w:val="20"/>
                <w:szCs w:val="20"/>
              </w:rPr>
            </w:pPr>
            <w:r w:rsidRPr="007D1A8F">
              <w:rPr>
                <w:sz w:val="20"/>
                <w:szCs w:val="20"/>
              </w:rPr>
              <w:t xml:space="preserve">- </w:t>
            </w:r>
          </w:p>
        </w:tc>
      </w:tr>
      <w:tr w:rsidR="000415F0" w:rsidRPr="007D1A8F" w14:paraId="16425197" w14:textId="77777777" w:rsidTr="008332BC">
        <w:trPr>
          <w:cantSplit/>
          <w:trHeight w:val="249"/>
        </w:trPr>
        <w:tc>
          <w:tcPr>
            <w:tcW w:w="2556" w:type="pct"/>
            <w:gridSpan w:val="3"/>
            <w:vAlign w:val="center"/>
          </w:tcPr>
          <w:p w14:paraId="4671CC6D" w14:textId="77777777" w:rsidR="000415F0" w:rsidRPr="007D1A8F" w:rsidRDefault="000415F0" w:rsidP="000415F0">
            <w:pPr>
              <w:jc w:val="right"/>
              <w:rPr>
                <w:b/>
                <w:spacing w:val="4"/>
                <w:sz w:val="20"/>
                <w:szCs w:val="20"/>
                <w:lang w:eastAsia="en-US"/>
              </w:rPr>
            </w:pPr>
            <w:r w:rsidRPr="007D1A8F">
              <w:rPr>
                <w:b/>
                <w:spacing w:val="4"/>
                <w:sz w:val="20"/>
                <w:szCs w:val="20"/>
                <w:lang w:eastAsia="en-US"/>
              </w:rPr>
              <w:t>Total</w:t>
            </w:r>
            <w:r w:rsidRPr="007D1A8F">
              <w:rPr>
                <w:rStyle w:val="FootnoteReference"/>
                <w:b/>
                <w:spacing w:val="4"/>
                <w:sz w:val="20"/>
                <w:szCs w:val="20"/>
                <w:lang w:eastAsia="en-US"/>
              </w:rPr>
              <w:footnoteReference w:id="11"/>
            </w:r>
          </w:p>
        </w:tc>
        <w:tc>
          <w:tcPr>
            <w:tcW w:w="272" w:type="pct"/>
            <w:vAlign w:val="center"/>
          </w:tcPr>
          <w:p w14:paraId="16BC5422" w14:textId="77777777" w:rsidR="000415F0" w:rsidRPr="007D1A8F" w:rsidRDefault="000415F0" w:rsidP="000415F0">
            <w:pPr>
              <w:jc w:val="right"/>
              <w:rPr>
                <w:b/>
                <w:spacing w:val="4"/>
                <w:sz w:val="20"/>
                <w:szCs w:val="20"/>
                <w:lang w:eastAsia="en-US"/>
              </w:rPr>
            </w:pPr>
            <w:r w:rsidRPr="007D1A8F">
              <w:rPr>
                <w:b/>
                <w:spacing w:val="4"/>
                <w:sz w:val="20"/>
                <w:szCs w:val="20"/>
                <w:lang w:eastAsia="en-US"/>
              </w:rPr>
              <w:t>2.535</w:t>
            </w:r>
          </w:p>
        </w:tc>
        <w:tc>
          <w:tcPr>
            <w:tcW w:w="272" w:type="pct"/>
            <w:vAlign w:val="center"/>
          </w:tcPr>
          <w:p w14:paraId="51F44A5B" w14:textId="77777777" w:rsidR="000415F0" w:rsidRPr="007D1A8F" w:rsidRDefault="000415F0" w:rsidP="000415F0">
            <w:pPr>
              <w:jc w:val="right"/>
              <w:rPr>
                <w:b/>
                <w:spacing w:val="4"/>
                <w:sz w:val="20"/>
                <w:szCs w:val="20"/>
                <w:lang w:eastAsia="en-US"/>
              </w:rPr>
            </w:pPr>
            <w:r w:rsidRPr="007D1A8F">
              <w:rPr>
                <w:b/>
                <w:spacing w:val="4"/>
                <w:sz w:val="20"/>
                <w:szCs w:val="20"/>
                <w:lang w:eastAsia="en-US"/>
              </w:rPr>
              <w:t>2.650</w:t>
            </w:r>
          </w:p>
        </w:tc>
        <w:tc>
          <w:tcPr>
            <w:tcW w:w="272" w:type="pct"/>
            <w:vAlign w:val="center"/>
          </w:tcPr>
          <w:p w14:paraId="23D57321" w14:textId="77777777" w:rsidR="000415F0" w:rsidRPr="007D1A8F" w:rsidRDefault="000415F0" w:rsidP="000415F0">
            <w:pPr>
              <w:jc w:val="right"/>
              <w:rPr>
                <w:b/>
                <w:spacing w:val="4"/>
                <w:sz w:val="20"/>
                <w:szCs w:val="20"/>
                <w:lang w:eastAsia="en-US"/>
              </w:rPr>
            </w:pPr>
            <w:r w:rsidRPr="007D1A8F">
              <w:rPr>
                <w:b/>
                <w:spacing w:val="4"/>
                <w:sz w:val="20"/>
                <w:szCs w:val="20"/>
                <w:lang w:eastAsia="en-US"/>
              </w:rPr>
              <w:t>2.769</w:t>
            </w:r>
          </w:p>
        </w:tc>
        <w:tc>
          <w:tcPr>
            <w:tcW w:w="272" w:type="pct"/>
            <w:vAlign w:val="center"/>
          </w:tcPr>
          <w:p w14:paraId="4EAE8C4F" w14:textId="77777777" w:rsidR="000415F0" w:rsidRPr="007D1A8F" w:rsidRDefault="000415F0" w:rsidP="000415F0">
            <w:pPr>
              <w:jc w:val="right"/>
              <w:rPr>
                <w:b/>
                <w:spacing w:val="4"/>
                <w:sz w:val="20"/>
                <w:szCs w:val="20"/>
                <w:lang w:eastAsia="en-US"/>
              </w:rPr>
            </w:pPr>
            <w:r w:rsidRPr="007D1A8F">
              <w:rPr>
                <w:b/>
                <w:spacing w:val="4"/>
                <w:sz w:val="20"/>
                <w:szCs w:val="20"/>
                <w:lang w:eastAsia="en-US"/>
              </w:rPr>
              <w:t>2.893</w:t>
            </w:r>
          </w:p>
        </w:tc>
        <w:tc>
          <w:tcPr>
            <w:tcW w:w="272" w:type="pct"/>
            <w:vAlign w:val="center"/>
          </w:tcPr>
          <w:p w14:paraId="19498BF1" w14:textId="77777777" w:rsidR="000415F0" w:rsidRPr="007D1A8F" w:rsidRDefault="000415F0" w:rsidP="000415F0">
            <w:pPr>
              <w:jc w:val="right"/>
              <w:rPr>
                <w:b/>
                <w:spacing w:val="4"/>
                <w:sz w:val="20"/>
                <w:szCs w:val="20"/>
                <w:lang w:eastAsia="en-US"/>
              </w:rPr>
            </w:pPr>
            <w:r w:rsidRPr="007D1A8F">
              <w:rPr>
                <w:b/>
                <w:spacing w:val="4"/>
                <w:sz w:val="20"/>
                <w:szCs w:val="20"/>
                <w:lang w:eastAsia="en-US"/>
              </w:rPr>
              <w:t>3.024</w:t>
            </w:r>
          </w:p>
        </w:tc>
        <w:tc>
          <w:tcPr>
            <w:tcW w:w="273" w:type="pct"/>
            <w:vAlign w:val="center"/>
          </w:tcPr>
          <w:p w14:paraId="358A5CD7" w14:textId="77777777" w:rsidR="000415F0" w:rsidRPr="007D1A8F" w:rsidRDefault="000415F0" w:rsidP="000415F0">
            <w:pPr>
              <w:jc w:val="right"/>
              <w:rPr>
                <w:b/>
                <w:spacing w:val="4"/>
                <w:sz w:val="20"/>
                <w:szCs w:val="20"/>
                <w:lang w:eastAsia="en-US"/>
              </w:rPr>
            </w:pPr>
            <w:r w:rsidRPr="007D1A8F">
              <w:rPr>
                <w:b/>
                <w:spacing w:val="4"/>
                <w:sz w:val="20"/>
                <w:szCs w:val="20"/>
                <w:lang w:eastAsia="en-US"/>
              </w:rPr>
              <w:t>3.160</w:t>
            </w:r>
          </w:p>
        </w:tc>
        <w:tc>
          <w:tcPr>
            <w:tcW w:w="274" w:type="pct"/>
            <w:vAlign w:val="center"/>
          </w:tcPr>
          <w:p w14:paraId="1818781A" w14:textId="77777777" w:rsidR="000415F0" w:rsidRPr="007D1A8F" w:rsidRDefault="000415F0" w:rsidP="000415F0">
            <w:pPr>
              <w:jc w:val="right"/>
              <w:rPr>
                <w:b/>
                <w:spacing w:val="4"/>
                <w:sz w:val="20"/>
                <w:szCs w:val="20"/>
                <w:lang w:eastAsia="en-US"/>
              </w:rPr>
            </w:pPr>
            <w:r w:rsidRPr="007D1A8F">
              <w:rPr>
                <w:b/>
                <w:spacing w:val="4"/>
                <w:sz w:val="20"/>
                <w:szCs w:val="20"/>
                <w:lang w:eastAsia="en-US"/>
              </w:rPr>
              <w:t>3.302</w:t>
            </w:r>
          </w:p>
        </w:tc>
        <w:tc>
          <w:tcPr>
            <w:tcW w:w="274" w:type="pct"/>
            <w:vAlign w:val="center"/>
          </w:tcPr>
          <w:p w14:paraId="7DC448AB" w14:textId="77777777" w:rsidR="000415F0" w:rsidRPr="007D1A8F" w:rsidRDefault="000415F0" w:rsidP="000415F0">
            <w:pPr>
              <w:jc w:val="right"/>
              <w:rPr>
                <w:b/>
                <w:spacing w:val="4"/>
                <w:sz w:val="20"/>
                <w:szCs w:val="20"/>
                <w:lang w:eastAsia="en-US"/>
              </w:rPr>
            </w:pPr>
            <w:r w:rsidRPr="007D1A8F">
              <w:rPr>
                <w:b/>
                <w:spacing w:val="4"/>
                <w:sz w:val="20"/>
                <w:szCs w:val="20"/>
                <w:lang w:eastAsia="en-US"/>
              </w:rPr>
              <w:t>3.302</w:t>
            </w:r>
          </w:p>
        </w:tc>
        <w:tc>
          <w:tcPr>
            <w:tcW w:w="264" w:type="pct"/>
            <w:vAlign w:val="center"/>
          </w:tcPr>
          <w:p w14:paraId="6E24D668" w14:textId="77777777" w:rsidR="000415F0" w:rsidRPr="007D1A8F" w:rsidRDefault="000415F0" w:rsidP="000415F0">
            <w:pPr>
              <w:jc w:val="right"/>
              <w:rPr>
                <w:b/>
                <w:spacing w:val="4"/>
                <w:sz w:val="20"/>
                <w:szCs w:val="20"/>
                <w:lang w:eastAsia="en-US"/>
              </w:rPr>
            </w:pPr>
            <w:r w:rsidRPr="007D1A8F">
              <w:rPr>
                <w:b/>
                <w:spacing w:val="4"/>
                <w:sz w:val="20"/>
                <w:szCs w:val="20"/>
                <w:lang w:eastAsia="en-US"/>
              </w:rPr>
              <w:t>3.302</w:t>
            </w:r>
          </w:p>
        </w:tc>
      </w:tr>
    </w:tbl>
    <w:p w14:paraId="0940C070" w14:textId="77777777" w:rsidR="00DE0AA9" w:rsidRPr="007D1A8F" w:rsidRDefault="003D6771" w:rsidP="009A51F0">
      <w:pPr>
        <w:rPr>
          <w:rFonts w:ascii="Consolas" w:hAnsi="Consolas"/>
          <w:b/>
          <w:color w:val="3D4B67"/>
          <w:szCs w:val="20"/>
        </w:rPr>
        <w:sectPr w:rsidR="00DE0AA9" w:rsidRPr="007D1A8F" w:rsidSect="00AA3C9C">
          <w:pgSz w:w="16838" w:h="11906" w:orient="landscape" w:code="9"/>
          <w:pgMar w:top="1440" w:right="851" w:bottom="1276" w:left="1021" w:header="624" w:footer="624" w:gutter="0"/>
          <w:cols w:space="708"/>
          <w:docGrid w:linePitch="360"/>
        </w:sectPr>
      </w:pPr>
      <w:r w:rsidRPr="007D1A8F">
        <w:rPr>
          <w:rFonts w:ascii="Consolas" w:hAnsi="Consolas"/>
          <w:b/>
          <w:color w:val="3D4B67"/>
          <w:szCs w:val="20"/>
        </w:rPr>
        <w:br w:type="page"/>
      </w:r>
    </w:p>
    <w:p w14:paraId="14232D1B" w14:textId="77777777" w:rsidR="0036688B" w:rsidRPr="007D1A8F" w:rsidRDefault="0036688B" w:rsidP="00A17D70">
      <w:pPr>
        <w:pStyle w:val="Heading2"/>
        <w:rPr>
          <w:i/>
          <w:color w:val="000080"/>
        </w:rPr>
      </w:pPr>
      <w:r w:rsidRPr="007D1A8F">
        <w:lastRenderedPageBreak/>
        <w:t>Reporting</w:t>
      </w:r>
      <w:r w:rsidRPr="007D1A8F">
        <w:rPr>
          <w:i/>
          <w:color w:val="000080"/>
        </w:rPr>
        <w:t xml:space="preserve"> </w:t>
      </w:r>
    </w:p>
    <w:p w14:paraId="248622ED" w14:textId="519CF1B6" w:rsidR="000774C4" w:rsidRPr="007D1A8F" w:rsidRDefault="0036688B" w:rsidP="00F62254">
      <w:pPr>
        <w:pStyle w:val="Normalnumbered"/>
        <w:spacing w:after="240"/>
      </w:pPr>
      <w:r w:rsidRPr="007D1A8F">
        <w:t>The</w:t>
      </w:r>
      <w:r w:rsidR="00DE0AA9" w:rsidRPr="007D1A8F">
        <w:t xml:space="preserve"> </w:t>
      </w:r>
      <w:r w:rsidR="00EF3BDF" w:rsidRPr="007D1A8F">
        <w:t>Northern Territory</w:t>
      </w:r>
      <w:r w:rsidR="00DE0AA9" w:rsidRPr="007D1A8F">
        <w:t xml:space="preserve"> will report </w:t>
      </w:r>
      <w:r w:rsidRPr="007D1A8F">
        <w:t xml:space="preserve">against the agreed </w:t>
      </w:r>
      <w:r w:rsidR="00D1199D" w:rsidRPr="007D1A8F">
        <w:t xml:space="preserve">Health Performance </w:t>
      </w:r>
      <w:r w:rsidR="00A77C44" w:rsidRPr="007D1A8F">
        <w:t>Measures</w:t>
      </w:r>
      <w:r w:rsidRPr="007D1A8F">
        <w:t xml:space="preserve"> </w:t>
      </w:r>
      <w:r w:rsidR="00DE0AA9" w:rsidRPr="007D1A8F">
        <w:t>listed in Table</w:t>
      </w:r>
      <w:r w:rsidR="00A24F68" w:rsidRPr="007D1A8F">
        <w:t> </w:t>
      </w:r>
      <w:r w:rsidR="00A042C1" w:rsidRPr="007D1A8F">
        <w:t>4</w:t>
      </w:r>
      <w:r w:rsidR="00DE0AA9" w:rsidRPr="007D1A8F">
        <w:t xml:space="preserve"> </w:t>
      </w:r>
      <w:r w:rsidRPr="007D1A8F">
        <w:t xml:space="preserve">every </w:t>
      </w:r>
      <w:r w:rsidR="003D6771" w:rsidRPr="007D1A8F">
        <w:t xml:space="preserve">12 </w:t>
      </w:r>
      <w:r w:rsidRPr="007D1A8F">
        <w:t xml:space="preserve">months during the operation of the </w:t>
      </w:r>
      <w:r w:rsidR="007560E9" w:rsidRPr="007D1A8F">
        <w:t>National Partnership</w:t>
      </w:r>
      <w:r w:rsidR="000774C4" w:rsidRPr="007D1A8F">
        <w:t xml:space="preserve"> extension</w:t>
      </w:r>
      <w:r w:rsidR="00654FD0" w:rsidRPr="007D1A8F">
        <w:t>, as outlined in Table 5</w:t>
      </w:r>
      <w:r w:rsidRPr="007D1A8F">
        <w:t xml:space="preserve">. </w:t>
      </w:r>
    </w:p>
    <w:p w14:paraId="5AAD294D" w14:textId="4855DF91" w:rsidR="00342828" w:rsidRPr="007D1A8F" w:rsidRDefault="000774C4" w:rsidP="00AF0BB1">
      <w:pPr>
        <w:pStyle w:val="Normalnumbered"/>
        <w:spacing w:before="120" w:after="240"/>
      </w:pPr>
      <w:r w:rsidRPr="007D1A8F">
        <w:t>Annual p</w:t>
      </w:r>
      <w:r w:rsidR="00342828" w:rsidRPr="007D1A8F">
        <w:t xml:space="preserve">erformance reporting under the </w:t>
      </w:r>
      <w:r w:rsidR="00CA305E" w:rsidRPr="007D1A8F">
        <w:t xml:space="preserve">Hearing and Oral Health Programs </w:t>
      </w:r>
      <w:r w:rsidR="00342828" w:rsidRPr="007D1A8F">
        <w:t xml:space="preserve">will be facilitated by the continuation of the </w:t>
      </w:r>
      <w:r w:rsidR="00414934" w:rsidRPr="007D1A8F">
        <w:t xml:space="preserve">current </w:t>
      </w:r>
      <w:r w:rsidR="00342828" w:rsidRPr="007D1A8F">
        <w:t xml:space="preserve">data collection </w:t>
      </w:r>
      <w:r w:rsidR="00A042C1" w:rsidRPr="007D1A8F">
        <w:t xml:space="preserve">services </w:t>
      </w:r>
      <w:r w:rsidR="00342828" w:rsidRPr="007D1A8F">
        <w:t>managed by the Australian Institute of Health and Welfare.</w:t>
      </w:r>
    </w:p>
    <w:p w14:paraId="32A09D7A" w14:textId="0843DBBD" w:rsidR="00DE0AA9" w:rsidRPr="007D1A8F" w:rsidRDefault="00DE0AA9" w:rsidP="006674C1">
      <w:pPr>
        <w:keepNext/>
        <w:spacing w:after="240"/>
        <w:rPr>
          <w:rFonts w:ascii="Consolas" w:hAnsi="Consolas"/>
          <w:b/>
          <w:color w:val="3D4B67"/>
          <w:szCs w:val="20"/>
        </w:rPr>
      </w:pPr>
      <w:r w:rsidRPr="007D1A8F">
        <w:rPr>
          <w:rFonts w:ascii="Consolas" w:hAnsi="Consolas"/>
          <w:b/>
          <w:color w:val="3D4B67"/>
          <w:szCs w:val="20"/>
        </w:rPr>
        <w:t xml:space="preserve">Table </w:t>
      </w:r>
      <w:r w:rsidR="000774C4" w:rsidRPr="007D1A8F">
        <w:rPr>
          <w:rFonts w:ascii="Consolas" w:hAnsi="Consolas"/>
          <w:b/>
          <w:color w:val="3D4B67"/>
          <w:szCs w:val="20"/>
        </w:rPr>
        <w:t>5</w:t>
      </w:r>
      <w:r w:rsidRPr="007D1A8F">
        <w:rPr>
          <w:rFonts w:ascii="Consolas" w:hAnsi="Consolas"/>
          <w:b/>
          <w:color w:val="3D4B67"/>
          <w:szCs w:val="20"/>
        </w:rPr>
        <w:t xml:space="preserve">: </w:t>
      </w:r>
      <w:r w:rsidR="000774C4" w:rsidRPr="007D1A8F">
        <w:rPr>
          <w:rFonts w:ascii="Consolas" w:hAnsi="Consolas"/>
          <w:b/>
          <w:color w:val="3D4B67"/>
          <w:szCs w:val="20"/>
        </w:rPr>
        <w:t>R</w:t>
      </w:r>
      <w:r w:rsidR="00CA305E" w:rsidRPr="007D1A8F">
        <w:rPr>
          <w:rFonts w:ascii="Consolas" w:hAnsi="Consolas"/>
          <w:b/>
          <w:color w:val="3D4B67"/>
          <w:szCs w:val="20"/>
        </w:rPr>
        <w:t>eporting timeframes</w:t>
      </w:r>
      <w:r w:rsidR="000774C4" w:rsidRPr="007D1A8F">
        <w:rPr>
          <w:rFonts w:ascii="Consolas" w:hAnsi="Consolas"/>
          <w:b/>
          <w:color w:val="3D4B67"/>
          <w:szCs w:val="20"/>
        </w:rPr>
        <w:t xml:space="preserve"> for Hearing and Oral Health Programs</w:t>
      </w:r>
    </w:p>
    <w:tbl>
      <w:tblPr>
        <w:tblW w:w="5000" w:type="pct"/>
        <w:tblLook w:val="0480" w:firstRow="0" w:lastRow="0" w:firstColumn="1" w:lastColumn="0" w:noHBand="0" w:noVBand="1"/>
      </w:tblPr>
      <w:tblGrid>
        <w:gridCol w:w="6605"/>
        <w:gridCol w:w="2411"/>
      </w:tblGrid>
      <w:tr w:rsidR="00DE0AA9" w:rsidRPr="007D1A8F" w14:paraId="7983EAA6" w14:textId="77777777" w:rsidTr="0029626E">
        <w:trPr>
          <w:trHeight w:val="397"/>
          <w:tblHeader/>
        </w:trPr>
        <w:tc>
          <w:tcPr>
            <w:tcW w:w="3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619A0" w14:textId="77777777" w:rsidR="00DE0AA9" w:rsidRPr="007D1A8F" w:rsidRDefault="00DE0AA9" w:rsidP="0029626E">
            <w:pPr>
              <w:jc w:val="center"/>
              <w:rPr>
                <w:rFonts w:cs="Calibri"/>
                <w:b/>
                <w:bCs/>
                <w:color w:val="000000"/>
                <w:sz w:val="22"/>
                <w:lang w:eastAsia="en-US"/>
              </w:rPr>
            </w:pPr>
            <w:r w:rsidRPr="007D1A8F">
              <w:rPr>
                <w:rFonts w:cs="Calibri"/>
                <w:b/>
                <w:bCs/>
                <w:color w:val="000000"/>
                <w:sz w:val="22"/>
                <w:szCs w:val="22"/>
                <w:lang w:eastAsia="en-US"/>
              </w:rPr>
              <w:t xml:space="preserve">Reporting </w:t>
            </w:r>
            <w:r w:rsidR="00CA305E" w:rsidRPr="007D1A8F">
              <w:rPr>
                <w:rFonts w:cs="Calibri"/>
                <w:b/>
                <w:bCs/>
                <w:color w:val="000000"/>
                <w:sz w:val="22"/>
                <w:szCs w:val="22"/>
                <w:lang w:eastAsia="en-US"/>
              </w:rPr>
              <w:t>p</w:t>
            </w:r>
            <w:r w:rsidRPr="007D1A8F">
              <w:rPr>
                <w:rFonts w:cs="Calibri"/>
                <w:b/>
                <w:bCs/>
                <w:color w:val="000000"/>
                <w:sz w:val="22"/>
                <w:szCs w:val="22"/>
                <w:lang w:eastAsia="en-US"/>
              </w:rPr>
              <w:t>eriod</w:t>
            </w:r>
          </w:p>
        </w:tc>
        <w:tc>
          <w:tcPr>
            <w:tcW w:w="1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1F3D5" w14:textId="0DA4B0EE" w:rsidR="00DE0AA9" w:rsidRPr="007D1A8F" w:rsidRDefault="000774C4" w:rsidP="0029626E">
            <w:pPr>
              <w:jc w:val="center"/>
              <w:rPr>
                <w:rFonts w:cs="Calibri"/>
                <w:b/>
                <w:bCs/>
                <w:color w:val="000000"/>
                <w:sz w:val="22"/>
                <w:szCs w:val="22"/>
                <w:lang w:eastAsia="en-US"/>
              </w:rPr>
            </w:pPr>
            <w:r w:rsidRPr="007D1A8F">
              <w:rPr>
                <w:rFonts w:cs="Calibri"/>
                <w:b/>
                <w:bCs/>
                <w:color w:val="000000"/>
                <w:sz w:val="22"/>
                <w:szCs w:val="22"/>
                <w:lang w:eastAsia="en-US"/>
              </w:rPr>
              <w:t>Data submission due</w:t>
            </w:r>
            <w:r w:rsidR="00CA305E" w:rsidRPr="007D1A8F">
              <w:rPr>
                <w:rFonts w:cs="Calibri"/>
                <w:b/>
                <w:bCs/>
                <w:color w:val="000000"/>
                <w:sz w:val="22"/>
                <w:szCs w:val="22"/>
                <w:lang w:eastAsia="en-US"/>
              </w:rPr>
              <w:t xml:space="preserve"> d</w:t>
            </w:r>
            <w:r w:rsidR="00DE0AA9" w:rsidRPr="007D1A8F">
              <w:rPr>
                <w:rFonts w:cs="Calibri"/>
                <w:b/>
                <w:bCs/>
                <w:color w:val="000000"/>
                <w:sz w:val="22"/>
                <w:szCs w:val="22"/>
                <w:lang w:eastAsia="en-US"/>
              </w:rPr>
              <w:t>ate</w:t>
            </w:r>
          </w:p>
        </w:tc>
      </w:tr>
      <w:tr w:rsidR="00DE0AA9" w:rsidRPr="007D1A8F" w14:paraId="76162DF9" w14:textId="77777777" w:rsidTr="0029626E">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DCBF4" w14:textId="02244EEA" w:rsidR="00DE0AA9" w:rsidRPr="007D1A8F" w:rsidRDefault="00DE0AA9" w:rsidP="00CA305E">
            <w:pPr>
              <w:jc w:val="center"/>
              <w:rPr>
                <w:rFonts w:cs="Calibri"/>
                <w:b/>
                <w:bCs/>
                <w:color w:val="000000"/>
                <w:sz w:val="22"/>
                <w:szCs w:val="22"/>
                <w:lang w:eastAsia="en-US"/>
              </w:rPr>
            </w:pPr>
            <w:r w:rsidRPr="007D1A8F">
              <w:rPr>
                <w:rFonts w:cs="Calibri"/>
                <w:b/>
                <w:bCs/>
                <w:color w:val="000000"/>
                <w:sz w:val="22"/>
                <w:szCs w:val="22"/>
                <w:lang w:eastAsia="en-US"/>
              </w:rPr>
              <w:t xml:space="preserve">Hearing </w:t>
            </w:r>
            <w:r w:rsidR="009A51F0" w:rsidRPr="007D1A8F">
              <w:rPr>
                <w:rFonts w:cs="Calibri"/>
                <w:b/>
                <w:bCs/>
                <w:color w:val="000000"/>
                <w:sz w:val="22"/>
                <w:szCs w:val="22"/>
                <w:lang w:eastAsia="en-US"/>
              </w:rPr>
              <w:t xml:space="preserve">and Oral </w:t>
            </w:r>
            <w:r w:rsidRPr="007D1A8F">
              <w:rPr>
                <w:rFonts w:cs="Calibri"/>
                <w:b/>
                <w:bCs/>
                <w:color w:val="000000"/>
                <w:sz w:val="22"/>
                <w:szCs w:val="22"/>
                <w:lang w:eastAsia="en-US"/>
              </w:rPr>
              <w:t xml:space="preserve">Health </w:t>
            </w:r>
            <w:r w:rsidR="00CA305E" w:rsidRPr="007D1A8F">
              <w:rPr>
                <w:rFonts w:cs="Calibri"/>
                <w:b/>
                <w:bCs/>
                <w:color w:val="000000"/>
                <w:sz w:val="22"/>
                <w:szCs w:val="22"/>
                <w:lang w:eastAsia="en-US"/>
              </w:rPr>
              <w:t>Program</w:t>
            </w:r>
          </w:p>
        </w:tc>
      </w:tr>
      <w:tr w:rsidR="009A51F0" w:rsidRPr="007D1A8F" w14:paraId="2F4DAEE9" w14:textId="77777777" w:rsidTr="00DC1F59">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4BEE9D98" w14:textId="77777777" w:rsidR="009A51F0" w:rsidRPr="007D1A8F" w:rsidRDefault="009A51F0" w:rsidP="00DC1F59">
            <w:pPr>
              <w:rPr>
                <w:rFonts w:cs="Calibri"/>
                <w:color w:val="000000"/>
                <w:sz w:val="22"/>
                <w:szCs w:val="22"/>
                <w:lang w:eastAsia="en-US"/>
              </w:rPr>
            </w:pPr>
            <w:r w:rsidRPr="007D1A8F">
              <w:rPr>
                <w:rFonts w:cs="Calibri"/>
                <w:b/>
                <w:color w:val="000000"/>
                <w:sz w:val="22"/>
                <w:szCs w:val="22"/>
                <w:lang w:eastAsia="en-US"/>
              </w:rPr>
              <w:t>Progress Report 1:</w:t>
            </w:r>
            <w:r w:rsidRPr="007D1A8F">
              <w:rPr>
                <w:rFonts w:cs="Calibri"/>
                <w:color w:val="000000"/>
                <w:sz w:val="22"/>
                <w:szCs w:val="22"/>
                <w:lang w:eastAsia="en-US"/>
              </w:rPr>
              <w:t xml:space="preserve"> </w:t>
            </w:r>
            <w:r w:rsidRPr="007D1A8F">
              <w:t>1 July 2012 to 30 June 2015</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1C20BF0A" w14:textId="77777777" w:rsidR="009A51F0" w:rsidRPr="007D1A8F" w:rsidRDefault="009A51F0" w:rsidP="00DC1F59">
            <w:pPr>
              <w:contextualSpacing/>
              <w:jc w:val="center"/>
              <w:rPr>
                <w:rFonts w:cs="Calibri"/>
                <w:color w:val="000000"/>
                <w:sz w:val="22"/>
                <w:szCs w:val="22"/>
                <w:lang w:eastAsia="en-US"/>
              </w:rPr>
            </w:pPr>
            <w:r w:rsidRPr="007D1A8F">
              <w:rPr>
                <w:rFonts w:cs="Calibri"/>
                <w:color w:val="000000"/>
                <w:sz w:val="22"/>
                <w:szCs w:val="22"/>
                <w:lang w:eastAsia="en-US"/>
              </w:rPr>
              <w:t>1 May 2016</w:t>
            </w:r>
          </w:p>
        </w:tc>
      </w:tr>
      <w:tr w:rsidR="009A51F0" w:rsidRPr="007D1A8F" w14:paraId="2CB6BD44" w14:textId="77777777" w:rsidTr="00DC1F59">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523BF709" w14:textId="77777777" w:rsidR="009A51F0" w:rsidRPr="007D1A8F" w:rsidRDefault="009A51F0" w:rsidP="00DC1F59">
            <w:pPr>
              <w:rPr>
                <w:rFonts w:cs="Calibri"/>
                <w:color w:val="000000"/>
                <w:sz w:val="22"/>
                <w:szCs w:val="22"/>
                <w:lang w:eastAsia="en-US"/>
              </w:rPr>
            </w:pPr>
            <w:r w:rsidRPr="007D1A8F">
              <w:rPr>
                <w:rFonts w:cs="Calibri"/>
                <w:b/>
                <w:color w:val="000000"/>
                <w:sz w:val="22"/>
                <w:szCs w:val="22"/>
                <w:lang w:eastAsia="en-US"/>
              </w:rPr>
              <w:t>Progress Report 2:</w:t>
            </w:r>
            <w:r w:rsidRPr="007D1A8F">
              <w:rPr>
                <w:rFonts w:cs="Calibri"/>
                <w:color w:val="000000"/>
                <w:sz w:val="22"/>
                <w:szCs w:val="22"/>
                <w:lang w:eastAsia="en-US"/>
              </w:rPr>
              <w:t xml:space="preserve"> 1 July 2015 to 31 December 2018</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6180FEAA" w14:textId="77777777" w:rsidR="009A51F0" w:rsidRPr="007D1A8F" w:rsidRDefault="009A51F0" w:rsidP="00DC1F59">
            <w:pPr>
              <w:contextualSpacing/>
              <w:jc w:val="center"/>
              <w:rPr>
                <w:rFonts w:cs="Calibri"/>
                <w:color w:val="000000"/>
                <w:sz w:val="22"/>
                <w:szCs w:val="22"/>
                <w:lang w:eastAsia="en-US"/>
              </w:rPr>
            </w:pPr>
            <w:r w:rsidRPr="007D1A8F">
              <w:rPr>
                <w:rFonts w:cs="Calibri"/>
                <w:color w:val="000000"/>
                <w:sz w:val="22"/>
                <w:szCs w:val="22"/>
                <w:lang w:eastAsia="en-US"/>
              </w:rPr>
              <w:t>1 March 2019</w:t>
            </w:r>
          </w:p>
        </w:tc>
      </w:tr>
      <w:tr w:rsidR="009A51F0" w:rsidRPr="007D1A8F" w14:paraId="44BDE42E" w14:textId="77777777" w:rsidTr="00DC1F59">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798796B1" w14:textId="77777777" w:rsidR="009A51F0" w:rsidRPr="007D1A8F" w:rsidRDefault="009A51F0" w:rsidP="00DC1F59">
            <w:pPr>
              <w:rPr>
                <w:sz w:val="18"/>
                <w:szCs w:val="20"/>
              </w:rPr>
            </w:pPr>
            <w:r w:rsidRPr="007D1A8F">
              <w:rPr>
                <w:rFonts w:cs="Calibri"/>
                <w:b/>
                <w:color w:val="000000"/>
                <w:sz w:val="22"/>
                <w:szCs w:val="22"/>
                <w:lang w:eastAsia="en-US"/>
              </w:rPr>
              <w:t>Progress Report 3:</w:t>
            </w:r>
            <w:r w:rsidRPr="007D1A8F">
              <w:rPr>
                <w:rFonts w:cs="Calibri"/>
                <w:color w:val="000000"/>
                <w:sz w:val="22"/>
                <w:szCs w:val="22"/>
                <w:lang w:eastAsia="en-US"/>
              </w:rPr>
              <w:t xml:space="preserve"> </w:t>
            </w:r>
            <w:r w:rsidRPr="007D1A8F">
              <w:t>1 January 2019 to 31 March 2022</w:t>
            </w:r>
            <w:r w:rsidR="00EE1524" w:rsidRPr="007D1A8F">
              <w:t xml:space="preserve"> (The Northern Territory will also provide a plan for the delivery of the balance of to 30 June 2022 with this reporting.)</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61ACFEF5" w14:textId="77777777" w:rsidR="009A51F0" w:rsidRPr="007D1A8F" w:rsidRDefault="009A51F0" w:rsidP="00DC1F59">
            <w:pPr>
              <w:contextualSpacing/>
              <w:jc w:val="center"/>
              <w:rPr>
                <w:rFonts w:cs="Calibri"/>
                <w:color w:val="000000"/>
                <w:sz w:val="22"/>
                <w:szCs w:val="22"/>
                <w:lang w:eastAsia="en-US"/>
              </w:rPr>
            </w:pPr>
            <w:r w:rsidRPr="007D1A8F">
              <w:rPr>
                <w:rFonts w:cs="Calibri"/>
                <w:color w:val="000000"/>
                <w:sz w:val="22"/>
                <w:szCs w:val="22"/>
                <w:lang w:eastAsia="en-US"/>
              </w:rPr>
              <w:t>1 May 2022</w:t>
            </w:r>
          </w:p>
        </w:tc>
      </w:tr>
      <w:tr w:rsidR="00DE0AA9" w:rsidRPr="007D1A8F" w14:paraId="7CD2F1E8" w14:textId="77777777" w:rsidTr="0029626E">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43E7971F" w14:textId="3B5177E2" w:rsidR="00DE0AA9" w:rsidRPr="007D1A8F" w:rsidRDefault="00C20D59" w:rsidP="00FF00BA">
            <w:pPr>
              <w:rPr>
                <w:rFonts w:cs="Calibri"/>
                <w:color w:val="000000"/>
                <w:sz w:val="22"/>
                <w:szCs w:val="22"/>
                <w:lang w:eastAsia="en-US"/>
              </w:rPr>
            </w:pPr>
            <w:r w:rsidRPr="007D1A8F">
              <w:rPr>
                <w:rFonts w:cs="Calibri"/>
                <w:b/>
                <w:color w:val="000000"/>
                <w:sz w:val="22"/>
                <w:szCs w:val="22"/>
                <w:lang w:eastAsia="en-US"/>
              </w:rPr>
              <w:t xml:space="preserve">Progress </w:t>
            </w:r>
            <w:r w:rsidR="00DE0AA9" w:rsidRPr="007D1A8F">
              <w:rPr>
                <w:rFonts w:cs="Calibri"/>
                <w:b/>
                <w:color w:val="000000"/>
                <w:sz w:val="22"/>
                <w:szCs w:val="22"/>
                <w:lang w:eastAsia="en-US"/>
              </w:rPr>
              <w:t>Report</w:t>
            </w:r>
            <w:r w:rsidR="00B64D8A" w:rsidRPr="007D1A8F">
              <w:rPr>
                <w:rFonts w:cs="Calibri"/>
                <w:b/>
                <w:color w:val="000000"/>
                <w:sz w:val="22"/>
                <w:szCs w:val="22"/>
                <w:lang w:eastAsia="en-US"/>
              </w:rPr>
              <w:t xml:space="preserve"> </w:t>
            </w:r>
            <w:r w:rsidR="009A51F0" w:rsidRPr="007D1A8F">
              <w:rPr>
                <w:rFonts w:cs="Calibri"/>
                <w:b/>
                <w:color w:val="000000"/>
                <w:sz w:val="22"/>
                <w:szCs w:val="22"/>
                <w:lang w:eastAsia="en-US"/>
              </w:rPr>
              <w:t>4</w:t>
            </w:r>
            <w:r w:rsidR="00B64D8A" w:rsidRPr="007D1A8F">
              <w:rPr>
                <w:rFonts w:cs="Calibri"/>
                <w:b/>
                <w:color w:val="000000"/>
                <w:sz w:val="22"/>
                <w:szCs w:val="22"/>
                <w:lang w:eastAsia="en-US"/>
              </w:rPr>
              <w:t>:</w:t>
            </w:r>
            <w:r w:rsidR="00B64D8A" w:rsidRPr="007D1A8F">
              <w:rPr>
                <w:rFonts w:cs="Calibri"/>
                <w:color w:val="000000"/>
                <w:sz w:val="22"/>
                <w:szCs w:val="22"/>
                <w:lang w:eastAsia="en-US"/>
              </w:rPr>
              <w:t xml:space="preserve"> </w:t>
            </w:r>
            <w:r w:rsidR="003D6771" w:rsidRPr="007D1A8F">
              <w:rPr>
                <w:rFonts w:cs="Calibri"/>
                <w:color w:val="000000"/>
                <w:sz w:val="22"/>
                <w:szCs w:val="22"/>
                <w:lang w:eastAsia="en-US"/>
              </w:rPr>
              <w:t>1 July 2022 to 3</w:t>
            </w:r>
            <w:r w:rsidR="00216815">
              <w:rPr>
                <w:rFonts w:cs="Calibri"/>
                <w:color w:val="000000"/>
                <w:sz w:val="22"/>
                <w:szCs w:val="22"/>
                <w:lang w:eastAsia="en-US"/>
              </w:rPr>
              <w:t>1</w:t>
            </w:r>
            <w:r w:rsidR="003D6771" w:rsidRPr="007D1A8F">
              <w:rPr>
                <w:rFonts w:cs="Calibri"/>
                <w:color w:val="000000"/>
                <w:sz w:val="22"/>
                <w:szCs w:val="22"/>
                <w:lang w:eastAsia="en-US"/>
              </w:rPr>
              <w:t xml:space="preserve"> </w:t>
            </w:r>
            <w:r w:rsidR="00216815">
              <w:rPr>
                <w:rFonts w:cs="Calibri"/>
                <w:color w:val="000000"/>
                <w:sz w:val="22"/>
                <w:szCs w:val="22"/>
                <w:lang w:eastAsia="en-US"/>
              </w:rPr>
              <w:t>December 2022</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269D5502" w14:textId="2D19F432" w:rsidR="00DE0AA9" w:rsidRPr="007D1A8F" w:rsidRDefault="00D85EE8" w:rsidP="008C73A1">
            <w:pPr>
              <w:contextualSpacing/>
              <w:jc w:val="center"/>
              <w:rPr>
                <w:rFonts w:cs="Calibri"/>
                <w:color w:val="000000"/>
                <w:sz w:val="22"/>
                <w:szCs w:val="22"/>
                <w:lang w:eastAsia="en-US"/>
              </w:rPr>
            </w:pPr>
            <w:r w:rsidRPr="007D1A8F">
              <w:rPr>
                <w:rFonts w:cs="Calibri"/>
                <w:color w:val="000000"/>
                <w:sz w:val="22"/>
                <w:szCs w:val="22"/>
                <w:lang w:eastAsia="en-US"/>
              </w:rPr>
              <w:t xml:space="preserve">1 </w:t>
            </w:r>
            <w:r w:rsidR="00216815">
              <w:rPr>
                <w:rFonts w:cs="Calibri"/>
                <w:color w:val="000000"/>
                <w:sz w:val="22"/>
                <w:szCs w:val="22"/>
                <w:lang w:eastAsia="en-US"/>
              </w:rPr>
              <w:t xml:space="preserve">March </w:t>
            </w:r>
            <w:r w:rsidRPr="007D1A8F">
              <w:rPr>
                <w:rFonts w:cs="Calibri"/>
                <w:color w:val="000000"/>
                <w:sz w:val="22"/>
                <w:szCs w:val="22"/>
                <w:lang w:eastAsia="en-US"/>
              </w:rPr>
              <w:t>2023</w:t>
            </w:r>
            <w:r w:rsidR="003D6771" w:rsidRPr="007D1A8F">
              <w:rPr>
                <w:rFonts w:cs="Calibri"/>
                <w:color w:val="000000"/>
                <w:sz w:val="22"/>
                <w:szCs w:val="22"/>
                <w:lang w:eastAsia="en-US"/>
              </w:rPr>
              <w:t xml:space="preserve"> </w:t>
            </w:r>
          </w:p>
        </w:tc>
      </w:tr>
      <w:tr w:rsidR="000774C4" w:rsidRPr="007D1A8F" w14:paraId="7394FEB3" w14:textId="77777777" w:rsidTr="0029626E">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43975CB9" w14:textId="44AE75E5" w:rsidR="000774C4" w:rsidRPr="007D1A8F" w:rsidRDefault="000774C4" w:rsidP="000774C4">
            <w:pPr>
              <w:rPr>
                <w:rFonts w:cs="Calibri"/>
                <w:color w:val="000000"/>
                <w:sz w:val="22"/>
                <w:szCs w:val="22"/>
                <w:lang w:eastAsia="en-US"/>
              </w:rPr>
            </w:pPr>
            <w:r w:rsidRPr="007D1A8F">
              <w:rPr>
                <w:rFonts w:cs="Calibri"/>
                <w:b/>
                <w:color w:val="000000"/>
                <w:sz w:val="22"/>
                <w:szCs w:val="22"/>
                <w:lang w:eastAsia="en-US"/>
              </w:rPr>
              <w:t xml:space="preserve">Progress Report </w:t>
            </w:r>
            <w:r w:rsidR="009A51F0" w:rsidRPr="007D1A8F">
              <w:rPr>
                <w:rFonts w:cs="Calibri"/>
                <w:b/>
                <w:color w:val="000000"/>
                <w:sz w:val="22"/>
                <w:szCs w:val="22"/>
                <w:lang w:eastAsia="en-US"/>
              </w:rPr>
              <w:t>5</w:t>
            </w:r>
            <w:r w:rsidRPr="007D1A8F">
              <w:rPr>
                <w:rFonts w:cs="Calibri"/>
                <w:b/>
                <w:color w:val="000000"/>
                <w:sz w:val="22"/>
                <w:szCs w:val="22"/>
                <w:lang w:eastAsia="en-US"/>
              </w:rPr>
              <w:t>:</w:t>
            </w:r>
            <w:r w:rsidRPr="007D1A8F">
              <w:rPr>
                <w:rFonts w:cs="Calibri"/>
                <w:color w:val="000000"/>
                <w:sz w:val="22"/>
                <w:szCs w:val="22"/>
                <w:lang w:eastAsia="en-US"/>
              </w:rPr>
              <w:t xml:space="preserve"> </w:t>
            </w:r>
            <w:r w:rsidR="003D6771" w:rsidRPr="007D1A8F">
              <w:rPr>
                <w:rFonts w:cs="Calibri"/>
                <w:color w:val="000000"/>
                <w:sz w:val="22"/>
                <w:szCs w:val="22"/>
                <w:lang w:eastAsia="en-US"/>
              </w:rPr>
              <w:t xml:space="preserve">1 </w:t>
            </w:r>
            <w:r w:rsidR="00216815">
              <w:rPr>
                <w:rFonts w:cs="Calibri"/>
                <w:color w:val="000000"/>
                <w:sz w:val="22"/>
                <w:szCs w:val="22"/>
                <w:lang w:eastAsia="en-US"/>
              </w:rPr>
              <w:t xml:space="preserve">January </w:t>
            </w:r>
            <w:r w:rsidR="003D6771" w:rsidRPr="007D1A8F">
              <w:rPr>
                <w:rFonts w:cs="Calibri"/>
                <w:color w:val="000000"/>
                <w:sz w:val="22"/>
                <w:szCs w:val="22"/>
                <w:lang w:eastAsia="en-US"/>
              </w:rPr>
              <w:t xml:space="preserve">2023 to </w:t>
            </w:r>
            <w:r w:rsidR="00216815">
              <w:rPr>
                <w:rFonts w:cs="Calibri"/>
                <w:color w:val="000000"/>
                <w:sz w:val="22"/>
                <w:szCs w:val="22"/>
                <w:lang w:eastAsia="en-US"/>
              </w:rPr>
              <w:t xml:space="preserve">31 March </w:t>
            </w:r>
            <w:r w:rsidR="003D6771" w:rsidRPr="007D1A8F">
              <w:rPr>
                <w:rFonts w:cs="Calibri"/>
                <w:color w:val="000000"/>
                <w:sz w:val="22"/>
                <w:szCs w:val="22"/>
                <w:lang w:eastAsia="en-US"/>
              </w:rPr>
              <w:t xml:space="preserve">2024 </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20CD0066" w14:textId="1AEE46FB" w:rsidR="000774C4" w:rsidRPr="007D1A8F" w:rsidRDefault="00D85EE8" w:rsidP="000774C4">
            <w:pPr>
              <w:contextualSpacing/>
              <w:jc w:val="center"/>
              <w:rPr>
                <w:rFonts w:cs="Calibri"/>
                <w:color w:val="000000"/>
                <w:sz w:val="22"/>
                <w:szCs w:val="22"/>
                <w:lang w:eastAsia="en-US"/>
              </w:rPr>
            </w:pPr>
            <w:r w:rsidRPr="007D1A8F">
              <w:rPr>
                <w:rFonts w:cs="Calibri"/>
                <w:color w:val="000000"/>
                <w:sz w:val="22"/>
                <w:szCs w:val="22"/>
                <w:lang w:eastAsia="en-US"/>
              </w:rPr>
              <w:t xml:space="preserve">1 </w:t>
            </w:r>
            <w:r w:rsidR="00216815">
              <w:rPr>
                <w:rFonts w:cs="Calibri"/>
                <w:color w:val="000000"/>
                <w:sz w:val="22"/>
                <w:szCs w:val="22"/>
                <w:lang w:eastAsia="en-US"/>
              </w:rPr>
              <w:t xml:space="preserve">May </w:t>
            </w:r>
            <w:r w:rsidRPr="007D1A8F">
              <w:rPr>
                <w:rFonts w:cs="Calibri"/>
                <w:color w:val="000000"/>
                <w:sz w:val="22"/>
                <w:szCs w:val="22"/>
                <w:lang w:eastAsia="en-US"/>
              </w:rPr>
              <w:t>2024</w:t>
            </w:r>
          </w:p>
        </w:tc>
      </w:tr>
    </w:tbl>
    <w:p w14:paraId="3009FF21" w14:textId="77777777" w:rsidR="007E6995" w:rsidRPr="007D1A8F" w:rsidRDefault="007E6995" w:rsidP="00A17D70">
      <w:pPr>
        <w:pStyle w:val="Heading2"/>
      </w:pPr>
      <w:r w:rsidRPr="007D1A8F">
        <w:br w:type="page"/>
      </w:r>
    </w:p>
    <w:p w14:paraId="0A8D6C6F" w14:textId="77777777" w:rsidR="0036688B" w:rsidRPr="007D1A8F" w:rsidRDefault="0036688B" w:rsidP="00A17D70">
      <w:pPr>
        <w:pStyle w:val="Heading2"/>
      </w:pPr>
      <w:r w:rsidRPr="007D1A8F">
        <w:lastRenderedPageBreak/>
        <w:t>Sign off</w:t>
      </w:r>
    </w:p>
    <w:p w14:paraId="6E8590D3" w14:textId="77777777" w:rsidR="0036688B" w:rsidRPr="007D1A8F" w:rsidRDefault="0036688B" w:rsidP="0036688B">
      <w:pPr>
        <w:spacing w:after="240" w:line="260" w:lineRule="exact"/>
        <w:jc w:val="both"/>
        <w:rPr>
          <w:color w:val="000000"/>
          <w:szCs w:val="20"/>
          <w:lang w:val="en-GB"/>
        </w:rPr>
      </w:pPr>
      <w:r w:rsidRPr="007D1A8F">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765388" w:rsidRPr="007D1A8F" w14:paraId="68B7FF53" w14:textId="77777777" w:rsidTr="00701966">
        <w:tc>
          <w:tcPr>
            <w:tcW w:w="9464" w:type="dxa"/>
            <w:gridSpan w:val="3"/>
            <w:tcBorders>
              <w:top w:val="nil"/>
              <w:bottom w:val="nil"/>
            </w:tcBorders>
            <w:vAlign w:val="center"/>
          </w:tcPr>
          <w:p w14:paraId="1511D8D4" w14:textId="77777777" w:rsidR="00765388" w:rsidRPr="007D1A8F" w:rsidRDefault="00765388" w:rsidP="007A36B5">
            <w:pPr>
              <w:spacing w:before="120" w:after="120" w:line="280" w:lineRule="exact"/>
              <w:rPr>
                <w:rFonts w:ascii="Book Antiqua" w:hAnsi="Book Antiqua"/>
                <w:b/>
                <w:bCs/>
                <w:color w:val="C00000"/>
                <w:sz w:val="22"/>
                <w:szCs w:val="22"/>
              </w:rPr>
            </w:pPr>
            <w:r w:rsidRPr="007D1A8F">
              <w:rPr>
                <w:rStyle w:val="SignedBold"/>
                <w:rFonts w:ascii="Book Antiqua" w:eastAsiaTheme="majorEastAsia" w:hAnsi="Book Antiqua"/>
                <w:bCs w:val="0"/>
                <w:i w:val="0"/>
                <w:sz w:val="22"/>
                <w:szCs w:val="22"/>
              </w:rPr>
              <w:t>Signed</w:t>
            </w:r>
            <w:r w:rsidRPr="007D1A8F">
              <w:rPr>
                <w:rFonts w:ascii="Book Antiqua" w:hAnsi="Book Antiqua"/>
                <w:i/>
                <w:sz w:val="22"/>
                <w:szCs w:val="22"/>
              </w:rPr>
              <w:t xml:space="preserve"> for and on behalf of the Northern Territory by</w:t>
            </w:r>
          </w:p>
        </w:tc>
      </w:tr>
      <w:tr w:rsidR="000B266B" w:rsidRPr="007D1A8F" w14:paraId="5F6BCA7F" w14:textId="77777777" w:rsidTr="000B266B">
        <w:tc>
          <w:tcPr>
            <w:tcW w:w="5192" w:type="dxa"/>
            <w:tcBorders>
              <w:top w:val="nil"/>
              <w:bottom w:val="nil"/>
              <w:right w:val="nil"/>
            </w:tcBorders>
            <w:vAlign w:val="center"/>
          </w:tcPr>
          <w:p w14:paraId="75CB09D6" w14:textId="77777777" w:rsidR="000B266B" w:rsidRPr="007D1A8F" w:rsidRDefault="000B266B" w:rsidP="007A36B5">
            <w:pPr>
              <w:spacing w:before="120" w:after="120" w:line="280" w:lineRule="exact"/>
              <w:rPr>
                <w:b/>
                <w:bCs/>
                <w:color w:val="C00000"/>
              </w:rPr>
            </w:pPr>
          </w:p>
        </w:tc>
        <w:tc>
          <w:tcPr>
            <w:tcW w:w="290" w:type="dxa"/>
            <w:tcBorders>
              <w:top w:val="nil"/>
              <w:left w:val="nil"/>
              <w:bottom w:val="nil"/>
              <w:right w:val="nil"/>
            </w:tcBorders>
          </w:tcPr>
          <w:p w14:paraId="09454C29" w14:textId="77777777" w:rsidR="000B266B" w:rsidRPr="007D1A8F" w:rsidRDefault="000B266B" w:rsidP="007A36B5">
            <w:pPr>
              <w:spacing w:before="120" w:after="120" w:line="280" w:lineRule="exact"/>
              <w:rPr>
                <w:b/>
                <w:bCs/>
                <w:color w:val="C00000"/>
              </w:rPr>
            </w:pPr>
          </w:p>
        </w:tc>
        <w:tc>
          <w:tcPr>
            <w:tcW w:w="3982" w:type="dxa"/>
            <w:tcBorders>
              <w:top w:val="nil"/>
              <w:left w:val="nil"/>
              <w:bottom w:val="nil"/>
            </w:tcBorders>
            <w:vAlign w:val="center"/>
          </w:tcPr>
          <w:p w14:paraId="42876649" w14:textId="77777777" w:rsidR="000B266B" w:rsidRPr="007D1A8F" w:rsidRDefault="000B266B" w:rsidP="007A36B5">
            <w:pPr>
              <w:spacing w:before="120" w:after="120" w:line="280" w:lineRule="exact"/>
              <w:rPr>
                <w:b/>
                <w:bCs/>
                <w:color w:val="C00000"/>
              </w:rPr>
            </w:pPr>
          </w:p>
        </w:tc>
      </w:tr>
      <w:tr w:rsidR="0036688B" w:rsidRPr="007D1A8F" w14:paraId="7AB1528A" w14:textId="77777777" w:rsidTr="000B266B">
        <w:tc>
          <w:tcPr>
            <w:tcW w:w="5192" w:type="dxa"/>
            <w:tcBorders>
              <w:top w:val="nil"/>
              <w:bottom w:val="single" w:sz="4" w:space="0" w:color="A6A6A6"/>
              <w:right w:val="nil"/>
            </w:tcBorders>
            <w:vAlign w:val="center"/>
          </w:tcPr>
          <w:p w14:paraId="45444B05" w14:textId="77777777" w:rsidR="0036688B" w:rsidRPr="007D1A8F" w:rsidRDefault="0036688B" w:rsidP="007A36B5">
            <w:pPr>
              <w:spacing w:before="120" w:after="120" w:line="280" w:lineRule="exact"/>
            </w:pPr>
            <w:r w:rsidRPr="007D1A8F">
              <w:rPr>
                <w:b/>
                <w:bCs/>
                <w:color w:val="C00000"/>
              </w:rPr>
              <w:t>Signature</w:t>
            </w:r>
          </w:p>
        </w:tc>
        <w:tc>
          <w:tcPr>
            <w:tcW w:w="290" w:type="dxa"/>
            <w:tcBorders>
              <w:top w:val="nil"/>
              <w:left w:val="nil"/>
              <w:bottom w:val="single" w:sz="4" w:space="0" w:color="A6A6A6"/>
              <w:right w:val="nil"/>
            </w:tcBorders>
          </w:tcPr>
          <w:p w14:paraId="67FED355" w14:textId="77777777" w:rsidR="0036688B" w:rsidRPr="007D1A8F" w:rsidRDefault="0036688B" w:rsidP="007A36B5">
            <w:pPr>
              <w:spacing w:before="120" w:after="120" w:line="280" w:lineRule="exact"/>
              <w:rPr>
                <w:b/>
                <w:bCs/>
                <w:color w:val="C00000"/>
              </w:rPr>
            </w:pPr>
          </w:p>
        </w:tc>
        <w:tc>
          <w:tcPr>
            <w:tcW w:w="3982" w:type="dxa"/>
            <w:tcBorders>
              <w:top w:val="nil"/>
              <w:left w:val="nil"/>
              <w:bottom w:val="single" w:sz="4" w:space="0" w:color="A6A6A6"/>
            </w:tcBorders>
            <w:vAlign w:val="center"/>
          </w:tcPr>
          <w:p w14:paraId="35FE5FE3" w14:textId="77777777" w:rsidR="0036688B" w:rsidRPr="007D1A8F" w:rsidRDefault="0036688B" w:rsidP="007A36B5">
            <w:pPr>
              <w:spacing w:before="120" w:after="120" w:line="280" w:lineRule="exact"/>
            </w:pPr>
            <w:r w:rsidRPr="007D1A8F">
              <w:rPr>
                <w:b/>
                <w:bCs/>
                <w:color w:val="C00000"/>
              </w:rPr>
              <w:t>Date</w:t>
            </w:r>
          </w:p>
        </w:tc>
      </w:tr>
      <w:tr w:rsidR="000B266B" w:rsidRPr="007D1A8F" w14:paraId="213C3A20" w14:textId="77777777" w:rsidTr="000B266B">
        <w:tc>
          <w:tcPr>
            <w:tcW w:w="9464" w:type="dxa"/>
            <w:gridSpan w:val="3"/>
            <w:tcBorders>
              <w:top w:val="single" w:sz="4" w:space="0" w:color="A6A6A6"/>
              <w:bottom w:val="nil"/>
            </w:tcBorders>
          </w:tcPr>
          <w:p w14:paraId="7FB8787B" w14:textId="0EFEB4AD" w:rsidR="000B266B" w:rsidRPr="007D1A8F" w:rsidRDefault="000B266B" w:rsidP="000467E1">
            <w:pPr>
              <w:spacing w:line="280" w:lineRule="exact"/>
              <w:rPr>
                <w:b/>
                <w:bCs/>
                <w:color w:val="365F91"/>
              </w:rPr>
            </w:pPr>
            <w:r w:rsidRPr="007D1A8F">
              <w:rPr>
                <w:b/>
                <w:bCs/>
                <w:color w:val="365F91"/>
              </w:rPr>
              <w:t>The Hon</w:t>
            </w:r>
            <w:r w:rsidR="00216815">
              <w:rPr>
                <w:b/>
                <w:bCs/>
                <w:color w:val="365F91"/>
              </w:rPr>
              <w:t xml:space="preserve"> </w:t>
            </w:r>
            <w:r w:rsidR="009A62F6" w:rsidRPr="007D1A8F">
              <w:rPr>
                <w:b/>
                <w:bCs/>
                <w:color w:val="365F91"/>
              </w:rPr>
              <w:t xml:space="preserve">Natasha </w:t>
            </w:r>
            <w:proofErr w:type="spellStart"/>
            <w:r w:rsidR="009A62F6" w:rsidRPr="007D1A8F">
              <w:rPr>
                <w:b/>
                <w:bCs/>
                <w:color w:val="365F91"/>
              </w:rPr>
              <w:t>Fyles</w:t>
            </w:r>
            <w:proofErr w:type="spellEnd"/>
            <w:r w:rsidRPr="007D1A8F">
              <w:rPr>
                <w:b/>
                <w:bCs/>
                <w:color w:val="365F91"/>
              </w:rPr>
              <w:t xml:space="preserve"> MLA</w:t>
            </w:r>
          </w:p>
          <w:p w14:paraId="62F30CBA" w14:textId="229DBDA8" w:rsidR="000B266B" w:rsidRPr="007D1A8F" w:rsidRDefault="00216815" w:rsidP="000467E1">
            <w:pPr>
              <w:spacing w:line="280" w:lineRule="exact"/>
              <w:rPr>
                <w:b/>
                <w:bCs/>
                <w:color w:val="365F91"/>
              </w:rPr>
            </w:pPr>
            <w:r>
              <w:rPr>
                <w:b/>
                <w:bCs/>
                <w:color w:val="365F91"/>
              </w:rPr>
              <w:t xml:space="preserve">Chief Minister, </w:t>
            </w:r>
            <w:r w:rsidR="000B266B" w:rsidRPr="007D1A8F">
              <w:rPr>
                <w:b/>
                <w:bCs/>
                <w:color w:val="365F91"/>
              </w:rPr>
              <w:t>Minister for Health</w:t>
            </w:r>
          </w:p>
        </w:tc>
      </w:tr>
      <w:tr w:rsidR="00765388" w:rsidRPr="007D1A8F" w14:paraId="62ED8FBD" w14:textId="77777777" w:rsidTr="00701966">
        <w:tc>
          <w:tcPr>
            <w:tcW w:w="9464" w:type="dxa"/>
            <w:gridSpan w:val="3"/>
            <w:tcBorders>
              <w:top w:val="nil"/>
              <w:bottom w:val="nil"/>
            </w:tcBorders>
            <w:vAlign w:val="center"/>
          </w:tcPr>
          <w:p w14:paraId="1E8EAF73" w14:textId="77777777" w:rsidR="00765388" w:rsidRPr="007D1A8F" w:rsidRDefault="00765388" w:rsidP="007A36B5">
            <w:pPr>
              <w:spacing w:before="120" w:after="120" w:line="280" w:lineRule="exact"/>
              <w:rPr>
                <w:rStyle w:val="SignedBold"/>
                <w:rFonts w:ascii="Book Antiqua" w:eastAsiaTheme="majorEastAsia" w:hAnsi="Book Antiqua"/>
                <w:i w:val="0"/>
                <w:sz w:val="22"/>
                <w:szCs w:val="22"/>
              </w:rPr>
            </w:pPr>
          </w:p>
        </w:tc>
      </w:tr>
      <w:tr w:rsidR="00765388" w:rsidRPr="007D1A8F" w14:paraId="587B433A" w14:textId="77777777" w:rsidTr="00701966">
        <w:tc>
          <w:tcPr>
            <w:tcW w:w="9464" w:type="dxa"/>
            <w:gridSpan w:val="3"/>
            <w:tcBorders>
              <w:top w:val="nil"/>
              <w:bottom w:val="nil"/>
            </w:tcBorders>
            <w:vAlign w:val="center"/>
          </w:tcPr>
          <w:p w14:paraId="4EB03202" w14:textId="77777777" w:rsidR="00765388" w:rsidRPr="007D1A8F" w:rsidRDefault="00765388" w:rsidP="007A36B5">
            <w:pPr>
              <w:spacing w:before="120" w:after="120" w:line="280" w:lineRule="exact"/>
              <w:rPr>
                <w:b/>
                <w:bCs/>
                <w:color w:val="C00000"/>
              </w:rPr>
            </w:pPr>
            <w:r w:rsidRPr="007D1A8F">
              <w:rPr>
                <w:rStyle w:val="SignedBold"/>
                <w:rFonts w:ascii="Book Antiqua" w:eastAsiaTheme="majorEastAsia" w:hAnsi="Book Antiqua"/>
                <w:i w:val="0"/>
                <w:sz w:val="22"/>
                <w:szCs w:val="22"/>
              </w:rPr>
              <w:t xml:space="preserve">Signed </w:t>
            </w:r>
            <w:r w:rsidRPr="007D1A8F">
              <w:rPr>
                <w:rFonts w:ascii="Book Antiqua" w:hAnsi="Book Antiqua"/>
                <w:i/>
                <w:sz w:val="22"/>
                <w:szCs w:val="22"/>
              </w:rPr>
              <w:t>for and on behalf of the Commonwealth of Australia by</w:t>
            </w:r>
          </w:p>
        </w:tc>
      </w:tr>
      <w:tr w:rsidR="000B266B" w:rsidRPr="007D1A8F" w14:paraId="5135AC65" w14:textId="77777777" w:rsidTr="000B266B">
        <w:tc>
          <w:tcPr>
            <w:tcW w:w="5192" w:type="dxa"/>
            <w:tcBorders>
              <w:top w:val="nil"/>
              <w:bottom w:val="nil"/>
              <w:right w:val="nil"/>
            </w:tcBorders>
            <w:vAlign w:val="center"/>
          </w:tcPr>
          <w:p w14:paraId="0BCEF35F" w14:textId="77777777" w:rsidR="000B266B" w:rsidRPr="007D1A8F" w:rsidRDefault="000B266B" w:rsidP="007A36B5">
            <w:pPr>
              <w:spacing w:before="120" w:after="120" w:line="280" w:lineRule="exact"/>
              <w:rPr>
                <w:b/>
                <w:bCs/>
                <w:color w:val="C00000"/>
              </w:rPr>
            </w:pPr>
          </w:p>
        </w:tc>
        <w:tc>
          <w:tcPr>
            <w:tcW w:w="290" w:type="dxa"/>
            <w:tcBorders>
              <w:top w:val="nil"/>
              <w:left w:val="nil"/>
              <w:bottom w:val="nil"/>
              <w:right w:val="nil"/>
            </w:tcBorders>
          </w:tcPr>
          <w:p w14:paraId="1D5B3B30" w14:textId="77777777" w:rsidR="000B266B" w:rsidRPr="007D1A8F" w:rsidRDefault="000B266B" w:rsidP="007A36B5">
            <w:pPr>
              <w:spacing w:before="120" w:after="120" w:line="280" w:lineRule="exact"/>
              <w:rPr>
                <w:b/>
                <w:bCs/>
                <w:color w:val="C00000"/>
              </w:rPr>
            </w:pPr>
          </w:p>
        </w:tc>
        <w:tc>
          <w:tcPr>
            <w:tcW w:w="3982" w:type="dxa"/>
            <w:tcBorders>
              <w:top w:val="nil"/>
              <w:left w:val="nil"/>
              <w:bottom w:val="nil"/>
            </w:tcBorders>
            <w:vAlign w:val="center"/>
          </w:tcPr>
          <w:p w14:paraId="4FFA5257" w14:textId="77777777" w:rsidR="000B266B" w:rsidRPr="007D1A8F" w:rsidRDefault="000B266B" w:rsidP="007A36B5">
            <w:pPr>
              <w:spacing w:before="120" w:after="120" w:line="280" w:lineRule="exact"/>
              <w:rPr>
                <w:b/>
                <w:bCs/>
                <w:color w:val="C00000"/>
              </w:rPr>
            </w:pPr>
          </w:p>
        </w:tc>
      </w:tr>
      <w:tr w:rsidR="000B266B" w:rsidRPr="007D1A8F" w14:paraId="4063FF9A" w14:textId="77777777" w:rsidTr="000B266B">
        <w:tc>
          <w:tcPr>
            <w:tcW w:w="5192" w:type="dxa"/>
            <w:tcBorders>
              <w:top w:val="nil"/>
              <w:bottom w:val="single" w:sz="4" w:space="0" w:color="A6A6A6"/>
              <w:right w:val="nil"/>
            </w:tcBorders>
            <w:vAlign w:val="center"/>
          </w:tcPr>
          <w:p w14:paraId="132381E6" w14:textId="77777777" w:rsidR="000B266B" w:rsidRPr="007D1A8F" w:rsidRDefault="000B266B" w:rsidP="007A36B5">
            <w:pPr>
              <w:spacing w:before="120" w:after="120" w:line="280" w:lineRule="exact"/>
            </w:pPr>
            <w:r w:rsidRPr="007D1A8F">
              <w:rPr>
                <w:b/>
                <w:bCs/>
                <w:color w:val="C00000"/>
              </w:rPr>
              <w:t>Signature</w:t>
            </w:r>
          </w:p>
        </w:tc>
        <w:tc>
          <w:tcPr>
            <w:tcW w:w="290" w:type="dxa"/>
            <w:tcBorders>
              <w:top w:val="nil"/>
              <w:left w:val="nil"/>
              <w:bottom w:val="single" w:sz="4" w:space="0" w:color="A6A6A6"/>
              <w:right w:val="nil"/>
            </w:tcBorders>
          </w:tcPr>
          <w:p w14:paraId="543B1AE9" w14:textId="77777777" w:rsidR="000B266B" w:rsidRPr="007D1A8F" w:rsidRDefault="000B266B" w:rsidP="007A36B5">
            <w:pPr>
              <w:spacing w:before="120" w:after="120" w:line="280" w:lineRule="exact"/>
              <w:rPr>
                <w:b/>
                <w:bCs/>
                <w:color w:val="C00000"/>
              </w:rPr>
            </w:pPr>
          </w:p>
        </w:tc>
        <w:tc>
          <w:tcPr>
            <w:tcW w:w="3982" w:type="dxa"/>
            <w:tcBorders>
              <w:top w:val="nil"/>
              <w:left w:val="nil"/>
              <w:bottom w:val="single" w:sz="4" w:space="0" w:color="A6A6A6"/>
            </w:tcBorders>
            <w:vAlign w:val="center"/>
          </w:tcPr>
          <w:p w14:paraId="7A844BFC" w14:textId="77777777" w:rsidR="000B266B" w:rsidRPr="007D1A8F" w:rsidRDefault="000B266B" w:rsidP="007A36B5">
            <w:pPr>
              <w:spacing w:before="120" w:after="120" w:line="280" w:lineRule="exact"/>
            </w:pPr>
            <w:r w:rsidRPr="007D1A8F">
              <w:rPr>
                <w:b/>
                <w:bCs/>
                <w:color w:val="C00000"/>
              </w:rPr>
              <w:t>Date</w:t>
            </w:r>
          </w:p>
        </w:tc>
      </w:tr>
      <w:tr w:rsidR="000B266B" w:rsidRPr="008A2566" w14:paraId="62488AB9" w14:textId="77777777" w:rsidTr="000B266B">
        <w:trPr>
          <w:trHeight w:val="822"/>
        </w:trPr>
        <w:tc>
          <w:tcPr>
            <w:tcW w:w="9464" w:type="dxa"/>
            <w:gridSpan w:val="3"/>
          </w:tcPr>
          <w:p w14:paraId="575196ED" w14:textId="7A1468B7" w:rsidR="000B266B" w:rsidRPr="007D1A8F" w:rsidRDefault="00216815" w:rsidP="000467E1">
            <w:pPr>
              <w:spacing w:line="280" w:lineRule="exact"/>
              <w:rPr>
                <w:b/>
                <w:bCs/>
                <w:color w:val="365F91"/>
              </w:rPr>
            </w:pPr>
            <w:r>
              <w:rPr>
                <w:b/>
                <w:bCs/>
                <w:color w:val="365F91"/>
              </w:rPr>
              <w:t>T</w:t>
            </w:r>
            <w:r w:rsidR="000B266B" w:rsidRPr="007D1A8F">
              <w:rPr>
                <w:b/>
                <w:bCs/>
                <w:color w:val="365F91"/>
              </w:rPr>
              <w:t xml:space="preserve">he Hon </w:t>
            </w:r>
            <w:r>
              <w:rPr>
                <w:b/>
                <w:bCs/>
                <w:color w:val="365F91"/>
              </w:rPr>
              <w:t>Mark Butler MP</w:t>
            </w:r>
          </w:p>
          <w:p w14:paraId="7017F616" w14:textId="77777777" w:rsidR="000B266B" w:rsidRPr="00B06563" w:rsidRDefault="000B266B" w:rsidP="00FD3D8D">
            <w:pPr>
              <w:spacing w:after="960" w:line="280" w:lineRule="exact"/>
              <w:rPr>
                <w:b/>
                <w:bCs/>
                <w:color w:val="365F91"/>
              </w:rPr>
            </w:pPr>
            <w:r w:rsidRPr="007D1A8F">
              <w:rPr>
                <w:b/>
                <w:bCs/>
                <w:color w:val="365F91"/>
              </w:rPr>
              <w:t>Minister for Health</w:t>
            </w:r>
            <w:r w:rsidR="009A62F6" w:rsidRPr="007D1A8F">
              <w:rPr>
                <w:b/>
                <w:bCs/>
                <w:color w:val="365F91"/>
              </w:rPr>
              <w:t xml:space="preserve"> and Aged Care</w:t>
            </w:r>
          </w:p>
        </w:tc>
      </w:tr>
    </w:tbl>
    <w:p w14:paraId="13FEC83B" w14:textId="77777777" w:rsidR="00695DE1" w:rsidRDefault="00695DE1" w:rsidP="00D225D4">
      <w:pPr>
        <w:pStyle w:val="Heading2"/>
        <w:keepNext w:val="0"/>
        <w:keepLines w:val="0"/>
      </w:pPr>
    </w:p>
    <w:sectPr w:rsidR="00695DE1" w:rsidSect="000B266B">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4929" w14:textId="77777777" w:rsidR="004A10D8" w:rsidRDefault="004A10D8" w:rsidP="00520331">
      <w:r>
        <w:separator/>
      </w:r>
    </w:p>
  </w:endnote>
  <w:endnote w:type="continuationSeparator" w:id="0">
    <w:p w14:paraId="1960A7C8" w14:textId="77777777" w:rsidR="004A10D8" w:rsidRDefault="004A10D8"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BF22" w14:textId="77777777" w:rsidR="004A10D8" w:rsidRPr="00413980" w:rsidRDefault="004A10D8">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1FBB4289" w14:textId="77777777" w:rsidR="004A10D8" w:rsidRDefault="004A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3DED" w14:textId="77777777" w:rsidR="004A10D8" w:rsidRDefault="004A10D8" w:rsidP="00520331">
      <w:r>
        <w:separator/>
      </w:r>
    </w:p>
  </w:footnote>
  <w:footnote w:type="continuationSeparator" w:id="0">
    <w:p w14:paraId="4CCC58BE" w14:textId="77777777" w:rsidR="004A10D8" w:rsidRDefault="004A10D8" w:rsidP="00520331">
      <w:r>
        <w:continuationSeparator/>
      </w:r>
    </w:p>
  </w:footnote>
  <w:footnote w:id="1">
    <w:p w14:paraId="1D8D2B12" w14:textId="77777777" w:rsidR="004A10D8" w:rsidRDefault="004A10D8" w:rsidP="009A51F0">
      <w:pPr>
        <w:pStyle w:val="FootnoteText"/>
        <w:spacing w:after="0"/>
      </w:pPr>
      <w:r>
        <w:rPr>
          <w:rStyle w:val="FootnoteReference"/>
        </w:rPr>
        <w:footnoteRef/>
      </w:r>
      <w:r>
        <w:t xml:space="preserve"> </w:t>
      </w:r>
      <w:r w:rsidRPr="00C1742E">
        <w:rPr>
          <w:sz w:val="16"/>
          <w:szCs w:val="16"/>
        </w:rPr>
        <w:t>Hearing Health Performance Measure 3 targets for 2022 are lower than previous years, as they are reported on as at 31 March 2022, so represent 25% of annual service delivery.</w:t>
      </w:r>
    </w:p>
  </w:footnote>
  <w:footnote w:id="2">
    <w:p w14:paraId="4BBA17D2" w14:textId="77777777" w:rsidR="004A10D8" w:rsidRDefault="004A10D8" w:rsidP="009A51F0">
      <w:pPr>
        <w:pStyle w:val="FootnoteText"/>
        <w:spacing w:after="0"/>
      </w:pPr>
      <w:r w:rsidRPr="00615D6E">
        <w:rPr>
          <w:rStyle w:val="FootnoteReference"/>
          <w:sz w:val="16"/>
          <w:szCs w:val="16"/>
        </w:rPr>
        <w:footnoteRef/>
      </w:r>
      <w:r w:rsidRPr="00615D6E">
        <w:rPr>
          <w:sz w:val="16"/>
          <w:szCs w:val="16"/>
        </w:rPr>
        <w:t xml:space="preserve"> Progress </w:t>
      </w:r>
      <w:r>
        <w:rPr>
          <w:sz w:val="16"/>
          <w:szCs w:val="16"/>
        </w:rPr>
        <w:t>R</w:t>
      </w:r>
      <w:r w:rsidRPr="00615D6E">
        <w:rPr>
          <w:sz w:val="16"/>
          <w:szCs w:val="16"/>
        </w:rPr>
        <w:t>eport 1 for Hearing Health Outcome Measures 1-4 refer to activities undertaken under the former National Partnership on Stronger Futures in the Northern Territory</w:t>
      </w:r>
      <w:r>
        <w:rPr>
          <w:sz w:val="16"/>
          <w:szCs w:val="16"/>
        </w:rPr>
        <w:t>.</w:t>
      </w:r>
      <w:r w:rsidRPr="00615D6E">
        <w:rPr>
          <w:sz w:val="16"/>
          <w:szCs w:val="16"/>
        </w:rPr>
        <w:t xml:space="preserve"> </w:t>
      </w:r>
    </w:p>
  </w:footnote>
  <w:footnote w:id="3">
    <w:p w14:paraId="3D30BBAA" w14:textId="77777777" w:rsidR="004A10D8" w:rsidRDefault="004A10D8" w:rsidP="009A51F0">
      <w:pPr>
        <w:pStyle w:val="FootnoteText"/>
        <w:spacing w:after="0"/>
      </w:pPr>
      <w:r>
        <w:rPr>
          <w:rStyle w:val="FootnoteReference"/>
        </w:rPr>
        <w:footnoteRef/>
      </w:r>
      <w:r>
        <w:t xml:space="preserve"> </w:t>
      </w:r>
      <w:r w:rsidRPr="00EA6198">
        <w:rPr>
          <w:sz w:val="16"/>
          <w:szCs w:val="16"/>
        </w:rPr>
        <w:t xml:space="preserve">Hearing Health Outcome Measure </w:t>
      </w:r>
      <w:r>
        <w:rPr>
          <w:sz w:val="16"/>
          <w:szCs w:val="16"/>
        </w:rPr>
        <w:t>2</w:t>
      </w:r>
      <w:r w:rsidRPr="00EA6198">
        <w:rPr>
          <w:sz w:val="16"/>
          <w:szCs w:val="16"/>
        </w:rPr>
        <w:t>, (2) Progress Report 1 is a small increase on the baseline</w:t>
      </w:r>
      <w:r>
        <w:rPr>
          <w:sz w:val="16"/>
          <w:szCs w:val="16"/>
        </w:rPr>
        <w:t xml:space="preserve"> </w:t>
      </w:r>
      <w:r w:rsidRPr="00EA6198">
        <w:rPr>
          <w:sz w:val="16"/>
          <w:szCs w:val="16"/>
        </w:rPr>
        <w:t xml:space="preserve">as the introduction 0f </w:t>
      </w:r>
      <w:r w:rsidRPr="00EA6198">
        <w:rPr>
          <w:sz w:val="16"/>
          <w:szCs w:val="16"/>
        </w:rPr>
        <w:t xml:space="preserve">Teleotology and integrated surgical pathways meant more children with </w:t>
      </w:r>
      <w:r>
        <w:rPr>
          <w:sz w:val="16"/>
          <w:szCs w:val="16"/>
        </w:rPr>
        <w:t>CSOM</w:t>
      </w:r>
      <w:r w:rsidRPr="00EA6198">
        <w:rPr>
          <w:sz w:val="16"/>
          <w:szCs w:val="16"/>
        </w:rPr>
        <w:t xml:space="preserve"> who </w:t>
      </w:r>
      <w:r w:rsidRPr="00EA6198">
        <w:rPr>
          <w:sz w:val="16"/>
          <w:szCs w:val="16"/>
        </w:rPr>
        <w:t xml:space="preserve">were school age, were anticipated to </w:t>
      </w:r>
      <w:r>
        <w:rPr>
          <w:sz w:val="16"/>
          <w:szCs w:val="16"/>
        </w:rPr>
        <w:t>use</w:t>
      </w:r>
      <w:r w:rsidRPr="00EA6198">
        <w:rPr>
          <w:sz w:val="16"/>
          <w:szCs w:val="16"/>
        </w:rPr>
        <w:t xml:space="preserve"> services</w:t>
      </w:r>
      <w:r>
        <w:rPr>
          <w:sz w:val="16"/>
          <w:szCs w:val="16"/>
        </w:rPr>
        <w:t>.</w:t>
      </w:r>
    </w:p>
  </w:footnote>
  <w:footnote w:id="4">
    <w:p w14:paraId="119C4393" w14:textId="77777777" w:rsidR="004A10D8" w:rsidRDefault="004A10D8" w:rsidP="009A51F0">
      <w:pPr>
        <w:pStyle w:val="FootnoteText"/>
        <w:spacing w:after="0"/>
      </w:pPr>
      <w:r w:rsidRPr="00EA6198">
        <w:rPr>
          <w:rStyle w:val="FootnoteReference"/>
        </w:rPr>
        <w:footnoteRef/>
      </w:r>
      <w:r w:rsidRPr="00EA6198">
        <w:t xml:space="preserve"> </w:t>
      </w:r>
      <w:r w:rsidRPr="00EA6198">
        <w:rPr>
          <w:sz w:val="16"/>
          <w:szCs w:val="16"/>
        </w:rPr>
        <w:t>Hearing Health Outcome Measure 3, (2) Progress Report 1 is a small increase on the baseline</w:t>
      </w:r>
      <w:r>
        <w:rPr>
          <w:sz w:val="16"/>
          <w:szCs w:val="16"/>
        </w:rPr>
        <w:t xml:space="preserve"> </w:t>
      </w:r>
      <w:r w:rsidRPr="00EA6198">
        <w:rPr>
          <w:sz w:val="16"/>
          <w:szCs w:val="16"/>
        </w:rPr>
        <w:t xml:space="preserve">as the introduction 0f </w:t>
      </w:r>
      <w:r w:rsidRPr="00EA6198">
        <w:rPr>
          <w:sz w:val="16"/>
          <w:szCs w:val="16"/>
        </w:rPr>
        <w:t xml:space="preserve">Teleotology and integrated surgical pathways meant more children with dry perforation who were school age, were anticipated to </w:t>
      </w:r>
      <w:r>
        <w:rPr>
          <w:sz w:val="16"/>
          <w:szCs w:val="16"/>
        </w:rPr>
        <w:t>use</w:t>
      </w:r>
      <w:r w:rsidRPr="00EA6198">
        <w:rPr>
          <w:sz w:val="16"/>
          <w:szCs w:val="16"/>
        </w:rPr>
        <w:t xml:space="preserve"> services</w:t>
      </w:r>
      <w:r>
        <w:rPr>
          <w:sz w:val="16"/>
          <w:szCs w:val="16"/>
        </w:rPr>
        <w:t>.</w:t>
      </w:r>
      <w:r w:rsidRPr="00EA6198">
        <w:rPr>
          <w:sz w:val="16"/>
          <w:szCs w:val="16"/>
        </w:rPr>
        <w:t xml:space="preserve"> </w:t>
      </w:r>
      <w:r>
        <w:rPr>
          <w:sz w:val="16"/>
          <w:szCs w:val="16"/>
        </w:rPr>
        <w:t xml:space="preserve"> </w:t>
      </w:r>
    </w:p>
  </w:footnote>
  <w:footnote w:id="5">
    <w:p w14:paraId="32D91793" w14:textId="77777777" w:rsidR="004A10D8" w:rsidRDefault="004A10D8" w:rsidP="009A51F0">
      <w:pPr>
        <w:pStyle w:val="FootnoteText"/>
      </w:pPr>
      <w:r>
        <w:rPr>
          <w:rStyle w:val="FootnoteReference"/>
        </w:rPr>
        <w:footnoteRef/>
      </w:r>
      <w:r>
        <w:t xml:space="preserve"> </w:t>
      </w:r>
      <w:r w:rsidRPr="006578E9">
        <w:rPr>
          <w:sz w:val="16"/>
          <w:szCs w:val="16"/>
        </w:rPr>
        <w:t>Hearing Health Outcome Measure 5 reports on the Northern Territory’s service delivery regional coverage, and demand for services at a regional level, under the former National Partnership</w:t>
      </w:r>
      <w:r>
        <w:rPr>
          <w:sz w:val="16"/>
          <w:szCs w:val="16"/>
        </w:rPr>
        <w:t xml:space="preserve"> </w:t>
      </w:r>
      <w:r w:rsidRPr="006578E9">
        <w:rPr>
          <w:sz w:val="16"/>
          <w:szCs w:val="16"/>
        </w:rPr>
        <w:t>on Stronger Futures in the Northern Territory. As this National Partnership ceased at the end of 2014-15, this is a final, one-off report</w:t>
      </w:r>
      <w:r>
        <w:rPr>
          <w:sz w:val="16"/>
          <w:szCs w:val="16"/>
        </w:rPr>
        <w:t>.</w:t>
      </w:r>
    </w:p>
  </w:footnote>
  <w:footnote w:id="6">
    <w:p w14:paraId="4D6A2C95" w14:textId="77777777" w:rsidR="004A10D8" w:rsidRDefault="004A10D8" w:rsidP="009A51F0">
      <w:pPr>
        <w:pStyle w:val="FootnoteText"/>
        <w:spacing w:after="0"/>
      </w:pPr>
      <w:r w:rsidRPr="00F067CC">
        <w:rPr>
          <w:rStyle w:val="FootnoteReference"/>
        </w:rPr>
        <w:footnoteRef/>
      </w:r>
      <w:r w:rsidRPr="00F067CC">
        <w:t xml:space="preserve"> </w:t>
      </w:r>
      <w:r w:rsidRPr="00F067CC">
        <w:rPr>
          <w:sz w:val="16"/>
          <w:szCs w:val="16"/>
        </w:rPr>
        <w:t>Some totals may not add up due to rounding of individual payments.</w:t>
      </w:r>
    </w:p>
  </w:footnote>
  <w:footnote w:id="7">
    <w:p w14:paraId="7D3D2339" w14:textId="77777777" w:rsidR="004A10D8" w:rsidRDefault="004A10D8" w:rsidP="009A51F0">
      <w:pPr>
        <w:pStyle w:val="FootnoteText"/>
        <w:spacing w:after="0"/>
      </w:pPr>
      <w:r w:rsidRPr="00F067CC">
        <w:rPr>
          <w:rStyle w:val="FootnoteReference"/>
        </w:rPr>
        <w:footnoteRef/>
      </w:r>
      <w:r w:rsidRPr="00F067CC">
        <w:t xml:space="preserve"> </w:t>
      </w:r>
      <w:r w:rsidRPr="00123E71">
        <w:rPr>
          <w:rFonts w:cs="Calibri"/>
          <w:sz w:val="16"/>
          <w:szCs w:val="16"/>
        </w:rPr>
        <w:t>For the purpose of this Implementation Plan, an “occasion of service” is defined as the service provided to a patient by one operator on a single visit. Within each occasion of service, multiple service activities – for example: preventative or restorative services, tooth extraction, diagnostic services or assessments, orthodontic and periodontic services, oral health education, dental hygiene advice and diet advice – may occur. Australian Dental Association (ADA) item codes are used to denote each single item of examination, consultation or treatment (including preventive, restorative and surgical).</w:t>
      </w:r>
    </w:p>
  </w:footnote>
  <w:footnote w:id="8">
    <w:p w14:paraId="2D7D2C68" w14:textId="77777777" w:rsidR="004A10D8" w:rsidRPr="005B0ABD" w:rsidRDefault="004A10D8" w:rsidP="005B0ABD">
      <w:pPr>
        <w:pStyle w:val="FootnoteText"/>
        <w:spacing w:after="0"/>
        <w:rPr>
          <w:sz w:val="16"/>
          <w:szCs w:val="16"/>
        </w:rPr>
      </w:pPr>
      <w:r>
        <w:rPr>
          <w:rStyle w:val="FootnoteReference"/>
        </w:rPr>
        <w:footnoteRef/>
      </w:r>
      <w:r>
        <w:t xml:space="preserve"> </w:t>
      </w:r>
      <w:r w:rsidRPr="005B0ABD">
        <w:rPr>
          <w:sz w:val="16"/>
          <w:szCs w:val="16"/>
        </w:rPr>
        <w:t xml:space="preserve">Benchmarks have been reduced to 25% based on the Northern Territory’s reported capability and capacity, including </w:t>
      </w:r>
      <w:r w:rsidRPr="005B0ABD">
        <w:rPr>
          <w:sz w:val="16"/>
          <w:szCs w:val="16"/>
        </w:rPr>
        <w:t>due to the effects of the COVID-19 pandemic.</w:t>
      </w:r>
    </w:p>
  </w:footnote>
  <w:footnote w:id="9">
    <w:p w14:paraId="446A6A05" w14:textId="77777777" w:rsidR="004A10D8" w:rsidRDefault="004A10D8" w:rsidP="008D4308">
      <w:pPr>
        <w:pStyle w:val="FootnoteText"/>
        <w:spacing w:after="0"/>
      </w:pPr>
      <w:r>
        <w:rPr>
          <w:rStyle w:val="FootnoteReference"/>
        </w:rPr>
        <w:footnoteRef/>
      </w:r>
      <w:r>
        <w:t xml:space="preserve"> </w:t>
      </w:r>
      <w:r w:rsidRPr="008D4308">
        <w:rPr>
          <w:sz w:val="16"/>
          <w:szCs w:val="16"/>
        </w:rPr>
        <w:t>The declining number of fissure sealants is due to the one-time only application of fissure sealants per tooth as well as clinicians determining the most appropriate clinical treatment.</w:t>
      </w:r>
    </w:p>
  </w:footnote>
  <w:footnote w:id="10">
    <w:p w14:paraId="5B7A9F96" w14:textId="77777777" w:rsidR="004A10D8" w:rsidRDefault="004A10D8" w:rsidP="009A51F0">
      <w:pPr>
        <w:pStyle w:val="FootnoteText"/>
        <w:spacing w:after="0"/>
      </w:pPr>
      <w:r w:rsidRPr="006578E9">
        <w:rPr>
          <w:rStyle w:val="FootnoteReference"/>
        </w:rPr>
        <w:footnoteRef/>
      </w:r>
      <w:r w:rsidRPr="006578E9">
        <w:t xml:space="preserve"> </w:t>
      </w:r>
      <w:r w:rsidRPr="006578E9">
        <w:rPr>
          <w:sz w:val="16"/>
          <w:szCs w:val="16"/>
        </w:rPr>
        <w:t>Oral Health Outcome Measure 3 reports on the Northern Territory’s service delivery regional coverage, and demand for services at a regional level, under the former National Partnership on Stronger Futures in the Northern Territory. As this National Partnership ceased at the end of 2014-15, this is a final, one-off report.</w:t>
      </w:r>
    </w:p>
  </w:footnote>
  <w:footnote w:id="11">
    <w:p w14:paraId="0A492FFC" w14:textId="77777777" w:rsidR="004A10D8" w:rsidRDefault="004A10D8" w:rsidP="009A51F0">
      <w:pPr>
        <w:pStyle w:val="FootnoteText"/>
      </w:pPr>
      <w:r>
        <w:rPr>
          <w:rStyle w:val="FootnoteReference"/>
        </w:rPr>
        <w:footnoteRef/>
      </w:r>
      <w:r>
        <w:t xml:space="preserve"> </w:t>
      </w:r>
      <w:r w:rsidRPr="00F067CC">
        <w:rPr>
          <w:sz w:val="16"/>
          <w:szCs w:val="16"/>
        </w:rPr>
        <w:t>Some totals may not add up due to rounding of individual payments.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235A6952"/>
    <w:multiLevelType w:val="hybridMultilevel"/>
    <w:tmpl w:val="70A85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25A84D8C"/>
    <w:multiLevelType w:val="hybridMultilevel"/>
    <w:tmpl w:val="77A0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10654"/>
    <w:multiLevelType w:val="hybridMultilevel"/>
    <w:tmpl w:val="D7EC3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3480875"/>
    <w:multiLevelType w:val="hybridMultilevel"/>
    <w:tmpl w:val="977A8F72"/>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33935B0C"/>
    <w:multiLevelType w:val="hybridMultilevel"/>
    <w:tmpl w:val="354876A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9" w15:restartNumberingAfterBreak="0">
    <w:nsid w:val="379B6CCE"/>
    <w:multiLevelType w:val="hybridMultilevel"/>
    <w:tmpl w:val="4DA65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8930AF"/>
    <w:multiLevelType w:val="hybridMultilevel"/>
    <w:tmpl w:val="8E20E4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9103DCD"/>
    <w:multiLevelType w:val="hybridMultilevel"/>
    <w:tmpl w:val="5602E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4" w15:restartNumberingAfterBreak="0">
    <w:nsid w:val="4AC7693F"/>
    <w:multiLevelType w:val="hybridMultilevel"/>
    <w:tmpl w:val="A79C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3A40C7E"/>
    <w:multiLevelType w:val="hybridMultilevel"/>
    <w:tmpl w:val="C646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4B74E8"/>
    <w:multiLevelType w:val="hybridMultilevel"/>
    <w:tmpl w:val="703657D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955EF"/>
    <w:multiLevelType w:val="hybridMultilevel"/>
    <w:tmpl w:val="00285A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1"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22"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3" w15:restartNumberingAfterBreak="0">
    <w:nsid w:val="5BAE660F"/>
    <w:multiLevelType w:val="hybridMultilevel"/>
    <w:tmpl w:val="E23A5C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08C2140"/>
    <w:multiLevelType w:val="hybridMultilevel"/>
    <w:tmpl w:val="FF1CA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A3656C"/>
    <w:multiLevelType w:val="hybridMultilevel"/>
    <w:tmpl w:val="64CEBF6C"/>
    <w:lvl w:ilvl="0" w:tplc="1812DE16">
      <w:start w:val="1"/>
      <w:numFmt w:val="decimal"/>
      <w:lvlText w:val="%1)"/>
      <w:lvlJc w:val="left"/>
      <w:pPr>
        <w:ind w:left="360" w:hanging="360"/>
      </w:pPr>
      <w:rPr>
        <w:rFonts w:ascii="Corbel" w:eastAsia="Times New Roman" w:hAnsi="Corbel"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69B061D1"/>
    <w:multiLevelType w:val="hybridMultilevel"/>
    <w:tmpl w:val="13F60A78"/>
    <w:lvl w:ilvl="0" w:tplc="DD02449A">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8"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9" w15:restartNumberingAfterBreak="0">
    <w:nsid w:val="73136858"/>
    <w:multiLevelType w:val="hybridMultilevel"/>
    <w:tmpl w:val="70EA5F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1" w15:restartNumberingAfterBreak="0">
    <w:nsid w:val="75DF4460"/>
    <w:multiLevelType w:val="multilevel"/>
    <w:tmpl w:val="AD5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860B7"/>
    <w:multiLevelType w:val="hybridMultilevel"/>
    <w:tmpl w:val="A52294D0"/>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8854AAC"/>
    <w:multiLevelType w:val="hybridMultilevel"/>
    <w:tmpl w:val="8F3A1DDC"/>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2"/>
  </w:num>
  <w:num w:numId="5">
    <w:abstractNumId w:val="20"/>
  </w:num>
  <w:num w:numId="6">
    <w:abstractNumId w:val="0"/>
  </w:num>
  <w:num w:numId="7">
    <w:abstractNumId w:val="21"/>
  </w:num>
  <w:num w:numId="8">
    <w:abstractNumId w:val="11"/>
  </w:num>
  <w:num w:numId="9">
    <w:abstractNumId w:val="33"/>
  </w:num>
  <w:num w:numId="10">
    <w:abstractNumId w:val="27"/>
  </w:num>
  <w:num w:numId="11">
    <w:abstractNumId w:val="28"/>
  </w:num>
  <w:num w:numId="12">
    <w:abstractNumId w:val="34"/>
  </w:num>
  <w:num w:numId="13">
    <w:abstractNumId w:val="22"/>
  </w:num>
  <w:num w:numId="14">
    <w:abstractNumId w:val="8"/>
  </w:num>
  <w:num w:numId="15">
    <w:abstractNumId w:val="15"/>
  </w:num>
  <w:num w:numId="16">
    <w:abstractNumId w:val="30"/>
  </w:num>
  <w:num w:numId="17">
    <w:abstractNumId w:val="3"/>
  </w:num>
  <w:num w:numId="18">
    <w:abstractNumId w:val="4"/>
  </w:num>
  <w:num w:numId="19">
    <w:abstractNumId w:val="19"/>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31"/>
  </w:num>
  <w:num w:numId="29">
    <w:abstractNumId w:val="33"/>
  </w:num>
  <w:num w:numId="30">
    <w:abstractNumId w:val="33"/>
  </w:num>
  <w:num w:numId="31">
    <w:abstractNumId w:val="33"/>
  </w:num>
  <w:num w:numId="32">
    <w:abstractNumId w:val="23"/>
  </w:num>
  <w:num w:numId="33">
    <w:abstractNumId w:val="26"/>
  </w:num>
  <w:num w:numId="34">
    <w:abstractNumId w:val="2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3"/>
  </w:num>
  <w:num w:numId="38">
    <w:abstractNumId w:val="33"/>
  </w:num>
  <w:num w:numId="39">
    <w:abstractNumId w:val="33"/>
  </w:num>
  <w:num w:numId="40">
    <w:abstractNumId w:val="33"/>
  </w:num>
  <w:num w:numId="41">
    <w:abstractNumId w:val="33"/>
  </w:num>
  <w:num w:numId="42">
    <w:abstractNumId w:val="9"/>
  </w:num>
  <w:num w:numId="43">
    <w:abstractNumId w:val="24"/>
  </w:num>
  <w:num w:numId="44">
    <w:abstractNumId w:val="6"/>
  </w:num>
  <w:num w:numId="45">
    <w:abstractNumId w:val="7"/>
  </w:num>
  <w:num w:numId="46">
    <w:abstractNumId w:val="1"/>
  </w:num>
  <w:num w:numId="47">
    <w:abstractNumId w:val="12"/>
  </w:num>
  <w:num w:numId="48">
    <w:abstractNumId w:val="16"/>
  </w:num>
  <w:num w:numId="49">
    <w:abstractNumId w:val="17"/>
  </w:num>
  <w:num w:numId="50">
    <w:abstractNumId w:val="29"/>
  </w:num>
  <w:num w:numId="51">
    <w:abstractNumId w:val="14"/>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7E"/>
    <w:rsid w:val="000014B1"/>
    <w:rsid w:val="00003192"/>
    <w:rsid w:val="00003A92"/>
    <w:rsid w:val="00003EAE"/>
    <w:rsid w:val="00010DFE"/>
    <w:rsid w:val="0001180B"/>
    <w:rsid w:val="00011DA2"/>
    <w:rsid w:val="00012AAE"/>
    <w:rsid w:val="00012BDA"/>
    <w:rsid w:val="00013A91"/>
    <w:rsid w:val="00013C3E"/>
    <w:rsid w:val="00014A03"/>
    <w:rsid w:val="0001633B"/>
    <w:rsid w:val="00023C24"/>
    <w:rsid w:val="000240B5"/>
    <w:rsid w:val="00024B99"/>
    <w:rsid w:val="0002586A"/>
    <w:rsid w:val="00025DAD"/>
    <w:rsid w:val="00025F50"/>
    <w:rsid w:val="00030F67"/>
    <w:rsid w:val="00032554"/>
    <w:rsid w:val="0003479A"/>
    <w:rsid w:val="00034877"/>
    <w:rsid w:val="000375F8"/>
    <w:rsid w:val="00040CC4"/>
    <w:rsid w:val="000415F0"/>
    <w:rsid w:val="00041625"/>
    <w:rsid w:val="0004432A"/>
    <w:rsid w:val="00044E74"/>
    <w:rsid w:val="00045778"/>
    <w:rsid w:val="00045AD7"/>
    <w:rsid w:val="000467E1"/>
    <w:rsid w:val="00047FE7"/>
    <w:rsid w:val="00050767"/>
    <w:rsid w:val="000516F2"/>
    <w:rsid w:val="00054A8D"/>
    <w:rsid w:val="0005527C"/>
    <w:rsid w:val="0005694A"/>
    <w:rsid w:val="00056C4B"/>
    <w:rsid w:val="00062172"/>
    <w:rsid w:val="0006592F"/>
    <w:rsid w:val="000667B4"/>
    <w:rsid w:val="0006744E"/>
    <w:rsid w:val="000758BF"/>
    <w:rsid w:val="000774C4"/>
    <w:rsid w:val="000829AA"/>
    <w:rsid w:val="0008414E"/>
    <w:rsid w:val="00086673"/>
    <w:rsid w:val="00086B8C"/>
    <w:rsid w:val="000873E5"/>
    <w:rsid w:val="00091BA8"/>
    <w:rsid w:val="000925CD"/>
    <w:rsid w:val="00093235"/>
    <w:rsid w:val="000A1323"/>
    <w:rsid w:val="000A4418"/>
    <w:rsid w:val="000A72D2"/>
    <w:rsid w:val="000B09BC"/>
    <w:rsid w:val="000B266B"/>
    <w:rsid w:val="000B5DC0"/>
    <w:rsid w:val="000C017B"/>
    <w:rsid w:val="000C1698"/>
    <w:rsid w:val="000C2107"/>
    <w:rsid w:val="000C54D0"/>
    <w:rsid w:val="000C576C"/>
    <w:rsid w:val="000D3E0A"/>
    <w:rsid w:val="000D4B5B"/>
    <w:rsid w:val="000D4E7E"/>
    <w:rsid w:val="000D5A05"/>
    <w:rsid w:val="000D5B7F"/>
    <w:rsid w:val="000D5C4C"/>
    <w:rsid w:val="000D7C4C"/>
    <w:rsid w:val="000E3092"/>
    <w:rsid w:val="000E78C0"/>
    <w:rsid w:val="000F165A"/>
    <w:rsid w:val="000F1751"/>
    <w:rsid w:val="000F2FED"/>
    <w:rsid w:val="000F354C"/>
    <w:rsid w:val="000F3B02"/>
    <w:rsid w:val="000F5EB9"/>
    <w:rsid w:val="000F7D1A"/>
    <w:rsid w:val="00102898"/>
    <w:rsid w:val="00102DDE"/>
    <w:rsid w:val="00105402"/>
    <w:rsid w:val="00105FB1"/>
    <w:rsid w:val="001069CF"/>
    <w:rsid w:val="00111E4E"/>
    <w:rsid w:val="0011223F"/>
    <w:rsid w:val="00113524"/>
    <w:rsid w:val="0011673E"/>
    <w:rsid w:val="001168E4"/>
    <w:rsid w:val="00120218"/>
    <w:rsid w:val="0012049E"/>
    <w:rsid w:val="00123E71"/>
    <w:rsid w:val="0012527E"/>
    <w:rsid w:val="001273B5"/>
    <w:rsid w:val="0013042B"/>
    <w:rsid w:val="001331EC"/>
    <w:rsid w:val="001410F5"/>
    <w:rsid w:val="00145E46"/>
    <w:rsid w:val="00146662"/>
    <w:rsid w:val="00146B46"/>
    <w:rsid w:val="00150526"/>
    <w:rsid w:val="00155453"/>
    <w:rsid w:val="001555EE"/>
    <w:rsid w:val="001578E2"/>
    <w:rsid w:val="00160C3B"/>
    <w:rsid w:val="001637AC"/>
    <w:rsid w:val="001637BB"/>
    <w:rsid w:val="001642BD"/>
    <w:rsid w:val="00164CEE"/>
    <w:rsid w:val="00166312"/>
    <w:rsid w:val="00167FD3"/>
    <w:rsid w:val="00170639"/>
    <w:rsid w:val="00170688"/>
    <w:rsid w:val="00170B1A"/>
    <w:rsid w:val="00170FD4"/>
    <w:rsid w:val="00171802"/>
    <w:rsid w:val="00171B14"/>
    <w:rsid w:val="00172229"/>
    <w:rsid w:val="00172B12"/>
    <w:rsid w:val="00173149"/>
    <w:rsid w:val="00174BD4"/>
    <w:rsid w:val="001755D1"/>
    <w:rsid w:val="00175F8C"/>
    <w:rsid w:val="001818A6"/>
    <w:rsid w:val="00187A15"/>
    <w:rsid w:val="00191251"/>
    <w:rsid w:val="001918B1"/>
    <w:rsid w:val="00192CDE"/>
    <w:rsid w:val="00195996"/>
    <w:rsid w:val="00197A80"/>
    <w:rsid w:val="001A652E"/>
    <w:rsid w:val="001A6C39"/>
    <w:rsid w:val="001B3102"/>
    <w:rsid w:val="001B3E3D"/>
    <w:rsid w:val="001B5415"/>
    <w:rsid w:val="001B6690"/>
    <w:rsid w:val="001C1144"/>
    <w:rsid w:val="001C56EC"/>
    <w:rsid w:val="001C6B67"/>
    <w:rsid w:val="001C7513"/>
    <w:rsid w:val="001D0A00"/>
    <w:rsid w:val="001D14B8"/>
    <w:rsid w:val="001D2374"/>
    <w:rsid w:val="001D47EA"/>
    <w:rsid w:val="001D4BCB"/>
    <w:rsid w:val="001D5134"/>
    <w:rsid w:val="001E0403"/>
    <w:rsid w:val="001E4E1F"/>
    <w:rsid w:val="001E6581"/>
    <w:rsid w:val="001E67A2"/>
    <w:rsid w:val="001E74D0"/>
    <w:rsid w:val="001F04F9"/>
    <w:rsid w:val="001F0BAB"/>
    <w:rsid w:val="001F0EED"/>
    <w:rsid w:val="001F45C6"/>
    <w:rsid w:val="001F5305"/>
    <w:rsid w:val="001F68F6"/>
    <w:rsid w:val="001F7A0E"/>
    <w:rsid w:val="001F7CB8"/>
    <w:rsid w:val="00200028"/>
    <w:rsid w:val="002010E0"/>
    <w:rsid w:val="00206671"/>
    <w:rsid w:val="00214466"/>
    <w:rsid w:val="002158E4"/>
    <w:rsid w:val="00216815"/>
    <w:rsid w:val="00221363"/>
    <w:rsid w:val="00223241"/>
    <w:rsid w:val="002268B0"/>
    <w:rsid w:val="00227946"/>
    <w:rsid w:val="00227BC0"/>
    <w:rsid w:val="00227CE7"/>
    <w:rsid w:val="002311B1"/>
    <w:rsid w:val="002330D9"/>
    <w:rsid w:val="00234DB9"/>
    <w:rsid w:val="00237573"/>
    <w:rsid w:val="00241B51"/>
    <w:rsid w:val="00242C49"/>
    <w:rsid w:val="00243E8B"/>
    <w:rsid w:val="002514DE"/>
    <w:rsid w:val="00254327"/>
    <w:rsid w:val="00254BF5"/>
    <w:rsid w:val="0025586C"/>
    <w:rsid w:val="00256AB0"/>
    <w:rsid w:val="00257088"/>
    <w:rsid w:val="00261564"/>
    <w:rsid w:val="002616A0"/>
    <w:rsid w:val="002648E8"/>
    <w:rsid w:val="0026503A"/>
    <w:rsid w:val="002678DE"/>
    <w:rsid w:val="00267B81"/>
    <w:rsid w:val="00270D9D"/>
    <w:rsid w:val="00271092"/>
    <w:rsid w:val="00273317"/>
    <w:rsid w:val="002740FB"/>
    <w:rsid w:val="00281AE3"/>
    <w:rsid w:val="00282641"/>
    <w:rsid w:val="00285609"/>
    <w:rsid w:val="00286FA2"/>
    <w:rsid w:val="00292A77"/>
    <w:rsid w:val="00292CB8"/>
    <w:rsid w:val="00292F4F"/>
    <w:rsid w:val="0029626E"/>
    <w:rsid w:val="00297B15"/>
    <w:rsid w:val="002A0B94"/>
    <w:rsid w:val="002A53DD"/>
    <w:rsid w:val="002A5D25"/>
    <w:rsid w:val="002A7553"/>
    <w:rsid w:val="002B046B"/>
    <w:rsid w:val="002B5BE3"/>
    <w:rsid w:val="002C1F32"/>
    <w:rsid w:val="002C5FEA"/>
    <w:rsid w:val="002D0CB9"/>
    <w:rsid w:val="002D3ACC"/>
    <w:rsid w:val="002D46C5"/>
    <w:rsid w:val="002D6622"/>
    <w:rsid w:val="002D7201"/>
    <w:rsid w:val="002D76C5"/>
    <w:rsid w:val="002E061E"/>
    <w:rsid w:val="002E21CE"/>
    <w:rsid w:val="002E328E"/>
    <w:rsid w:val="002E4195"/>
    <w:rsid w:val="002E5D71"/>
    <w:rsid w:val="002F5890"/>
    <w:rsid w:val="002F7AF9"/>
    <w:rsid w:val="003020F6"/>
    <w:rsid w:val="00306502"/>
    <w:rsid w:val="00306791"/>
    <w:rsid w:val="00307C5E"/>
    <w:rsid w:val="00310511"/>
    <w:rsid w:val="0031129A"/>
    <w:rsid w:val="00312179"/>
    <w:rsid w:val="00314D9E"/>
    <w:rsid w:val="003222B1"/>
    <w:rsid w:val="003254F3"/>
    <w:rsid w:val="003258BF"/>
    <w:rsid w:val="003259CC"/>
    <w:rsid w:val="00326AD1"/>
    <w:rsid w:val="00326B13"/>
    <w:rsid w:val="00327D6A"/>
    <w:rsid w:val="00330CEB"/>
    <w:rsid w:val="00334C02"/>
    <w:rsid w:val="00335222"/>
    <w:rsid w:val="00336199"/>
    <w:rsid w:val="00337681"/>
    <w:rsid w:val="003422D5"/>
    <w:rsid w:val="00342828"/>
    <w:rsid w:val="00345FC8"/>
    <w:rsid w:val="003478BB"/>
    <w:rsid w:val="00347F6D"/>
    <w:rsid w:val="003501BA"/>
    <w:rsid w:val="0035467F"/>
    <w:rsid w:val="0035489D"/>
    <w:rsid w:val="00357F8E"/>
    <w:rsid w:val="0036301F"/>
    <w:rsid w:val="0036688B"/>
    <w:rsid w:val="00373958"/>
    <w:rsid w:val="00375B6B"/>
    <w:rsid w:val="00376922"/>
    <w:rsid w:val="00377F3C"/>
    <w:rsid w:val="003807CC"/>
    <w:rsid w:val="003815E5"/>
    <w:rsid w:val="00381782"/>
    <w:rsid w:val="003820C9"/>
    <w:rsid w:val="00382BB9"/>
    <w:rsid w:val="00383094"/>
    <w:rsid w:val="00384D6E"/>
    <w:rsid w:val="003851B1"/>
    <w:rsid w:val="00391D0E"/>
    <w:rsid w:val="00394698"/>
    <w:rsid w:val="00395E1B"/>
    <w:rsid w:val="00396AA4"/>
    <w:rsid w:val="003976F6"/>
    <w:rsid w:val="003A0FA7"/>
    <w:rsid w:val="003A1161"/>
    <w:rsid w:val="003A1A3E"/>
    <w:rsid w:val="003A2E07"/>
    <w:rsid w:val="003A43CE"/>
    <w:rsid w:val="003A5EC0"/>
    <w:rsid w:val="003A7962"/>
    <w:rsid w:val="003B1409"/>
    <w:rsid w:val="003B149C"/>
    <w:rsid w:val="003B2159"/>
    <w:rsid w:val="003B21D1"/>
    <w:rsid w:val="003B3C17"/>
    <w:rsid w:val="003B6C45"/>
    <w:rsid w:val="003B7381"/>
    <w:rsid w:val="003B7DE3"/>
    <w:rsid w:val="003C198E"/>
    <w:rsid w:val="003C5038"/>
    <w:rsid w:val="003C590D"/>
    <w:rsid w:val="003C6FEC"/>
    <w:rsid w:val="003C7037"/>
    <w:rsid w:val="003D0FF5"/>
    <w:rsid w:val="003D4438"/>
    <w:rsid w:val="003D6771"/>
    <w:rsid w:val="003E14C4"/>
    <w:rsid w:val="003E230C"/>
    <w:rsid w:val="003E2CD7"/>
    <w:rsid w:val="003E3308"/>
    <w:rsid w:val="003E5036"/>
    <w:rsid w:val="003E54C9"/>
    <w:rsid w:val="003E5665"/>
    <w:rsid w:val="003E599B"/>
    <w:rsid w:val="003E59CF"/>
    <w:rsid w:val="003E740C"/>
    <w:rsid w:val="003F13AA"/>
    <w:rsid w:val="003F2FE9"/>
    <w:rsid w:val="003F3E4B"/>
    <w:rsid w:val="003F4C64"/>
    <w:rsid w:val="003F5357"/>
    <w:rsid w:val="004036CD"/>
    <w:rsid w:val="00403720"/>
    <w:rsid w:val="00403BD6"/>
    <w:rsid w:val="00403C18"/>
    <w:rsid w:val="004058AB"/>
    <w:rsid w:val="00406094"/>
    <w:rsid w:val="004074C2"/>
    <w:rsid w:val="00407585"/>
    <w:rsid w:val="00407CB1"/>
    <w:rsid w:val="004107C0"/>
    <w:rsid w:val="00411AEC"/>
    <w:rsid w:val="00411F49"/>
    <w:rsid w:val="0041257A"/>
    <w:rsid w:val="004126E0"/>
    <w:rsid w:val="00413980"/>
    <w:rsid w:val="00413EC6"/>
    <w:rsid w:val="00414934"/>
    <w:rsid w:val="00414D7F"/>
    <w:rsid w:val="00420A07"/>
    <w:rsid w:val="00423987"/>
    <w:rsid w:val="00424699"/>
    <w:rsid w:val="00426754"/>
    <w:rsid w:val="0043100D"/>
    <w:rsid w:val="004317F5"/>
    <w:rsid w:val="00432B5D"/>
    <w:rsid w:val="00435169"/>
    <w:rsid w:val="0043642D"/>
    <w:rsid w:val="00437B9A"/>
    <w:rsid w:val="00442734"/>
    <w:rsid w:val="00447762"/>
    <w:rsid w:val="00450CC7"/>
    <w:rsid w:val="0045119E"/>
    <w:rsid w:val="00451C53"/>
    <w:rsid w:val="00454D37"/>
    <w:rsid w:val="004554D1"/>
    <w:rsid w:val="00455FF8"/>
    <w:rsid w:val="0045685E"/>
    <w:rsid w:val="00456FE1"/>
    <w:rsid w:val="0045732B"/>
    <w:rsid w:val="00464B1D"/>
    <w:rsid w:val="00464D7D"/>
    <w:rsid w:val="00466411"/>
    <w:rsid w:val="00466976"/>
    <w:rsid w:val="0046735E"/>
    <w:rsid w:val="0047010B"/>
    <w:rsid w:val="00470E82"/>
    <w:rsid w:val="00473439"/>
    <w:rsid w:val="00475303"/>
    <w:rsid w:val="00476948"/>
    <w:rsid w:val="0048051A"/>
    <w:rsid w:val="004809ED"/>
    <w:rsid w:val="004816C4"/>
    <w:rsid w:val="00481B0B"/>
    <w:rsid w:val="00483D5D"/>
    <w:rsid w:val="00484B11"/>
    <w:rsid w:val="00485048"/>
    <w:rsid w:val="00487757"/>
    <w:rsid w:val="004932BC"/>
    <w:rsid w:val="00497DC1"/>
    <w:rsid w:val="004A10D8"/>
    <w:rsid w:val="004A23CE"/>
    <w:rsid w:val="004A3502"/>
    <w:rsid w:val="004A554A"/>
    <w:rsid w:val="004B1483"/>
    <w:rsid w:val="004B2FF6"/>
    <w:rsid w:val="004B4105"/>
    <w:rsid w:val="004B4627"/>
    <w:rsid w:val="004B764C"/>
    <w:rsid w:val="004C2E02"/>
    <w:rsid w:val="004C6399"/>
    <w:rsid w:val="004D08E2"/>
    <w:rsid w:val="004D2722"/>
    <w:rsid w:val="004D4FD7"/>
    <w:rsid w:val="004D738B"/>
    <w:rsid w:val="004D78CB"/>
    <w:rsid w:val="004E1366"/>
    <w:rsid w:val="004E2FA6"/>
    <w:rsid w:val="004E4069"/>
    <w:rsid w:val="004E5C62"/>
    <w:rsid w:val="004F6727"/>
    <w:rsid w:val="004F6F15"/>
    <w:rsid w:val="00500237"/>
    <w:rsid w:val="0050191C"/>
    <w:rsid w:val="005052EB"/>
    <w:rsid w:val="00506E39"/>
    <w:rsid w:val="00513231"/>
    <w:rsid w:val="0051547D"/>
    <w:rsid w:val="005160EA"/>
    <w:rsid w:val="00516681"/>
    <w:rsid w:val="00516D07"/>
    <w:rsid w:val="00520331"/>
    <w:rsid w:val="005215AD"/>
    <w:rsid w:val="00523087"/>
    <w:rsid w:val="00523599"/>
    <w:rsid w:val="0052492E"/>
    <w:rsid w:val="00524DF0"/>
    <w:rsid w:val="005252BB"/>
    <w:rsid w:val="0052713B"/>
    <w:rsid w:val="0052720F"/>
    <w:rsid w:val="005304E0"/>
    <w:rsid w:val="00532D46"/>
    <w:rsid w:val="00534699"/>
    <w:rsid w:val="0053594B"/>
    <w:rsid w:val="00536679"/>
    <w:rsid w:val="005371C5"/>
    <w:rsid w:val="0053794F"/>
    <w:rsid w:val="005434F6"/>
    <w:rsid w:val="00543AAE"/>
    <w:rsid w:val="00543CF2"/>
    <w:rsid w:val="00551ED8"/>
    <w:rsid w:val="00557E9F"/>
    <w:rsid w:val="00564642"/>
    <w:rsid w:val="00564BD7"/>
    <w:rsid w:val="00572987"/>
    <w:rsid w:val="005757CF"/>
    <w:rsid w:val="00576D34"/>
    <w:rsid w:val="00576EE3"/>
    <w:rsid w:val="0058036E"/>
    <w:rsid w:val="00582B9D"/>
    <w:rsid w:val="005871A0"/>
    <w:rsid w:val="00591099"/>
    <w:rsid w:val="005944CD"/>
    <w:rsid w:val="005971F4"/>
    <w:rsid w:val="00597F65"/>
    <w:rsid w:val="005A0BC4"/>
    <w:rsid w:val="005A185E"/>
    <w:rsid w:val="005A409C"/>
    <w:rsid w:val="005A785C"/>
    <w:rsid w:val="005B0ABD"/>
    <w:rsid w:val="005B13DE"/>
    <w:rsid w:val="005B1D1E"/>
    <w:rsid w:val="005B3974"/>
    <w:rsid w:val="005B43AC"/>
    <w:rsid w:val="005B6897"/>
    <w:rsid w:val="005B69FC"/>
    <w:rsid w:val="005B7422"/>
    <w:rsid w:val="005C5F3F"/>
    <w:rsid w:val="005C6AD7"/>
    <w:rsid w:val="005D296C"/>
    <w:rsid w:val="005D34CF"/>
    <w:rsid w:val="005D354B"/>
    <w:rsid w:val="005D66B9"/>
    <w:rsid w:val="005E0B1E"/>
    <w:rsid w:val="005E72D9"/>
    <w:rsid w:val="006000C6"/>
    <w:rsid w:val="006016C6"/>
    <w:rsid w:val="006051B7"/>
    <w:rsid w:val="00607DE3"/>
    <w:rsid w:val="006131E0"/>
    <w:rsid w:val="00614131"/>
    <w:rsid w:val="00614C99"/>
    <w:rsid w:val="00615591"/>
    <w:rsid w:val="00615D6E"/>
    <w:rsid w:val="00615F14"/>
    <w:rsid w:val="00623A09"/>
    <w:rsid w:val="0062463E"/>
    <w:rsid w:val="00624C91"/>
    <w:rsid w:val="006260DA"/>
    <w:rsid w:val="0062623F"/>
    <w:rsid w:val="00626E51"/>
    <w:rsid w:val="006310B6"/>
    <w:rsid w:val="00634EA2"/>
    <w:rsid w:val="006353DA"/>
    <w:rsid w:val="00642796"/>
    <w:rsid w:val="00645CF3"/>
    <w:rsid w:val="00646513"/>
    <w:rsid w:val="00651117"/>
    <w:rsid w:val="00651EF2"/>
    <w:rsid w:val="00654FD0"/>
    <w:rsid w:val="006557F7"/>
    <w:rsid w:val="0065603B"/>
    <w:rsid w:val="006578E9"/>
    <w:rsid w:val="00657AC0"/>
    <w:rsid w:val="0066045D"/>
    <w:rsid w:val="00664B5C"/>
    <w:rsid w:val="006663CA"/>
    <w:rsid w:val="006674C1"/>
    <w:rsid w:val="00670C93"/>
    <w:rsid w:val="00672EF8"/>
    <w:rsid w:val="006744F3"/>
    <w:rsid w:val="00674BD1"/>
    <w:rsid w:val="006752B0"/>
    <w:rsid w:val="00677D6A"/>
    <w:rsid w:val="00682018"/>
    <w:rsid w:val="006835A1"/>
    <w:rsid w:val="00683951"/>
    <w:rsid w:val="006858DC"/>
    <w:rsid w:val="00686A97"/>
    <w:rsid w:val="0069039D"/>
    <w:rsid w:val="006927F8"/>
    <w:rsid w:val="006932B9"/>
    <w:rsid w:val="00693514"/>
    <w:rsid w:val="00695736"/>
    <w:rsid w:val="00695DE1"/>
    <w:rsid w:val="00697B63"/>
    <w:rsid w:val="00697EFC"/>
    <w:rsid w:val="006A2577"/>
    <w:rsid w:val="006A434E"/>
    <w:rsid w:val="006A700D"/>
    <w:rsid w:val="006B1FEC"/>
    <w:rsid w:val="006B2276"/>
    <w:rsid w:val="006B38A5"/>
    <w:rsid w:val="006B73B2"/>
    <w:rsid w:val="006B79FB"/>
    <w:rsid w:val="006B7E63"/>
    <w:rsid w:val="006C56BB"/>
    <w:rsid w:val="006C5FD6"/>
    <w:rsid w:val="006C674D"/>
    <w:rsid w:val="006D0195"/>
    <w:rsid w:val="006D2308"/>
    <w:rsid w:val="006D2E7E"/>
    <w:rsid w:val="006E0C1C"/>
    <w:rsid w:val="006E26BF"/>
    <w:rsid w:val="006E3E61"/>
    <w:rsid w:val="006F1995"/>
    <w:rsid w:val="006F2C4D"/>
    <w:rsid w:val="006F39E8"/>
    <w:rsid w:val="006F4B18"/>
    <w:rsid w:val="006F7587"/>
    <w:rsid w:val="00701076"/>
    <w:rsid w:val="00701775"/>
    <w:rsid w:val="00701966"/>
    <w:rsid w:val="00702027"/>
    <w:rsid w:val="007045EF"/>
    <w:rsid w:val="00704E3A"/>
    <w:rsid w:val="0070504A"/>
    <w:rsid w:val="007102AF"/>
    <w:rsid w:val="00710578"/>
    <w:rsid w:val="00710A58"/>
    <w:rsid w:val="00711D54"/>
    <w:rsid w:val="00712CD4"/>
    <w:rsid w:val="0071515C"/>
    <w:rsid w:val="00721BAF"/>
    <w:rsid w:val="0072292E"/>
    <w:rsid w:val="0072465B"/>
    <w:rsid w:val="007247F2"/>
    <w:rsid w:val="00724B5D"/>
    <w:rsid w:val="00725345"/>
    <w:rsid w:val="00725D61"/>
    <w:rsid w:val="00726ECC"/>
    <w:rsid w:val="00727498"/>
    <w:rsid w:val="00730ACE"/>
    <w:rsid w:val="007322F4"/>
    <w:rsid w:val="00734C6B"/>
    <w:rsid w:val="00737373"/>
    <w:rsid w:val="007374A0"/>
    <w:rsid w:val="00737786"/>
    <w:rsid w:val="00737A4C"/>
    <w:rsid w:val="00737BBB"/>
    <w:rsid w:val="00740B95"/>
    <w:rsid w:val="00740C7B"/>
    <w:rsid w:val="00741883"/>
    <w:rsid w:val="00741BC1"/>
    <w:rsid w:val="00742274"/>
    <w:rsid w:val="00742700"/>
    <w:rsid w:val="00742F33"/>
    <w:rsid w:val="00743A3B"/>
    <w:rsid w:val="007445C9"/>
    <w:rsid w:val="00746494"/>
    <w:rsid w:val="00747940"/>
    <w:rsid w:val="00750275"/>
    <w:rsid w:val="00752C44"/>
    <w:rsid w:val="007538EC"/>
    <w:rsid w:val="00753B56"/>
    <w:rsid w:val="007560E9"/>
    <w:rsid w:val="0075680D"/>
    <w:rsid w:val="00756F0C"/>
    <w:rsid w:val="0076189D"/>
    <w:rsid w:val="00761ECE"/>
    <w:rsid w:val="00762C15"/>
    <w:rsid w:val="0076354F"/>
    <w:rsid w:val="00765388"/>
    <w:rsid w:val="0077064B"/>
    <w:rsid w:val="00772DA3"/>
    <w:rsid w:val="007732AB"/>
    <w:rsid w:val="007752AB"/>
    <w:rsid w:val="0077559C"/>
    <w:rsid w:val="00776C19"/>
    <w:rsid w:val="0078054D"/>
    <w:rsid w:val="00781038"/>
    <w:rsid w:val="0078156F"/>
    <w:rsid w:val="00783CAE"/>
    <w:rsid w:val="00783EFB"/>
    <w:rsid w:val="00785C43"/>
    <w:rsid w:val="00791E8E"/>
    <w:rsid w:val="00792303"/>
    <w:rsid w:val="00792971"/>
    <w:rsid w:val="00793ABA"/>
    <w:rsid w:val="00794FAA"/>
    <w:rsid w:val="00795BE6"/>
    <w:rsid w:val="00795BF2"/>
    <w:rsid w:val="007A030F"/>
    <w:rsid w:val="007A0646"/>
    <w:rsid w:val="007A0B18"/>
    <w:rsid w:val="007A0CDA"/>
    <w:rsid w:val="007A36B5"/>
    <w:rsid w:val="007A4CF7"/>
    <w:rsid w:val="007A6001"/>
    <w:rsid w:val="007B0CDF"/>
    <w:rsid w:val="007B1E44"/>
    <w:rsid w:val="007B479C"/>
    <w:rsid w:val="007B62BA"/>
    <w:rsid w:val="007B672F"/>
    <w:rsid w:val="007B69EC"/>
    <w:rsid w:val="007B7FDC"/>
    <w:rsid w:val="007C0559"/>
    <w:rsid w:val="007C664E"/>
    <w:rsid w:val="007C6B03"/>
    <w:rsid w:val="007D1879"/>
    <w:rsid w:val="007D1A8F"/>
    <w:rsid w:val="007D27C9"/>
    <w:rsid w:val="007D2C27"/>
    <w:rsid w:val="007D43A7"/>
    <w:rsid w:val="007D55E2"/>
    <w:rsid w:val="007D600E"/>
    <w:rsid w:val="007D6D1C"/>
    <w:rsid w:val="007E08EC"/>
    <w:rsid w:val="007E0ECC"/>
    <w:rsid w:val="007E1FA1"/>
    <w:rsid w:val="007E24E2"/>
    <w:rsid w:val="007E2B96"/>
    <w:rsid w:val="007E37B4"/>
    <w:rsid w:val="007E3931"/>
    <w:rsid w:val="007E63DF"/>
    <w:rsid w:val="007E6995"/>
    <w:rsid w:val="007E7F84"/>
    <w:rsid w:val="007F0686"/>
    <w:rsid w:val="007F11DE"/>
    <w:rsid w:val="007F231E"/>
    <w:rsid w:val="007F31A8"/>
    <w:rsid w:val="007F3ECC"/>
    <w:rsid w:val="007F7799"/>
    <w:rsid w:val="0080108D"/>
    <w:rsid w:val="0080122B"/>
    <w:rsid w:val="00802A5B"/>
    <w:rsid w:val="008031E3"/>
    <w:rsid w:val="00805249"/>
    <w:rsid w:val="00807CCC"/>
    <w:rsid w:val="00811C8E"/>
    <w:rsid w:val="0081390E"/>
    <w:rsid w:val="00814F53"/>
    <w:rsid w:val="00815ADA"/>
    <w:rsid w:val="008174CD"/>
    <w:rsid w:val="008201C5"/>
    <w:rsid w:val="00820A1C"/>
    <w:rsid w:val="00821A01"/>
    <w:rsid w:val="00821B4A"/>
    <w:rsid w:val="00822E1C"/>
    <w:rsid w:val="00825012"/>
    <w:rsid w:val="00827809"/>
    <w:rsid w:val="00830190"/>
    <w:rsid w:val="00830FD7"/>
    <w:rsid w:val="00832A07"/>
    <w:rsid w:val="008332BC"/>
    <w:rsid w:val="0083579F"/>
    <w:rsid w:val="00837B16"/>
    <w:rsid w:val="00842928"/>
    <w:rsid w:val="0084400D"/>
    <w:rsid w:val="00846C3D"/>
    <w:rsid w:val="008479DE"/>
    <w:rsid w:val="00851070"/>
    <w:rsid w:val="00853DC4"/>
    <w:rsid w:val="00856320"/>
    <w:rsid w:val="008577E7"/>
    <w:rsid w:val="00862E8C"/>
    <w:rsid w:val="008630BC"/>
    <w:rsid w:val="00866C07"/>
    <w:rsid w:val="00874371"/>
    <w:rsid w:val="00880A5C"/>
    <w:rsid w:val="0088145A"/>
    <w:rsid w:val="0088309A"/>
    <w:rsid w:val="00883ADD"/>
    <w:rsid w:val="00883B42"/>
    <w:rsid w:val="00884E25"/>
    <w:rsid w:val="008852D7"/>
    <w:rsid w:val="008858EC"/>
    <w:rsid w:val="00892AB4"/>
    <w:rsid w:val="00893B58"/>
    <w:rsid w:val="008949AC"/>
    <w:rsid w:val="00895910"/>
    <w:rsid w:val="00895C19"/>
    <w:rsid w:val="008A02DF"/>
    <w:rsid w:val="008A08D9"/>
    <w:rsid w:val="008A0FC8"/>
    <w:rsid w:val="008A1747"/>
    <w:rsid w:val="008A1ADB"/>
    <w:rsid w:val="008A24DF"/>
    <w:rsid w:val="008A2566"/>
    <w:rsid w:val="008A2812"/>
    <w:rsid w:val="008A778B"/>
    <w:rsid w:val="008B0257"/>
    <w:rsid w:val="008B55B5"/>
    <w:rsid w:val="008B5F94"/>
    <w:rsid w:val="008C11FF"/>
    <w:rsid w:val="008C23FF"/>
    <w:rsid w:val="008C55A3"/>
    <w:rsid w:val="008C73A1"/>
    <w:rsid w:val="008C7845"/>
    <w:rsid w:val="008C7CDD"/>
    <w:rsid w:val="008D12CD"/>
    <w:rsid w:val="008D1913"/>
    <w:rsid w:val="008D1C5D"/>
    <w:rsid w:val="008D2EFE"/>
    <w:rsid w:val="008D36C0"/>
    <w:rsid w:val="008D4308"/>
    <w:rsid w:val="008E5657"/>
    <w:rsid w:val="008E5D02"/>
    <w:rsid w:val="008F1F0E"/>
    <w:rsid w:val="008F4B75"/>
    <w:rsid w:val="008F4F43"/>
    <w:rsid w:val="008F5323"/>
    <w:rsid w:val="00902C70"/>
    <w:rsid w:val="00903748"/>
    <w:rsid w:val="00903874"/>
    <w:rsid w:val="00904DE4"/>
    <w:rsid w:val="009054C6"/>
    <w:rsid w:val="00905A9E"/>
    <w:rsid w:val="0090708E"/>
    <w:rsid w:val="00911912"/>
    <w:rsid w:val="00912B42"/>
    <w:rsid w:val="00912C74"/>
    <w:rsid w:val="00912F54"/>
    <w:rsid w:val="00913044"/>
    <w:rsid w:val="00913CCF"/>
    <w:rsid w:val="0091451C"/>
    <w:rsid w:val="009150C3"/>
    <w:rsid w:val="009164A4"/>
    <w:rsid w:val="00916F5D"/>
    <w:rsid w:val="00917229"/>
    <w:rsid w:val="00920FC6"/>
    <w:rsid w:val="00932E8E"/>
    <w:rsid w:val="00934F9B"/>
    <w:rsid w:val="00935589"/>
    <w:rsid w:val="00935E75"/>
    <w:rsid w:val="0093628D"/>
    <w:rsid w:val="00936D3B"/>
    <w:rsid w:val="00936FD4"/>
    <w:rsid w:val="0094062B"/>
    <w:rsid w:val="00941D1B"/>
    <w:rsid w:val="00943512"/>
    <w:rsid w:val="0094384F"/>
    <w:rsid w:val="00945900"/>
    <w:rsid w:val="00945CFF"/>
    <w:rsid w:val="00945F77"/>
    <w:rsid w:val="00947F74"/>
    <w:rsid w:val="00950AF2"/>
    <w:rsid w:val="00950CBA"/>
    <w:rsid w:val="00950DCC"/>
    <w:rsid w:val="00950F76"/>
    <w:rsid w:val="0095265D"/>
    <w:rsid w:val="009552FB"/>
    <w:rsid w:val="00955AC5"/>
    <w:rsid w:val="009564F8"/>
    <w:rsid w:val="00956E74"/>
    <w:rsid w:val="009607E5"/>
    <w:rsid w:val="00961C19"/>
    <w:rsid w:val="009629ED"/>
    <w:rsid w:val="009629F2"/>
    <w:rsid w:val="00967793"/>
    <w:rsid w:val="00967D11"/>
    <w:rsid w:val="00971E73"/>
    <w:rsid w:val="009724D9"/>
    <w:rsid w:val="009730E1"/>
    <w:rsid w:val="00976B6B"/>
    <w:rsid w:val="00977256"/>
    <w:rsid w:val="00983FC3"/>
    <w:rsid w:val="0098495A"/>
    <w:rsid w:val="00990506"/>
    <w:rsid w:val="00990792"/>
    <w:rsid w:val="00991B97"/>
    <w:rsid w:val="009956D5"/>
    <w:rsid w:val="009971B7"/>
    <w:rsid w:val="00997CA0"/>
    <w:rsid w:val="009A489E"/>
    <w:rsid w:val="009A51F0"/>
    <w:rsid w:val="009A5FF9"/>
    <w:rsid w:val="009A62F6"/>
    <w:rsid w:val="009A67F3"/>
    <w:rsid w:val="009A6ADF"/>
    <w:rsid w:val="009B0003"/>
    <w:rsid w:val="009B0F83"/>
    <w:rsid w:val="009B1F02"/>
    <w:rsid w:val="009B2905"/>
    <w:rsid w:val="009B2DBE"/>
    <w:rsid w:val="009B2DE1"/>
    <w:rsid w:val="009B538E"/>
    <w:rsid w:val="009B7028"/>
    <w:rsid w:val="009C469B"/>
    <w:rsid w:val="009C48DE"/>
    <w:rsid w:val="009C5C68"/>
    <w:rsid w:val="009C68EB"/>
    <w:rsid w:val="009C751E"/>
    <w:rsid w:val="009D236F"/>
    <w:rsid w:val="009D37F7"/>
    <w:rsid w:val="009E17B0"/>
    <w:rsid w:val="009E1A2D"/>
    <w:rsid w:val="009E23C8"/>
    <w:rsid w:val="009E2419"/>
    <w:rsid w:val="009E2880"/>
    <w:rsid w:val="009E2929"/>
    <w:rsid w:val="009E4D9F"/>
    <w:rsid w:val="009E7480"/>
    <w:rsid w:val="009E7936"/>
    <w:rsid w:val="009F0BDC"/>
    <w:rsid w:val="009F4008"/>
    <w:rsid w:val="009F4238"/>
    <w:rsid w:val="009F6792"/>
    <w:rsid w:val="00A00980"/>
    <w:rsid w:val="00A01F44"/>
    <w:rsid w:val="00A042C1"/>
    <w:rsid w:val="00A113A9"/>
    <w:rsid w:val="00A11622"/>
    <w:rsid w:val="00A1486F"/>
    <w:rsid w:val="00A17D70"/>
    <w:rsid w:val="00A20C13"/>
    <w:rsid w:val="00A21407"/>
    <w:rsid w:val="00A21A05"/>
    <w:rsid w:val="00A22683"/>
    <w:rsid w:val="00A24F68"/>
    <w:rsid w:val="00A304B9"/>
    <w:rsid w:val="00A30520"/>
    <w:rsid w:val="00A342D3"/>
    <w:rsid w:val="00A36A37"/>
    <w:rsid w:val="00A40C62"/>
    <w:rsid w:val="00A4144A"/>
    <w:rsid w:val="00A43902"/>
    <w:rsid w:val="00A459E0"/>
    <w:rsid w:val="00A512C0"/>
    <w:rsid w:val="00A54DD4"/>
    <w:rsid w:val="00A567F0"/>
    <w:rsid w:val="00A619E8"/>
    <w:rsid w:val="00A64DF3"/>
    <w:rsid w:val="00A6718F"/>
    <w:rsid w:val="00A67F7E"/>
    <w:rsid w:val="00A74588"/>
    <w:rsid w:val="00A75ABF"/>
    <w:rsid w:val="00A75DF2"/>
    <w:rsid w:val="00A75F39"/>
    <w:rsid w:val="00A7767B"/>
    <w:rsid w:val="00A77ADB"/>
    <w:rsid w:val="00A77C44"/>
    <w:rsid w:val="00A828AC"/>
    <w:rsid w:val="00A86184"/>
    <w:rsid w:val="00A8725A"/>
    <w:rsid w:val="00A94024"/>
    <w:rsid w:val="00AA07A9"/>
    <w:rsid w:val="00AA0E00"/>
    <w:rsid w:val="00AA2326"/>
    <w:rsid w:val="00AA2713"/>
    <w:rsid w:val="00AA3C9C"/>
    <w:rsid w:val="00AA45EF"/>
    <w:rsid w:val="00AA64AF"/>
    <w:rsid w:val="00AA6512"/>
    <w:rsid w:val="00AB1B9F"/>
    <w:rsid w:val="00AB43DD"/>
    <w:rsid w:val="00AC0B68"/>
    <w:rsid w:val="00AC1785"/>
    <w:rsid w:val="00AC5296"/>
    <w:rsid w:val="00AC530A"/>
    <w:rsid w:val="00AC6A39"/>
    <w:rsid w:val="00AD0639"/>
    <w:rsid w:val="00AD2E8B"/>
    <w:rsid w:val="00AD3518"/>
    <w:rsid w:val="00AD483C"/>
    <w:rsid w:val="00AF0BB1"/>
    <w:rsid w:val="00AF2007"/>
    <w:rsid w:val="00AF2429"/>
    <w:rsid w:val="00AF2AEC"/>
    <w:rsid w:val="00AF6AFA"/>
    <w:rsid w:val="00AF7523"/>
    <w:rsid w:val="00B01CB1"/>
    <w:rsid w:val="00B06563"/>
    <w:rsid w:val="00B06D31"/>
    <w:rsid w:val="00B07788"/>
    <w:rsid w:val="00B1063D"/>
    <w:rsid w:val="00B113E0"/>
    <w:rsid w:val="00B16941"/>
    <w:rsid w:val="00B16AF1"/>
    <w:rsid w:val="00B21E7E"/>
    <w:rsid w:val="00B24B34"/>
    <w:rsid w:val="00B25083"/>
    <w:rsid w:val="00B25D0F"/>
    <w:rsid w:val="00B26CE0"/>
    <w:rsid w:val="00B2724A"/>
    <w:rsid w:val="00B276EB"/>
    <w:rsid w:val="00B314DA"/>
    <w:rsid w:val="00B33C3D"/>
    <w:rsid w:val="00B33F8E"/>
    <w:rsid w:val="00B36CBE"/>
    <w:rsid w:val="00B37AF0"/>
    <w:rsid w:val="00B37EA8"/>
    <w:rsid w:val="00B4016B"/>
    <w:rsid w:val="00B42587"/>
    <w:rsid w:val="00B44C97"/>
    <w:rsid w:val="00B47029"/>
    <w:rsid w:val="00B5031F"/>
    <w:rsid w:val="00B5041F"/>
    <w:rsid w:val="00B5581B"/>
    <w:rsid w:val="00B55C78"/>
    <w:rsid w:val="00B64B72"/>
    <w:rsid w:val="00B64D8A"/>
    <w:rsid w:val="00B65FDC"/>
    <w:rsid w:val="00B6768A"/>
    <w:rsid w:val="00B704A8"/>
    <w:rsid w:val="00B71936"/>
    <w:rsid w:val="00B7624A"/>
    <w:rsid w:val="00B81C3B"/>
    <w:rsid w:val="00B8214E"/>
    <w:rsid w:val="00B83A11"/>
    <w:rsid w:val="00B91655"/>
    <w:rsid w:val="00B934F5"/>
    <w:rsid w:val="00B960B9"/>
    <w:rsid w:val="00BA1187"/>
    <w:rsid w:val="00BA202A"/>
    <w:rsid w:val="00BA2E35"/>
    <w:rsid w:val="00BA56A2"/>
    <w:rsid w:val="00BA67A7"/>
    <w:rsid w:val="00BB0F3B"/>
    <w:rsid w:val="00BB171C"/>
    <w:rsid w:val="00BB3C8F"/>
    <w:rsid w:val="00BB5A3F"/>
    <w:rsid w:val="00BB5AE1"/>
    <w:rsid w:val="00BC0F74"/>
    <w:rsid w:val="00BC3EE5"/>
    <w:rsid w:val="00BC4D36"/>
    <w:rsid w:val="00BC5FA5"/>
    <w:rsid w:val="00BD1061"/>
    <w:rsid w:val="00BD10DF"/>
    <w:rsid w:val="00BD44D2"/>
    <w:rsid w:val="00BD6CB7"/>
    <w:rsid w:val="00BE1840"/>
    <w:rsid w:val="00BE19EA"/>
    <w:rsid w:val="00BE40CC"/>
    <w:rsid w:val="00BE484E"/>
    <w:rsid w:val="00BE4B5C"/>
    <w:rsid w:val="00BE6FD1"/>
    <w:rsid w:val="00BE72E8"/>
    <w:rsid w:val="00BE73AE"/>
    <w:rsid w:val="00BF0182"/>
    <w:rsid w:val="00BF3F0E"/>
    <w:rsid w:val="00BF5863"/>
    <w:rsid w:val="00BF7C9F"/>
    <w:rsid w:val="00BF7CA1"/>
    <w:rsid w:val="00C05CA7"/>
    <w:rsid w:val="00C05F74"/>
    <w:rsid w:val="00C0629B"/>
    <w:rsid w:val="00C11C9F"/>
    <w:rsid w:val="00C1706B"/>
    <w:rsid w:val="00C1742E"/>
    <w:rsid w:val="00C20D59"/>
    <w:rsid w:val="00C22701"/>
    <w:rsid w:val="00C26A29"/>
    <w:rsid w:val="00C27447"/>
    <w:rsid w:val="00C31746"/>
    <w:rsid w:val="00C3353C"/>
    <w:rsid w:val="00C365A0"/>
    <w:rsid w:val="00C44D75"/>
    <w:rsid w:val="00C450B4"/>
    <w:rsid w:val="00C45E62"/>
    <w:rsid w:val="00C47E63"/>
    <w:rsid w:val="00C50000"/>
    <w:rsid w:val="00C51281"/>
    <w:rsid w:val="00C5363A"/>
    <w:rsid w:val="00C60217"/>
    <w:rsid w:val="00C61EB5"/>
    <w:rsid w:val="00C644F5"/>
    <w:rsid w:val="00C6584F"/>
    <w:rsid w:val="00C65B2D"/>
    <w:rsid w:val="00C721A2"/>
    <w:rsid w:val="00C756E5"/>
    <w:rsid w:val="00C75F10"/>
    <w:rsid w:val="00C84398"/>
    <w:rsid w:val="00C84D1C"/>
    <w:rsid w:val="00C85701"/>
    <w:rsid w:val="00C85AA2"/>
    <w:rsid w:val="00C85D70"/>
    <w:rsid w:val="00C8720E"/>
    <w:rsid w:val="00C9144D"/>
    <w:rsid w:val="00C92A30"/>
    <w:rsid w:val="00C9375A"/>
    <w:rsid w:val="00CA305E"/>
    <w:rsid w:val="00CA34B2"/>
    <w:rsid w:val="00CA3686"/>
    <w:rsid w:val="00CA4D0B"/>
    <w:rsid w:val="00CA4F7A"/>
    <w:rsid w:val="00CA7983"/>
    <w:rsid w:val="00CB4297"/>
    <w:rsid w:val="00CB5B74"/>
    <w:rsid w:val="00CB663E"/>
    <w:rsid w:val="00CC2C29"/>
    <w:rsid w:val="00CC5320"/>
    <w:rsid w:val="00CC6413"/>
    <w:rsid w:val="00CC73D1"/>
    <w:rsid w:val="00CC7566"/>
    <w:rsid w:val="00CC76EB"/>
    <w:rsid w:val="00CD3DC7"/>
    <w:rsid w:val="00CD5739"/>
    <w:rsid w:val="00CD5D3E"/>
    <w:rsid w:val="00CE11F9"/>
    <w:rsid w:val="00CE34D7"/>
    <w:rsid w:val="00CE5578"/>
    <w:rsid w:val="00CE6D24"/>
    <w:rsid w:val="00CE77F8"/>
    <w:rsid w:val="00CF0C24"/>
    <w:rsid w:val="00CF5803"/>
    <w:rsid w:val="00CF6596"/>
    <w:rsid w:val="00D027F7"/>
    <w:rsid w:val="00D03F9B"/>
    <w:rsid w:val="00D04A85"/>
    <w:rsid w:val="00D05C2E"/>
    <w:rsid w:val="00D1199D"/>
    <w:rsid w:val="00D13346"/>
    <w:rsid w:val="00D136B3"/>
    <w:rsid w:val="00D15A8D"/>
    <w:rsid w:val="00D179BE"/>
    <w:rsid w:val="00D21312"/>
    <w:rsid w:val="00D225D4"/>
    <w:rsid w:val="00D2328D"/>
    <w:rsid w:val="00D23AF6"/>
    <w:rsid w:val="00D24267"/>
    <w:rsid w:val="00D25B98"/>
    <w:rsid w:val="00D2629A"/>
    <w:rsid w:val="00D26AAB"/>
    <w:rsid w:val="00D306D7"/>
    <w:rsid w:val="00D3241C"/>
    <w:rsid w:val="00D42064"/>
    <w:rsid w:val="00D42934"/>
    <w:rsid w:val="00D430F7"/>
    <w:rsid w:val="00D43E61"/>
    <w:rsid w:val="00D45B7E"/>
    <w:rsid w:val="00D45D49"/>
    <w:rsid w:val="00D46FE8"/>
    <w:rsid w:val="00D51477"/>
    <w:rsid w:val="00D517E6"/>
    <w:rsid w:val="00D52D6A"/>
    <w:rsid w:val="00D52EC8"/>
    <w:rsid w:val="00D5437C"/>
    <w:rsid w:val="00D560F6"/>
    <w:rsid w:val="00D569BA"/>
    <w:rsid w:val="00D579C1"/>
    <w:rsid w:val="00D57B16"/>
    <w:rsid w:val="00D60677"/>
    <w:rsid w:val="00D633A7"/>
    <w:rsid w:val="00D64F45"/>
    <w:rsid w:val="00D675AA"/>
    <w:rsid w:val="00D67F9A"/>
    <w:rsid w:val="00D70214"/>
    <w:rsid w:val="00D703F6"/>
    <w:rsid w:val="00D70F2B"/>
    <w:rsid w:val="00D72A2A"/>
    <w:rsid w:val="00D77C3A"/>
    <w:rsid w:val="00D802D1"/>
    <w:rsid w:val="00D80E22"/>
    <w:rsid w:val="00D81D66"/>
    <w:rsid w:val="00D83DE1"/>
    <w:rsid w:val="00D8533C"/>
    <w:rsid w:val="00D85EE8"/>
    <w:rsid w:val="00D8689B"/>
    <w:rsid w:val="00D90D92"/>
    <w:rsid w:val="00D91BD9"/>
    <w:rsid w:val="00D92955"/>
    <w:rsid w:val="00D92C97"/>
    <w:rsid w:val="00D94BE8"/>
    <w:rsid w:val="00D96358"/>
    <w:rsid w:val="00D9701A"/>
    <w:rsid w:val="00D97D2B"/>
    <w:rsid w:val="00DA058B"/>
    <w:rsid w:val="00DA1E34"/>
    <w:rsid w:val="00DA3B2B"/>
    <w:rsid w:val="00DA4737"/>
    <w:rsid w:val="00DA5878"/>
    <w:rsid w:val="00DA68EA"/>
    <w:rsid w:val="00DA69C4"/>
    <w:rsid w:val="00DA754F"/>
    <w:rsid w:val="00DB121D"/>
    <w:rsid w:val="00DB3377"/>
    <w:rsid w:val="00DB3F54"/>
    <w:rsid w:val="00DB51B4"/>
    <w:rsid w:val="00DB59F5"/>
    <w:rsid w:val="00DB5DD6"/>
    <w:rsid w:val="00DB6AE7"/>
    <w:rsid w:val="00DB7FCA"/>
    <w:rsid w:val="00DC0703"/>
    <w:rsid w:val="00DC0C18"/>
    <w:rsid w:val="00DC188E"/>
    <w:rsid w:val="00DC1DDC"/>
    <w:rsid w:val="00DC1F59"/>
    <w:rsid w:val="00DC2C65"/>
    <w:rsid w:val="00DC37FA"/>
    <w:rsid w:val="00DD03BF"/>
    <w:rsid w:val="00DD2E0A"/>
    <w:rsid w:val="00DD3F71"/>
    <w:rsid w:val="00DD68A3"/>
    <w:rsid w:val="00DE0AA9"/>
    <w:rsid w:val="00DE0B15"/>
    <w:rsid w:val="00DE246C"/>
    <w:rsid w:val="00DE28F3"/>
    <w:rsid w:val="00DE34B4"/>
    <w:rsid w:val="00DE39E4"/>
    <w:rsid w:val="00DE4056"/>
    <w:rsid w:val="00DE5589"/>
    <w:rsid w:val="00DE5CF3"/>
    <w:rsid w:val="00DE6185"/>
    <w:rsid w:val="00DE692E"/>
    <w:rsid w:val="00DE6BDB"/>
    <w:rsid w:val="00DF0CC5"/>
    <w:rsid w:val="00DF2B7E"/>
    <w:rsid w:val="00DF328B"/>
    <w:rsid w:val="00DF33A8"/>
    <w:rsid w:val="00DF351A"/>
    <w:rsid w:val="00DF41AC"/>
    <w:rsid w:val="00DF6386"/>
    <w:rsid w:val="00E00D48"/>
    <w:rsid w:val="00E00FC5"/>
    <w:rsid w:val="00E01E85"/>
    <w:rsid w:val="00E10974"/>
    <w:rsid w:val="00E1275E"/>
    <w:rsid w:val="00E12F01"/>
    <w:rsid w:val="00E12F24"/>
    <w:rsid w:val="00E13456"/>
    <w:rsid w:val="00E141A1"/>
    <w:rsid w:val="00E14924"/>
    <w:rsid w:val="00E151E6"/>
    <w:rsid w:val="00E153AF"/>
    <w:rsid w:val="00E16A09"/>
    <w:rsid w:val="00E22229"/>
    <w:rsid w:val="00E27404"/>
    <w:rsid w:val="00E31FCA"/>
    <w:rsid w:val="00E32A71"/>
    <w:rsid w:val="00E345E3"/>
    <w:rsid w:val="00E37B4C"/>
    <w:rsid w:val="00E4007F"/>
    <w:rsid w:val="00E407C3"/>
    <w:rsid w:val="00E40D93"/>
    <w:rsid w:val="00E41DFF"/>
    <w:rsid w:val="00E43636"/>
    <w:rsid w:val="00E43CEF"/>
    <w:rsid w:val="00E447D2"/>
    <w:rsid w:val="00E47C62"/>
    <w:rsid w:val="00E503CB"/>
    <w:rsid w:val="00E506D5"/>
    <w:rsid w:val="00E50C98"/>
    <w:rsid w:val="00E51046"/>
    <w:rsid w:val="00E520B3"/>
    <w:rsid w:val="00E54D24"/>
    <w:rsid w:val="00E60585"/>
    <w:rsid w:val="00E61E47"/>
    <w:rsid w:val="00E61FE1"/>
    <w:rsid w:val="00E65248"/>
    <w:rsid w:val="00E65C6D"/>
    <w:rsid w:val="00E66A12"/>
    <w:rsid w:val="00E674CF"/>
    <w:rsid w:val="00E73924"/>
    <w:rsid w:val="00E75BBD"/>
    <w:rsid w:val="00E766C0"/>
    <w:rsid w:val="00E76E07"/>
    <w:rsid w:val="00E77CDD"/>
    <w:rsid w:val="00E82054"/>
    <w:rsid w:val="00E8431B"/>
    <w:rsid w:val="00E84CEE"/>
    <w:rsid w:val="00E9152E"/>
    <w:rsid w:val="00E96C24"/>
    <w:rsid w:val="00EA201E"/>
    <w:rsid w:val="00EA268D"/>
    <w:rsid w:val="00EA5654"/>
    <w:rsid w:val="00EA6198"/>
    <w:rsid w:val="00EA76D3"/>
    <w:rsid w:val="00EB0830"/>
    <w:rsid w:val="00EB0D93"/>
    <w:rsid w:val="00EB7D6D"/>
    <w:rsid w:val="00EC1915"/>
    <w:rsid w:val="00EC468B"/>
    <w:rsid w:val="00EC7B84"/>
    <w:rsid w:val="00ED233A"/>
    <w:rsid w:val="00ED54F0"/>
    <w:rsid w:val="00ED5992"/>
    <w:rsid w:val="00ED65EC"/>
    <w:rsid w:val="00ED76DB"/>
    <w:rsid w:val="00EE1524"/>
    <w:rsid w:val="00EF12E8"/>
    <w:rsid w:val="00EF3BDF"/>
    <w:rsid w:val="00EF3CD8"/>
    <w:rsid w:val="00EF40F8"/>
    <w:rsid w:val="00F00003"/>
    <w:rsid w:val="00F0034E"/>
    <w:rsid w:val="00F00938"/>
    <w:rsid w:val="00F0314A"/>
    <w:rsid w:val="00F05A8B"/>
    <w:rsid w:val="00F067CC"/>
    <w:rsid w:val="00F06F33"/>
    <w:rsid w:val="00F073B0"/>
    <w:rsid w:val="00F10C35"/>
    <w:rsid w:val="00F12AA8"/>
    <w:rsid w:val="00F14AB9"/>
    <w:rsid w:val="00F16280"/>
    <w:rsid w:val="00F20501"/>
    <w:rsid w:val="00F2328A"/>
    <w:rsid w:val="00F2493A"/>
    <w:rsid w:val="00F2796D"/>
    <w:rsid w:val="00F30762"/>
    <w:rsid w:val="00F30A59"/>
    <w:rsid w:val="00F365B9"/>
    <w:rsid w:val="00F368C9"/>
    <w:rsid w:val="00F429FB"/>
    <w:rsid w:val="00F437C8"/>
    <w:rsid w:val="00F43C6E"/>
    <w:rsid w:val="00F43E64"/>
    <w:rsid w:val="00F44C29"/>
    <w:rsid w:val="00F461D5"/>
    <w:rsid w:val="00F50F89"/>
    <w:rsid w:val="00F52240"/>
    <w:rsid w:val="00F53028"/>
    <w:rsid w:val="00F54F84"/>
    <w:rsid w:val="00F554FF"/>
    <w:rsid w:val="00F56594"/>
    <w:rsid w:val="00F57BE4"/>
    <w:rsid w:val="00F62254"/>
    <w:rsid w:val="00F627AB"/>
    <w:rsid w:val="00F6354B"/>
    <w:rsid w:val="00F64102"/>
    <w:rsid w:val="00F654E0"/>
    <w:rsid w:val="00F70FBC"/>
    <w:rsid w:val="00F741C6"/>
    <w:rsid w:val="00F74DD4"/>
    <w:rsid w:val="00F75EBC"/>
    <w:rsid w:val="00F761AA"/>
    <w:rsid w:val="00F83E12"/>
    <w:rsid w:val="00F87CAC"/>
    <w:rsid w:val="00F9039F"/>
    <w:rsid w:val="00F91C6A"/>
    <w:rsid w:val="00F939E2"/>
    <w:rsid w:val="00F961DF"/>
    <w:rsid w:val="00FA2DAE"/>
    <w:rsid w:val="00FA339B"/>
    <w:rsid w:val="00FA4447"/>
    <w:rsid w:val="00FA486F"/>
    <w:rsid w:val="00FA5F47"/>
    <w:rsid w:val="00FB0199"/>
    <w:rsid w:val="00FB0F1F"/>
    <w:rsid w:val="00FB73BA"/>
    <w:rsid w:val="00FC0A11"/>
    <w:rsid w:val="00FC0C06"/>
    <w:rsid w:val="00FC248E"/>
    <w:rsid w:val="00FC3672"/>
    <w:rsid w:val="00FC55E9"/>
    <w:rsid w:val="00FC61F4"/>
    <w:rsid w:val="00FD3D8D"/>
    <w:rsid w:val="00FD4D69"/>
    <w:rsid w:val="00FD569D"/>
    <w:rsid w:val="00FD652B"/>
    <w:rsid w:val="00FD78BF"/>
    <w:rsid w:val="00FE0271"/>
    <w:rsid w:val="00FE089D"/>
    <w:rsid w:val="00FE1DE7"/>
    <w:rsid w:val="00FE277C"/>
    <w:rsid w:val="00FE421E"/>
    <w:rsid w:val="00FE7F17"/>
    <w:rsid w:val="00FF00BA"/>
    <w:rsid w:val="00FF1974"/>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72A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Hyperlink" w:semiHidden="1" w:uiPriority="0" w:unhideWhenUsed="1"/>
    <w:lsdException w:name="Strong" w:locked="1" w:uiPriority="0" w:qFormat="1"/>
    <w:lsdException w:name="Emphasis" w:locked="1" w:uiPriority="0" w:qFormat="1"/>
    <w:lsdException w:name="Normal (Web)" w:locked="1"/>
    <w:lsdException w:name="HTML Acronym"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7E3931"/>
    <w:pPr>
      <w:keepNext/>
      <w:keepLines/>
      <w:spacing w:before="480" w:after="24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3931"/>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link w:val="ListParagraphChar"/>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s="Times New Roman"/>
      <w:color w:val="000000" w:themeColor="text1"/>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s="Times New Roman"/>
      <w:color w:val="000000" w:themeColor="text1"/>
      <w:sz w:val="24"/>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character" w:customStyle="1" w:styleId="ListParagraphChar">
    <w:name w:val="List Paragraph Char"/>
    <w:basedOn w:val="DefaultParagraphFont"/>
    <w:link w:val="ListParagraph"/>
    <w:uiPriority w:val="34"/>
    <w:locked/>
    <w:rsid w:val="00327D6A"/>
    <w:rPr>
      <w:rFonts w:ascii="Corbel" w:hAnsi="Corbel" w:cs="Times New Roman"/>
      <w:color w:val="000000" w:themeColor="text1"/>
      <w:sz w:val="24"/>
      <w:szCs w:val="24"/>
    </w:rPr>
  </w:style>
  <w:style w:type="paragraph" w:styleId="EndnoteText">
    <w:name w:val="endnote text"/>
    <w:basedOn w:val="Normal"/>
    <w:link w:val="EndnoteTextChar"/>
    <w:uiPriority w:val="99"/>
    <w:semiHidden/>
    <w:unhideWhenUsed/>
    <w:rsid w:val="00E9152E"/>
    <w:rPr>
      <w:sz w:val="20"/>
      <w:szCs w:val="20"/>
    </w:rPr>
  </w:style>
  <w:style w:type="character" w:customStyle="1" w:styleId="EndnoteTextChar">
    <w:name w:val="Endnote Text Char"/>
    <w:basedOn w:val="DefaultParagraphFont"/>
    <w:link w:val="EndnoteText"/>
    <w:uiPriority w:val="99"/>
    <w:semiHidden/>
    <w:locked/>
    <w:rsid w:val="00E9152E"/>
    <w:rPr>
      <w:rFonts w:ascii="Corbel" w:hAnsi="Corbel" w:cs="Times New Roman"/>
      <w:color w:val="000000" w:themeColor="text1"/>
    </w:rPr>
  </w:style>
  <w:style w:type="character" w:styleId="EndnoteReference">
    <w:name w:val="endnote reference"/>
    <w:basedOn w:val="DefaultParagraphFont"/>
    <w:uiPriority w:val="99"/>
    <w:semiHidden/>
    <w:unhideWhenUsed/>
    <w:rsid w:val="00E9152E"/>
    <w:rPr>
      <w:rFonts w:cs="Times New Roman"/>
      <w:vertAlign w:val="superscript"/>
    </w:rPr>
  </w:style>
  <w:style w:type="character" w:customStyle="1" w:styleId="UnresolvedMention1">
    <w:name w:val="Unresolved Mention1"/>
    <w:basedOn w:val="DefaultParagraphFont"/>
    <w:uiPriority w:val="99"/>
    <w:semiHidden/>
    <w:unhideWhenUsed/>
    <w:rsid w:val="00385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09213">
      <w:marLeft w:val="0"/>
      <w:marRight w:val="0"/>
      <w:marTop w:val="0"/>
      <w:marBottom w:val="0"/>
      <w:divBdr>
        <w:top w:val="none" w:sz="0" w:space="0" w:color="auto"/>
        <w:left w:val="none" w:sz="0" w:space="0" w:color="auto"/>
        <w:bottom w:val="none" w:sz="0" w:space="0" w:color="auto"/>
        <w:right w:val="none" w:sz="0" w:space="0" w:color="auto"/>
      </w:divBdr>
    </w:div>
    <w:div w:id="1849909214">
      <w:marLeft w:val="0"/>
      <w:marRight w:val="0"/>
      <w:marTop w:val="0"/>
      <w:marBottom w:val="0"/>
      <w:divBdr>
        <w:top w:val="none" w:sz="0" w:space="0" w:color="auto"/>
        <w:left w:val="none" w:sz="0" w:space="0" w:color="auto"/>
        <w:bottom w:val="none" w:sz="0" w:space="0" w:color="auto"/>
        <w:right w:val="none" w:sz="0" w:space="0" w:color="auto"/>
      </w:divBdr>
    </w:div>
    <w:div w:id="1849909215">
      <w:marLeft w:val="0"/>
      <w:marRight w:val="0"/>
      <w:marTop w:val="0"/>
      <w:marBottom w:val="0"/>
      <w:divBdr>
        <w:top w:val="none" w:sz="0" w:space="0" w:color="auto"/>
        <w:left w:val="none" w:sz="0" w:space="0" w:color="auto"/>
        <w:bottom w:val="none" w:sz="0" w:space="0" w:color="auto"/>
        <w:right w:val="none" w:sz="0" w:space="0" w:color="auto"/>
      </w:divBdr>
    </w:div>
    <w:div w:id="1849909217">
      <w:marLeft w:val="0"/>
      <w:marRight w:val="0"/>
      <w:marTop w:val="0"/>
      <w:marBottom w:val="0"/>
      <w:divBdr>
        <w:top w:val="none" w:sz="0" w:space="0" w:color="auto"/>
        <w:left w:val="none" w:sz="0" w:space="0" w:color="auto"/>
        <w:bottom w:val="none" w:sz="0" w:space="0" w:color="auto"/>
        <w:right w:val="none" w:sz="0" w:space="0" w:color="auto"/>
      </w:divBdr>
      <w:divsChild>
        <w:div w:id="1849909220">
          <w:marLeft w:val="0"/>
          <w:marRight w:val="0"/>
          <w:marTop w:val="0"/>
          <w:marBottom w:val="0"/>
          <w:divBdr>
            <w:top w:val="none" w:sz="0" w:space="0" w:color="auto"/>
            <w:left w:val="none" w:sz="0" w:space="0" w:color="auto"/>
            <w:bottom w:val="none" w:sz="0" w:space="0" w:color="auto"/>
            <w:right w:val="none" w:sz="0" w:space="0" w:color="auto"/>
          </w:divBdr>
          <w:divsChild>
            <w:div w:id="1849909230">
              <w:marLeft w:val="0"/>
              <w:marRight w:val="0"/>
              <w:marTop w:val="0"/>
              <w:marBottom w:val="0"/>
              <w:divBdr>
                <w:top w:val="none" w:sz="0" w:space="0" w:color="auto"/>
                <w:left w:val="none" w:sz="0" w:space="0" w:color="auto"/>
                <w:bottom w:val="none" w:sz="0" w:space="0" w:color="auto"/>
                <w:right w:val="none" w:sz="0" w:space="0" w:color="auto"/>
              </w:divBdr>
              <w:divsChild>
                <w:div w:id="1849909224">
                  <w:marLeft w:val="0"/>
                  <w:marRight w:val="0"/>
                  <w:marTop w:val="0"/>
                  <w:marBottom w:val="0"/>
                  <w:divBdr>
                    <w:top w:val="none" w:sz="0" w:space="0" w:color="auto"/>
                    <w:left w:val="none" w:sz="0" w:space="0" w:color="auto"/>
                    <w:bottom w:val="none" w:sz="0" w:space="0" w:color="auto"/>
                    <w:right w:val="none" w:sz="0" w:space="0" w:color="auto"/>
                  </w:divBdr>
                  <w:divsChild>
                    <w:div w:id="1849909218">
                      <w:marLeft w:val="0"/>
                      <w:marRight w:val="0"/>
                      <w:marTop w:val="0"/>
                      <w:marBottom w:val="0"/>
                      <w:divBdr>
                        <w:top w:val="none" w:sz="0" w:space="0" w:color="auto"/>
                        <w:left w:val="none" w:sz="0" w:space="0" w:color="auto"/>
                        <w:bottom w:val="none" w:sz="0" w:space="0" w:color="auto"/>
                        <w:right w:val="none" w:sz="0" w:space="0" w:color="auto"/>
                      </w:divBdr>
                      <w:divsChild>
                        <w:div w:id="18499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9221">
      <w:marLeft w:val="0"/>
      <w:marRight w:val="0"/>
      <w:marTop w:val="0"/>
      <w:marBottom w:val="0"/>
      <w:divBdr>
        <w:top w:val="none" w:sz="0" w:space="0" w:color="auto"/>
        <w:left w:val="none" w:sz="0" w:space="0" w:color="auto"/>
        <w:bottom w:val="none" w:sz="0" w:space="0" w:color="auto"/>
        <w:right w:val="none" w:sz="0" w:space="0" w:color="auto"/>
      </w:divBdr>
    </w:div>
    <w:div w:id="1849909227">
      <w:marLeft w:val="0"/>
      <w:marRight w:val="0"/>
      <w:marTop w:val="0"/>
      <w:marBottom w:val="0"/>
      <w:divBdr>
        <w:top w:val="none" w:sz="0" w:space="0" w:color="auto"/>
        <w:left w:val="none" w:sz="0" w:space="0" w:color="auto"/>
        <w:bottom w:val="none" w:sz="0" w:space="0" w:color="auto"/>
        <w:right w:val="none" w:sz="0" w:space="0" w:color="auto"/>
      </w:divBdr>
    </w:div>
    <w:div w:id="1849909228">
      <w:marLeft w:val="0"/>
      <w:marRight w:val="0"/>
      <w:marTop w:val="0"/>
      <w:marBottom w:val="0"/>
      <w:divBdr>
        <w:top w:val="none" w:sz="0" w:space="0" w:color="auto"/>
        <w:left w:val="none" w:sz="0" w:space="0" w:color="auto"/>
        <w:bottom w:val="none" w:sz="0" w:space="0" w:color="auto"/>
        <w:right w:val="none" w:sz="0" w:space="0" w:color="auto"/>
      </w:divBdr>
    </w:div>
    <w:div w:id="1849909229">
      <w:marLeft w:val="0"/>
      <w:marRight w:val="0"/>
      <w:marTop w:val="0"/>
      <w:marBottom w:val="0"/>
      <w:divBdr>
        <w:top w:val="none" w:sz="0" w:space="0" w:color="auto"/>
        <w:left w:val="none" w:sz="0" w:space="0" w:color="auto"/>
        <w:bottom w:val="none" w:sz="0" w:space="0" w:color="auto"/>
        <w:right w:val="none" w:sz="0" w:space="0" w:color="auto"/>
      </w:divBdr>
      <w:divsChild>
        <w:div w:id="1849909236">
          <w:marLeft w:val="0"/>
          <w:marRight w:val="0"/>
          <w:marTop w:val="0"/>
          <w:marBottom w:val="0"/>
          <w:divBdr>
            <w:top w:val="none" w:sz="0" w:space="0" w:color="auto"/>
            <w:left w:val="none" w:sz="0" w:space="0" w:color="auto"/>
            <w:bottom w:val="none" w:sz="0" w:space="0" w:color="auto"/>
            <w:right w:val="none" w:sz="0" w:space="0" w:color="auto"/>
          </w:divBdr>
          <w:divsChild>
            <w:div w:id="1849909212">
              <w:marLeft w:val="0"/>
              <w:marRight w:val="0"/>
              <w:marTop w:val="0"/>
              <w:marBottom w:val="0"/>
              <w:divBdr>
                <w:top w:val="none" w:sz="0" w:space="0" w:color="auto"/>
                <w:left w:val="none" w:sz="0" w:space="0" w:color="auto"/>
                <w:bottom w:val="none" w:sz="0" w:space="0" w:color="auto"/>
                <w:right w:val="none" w:sz="0" w:space="0" w:color="auto"/>
              </w:divBdr>
              <w:divsChild>
                <w:div w:id="1849909219">
                  <w:marLeft w:val="0"/>
                  <w:marRight w:val="0"/>
                  <w:marTop w:val="0"/>
                  <w:marBottom w:val="0"/>
                  <w:divBdr>
                    <w:top w:val="none" w:sz="0" w:space="0" w:color="auto"/>
                    <w:left w:val="none" w:sz="0" w:space="0" w:color="auto"/>
                    <w:bottom w:val="none" w:sz="0" w:space="0" w:color="auto"/>
                    <w:right w:val="none" w:sz="0" w:space="0" w:color="auto"/>
                  </w:divBdr>
                  <w:divsChild>
                    <w:div w:id="1849909226">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9231">
      <w:marLeft w:val="0"/>
      <w:marRight w:val="0"/>
      <w:marTop w:val="0"/>
      <w:marBottom w:val="0"/>
      <w:divBdr>
        <w:top w:val="none" w:sz="0" w:space="0" w:color="auto"/>
        <w:left w:val="none" w:sz="0" w:space="0" w:color="auto"/>
        <w:bottom w:val="none" w:sz="0" w:space="0" w:color="auto"/>
        <w:right w:val="none" w:sz="0" w:space="0" w:color="auto"/>
      </w:divBdr>
    </w:div>
    <w:div w:id="1849909233">
      <w:marLeft w:val="0"/>
      <w:marRight w:val="0"/>
      <w:marTop w:val="0"/>
      <w:marBottom w:val="0"/>
      <w:divBdr>
        <w:top w:val="none" w:sz="0" w:space="0" w:color="auto"/>
        <w:left w:val="none" w:sz="0" w:space="0" w:color="auto"/>
        <w:bottom w:val="none" w:sz="0" w:space="0" w:color="auto"/>
        <w:right w:val="none" w:sz="0" w:space="0" w:color="auto"/>
      </w:divBdr>
    </w:div>
    <w:div w:id="1849909235">
      <w:marLeft w:val="0"/>
      <w:marRight w:val="0"/>
      <w:marTop w:val="0"/>
      <w:marBottom w:val="0"/>
      <w:divBdr>
        <w:top w:val="none" w:sz="0" w:space="0" w:color="auto"/>
        <w:left w:val="none" w:sz="0" w:space="0" w:color="auto"/>
        <w:bottom w:val="none" w:sz="0" w:space="0" w:color="auto"/>
        <w:right w:val="none" w:sz="0" w:space="0" w:color="auto"/>
      </w:divBdr>
    </w:div>
    <w:div w:id="1849909237">
      <w:marLeft w:val="0"/>
      <w:marRight w:val="0"/>
      <w:marTop w:val="0"/>
      <w:marBottom w:val="0"/>
      <w:divBdr>
        <w:top w:val="none" w:sz="0" w:space="0" w:color="auto"/>
        <w:left w:val="none" w:sz="0" w:space="0" w:color="auto"/>
        <w:bottom w:val="none" w:sz="0" w:space="0" w:color="auto"/>
        <w:right w:val="none" w:sz="0" w:space="0" w:color="auto"/>
      </w:divBdr>
      <w:divsChild>
        <w:div w:id="1849909234">
          <w:marLeft w:val="0"/>
          <w:marRight w:val="0"/>
          <w:marTop w:val="0"/>
          <w:marBottom w:val="0"/>
          <w:divBdr>
            <w:top w:val="none" w:sz="0" w:space="0" w:color="auto"/>
            <w:left w:val="none" w:sz="0" w:space="0" w:color="auto"/>
            <w:bottom w:val="none" w:sz="0" w:space="0" w:color="auto"/>
            <w:right w:val="none" w:sz="0" w:space="0" w:color="auto"/>
          </w:divBdr>
          <w:divsChild>
            <w:div w:id="1849909211">
              <w:marLeft w:val="0"/>
              <w:marRight w:val="0"/>
              <w:marTop w:val="0"/>
              <w:marBottom w:val="0"/>
              <w:divBdr>
                <w:top w:val="none" w:sz="0" w:space="0" w:color="auto"/>
                <w:left w:val="none" w:sz="0" w:space="0" w:color="auto"/>
                <w:bottom w:val="none" w:sz="0" w:space="0" w:color="auto"/>
                <w:right w:val="none" w:sz="0" w:space="0" w:color="auto"/>
              </w:divBdr>
              <w:divsChild>
                <w:div w:id="1849909232">
                  <w:marLeft w:val="0"/>
                  <w:marRight w:val="0"/>
                  <w:marTop w:val="0"/>
                  <w:marBottom w:val="0"/>
                  <w:divBdr>
                    <w:top w:val="none" w:sz="0" w:space="0" w:color="auto"/>
                    <w:left w:val="none" w:sz="0" w:space="0" w:color="auto"/>
                    <w:bottom w:val="none" w:sz="0" w:space="0" w:color="auto"/>
                    <w:right w:val="none" w:sz="0" w:space="0" w:color="auto"/>
                  </w:divBdr>
                  <w:divsChild>
                    <w:div w:id="1849909225">
                      <w:marLeft w:val="0"/>
                      <w:marRight w:val="0"/>
                      <w:marTop w:val="0"/>
                      <w:marBottom w:val="0"/>
                      <w:divBdr>
                        <w:top w:val="none" w:sz="0" w:space="0" w:color="auto"/>
                        <w:left w:val="none" w:sz="0" w:space="0" w:color="auto"/>
                        <w:bottom w:val="none" w:sz="0" w:space="0" w:color="auto"/>
                        <w:right w:val="none" w:sz="0" w:space="0" w:color="auto"/>
                      </w:divBdr>
                      <w:divsChild>
                        <w:div w:id="1849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2022FG-64-111325</_dlc_DocId>
    <_dlc_DocIdUrl xmlns="0f563589-9cf9-4143-b1eb-fb0534803d38">
      <Url>http://tweb/sites/fg/csrd/_layouts/15/DocIdRedir.aspx?ID=2022FG-64-111325</Url>
      <Description>2022FG-64-111325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2AC3C91-F8A8-4133-8479-160554EC470A}">
  <ds:schemaRefs>
    <ds:schemaRef ds:uri="http://schemas.openxmlformats.org/officeDocument/2006/bibliography"/>
  </ds:schemaRefs>
</ds:datastoreItem>
</file>

<file path=customXml/itemProps2.xml><?xml version="1.0" encoding="utf-8"?>
<ds:datastoreItem xmlns:ds="http://schemas.openxmlformats.org/officeDocument/2006/customXml" ds:itemID="{FC949863-A187-4FFB-A88F-ED0FDA7BBF06}">
  <ds:schemaRefs>
    <ds:schemaRef ds:uri="http://purl.org/dc/elements/1.1/"/>
    <ds:schemaRef ds:uri="http://schemas.microsoft.com/office/2006/metadata/properties"/>
    <ds:schemaRef ds:uri="7F4DF698-D888-4C14-9C4B-1D1E85DCDDC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037B59-057A-4C62-AFE4-6F5F8BBB154A}"/>
</file>

<file path=customXml/itemProps4.xml><?xml version="1.0" encoding="utf-8"?>
<ds:datastoreItem xmlns:ds="http://schemas.openxmlformats.org/officeDocument/2006/customXml" ds:itemID="{B8268B64-4464-4824-AC91-A667A522D009}">
  <ds:schemaRefs>
    <ds:schemaRef ds:uri="http://schemas.microsoft.com/sharepoint/v3/contenttype/forms"/>
  </ds:schemaRefs>
</ds:datastoreItem>
</file>

<file path=customXml/itemProps5.xml><?xml version="1.0" encoding="utf-8"?>
<ds:datastoreItem xmlns:ds="http://schemas.openxmlformats.org/officeDocument/2006/customXml" ds:itemID="{E7AC9E4E-D956-4E9E-8C7F-58BCC623CD1C}"/>
</file>

<file path=customXml/itemProps6.xml><?xml version="1.0" encoding="utf-8"?>
<ds:datastoreItem xmlns:ds="http://schemas.openxmlformats.org/officeDocument/2006/customXml" ds:itemID="{81346075-C4DE-415C-8995-A7C9AF86EE07}"/>
</file>

<file path=customXml/itemProps7.xml><?xml version="1.0" encoding="utf-8"?>
<ds:datastoreItem xmlns:ds="http://schemas.openxmlformats.org/officeDocument/2006/customXml" ds:itemID="{37D0CB76-54CC-49E9-9359-4D7655CB09A0}"/>
</file>

<file path=docProps/app.xml><?xml version="1.0" encoding="utf-8"?>
<Properties xmlns="http://schemas.openxmlformats.org/officeDocument/2006/extended-properties" xmlns:vt="http://schemas.openxmlformats.org/officeDocument/2006/docPropsVTypes">
  <Template>Normal.dotm</Template>
  <TotalTime>0</TotalTime>
  <Pages>16</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2022-07-06T23:27:00Z</dcterms:created>
  <dcterms:modified xsi:type="dcterms:W3CDTF">2022-07-06T23:27:00Z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HPRMSecurityLevel">
    <vt:lpwstr>1;#OFFICIAL|11463c70-78df-4e3b-b0ff-f66cd3cb26ec</vt:lpwstr>
  </property>
  <property fmtid="{D5CDD505-2E9C-101B-9397-08002B2CF9AE}" pid="5" name="_dlc_DocIdItemGuid">
    <vt:lpwstr>85826cab-1cb5-4835-870d-db6e789a4fba</vt:lpwstr>
  </property>
  <property fmtid="{D5CDD505-2E9C-101B-9397-08002B2CF9AE}" pid="6" name="lb508a4dc5e84436a0fe496b536466aa">
    <vt:lpwstr>TSY RA-8748 - Retain as national archives|243f2231-dbfc-4282-b24a-c9b768286bd0</vt:lpwstr>
  </property>
  <property fmtid="{D5CDD505-2E9C-101B-9397-08002B2CF9AE}" pid="7" name="TSYRecordClass">
    <vt:lpwstr>2;#TSY RA-8748 - Retain as national archives|243f2231-dbfc-4282-b24a-c9b768286bd0</vt:lpwstr>
  </property>
</Properties>
</file>