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AA16" w14:textId="77777777" w:rsidR="00C91B5F" w:rsidRPr="000B71E0" w:rsidRDefault="00F8242C" w:rsidP="00C91B5F">
      <w:pPr>
        <w:pStyle w:val="Title"/>
      </w:pPr>
      <w:r w:rsidRPr="000B71E0">
        <w:t xml:space="preserve">The Provision of COVID-19 Quarantine Arrangements at the </w:t>
      </w:r>
      <w:r w:rsidR="00E82F0C" w:rsidRPr="000B71E0">
        <w:t xml:space="preserve">Northern Territory </w:t>
      </w:r>
      <w:r w:rsidR="007259FE" w:rsidRPr="000B71E0">
        <w:t>Centre for National Resilience</w:t>
      </w:r>
      <w:r w:rsidRPr="000B71E0">
        <w:t xml:space="preserve"> for Organised N</w:t>
      </w:r>
      <w:r w:rsidR="000A2842" w:rsidRPr="000B71E0">
        <w:t>ational Repatriation of Australians</w:t>
      </w:r>
    </w:p>
    <w:p w14:paraId="65F7E50F" w14:textId="77777777" w:rsidR="00C91B5F" w:rsidRPr="000B71E0" w:rsidRDefault="00590B10" w:rsidP="00C91B5F">
      <w:pPr>
        <w:pStyle w:val="Subtitle"/>
      </w:pPr>
      <w:r w:rsidRPr="000B71E0">
        <w:t>FEDERATION FUNDING AGREEMENT - HEALTH</w:t>
      </w:r>
    </w:p>
    <w:tbl>
      <w:tblPr>
        <w:tblW w:w="977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796"/>
        <w:gridCol w:w="6"/>
      </w:tblGrid>
      <w:tr w:rsidR="00C91B5F" w:rsidRPr="000B71E0" w14:paraId="1C5F8629" w14:textId="77777777" w:rsidTr="00B10F60">
        <w:tc>
          <w:tcPr>
            <w:tcW w:w="9777" w:type="dxa"/>
            <w:gridSpan w:val="3"/>
            <w:shd w:val="clear" w:color="auto" w:fill="DEEAF6" w:themeFill="accent1" w:themeFillTint="33"/>
          </w:tcPr>
          <w:p w14:paraId="721B4CD5" w14:textId="77777777" w:rsidR="00C91B5F" w:rsidRPr="000B71E0" w:rsidRDefault="00C91B5F" w:rsidP="003A7E0E">
            <w:pPr>
              <w:pStyle w:val="Tableformat"/>
              <w:rPr>
                <w:b/>
                <w:color w:val="auto"/>
              </w:rPr>
            </w:pPr>
            <w:r w:rsidRPr="000B71E0">
              <w:rPr>
                <w:b/>
                <w:color w:val="auto"/>
              </w:rPr>
              <w:t>Table 1: Formalities and operation of schedule</w:t>
            </w:r>
          </w:p>
        </w:tc>
      </w:tr>
      <w:tr w:rsidR="00D2082D" w:rsidRPr="00D2082D" w14:paraId="710EF654" w14:textId="77777777" w:rsidTr="00B10F60">
        <w:trPr>
          <w:gridAfter w:val="1"/>
          <w:wAfter w:w="6" w:type="dxa"/>
        </w:trPr>
        <w:tc>
          <w:tcPr>
            <w:tcW w:w="1975" w:type="dxa"/>
            <w:shd w:val="clear" w:color="auto" w:fill="auto"/>
          </w:tcPr>
          <w:p w14:paraId="17AA9343" w14:textId="77777777" w:rsidR="00C91B5F" w:rsidRPr="00D2082D" w:rsidRDefault="00C91B5F" w:rsidP="003A7E0E">
            <w:pPr>
              <w:pStyle w:val="Tableformat"/>
              <w:rPr>
                <w:color w:val="auto"/>
              </w:rPr>
            </w:pPr>
            <w:r w:rsidRPr="00D2082D">
              <w:rPr>
                <w:color w:val="auto"/>
              </w:rPr>
              <w:t>Parties</w:t>
            </w:r>
          </w:p>
        </w:tc>
        <w:tc>
          <w:tcPr>
            <w:tcW w:w="7796" w:type="dxa"/>
            <w:shd w:val="clear" w:color="auto" w:fill="auto"/>
          </w:tcPr>
          <w:p w14:paraId="05E025F2" w14:textId="77777777" w:rsidR="00C91B5F" w:rsidRPr="00D2082D" w:rsidRDefault="00C91B5F" w:rsidP="003A7E0E">
            <w:pPr>
              <w:pStyle w:val="Tableformat"/>
              <w:rPr>
                <w:color w:val="auto"/>
              </w:rPr>
            </w:pPr>
            <w:r w:rsidRPr="00D2082D">
              <w:rPr>
                <w:color w:val="auto"/>
              </w:rPr>
              <w:t>Commonwealth</w:t>
            </w:r>
            <w:r w:rsidR="000716D5" w:rsidRPr="00D2082D">
              <w:rPr>
                <w:color w:val="auto"/>
              </w:rPr>
              <w:t xml:space="preserve"> of Australia</w:t>
            </w:r>
          </w:p>
          <w:p w14:paraId="031C55A9" w14:textId="7CDDEBCA" w:rsidR="00C91B5F" w:rsidRPr="00D2082D" w:rsidRDefault="00EE4E67" w:rsidP="003A7E0E">
            <w:pPr>
              <w:pStyle w:val="Tableformat"/>
              <w:rPr>
                <w:color w:val="auto"/>
              </w:rPr>
            </w:pPr>
            <w:r w:rsidRPr="00D2082D">
              <w:rPr>
                <w:color w:val="auto"/>
              </w:rPr>
              <w:t xml:space="preserve">Northern Territory </w:t>
            </w:r>
            <w:r w:rsidR="00C33962">
              <w:rPr>
                <w:color w:val="auto"/>
              </w:rPr>
              <w:t xml:space="preserve">(NT) </w:t>
            </w:r>
            <w:r w:rsidRPr="00D2082D">
              <w:rPr>
                <w:color w:val="auto"/>
              </w:rPr>
              <w:t>Government</w:t>
            </w:r>
            <w:r w:rsidR="00C91B5F" w:rsidRPr="00D2082D">
              <w:rPr>
                <w:color w:val="auto"/>
              </w:rPr>
              <w:t xml:space="preserve"> </w:t>
            </w:r>
          </w:p>
        </w:tc>
      </w:tr>
      <w:tr w:rsidR="00D2082D" w:rsidRPr="00D2082D" w14:paraId="7DDDAF67" w14:textId="77777777" w:rsidTr="00B10F60">
        <w:trPr>
          <w:gridAfter w:val="1"/>
          <w:wAfter w:w="6" w:type="dxa"/>
        </w:trPr>
        <w:tc>
          <w:tcPr>
            <w:tcW w:w="1975" w:type="dxa"/>
            <w:shd w:val="clear" w:color="auto" w:fill="auto"/>
          </w:tcPr>
          <w:p w14:paraId="660CEEB9" w14:textId="77777777" w:rsidR="00C91B5F" w:rsidRPr="00D2082D" w:rsidRDefault="00C91B5F" w:rsidP="003A7E0E">
            <w:pPr>
              <w:pStyle w:val="Tableformat"/>
              <w:rPr>
                <w:color w:val="auto"/>
              </w:rPr>
            </w:pPr>
            <w:r w:rsidRPr="00D2082D">
              <w:rPr>
                <w:color w:val="auto"/>
              </w:rPr>
              <w:t>Duration</w:t>
            </w:r>
          </w:p>
        </w:tc>
        <w:tc>
          <w:tcPr>
            <w:tcW w:w="7796" w:type="dxa"/>
            <w:shd w:val="clear" w:color="auto" w:fill="auto"/>
          </w:tcPr>
          <w:p w14:paraId="4165EA63" w14:textId="4B4931F8" w:rsidR="00605804" w:rsidRPr="00D2082D" w:rsidRDefault="00C91B5F" w:rsidP="002F0307">
            <w:pPr>
              <w:pStyle w:val="Tableformat"/>
              <w:rPr>
                <w:color w:val="auto"/>
              </w:rPr>
            </w:pPr>
            <w:r w:rsidRPr="00D2082D">
              <w:rPr>
                <w:color w:val="auto"/>
              </w:rPr>
              <w:t xml:space="preserve">This Schedule </w:t>
            </w:r>
            <w:r w:rsidR="003B0F63">
              <w:rPr>
                <w:color w:val="auto"/>
              </w:rPr>
              <w:t>will</w:t>
            </w:r>
            <w:r w:rsidRPr="00D2082D">
              <w:rPr>
                <w:color w:val="auto"/>
              </w:rPr>
              <w:t xml:space="preserve"> expire on</w:t>
            </w:r>
            <w:r w:rsidR="00285433" w:rsidRPr="00D2082D">
              <w:rPr>
                <w:color w:val="auto"/>
              </w:rPr>
              <w:t xml:space="preserve"> </w:t>
            </w:r>
            <w:r w:rsidR="00717C1D" w:rsidRPr="00DB2166">
              <w:rPr>
                <w:color w:val="auto"/>
              </w:rPr>
              <w:t>30</w:t>
            </w:r>
            <w:r w:rsidR="00285433" w:rsidRPr="00DB2166">
              <w:rPr>
                <w:color w:val="auto"/>
              </w:rPr>
              <w:t xml:space="preserve"> </w:t>
            </w:r>
            <w:r w:rsidR="00717C1D" w:rsidRPr="00DB2166">
              <w:rPr>
                <w:color w:val="auto"/>
              </w:rPr>
              <w:t>June</w:t>
            </w:r>
            <w:r w:rsidR="00285433" w:rsidRPr="00DB2166">
              <w:rPr>
                <w:color w:val="auto"/>
              </w:rPr>
              <w:t xml:space="preserve"> 202</w:t>
            </w:r>
            <w:r w:rsidR="002D377C">
              <w:rPr>
                <w:color w:val="auto"/>
              </w:rPr>
              <w:t>3</w:t>
            </w:r>
            <w:r w:rsidR="002F0307">
              <w:rPr>
                <w:color w:val="auto"/>
              </w:rPr>
              <w:t>.</w:t>
            </w:r>
          </w:p>
        </w:tc>
      </w:tr>
      <w:tr w:rsidR="00D2082D" w:rsidRPr="00D2082D" w14:paraId="49B05DE0" w14:textId="77777777" w:rsidTr="00B10F60">
        <w:trPr>
          <w:gridAfter w:val="1"/>
          <w:wAfter w:w="6" w:type="dxa"/>
        </w:trPr>
        <w:tc>
          <w:tcPr>
            <w:tcW w:w="1975" w:type="dxa"/>
            <w:shd w:val="clear" w:color="auto" w:fill="auto"/>
          </w:tcPr>
          <w:p w14:paraId="3C9F01A6" w14:textId="77777777" w:rsidR="003545A7" w:rsidRPr="00D2082D" w:rsidRDefault="003545A7" w:rsidP="003545A7">
            <w:pPr>
              <w:pStyle w:val="Tableformat"/>
              <w:rPr>
                <w:color w:val="auto"/>
              </w:rPr>
            </w:pPr>
            <w:r w:rsidRPr="00D2082D">
              <w:rPr>
                <w:color w:val="auto"/>
              </w:rPr>
              <w:t>Purpose</w:t>
            </w:r>
          </w:p>
        </w:tc>
        <w:tc>
          <w:tcPr>
            <w:tcW w:w="7796" w:type="dxa"/>
            <w:shd w:val="clear" w:color="auto" w:fill="auto"/>
          </w:tcPr>
          <w:p w14:paraId="3B0F0144" w14:textId="25228FC1" w:rsidR="009F3398" w:rsidRPr="00D2082D" w:rsidRDefault="003545A7" w:rsidP="00F51C78">
            <w:pPr>
              <w:pStyle w:val="Tableformat"/>
              <w:rPr>
                <w:color w:val="auto"/>
              </w:rPr>
            </w:pPr>
            <w:r w:rsidRPr="00D2082D">
              <w:rPr>
                <w:color w:val="auto"/>
              </w:rPr>
              <w:t>This Schedul</w:t>
            </w:r>
            <w:r w:rsidR="002D377C">
              <w:rPr>
                <w:color w:val="auto"/>
              </w:rPr>
              <w:t xml:space="preserve">e </w:t>
            </w:r>
            <w:r w:rsidR="005108BE">
              <w:rPr>
                <w:color w:val="auto"/>
              </w:rPr>
              <w:t>is an addendum to the Federal Funding Agreement schedule for the</w:t>
            </w:r>
            <w:r w:rsidR="00F51C78" w:rsidRPr="003B0F63">
              <w:rPr>
                <w:i/>
                <w:iCs w:val="0"/>
                <w:color w:val="auto"/>
              </w:rPr>
              <w:t xml:space="preserve"> National Partnership Agreement for The Provision of COVID-19 Quarantine Arrangements at the Northern Territory Centre for National Resilience for Organised National Repatriation of Australians</w:t>
            </w:r>
            <w:r w:rsidR="003B0F63">
              <w:rPr>
                <w:color w:val="auto"/>
              </w:rPr>
              <w:t xml:space="preserve"> and </w:t>
            </w:r>
            <w:r w:rsidR="00DC7AFC">
              <w:rPr>
                <w:color w:val="auto"/>
              </w:rPr>
              <w:t xml:space="preserve">provides maintenance funding for </w:t>
            </w:r>
            <w:r w:rsidR="00F51C78" w:rsidRPr="003B0F63">
              <w:rPr>
                <w:color w:val="auto"/>
              </w:rPr>
              <w:t>the Centre for National Resilience at Howard Springs (</w:t>
            </w:r>
            <w:r w:rsidR="00C33962">
              <w:rPr>
                <w:color w:val="auto"/>
              </w:rPr>
              <w:t xml:space="preserve">the </w:t>
            </w:r>
            <w:r w:rsidR="00F51C78" w:rsidRPr="003B0F63">
              <w:rPr>
                <w:color w:val="auto"/>
              </w:rPr>
              <w:t>Centre)</w:t>
            </w:r>
            <w:r w:rsidR="00DC7AFC">
              <w:rPr>
                <w:color w:val="auto"/>
              </w:rPr>
              <w:t xml:space="preserve"> and ensures continued priority access to the Centre</w:t>
            </w:r>
            <w:r w:rsidR="00F51C78" w:rsidRPr="003B0F63">
              <w:rPr>
                <w:color w:val="auto"/>
              </w:rPr>
              <w:t xml:space="preserve"> for Commonwealth Government use</w:t>
            </w:r>
            <w:r w:rsidR="003B0F63" w:rsidRPr="003B0F63">
              <w:rPr>
                <w:color w:val="auto"/>
              </w:rPr>
              <w:t>, if requested</w:t>
            </w:r>
            <w:r w:rsidR="009A5B2D">
              <w:rPr>
                <w:color w:val="auto"/>
              </w:rPr>
              <w:t>,</w:t>
            </w:r>
            <w:r w:rsidR="003B0F63">
              <w:rPr>
                <w:color w:val="auto"/>
              </w:rPr>
              <w:t xml:space="preserve"> until 30</w:t>
            </w:r>
            <w:r w:rsidR="00C33962">
              <w:rPr>
                <w:color w:val="auto"/>
              </w:rPr>
              <w:t> </w:t>
            </w:r>
            <w:r w:rsidR="003B0F63">
              <w:rPr>
                <w:color w:val="auto"/>
              </w:rPr>
              <w:t>June 2023</w:t>
            </w:r>
            <w:r w:rsidR="00F51C78" w:rsidRPr="003B0F63">
              <w:rPr>
                <w:color w:val="auto"/>
              </w:rPr>
              <w:t>.</w:t>
            </w:r>
            <w:r w:rsidR="00F51C7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D2082D" w:rsidRPr="00D2082D" w14:paraId="2ADC5EED" w14:textId="77777777" w:rsidTr="00B10F60">
        <w:trPr>
          <w:gridAfter w:val="1"/>
          <w:wAfter w:w="6" w:type="dxa"/>
        </w:trPr>
        <w:tc>
          <w:tcPr>
            <w:tcW w:w="1975" w:type="dxa"/>
            <w:shd w:val="clear" w:color="auto" w:fill="auto"/>
          </w:tcPr>
          <w:p w14:paraId="0E0E41DB" w14:textId="77777777" w:rsidR="003545A7" w:rsidRPr="00D2082D" w:rsidRDefault="003545A7" w:rsidP="003545A7">
            <w:pPr>
              <w:pStyle w:val="Tableformat"/>
              <w:rPr>
                <w:color w:val="auto"/>
              </w:rPr>
            </w:pPr>
            <w:r w:rsidRPr="00D2082D">
              <w:rPr>
                <w:color w:val="auto"/>
              </w:rPr>
              <w:t>Scope</w:t>
            </w:r>
          </w:p>
        </w:tc>
        <w:tc>
          <w:tcPr>
            <w:tcW w:w="7796" w:type="dxa"/>
            <w:shd w:val="clear" w:color="auto" w:fill="auto"/>
          </w:tcPr>
          <w:p w14:paraId="25FB7E50" w14:textId="5149958E" w:rsidR="00F51C78" w:rsidRDefault="00F51C78" w:rsidP="00F51C78">
            <w:pPr>
              <w:pStyle w:val="Tableformat"/>
              <w:rPr>
                <w:color w:val="auto"/>
              </w:rPr>
            </w:pPr>
            <w:r w:rsidRPr="00F51C78">
              <w:rPr>
                <w:color w:val="auto"/>
              </w:rPr>
              <w:t xml:space="preserve">During the specified period (1 July 2022 – 30 June 2023) in an emergency, the Centre will be prioritised for Commonwealth use for any resilience purpose, which may be broader than COVID-19 related quarantine. </w:t>
            </w:r>
          </w:p>
          <w:p w14:paraId="0AF66DBB" w14:textId="4A92F04E" w:rsidR="009B11E3" w:rsidRPr="00D2082D" w:rsidRDefault="00F51C78" w:rsidP="00F51C78">
            <w:pPr>
              <w:pStyle w:val="Tableformat"/>
              <w:rPr>
                <w:color w:val="auto"/>
              </w:rPr>
            </w:pPr>
            <w:r w:rsidRPr="00F51C78">
              <w:rPr>
                <w:color w:val="auto"/>
              </w:rPr>
              <w:t>Given the size of the Howard Springs facility concurrent use for multiple purposes can be accommodated</w:t>
            </w:r>
            <w:r w:rsidR="00C33962">
              <w:rPr>
                <w:color w:val="auto"/>
              </w:rPr>
              <w:t>, exclusive Commonwealth use is not required.</w:t>
            </w:r>
            <w:r w:rsidRPr="00F51C78">
              <w:rPr>
                <w:color w:val="auto"/>
              </w:rPr>
              <w:t xml:space="preserve"> </w:t>
            </w:r>
          </w:p>
        </w:tc>
      </w:tr>
      <w:tr w:rsidR="00F51C78" w:rsidRPr="00D2082D" w14:paraId="4A9DFF46" w14:textId="77777777" w:rsidTr="00B10F60">
        <w:trPr>
          <w:gridAfter w:val="1"/>
          <w:wAfter w:w="6" w:type="dxa"/>
        </w:trPr>
        <w:tc>
          <w:tcPr>
            <w:tcW w:w="1975" w:type="dxa"/>
            <w:shd w:val="clear" w:color="auto" w:fill="auto"/>
          </w:tcPr>
          <w:p w14:paraId="6CC1FDF8" w14:textId="2B5F8916" w:rsidR="00F51C78" w:rsidRPr="00D2082D" w:rsidRDefault="00F51C78" w:rsidP="003545A7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Stand up time </w:t>
            </w:r>
          </w:p>
        </w:tc>
        <w:tc>
          <w:tcPr>
            <w:tcW w:w="7796" w:type="dxa"/>
            <w:shd w:val="clear" w:color="auto" w:fill="auto"/>
          </w:tcPr>
          <w:p w14:paraId="6938FF10" w14:textId="27DBB5C8" w:rsidR="00F51C78" w:rsidRPr="00F51C78" w:rsidRDefault="00F51C78" w:rsidP="00F51C78">
            <w:pPr>
              <w:pStyle w:val="Tableformat"/>
              <w:rPr>
                <w:color w:val="auto"/>
              </w:rPr>
            </w:pPr>
            <w:r w:rsidRPr="003B0F63">
              <w:rPr>
                <w:color w:val="auto"/>
              </w:rPr>
              <w:t>While dependent on the purpose and scale of the emergency, best efforts will be made to stand the facility up quickly</w:t>
            </w:r>
            <w:r w:rsidR="00C33962">
              <w:rPr>
                <w:color w:val="auto"/>
              </w:rPr>
              <w:t>.</w:t>
            </w:r>
            <w:r w:rsidRPr="003B0F63">
              <w:rPr>
                <w:color w:val="auto"/>
              </w:rPr>
              <w:t xml:space="preserve"> </w:t>
            </w:r>
            <w:r w:rsidR="00C33962">
              <w:rPr>
                <w:color w:val="auto"/>
              </w:rPr>
              <w:t>P</w:t>
            </w:r>
            <w:r w:rsidRPr="003B0F63">
              <w:rPr>
                <w:color w:val="auto"/>
              </w:rPr>
              <w:t>arties will work towards having up to 500 beds available within 72 hours of a formal Commonwealth request and up to 2,000 beds within 10 days</w:t>
            </w:r>
            <w:r w:rsidR="00C33962">
              <w:rPr>
                <w:color w:val="auto"/>
              </w:rPr>
              <w:t xml:space="preserve"> </w:t>
            </w:r>
            <w:r w:rsidR="0076158A">
              <w:rPr>
                <w:color w:val="auto"/>
              </w:rPr>
              <w:t>– dependent on</w:t>
            </w:r>
            <w:r w:rsidR="00C33962">
              <w:rPr>
                <w:color w:val="auto"/>
              </w:rPr>
              <w:t xml:space="preserve"> the facility use case and broader factors such as </w:t>
            </w:r>
            <w:r w:rsidR="00DC7AFC">
              <w:rPr>
                <w:color w:val="auto"/>
              </w:rPr>
              <w:t xml:space="preserve">availability of </w:t>
            </w:r>
            <w:r w:rsidR="00C33962">
              <w:rPr>
                <w:color w:val="auto"/>
              </w:rPr>
              <w:t xml:space="preserve">workforce and </w:t>
            </w:r>
            <w:r w:rsidR="00DC7AFC">
              <w:rPr>
                <w:color w:val="auto"/>
              </w:rPr>
              <w:t xml:space="preserve">suppliers. </w:t>
            </w:r>
          </w:p>
        </w:tc>
      </w:tr>
      <w:tr w:rsidR="00D2082D" w:rsidRPr="00D2082D" w14:paraId="4C303183" w14:textId="77777777" w:rsidTr="00B10F60">
        <w:trPr>
          <w:gridAfter w:val="1"/>
          <w:wAfter w:w="6" w:type="dxa"/>
        </w:trPr>
        <w:tc>
          <w:tcPr>
            <w:tcW w:w="1975" w:type="dxa"/>
            <w:shd w:val="clear" w:color="auto" w:fill="auto"/>
          </w:tcPr>
          <w:p w14:paraId="63326238" w14:textId="32FFEAB4" w:rsidR="00C91B5F" w:rsidRPr="00DB2166" w:rsidRDefault="00C91B5F" w:rsidP="003A7E0E">
            <w:pPr>
              <w:pStyle w:val="Tableformat"/>
              <w:rPr>
                <w:strike/>
                <w:color w:val="auto"/>
              </w:rPr>
            </w:pPr>
            <w:r w:rsidRPr="00D2082D">
              <w:rPr>
                <w:color w:val="auto"/>
              </w:rPr>
              <w:t>Estimated financial contributions</w:t>
            </w:r>
          </w:p>
        </w:tc>
        <w:tc>
          <w:tcPr>
            <w:tcW w:w="7796" w:type="dxa"/>
            <w:shd w:val="clear" w:color="auto" w:fill="auto"/>
          </w:tcPr>
          <w:p w14:paraId="4FB35DE9" w14:textId="77777777" w:rsidR="00F518FB" w:rsidRDefault="00C91B5F" w:rsidP="005108BE">
            <w:pPr>
              <w:pStyle w:val="Tableformat"/>
              <w:rPr>
                <w:color w:val="auto"/>
              </w:rPr>
            </w:pPr>
            <w:r w:rsidRPr="00D2082D">
              <w:rPr>
                <w:color w:val="auto"/>
              </w:rPr>
              <w:t xml:space="preserve">The Commonwealth will provide </w:t>
            </w:r>
            <w:r w:rsidR="002D377C">
              <w:rPr>
                <w:color w:val="auto"/>
              </w:rPr>
              <w:t>the NT $5</w:t>
            </w:r>
            <w:r w:rsidR="00BD3CA4">
              <w:rPr>
                <w:color w:val="auto"/>
              </w:rPr>
              <w:t xml:space="preserve"> </w:t>
            </w:r>
            <w:r w:rsidR="002D377C">
              <w:rPr>
                <w:color w:val="auto"/>
              </w:rPr>
              <w:t xml:space="preserve">million </w:t>
            </w:r>
            <w:r w:rsidR="005108BE">
              <w:rPr>
                <w:color w:val="auto"/>
              </w:rPr>
              <w:t>on execution of this Schedule t</w:t>
            </w:r>
            <w:r w:rsidR="00F51C78">
              <w:rPr>
                <w:color w:val="auto"/>
              </w:rPr>
              <w:t xml:space="preserve">o maintain the facility for the 2022-23 financial year. </w:t>
            </w:r>
          </w:p>
          <w:p w14:paraId="1EEEDA0F" w14:textId="2F2687DE" w:rsidR="00DC7AFC" w:rsidRPr="00D2082D" w:rsidRDefault="00DC7AFC" w:rsidP="005108BE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Disbursement of this maintenance funding will be at the NT’s discretion.</w:t>
            </w:r>
          </w:p>
        </w:tc>
      </w:tr>
      <w:tr w:rsidR="00C33962" w:rsidRPr="00D2082D" w14:paraId="009CAAE8" w14:textId="77777777" w:rsidTr="00B10F60">
        <w:trPr>
          <w:gridAfter w:val="1"/>
          <w:wAfter w:w="6" w:type="dxa"/>
        </w:trPr>
        <w:tc>
          <w:tcPr>
            <w:tcW w:w="1975" w:type="dxa"/>
            <w:shd w:val="clear" w:color="auto" w:fill="auto"/>
          </w:tcPr>
          <w:p w14:paraId="49B3C7F9" w14:textId="4F542E5E" w:rsidR="00C33962" w:rsidRPr="00D2082D" w:rsidRDefault="00C33962" w:rsidP="003A7E0E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Arrangements for facility use</w:t>
            </w:r>
          </w:p>
        </w:tc>
        <w:tc>
          <w:tcPr>
            <w:tcW w:w="7796" w:type="dxa"/>
            <w:shd w:val="clear" w:color="auto" w:fill="auto"/>
          </w:tcPr>
          <w:p w14:paraId="110B7BE5" w14:textId="32A9A936" w:rsidR="00C33962" w:rsidRPr="00D2082D" w:rsidRDefault="00C33962" w:rsidP="00ED1AA6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If </w:t>
            </w:r>
            <w:r w:rsidR="00DC7AFC">
              <w:rPr>
                <w:color w:val="auto"/>
              </w:rPr>
              <w:t>emergency use of the Centre is required</w:t>
            </w:r>
            <w:r>
              <w:rPr>
                <w:color w:val="auto"/>
              </w:rPr>
              <w:t xml:space="preserve">, the Commonwealth will make a formal request to the NT to activate the Centre, following which a new bilateral agreement </w:t>
            </w:r>
            <w:r w:rsidR="007B4236">
              <w:rPr>
                <w:color w:val="auto"/>
              </w:rPr>
              <w:t xml:space="preserve">outlining </w:t>
            </w:r>
            <w:r>
              <w:rPr>
                <w:color w:val="auto"/>
              </w:rPr>
              <w:t xml:space="preserve">operational arrangements will be negotiated. </w:t>
            </w:r>
          </w:p>
        </w:tc>
      </w:tr>
    </w:tbl>
    <w:p w14:paraId="77542E23" w14:textId="77777777" w:rsidR="00C91B5F" w:rsidRPr="00D2082D" w:rsidRDefault="00C91B5F" w:rsidP="00C91B5F">
      <w:pPr>
        <w:sectPr w:rsidR="00C91B5F" w:rsidRPr="00D2082D" w:rsidSect="003A7E0E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2B2F48A2" w14:textId="32F9131B" w:rsidR="00C91B5F" w:rsidRPr="00D2082D" w:rsidRDefault="007B4236" w:rsidP="00C91B5F">
      <w:pPr>
        <w:rPr>
          <w:lang w:val="en-GB"/>
        </w:rPr>
      </w:pPr>
      <w:r>
        <w:rPr>
          <w:lang w:val="en-GB"/>
        </w:rPr>
        <w:lastRenderedPageBreak/>
        <w:br/>
      </w:r>
    </w:p>
    <w:p w14:paraId="5002410C" w14:textId="77777777" w:rsidR="00C91B5F" w:rsidRPr="00D2082D" w:rsidRDefault="00C91B5F" w:rsidP="00C91B5F">
      <w:pPr>
        <w:rPr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4819"/>
      </w:tblGrid>
      <w:tr w:rsidR="00D2082D" w:rsidRPr="00D2082D" w14:paraId="61AE75B2" w14:textId="77777777" w:rsidTr="00403597">
        <w:trPr>
          <w:cantSplit/>
          <w:jc w:val="center"/>
        </w:trPr>
        <w:tc>
          <w:tcPr>
            <w:tcW w:w="4536" w:type="dxa"/>
          </w:tcPr>
          <w:p w14:paraId="01864D2B" w14:textId="77777777" w:rsidR="00C91B5F" w:rsidRPr="00DB2166" w:rsidRDefault="00C91B5F" w:rsidP="003A7E0E">
            <w:pPr>
              <w:pStyle w:val="Signed"/>
              <w:rPr>
                <w:color w:val="auto"/>
              </w:rPr>
            </w:pPr>
            <w:r w:rsidRPr="00DB2166">
              <w:rPr>
                <w:rStyle w:val="SignedBold"/>
                <w:color w:val="auto"/>
              </w:rPr>
              <w:t>Signed</w:t>
            </w:r>
            <w:r w:rsidRPr="00DB2166">
              <w:rPr>
                <w:color w:val="auto"/>
              </w:rPr>
              <w:t xml:space="preserve"> for and on behalf of the Commonwealth of Australia by</w:t>
            </w:r>
          </w:p>
          <w:p w14:paraId="184B1C00" w14:textId="77777777" w:rsidR="00C91B5F" w:rsidRPr="00DB2166" w:rsidRDefault="00C91B5F" w:rsidP="003A7E0E">
            <w:pPr>
              <w:pStyle w:val="LineForSignature"/>
              <w:rPr>
                <w:color w:val="auto"/>
              </w:rPr>
            </w:pPr>
            <w:r w:rsidRPr="00DB2166">
              <w:rPr>
                <w:color w:val="auto"/>
              </w:rPr>
              <w:br/>
            </w:r>
            <w:r w:rsidRPr="00DB2166">
              <w:rPr>
                <w:color w:val="auto"/>
              </w:rPr>
              <w:tab/>
            </w:r>
          </w:p>
          <w:p w14:paraId="147DFA61" w14:textId="36BF057A" w:rsidR="00C91B5F" w:rsidRPr="00DB2166" w:rsidRDefault="00270500" w:rsidP="003A7E0E">
            <w:pPr>
              <w:pStyle w:val="SingleParagraph"/>
              <w:rPr>
                <w:rStyle w:val="Bold"/>
                <w:color w:val="auto"/>
              </w:rPr>
            </w:pPr>
            <w:r w:rsidRPr="00DB2166">
              <w:rPr>
                <w:rStyle w:val="Bold"/>
                <w:color w:val="auto"/>
              </w:rPr>
              <w:t xml:space="preserve">The Honourable </w:t>
            </w:r>
            <w:r w:rsidR="008525C1">
              <w:rPr>
                <w:rStyle w:val="Bold"/>
                <w:color w:val="auto"/>
              </w:rPr>
              <w:t>Mark Butler</w:t>
            </w:r>
            <w:r w:rsidR="0023558E" w:rsidRPr="00DB2166">
              <w:rPr>
                <w:rStyle w:val="Bold"/>
                <w:color w:val="auto"/>
              </w:rPr>
              <w:t xml:space="preserve"> MP</w:t>
            </w:r>
          </w:p>
          <w:p w14:paraId="3FFB1A11" w14:textId="501BDF2F" w:rsidR="00C91B5F" w:rsidRPr="00DB2166" w:rsidRDefault="002D1D80" w:rsidP="0023558E">
            <w:pPr>
              <w:pStyle w:val="Position"/>
              <w:jc w:val="left"/>
              <w:rPr>
                <w:color w:val="auto"/>
                <w:lang w:val="en-GB"/>
              </w:rPr>
            </w:pPr>
            <w:r w:rsidRPr="00DB2166">
              <w:rPr>
                <w:color w:val="auto"/>
                <w:lang w:val="en-GB"/>
              </w:rPr>
              <w:t>Minister for Health and Aged Care</w:t>
            </w:r>
          </w:p>
          <w:p w14:paraId="1F23D090" w14:textId="23616763" w:rsidR="00C91B5F" w:rsidRPr="00DB2166" w:rsidRDefault="00774808" w:rsidP="00BD220C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DB2166">
              <w:rPr>
                <w:color w:val="auto"/>
                <w:lang w:val="en-GB"/>
              </w:rPr>
              <w:t xml:space="preserve">  </w:t>
            </w:r>
            <w:r w:rsidR="00403597">
              <w:rPr>
                <w:color w:val="auto"/>
                <w:lang w:val="en-GB"/>
              </w:rPr>
              <w:t xml:space="preserve">   </w:t>
            </w:r>
            <w:r w:rsidRPr="00DB2166">
              <w:rPr>
                <w:color w:val="auto"/>
                <w:lang w:val="en-GB"/>
              </w:rPr>
              <w:t xml:space="preserve">  </w:t>
            </w:r>
            <w:r w:rsidR="0001227A" w:rsidRPr="00DB2166">
              <w:rPr>
                <w:color w:val="auto"/>
                <w:lang w:val="en-GB"/>
              </w:rPr>
              <w:t xml:space="preserve">  </w:t>
            </w:r>
            <w:r w:rsidR="00C7525E">
              <w:rPr>
                <w:color w:val="auto"/>
                <w:lang w:val="en-GB"/>
              </w:rPr>
              <w:t xml:space="preserve">                      </w:t>
            </w:r>
            <w:r w:rsidR="008525C1">
              <w:rPr>
                <w:color w:val="auto"/>
                <w:lang w:val="en-GB"/>
              </w:rPr>
              <w:t>2022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3C04DFF5" w14:textId="77777777" w:rsidR="00C91B5F" w:rsidRPr="00D2082D" w:rsidRDefault="00C91B5F" w:rsidP="003A7E0E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819" w:type="dxa"/>
          </w:tcPr>
          <w:p w14:paraId="221083F6" w14:textId="2E927F70" w:rsidR="00C91B5F" w:rsidRPr="00DB2166" w:rsidRDefault="00C91B5F" w:rsidP="00403597">
            <w:pPr>
              <w:pStyle w:val="Signed"/>
              <w:jc w:val="left"/>
              <w:rPr>
                <w:color w:val="auto"/>
              </w:rPr>
            </w:pPr>
            <w:r w:rsidRPr="00DB2166">
              <w:rPr>
                <w:rStyle w:val="SignedBold"/>
                <w:color w:val="auto"/>
              </w:rPr>
              <w:t>Signed</w:t>
            </w:r>
            <w:r w:rsidRPr="00DB2166">
              <w:rPr>
                <w:color w:val="auto"/>
              </w:rPr>
              <w:t xml:space="preserve"> for and on behalf of the </w:t>
            </w:r>
            <w:r w:rsidR="007259FE" w:rsidRPr="00DB2166">
              <w:rPr>
                <w:color w:val="auto"/>
              </w:rPr>
              <w:t>Northern Territory</w:t>
            </w:r>
            <w:r w:rsidRPr="00DB2166">
              <w:rPr>
                <w:color w:val="auto"/>
              </w:rPr>
              <w:t xml:space="preserve"> by</w:t>
            </w:r>
          </w:p>
          <w:p w14:paraId="6EA3328E" w14:textId="77777777" w:rsidR="00C91B5F" w:rsidRPr="00DB2166" w:rsidRDefault="00C91B5F" w:rsidP="003A7E0E">
            <w:pPr>
              <w:pStyle w:val="LineForSignature"/>
              <w:rPr>
                <w:color w:val="auto"/>
              </w:rPr>
            </w:pPr>
            <w:r w:rsidRPr="00DB2166">
              <w:rPr>
                <w:color w:val="auto"/>
              </w:rPr>
              <w:br/>
            </w:r>
            <w:r w:rsidRPr="00DB2166">
              <w:rPr>
                <w:color w:val="auto"/>
              </w:rPr>
              <w:tab/>
            </w:r>
          </w:p>
          <w:p w14:paraId="05D768A7" w14:textId="77777777" w:rsidR="00C91B5F" w:rsidRPr="00DB2166" w:rsidRDefault="00C91B5F" w:rsidP="003A7E0E">
            <w:pPr>
              <w:pStyle w:val="SingleParagraph"/>
              <w:rPr>
                <w:rStyle w:val="Bold"/>
                <w:color w:val="auto"/>
              </w:rPr>
            </w:pPr>
            <w:r w:rsidRPr="00DB2166">
              <w:rPr>
                <w:rStyle w:val="Bold"/>
                <w:color w:val="auto"/>
              </w:rPr>
              <w:t xml:space="preserve">The Honourable </w:t>
            </w:r>
            <w:r w:rsidR="007259FE" w:rsidRPr="00DB2166">
              <w:rPr>
                <w:rStyle w:val="Bold"/>
                <w:color w:val="auto"/>
              </w:rPr>
              <w:t>Natasha Fyles</w:t>
            </w:r>
            <w:r w:rsidRPr="00DB2166">
              <w:rPr>
                <w:rStyle w:val="Bold"/>
                <w:color w:val="auto"/>
              </w:rPr>
              <w:t xml:space="preserve"> M</w:t>
            </w:r>
            <w:r w:rsidR="007259FE" w:rsidRPr="00DB2166">
              <w:rPr>
                <w:rStyle w:val="Bold"/>
                <w:color w:val="auto"/>
              </w:rPr>
              <w:t>LA</w:t>
            </w:r>
          </w:p>
          <w:p w14:paraId="33D673E9" w14:textId="6C25440A" w:rsidR="00C91B5F" w:rsidRPr="00DB2166" w:rsidRDefault="008525C1" w:rsidP="003A7E0E">
            <w:pPr>
              <w:pStyle w:val="Position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Chief Minister </w:t>
            </w:r>
          </w:p>
          <w:p w14:paraId="45296FAF" w14:textId="6E63554A" w:rsidR="00C91B5F" w:rsidRPr="009C4D69" w:rsidRDefault="00774808" w:rsidP="00BD220C">
            <w:pPr>
              <w:rPr>
                <w:rFonts w:ascii="Corbel" w:hAnsi="Corbel"/>
                <w:sz w:val="23"/>
                <w:lang w:val="en-GB"/>
              </w:rPr>
            </w:pPr>
            <w:r w:rsidRPr="00DB2166">
              <w:rPr>
                <w:sz w:val="23"/>
                <w:lang w:val="en-GB"/>
              </w:rPr>
              <w:t xml:space="preserve">     </w:t>
            </w:r>
            <w:r w:rsidR="00DA5879" w:rsidRPr="00DB2166">
              <w:rPr>
                <w:sz w:val="23"/>
                <w:lang w:val="en-GB"/>
              </w:rPr>
              <w:t xml:space="preserve">  </w:t>
            </w:r>
            <w:r w:rsidR="008525C1">
              <w:rPr>
                <w:sz w:val="23"/>
                <w:lang w:val="en-GB"/>
              </w:rPr>
              <w:t xml:space="preserve">  </w:t>
            </w:r>
            <w:r w:rsidR="00C7525E">
              <w:rPr>
                <w:sz w:val="23"/>
                <w:lang w:val="en-GB"/>
              </w:rPr>
              <w:t xml:space="preserve">                  </w:t>
            </w:r>
            <w:r w:rsidR="008525C1">
              <w:rPr>
                <w:sz w:val="23"/>
                <w:lang w:val="en-GB"/>
              </w:rPr>
              <w:t xml:space="preserve">   </w:t>
            </w:r>
            <w:r w:rsidR="008525C1" w:rsidRPr="009C4D69">
              <w:rPr>
                <w:rFonts w:ascii="Corbel" w:hAnsi="Corbel"/>
                <w:sz w:val="23"/>
                <w:lang w:val="en-GB"/>
              </w:rPr>
              <w:t>2022</w:t>
            </w:r>
          </w:p>
        </w:tc>
      </w:tr>
      <w:tr w:rsidR="00C7525E" w:rsidRPr="00D2082D" w14:paraId="2DA7DC0D" w14:textId="77777777" w:rsidTr="00403597">
        <w:trPr>
          <w:cantSplit/>
          <w:jc w:val="center"/>
        </w:trPr>
        <w:tc>
          <w:tcPr>
            <w:tcW w:w="4536" w:type="dxa"/>
          </w:tcPr>
          <w:p w14:paraId="5960C550" w14:textId="77777777" w:rsidR="00C7525E" w:rsidRPr="00DB2166" w:rsidRDefault="00C7525E" w:rsidP="003A7E0E">
            <w:pPr>
              <w:pStyle w:val="Signed"/>
              <w:rPr>
                <w:rStyle w:val="SignedBold"/>
                <w:color w:val="auto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07E613B" w14:textId="77777777" w:rsidR="00C7525E" w:rsidRPr="00D2082D" w:rsidRDefault="00C7525E" w:rsidP="003A7E0E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819" w:type="dxa"/>
          </w:tcPr>
          <w:p w14:paraId="3B65061A" w14:textId="77777777" w:rsidR="00C7525E" w:rsidRPr="00DB2166" w:rsidRDefault="00C7525E" w:rsidP="00403597">
            <w:pPr>
              <w:pStyle w:val="Signed"/>
              <w:jc w:val="left"/>
              <w:rPr>
                <w:rStyle w:val="SignedBold"/>
                <w:color w:val="auto"/>
              </w:rPr>
            </w:pPr>
          </w:p>
        </w:tc>
      </w:tr>
    </w:tbl>
    <w:p w14:paraId="7CE627CB" w14:textId="77777777" w:rsidR="00884E8F" w:rsidRPr="00D2082D" w:rsidRDefault="00C91B5F" w:rsidP="00884E8F">
      <w:r w:rsidRPr="00D2082D">
        <w:rPr>
          <w:lang w:val="en-GB"/>
        </w:rPr>
        <w:t xml:space="preserve"> </w:t>
      </w:r>
    </w:p>
    <w:p w14:paraId="249199CC" w14:textId="77777777" w:rsidR="00884E8F" w:rsidRPr="00D2082D" w:rsidRDefault="00884E8F" w:rsidP="00884E8F"/>
    <w:p w14:paraId="4C8AD0B6" w14:textId="3DFFFAE9" w:rsidR="003235E0" w:rsidRPr="00D2082D" w:rsidRDefault="00884E8F" w:rsidP="008525C1">
      <w:pPr>
        <w:tabs>
          <w:tab w:val="left" w:pos="3865"/>
        </w:tabs>
      </w:pPr>
      <w:r w:rsidRPr="00D2082D">
        <w:tab/>
      </w:r>
    </w:p>
    <w:sectPr w:rsidR="003235E0" w:rsidRPr="00D2082D">
      <w:headerReference w:type="even" r:id="rId18"/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F0B5" w14:textId="77777777" w:rsidR="00B10F60" w:rsidRDefault="00B10F60">
      <w:r>
        <w:separator/>
      </w:r>
    </w:p>
  </w:endnote>
  <w:endnote w:type="continuationSeparator" w:id="0">
    <w:p w14:paraId="4D083750" w14:textId="77777777" w:rsidR="00B10F60" w:rsidRDefault="00B10F60">
      <w:r>
        <w:continuationSeparator/>
      </w:r>
    </w:p>
  </w:endnote>
  <w:endnote w:type="continuationNotice" w:id="1">
    <w:p w14:paraId="363B7148" w14:textId="77777777" w:rsidR="00B10F60" w:rsidRDefault="00B10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2CAA" w14:textId="77777777" w:rsidR="00B10F60" w:rsidRDefault="00B10F60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FD2C" w14:textId="1E2E295B" w:rsidR="00B10F60" w:rsidRDefault="00B10F60" w:rsidP="003A7E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459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E62A4" w14:textId="041B6BDF" w:rsidR="00B10F60" w:rsidRDefault="00B10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02CB" w14:textId="77777777" w:rsidR="00B10F60" w:rsidRDefault="00B10F60">
      <w:r>
        <w:separator/>
      </w:r>
    </w:p>
  </w:footnote>
  <w:footnote w:type="continuationSeparator" w:id="0">
    <w:p w14:paraId="38B176D0" w14:textId="77777777" w:rsidR="00B10F60" w:rsidRDefault="00B10F60">
      <w:r>
        <w:continuationSeparator/>
      </w:r>
    </w:p>
  </w:footnote>
  <w:footnote w:type="continuationNotice" w:id="1">
    <w:p w14:paraId="116BD933" w14:textId="77777777" w:rsidR="00B10F60" w:rsidRDefault="00B10F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834F" w14:textId="10D8BE72" w:rsidR="00DC7AFC" w:rsidRPr="000B71E0" w:rsidRDefault="00DC7AFC" w:rsidP="00DC7AFC">
    <w:pPr>
      <w:pStyle w:val="Title"/>
      <w:jc w:val="center"/>
      <w:rPr>
        <w:color w:val="FF0000"/>
      </w:rPr>
    </w:pPr>
    <w:r w:rsidRPr="000B71E0">
      <w:rPr>
        <w:color w:val="FF0000"/>
      </w:rPr>
      <w:t xml:space="preserve">AGREED </w:t>
    </w:r>
    <w:r>
      <w:rPr>
        <w:color w:val="FF0000"/>
      </w:rPr>
      <w:t>ADDE</w:t>
    </w:r>
    <w:r w:rsidR="0035018A">
      <w:rPr>
        <w:color w:val="FF0000"/>
      </w:rPr>
      <w:t>N</w:t>
    </w:r>
    <w:r>
      <w:rPr>
        <w:color w:val="FF0000"/>
      </w:rPr>
      <w:t>DUM</w:t>
    </w:r>
  </w:p>
  <w:p w14:paraId="7C09433D" w14:textId="77777777" w:rsidR="00DC7AFC" w:rsidRDefault="00DC7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A6E7" w14:textId="77777777" w:rsidR="00B10F60" w:rsidRDefault="00B10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84A3" w14:textId="77777777" w:rsidR="00B10F60" w:rsidRDefault="00B10F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5EFB" w14:textId="77777777" w:rsidR="00B10F60" w:rsidRDefault="00B10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BE6"/>
    <w:multiLevelType w:val="hybridMultilevel"/>
    <w:tmpl w:val="A1B6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7272"/>
    <w:multiLevelType w:val="hybridMultilevel"/>
    <w:tmpl w:val="D8387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F9A"/>
    <w:multiLevelType w:val="hybridMultilevel"/>
    <w:tmpl w:val="BA2A6D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4448"/>
    <w:multiLevelType w:val="hybridMultilevel"/>
    <w:tmpl w:val="2338685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1715A"/>
    <w:multiLevelType w:val="hybridMultilevel"/>
    <w:tmpl w:val="BA2A6D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F28"/>
    <w:multiLevelType w:val="hybridMultilevel"/>
    <w:tmpl w:val="BA2A6D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50A0"/>
    <w:multiLevelType w:val="hybridMultilevel"/>
    <w:tmpl w:val="EE96B2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6394"/>
    <w:multiLevelType w:val="hybridMultilevel"/>
    <w:tmpl w:val="BA2A6D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4039"/>
    <w:multiLevelType w:val="hybridMultilevel"/>
    <w:tmpl w:val="BA2A6D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A3AC6"/>
    <w:multiLevelType w:val="hybridMultilevel"/>
    <w:tmpl w:val="BA2A6D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944C5"/>
    <w:multiLevelType w:val="hybridMultilevel"/>
    <w:tmpl w:val="749AA2B6"/>
    <w:lvl w:ilvl="0" w:tplc="B20E3B5A">
      <w:start w:val="1"/>
      <w:numFmt w:val="lowerRoman"/>
      <w:lvlText w:val="%1."/>
      <w:lvlJc w:val="righ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6B3913"/>
    <w:multiLevelType w:val="hybridMultilevel"/>
    <w:tmpl w:val="BA2A6D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75FE7"/>
    <w:multiLevelType w:val="hybridMultilevel"/>
    <w:tmpl w:val="BA2A6D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A70CE"/>
    <w:multiLevelType w:val="hybridMultilevel"/>
    <w:tmpl w:val="BA2A6D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50C1"/>
    <w:multiLevelType w:val="hybridMultilevel"/>
    <w:tmpl w:val="4016E9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23802C26">
      <w:numFmt w:val="bullet"/>
      <w:lvlText w:val="-"/>
      <w:lvlJc w:val="left"/>
      <w:pPr>
        <w:ind w:left="2340" w:hanging="360"/>
      </w:pPr>
      <w:rPr>
        <w:rFonts w:ascii="Corbel" w:eastAsia="Times New Roman" w:hAnsi="Corbe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D22D5"/>
    <w:multiLevelType w:val="hybridMultilevel"/>
    <w:tmpl w:val="D6BCABE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D3469B"/>
    <w:multiLevelType w:val="hybridMultilevel"/>
    <w:tmpl w:val="7F8ED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7271C"/>
    <w:multiLevelType w:val="hybridMultilevel"/>
    <w:tmpl w:val="1A88544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9" w15:restartNumberingAfterBreak="0">
    <w:nsid w:val="6E451FF1"/>
    <w:multiLevelType w:val="hybridMultilevel"/>
    <w:tmpl w:val="2338685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7DFD2758"/>
    <w:multiLevelType w:val="hybridMultilevel"/>
    <w:tmpl w:val="FE2C64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21"/>
  </w:num>
  <w:num w:numId="8">
    <w:abstractNumId w:val="5"/>
  </w:num>
  <w:num w:numId="9">
    <w:abstractNumId w:val="7"/>
  </w:num>
  <w:num w:numId="10">
    <w:abstractNumId w:val="4"/>
  </w:num>
  <w:num w:numId="11">
    <w:abstractNumId w:val="19"/>
  </w:num>
  <w:num w:numId="12">
    <w:abstractNumId w:val="10"/>
  </w:num>
  <w:num w:numId="13">
    <w:abstractNumId w:val="1"/>
  </w:num>
  <w:num w:numId="14">
    <w:abstractNumId w:val="8"/>
  </w:num>
  <w:num w:numId="15">
    <w:abstractNumId w:val="17"/>
  </w:num>
  <w:num w:numId="16">
    <w:abstractNumId w:val="3"/>
  </w:num>
  <w:num w:numId="17">
    <w:abstractNumId w:val="14"/>
  </w:num>
  <w:num w:numId="18">
    <w:abstractNumId w:val="15"/>
  </w:num>
  <w:num w:numId="19">
    <w:abstractNumId w:val="0"/>
  </w:num>
  <w:num w:numId="20">
    <w:abstractNumId w:val="2"/>
  </w:num>
  <w:num w:numId="21">
    <w:abstractNumId w:val="9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0177C"/>
    <w:rsid w:val="0001227A"/>
    <w:rsid w:val="00012F58"/>
    <w:rsid w:val="00027F6E"/>
    <w:rsid w:val="0003066F"/>
    <w:rsid w:val="000327B2"/>
    <w:rsid w:val="000331DA"/>
    <w:rsid w:val="000343D5"/>
    <w:rsid w:val="000366A7"/>
    <w:rsid w:val="0004060A"/>
    <w:rsid w:val="00040A40"/>
    <w:rsid w:val="00041755"/>
    <w:rsid w:val="00041C1A"/>
    <w:rsid w:val="000424A2"/>
    <w:rsid w:val="00042896"/>
    <w:rsid w:val="0004481B"/>
    <w:rsid w:val="00051962"/>
    <w:rsid w:val="00052B56"/>
    <w:rsid w:val="0005524A"/>
    <w:rsid w:val="000579BF"/>
    <w:rsid w:val="0006472E"/>
    <w:rsid w:val="0006555E"/>
    <w:rsid w:val="000707DC"/>
    <w:rsid w:val="000716D5"/>
    <w:rsid w:val="00073EF2"/>
    <w:rsid w:val="00074163"/>
    <w:rsid w:val="00085028"/>
    <w:rsid w:val="00085C9E"/>
    <w:rsid w:val="00090065"/>
    <w:rsid w:val="0009115B"/>
    <w:rsid w:val="00095DD1"/>
    <w:rsid w:val="00097E8B"/>
    <w:rsid w:val="000A07D5"/>
    <w:rsid w:val="000A2842"/>
    <w:rsid w:val="000B4575"/>
    <w:rsid w:val="000B6B12"/>
    <w:rsid w:val="000B6EDC"/>
    <w:rsid w:val="000B71E0"/>
    <w:rsid w:val="000C1B2E"/>
    <w:rsid w:val="000C363D"/>
    <w:rsid w:val="000C60BF"/>
    <w:rsid w:val="000E2AF5"/>
    <w:rsid w:val="000E6F80"/>
    <w:rsid w:val="000F22CD"/>
    <w:rsid w:val="000F363E"/>
    <w:rsid w:val="000F4E61"/>
    <w:rsid w:val="000F6A55"/>
    <w:rsid w:val="000F6E62"/>
    <w:rsid w:val="001034B0"/>
    <w:rsid w:val="00104A9A"/>
    <w:rsid w:val="00105194"/>
    <w:rsid w:val="00107122"/>
    <w:rsid w:val="00115F5C"/>
    <w:rsid w:val="00134C91"/>
    <w:rsid w:val="00140685"/>
    <w:rsid w:val="00145BB6"/>
    <w:rsid w:val="00152F7F"/>
    <w:rsid w:val="00153274"/>
    <w:rsid w:val="0015494D"/>
    <w:rsid w:val="00155053"/>
    <w:rsid w:val="00156870"/>
    <w:rsid w:val="00157185"/>
    <w:rsid w:val="00161109"/>
    <w:rsid w:val="00164FFB"/>
    <w:rsid w:val="00173AEB"/>
    <w:rsid w:val="00191833"/>
    <w:rsid w:val="00194382"/>
    <w:rsid w:val="00194A80"/>
    <w:rsid w:val="001A52E3"/>
    <w:rsid w:val="001B0ED0"/>
    <w:rsid w:val="001B1F19"/>
    <w:rsid w:val="001C02CF"/>
    <w:rsid w:val="001C535B"/>
    <w:rsid w:val="001E09AC"/>
    <w:rsid w:val="001E1036"/>
    <w:rsid w:val="001E153E"/>
    <w:rsid w:val="001E4566"/>
    <w:rsid w:val="00203AB8"/>
    <w:rsid w:val="00212ABD"/>
    <w:rsid w:val="0021633E"/>
    <w:rsid w:val="00225EF1"/>
    <w:rsid w:val="0023336F"/>
    <w:rsid w:val="0023558E"/>
    <w:rsid w:val="002415FB"/>
    <w:rsid w:val="0024223B"/>
    <w:rsid w:val="00244BCF"/>
    <w:rsid w:val="002521DC"/>
    <w:rsid w:val="00254A7B"/>
    <w:rsid w:val="00254F0E"/>
    <w:rsid w:val="00255684"/>
    <w:rsid w:val="0025588D"/>
    <w:rsid w:val="00256D24"/>
    <w:rsid w:val="002623B2"/>
    <w:rsid w:val="002641BD"/>
    <w:rsid w:val="0026644E"/>
    <w:rsid w:val="00270500"/>
    <w:rsid w:val="00274534"/>
    <w:rsid w:val="0027500A"/>
    <w:rsid w:val="00275F69"/>
    <w:rsid w:val="00277CF7"/>
    <w:rsid w:val="00277EF2"/>
    <w:rsid w:val="00285198"/>
    <w:rsid w:val="00285433"/>
    <w:rsid w:val="002945C8"/>
    <w:rsid w:val="00295C10"/>
    <w:rsid w:val="002A551F"/>
    <w:rsid w:val="002A56CD"/>
    <w:rsid w:val="002B380D"/>
    <w:rsid w:val="002C11A7"/>
    <w:rsid w:val="002C45D7"/>
    <w:rsid w:val="002C467D"/>
    <w:rsid w:val="002C5855"/>
    <w:rsid w:val="002C6F52"/>
    <w:rsid w:val="002D1D80"/>
    <w:rsid w:val="002D377C"/>
    <w:rsid w:val="002D3EEB"/>
    <w:rsid w:val="002D46B8"/>
    <w:rsid w:val="002D50E4"/>
    <w:rsid w:val="002D7561"/>
    <w:rsid w:val="002E2C3D"/>
    <w:rsid w:val="002E3902"/>
    <w:rsid w:val="002E3D92"/>
    <w:rsid w:val="002E5249"/>
    <w:rsid w:val="002E55E2"/>
    <w:rsid w:val="002E5763"/>
    <w:rsid w:val="002E6CC0"/>
    <w:rsid w:val="002E75A0"/>
    <w:rsid w:val="002F0307"/>
    <w:rsid w:val="002F23C7"/>
    <w:rsid w:val="002F45FE"/>
    <w:rsid w:val="002F7E8F"/>
    <w:rsid w:val="003061CE"/>
    <w:rsid w:val="00310A6A"/>
    <w:rsid w:val="00312467"/>
    <w:rsid w:val="003144F7"/>
    <w:rsid w:val="0031496F"/>
    <w:rsid w:val="003174C0"/>
    <w:rsid w:val="003235E0"/>
    <w:rsid w:val="00323C5E"/>
    <w:rsid w:val="00324080"/>
    <w:rsid w:val="00326FC6"/>
    <w:rsid w:val="00327B50"/>
    <w:rsid w:val="00331CDA"/>
    <w:rsid w:val="00337C58"/>
    <w:rsid w:val="00342A60"/>
    <w:rsid w:val="00342E5C"/>
    <w:rsid w:val="00343549"/>
    <w:rsid w:val="0035018A"/>
    <w:rsid w:val="003545A7"/>
    <w:rsid w:val="00356513"/>
    <w:rsid w:val="00361D25"/>
    <w:rsid w:val="00362B48"/>
    <w:rsid w:val="003701E5"/>
    <w:rsid w:val="0037413C"/>
    <w:rsid w:val="003747A4"/>
    <w:rsid w:val="00381E11"/>
    <w:rsid w:val="00381EAD"/>
    <w:rsid w:val="00381EAF"/>
    <w:rsid w:val="00383389"/>
    <w:rsid w:val="003864CE"/>
    <w:rsid w:val="00394F64"/>
    <w:rsid w:val="003A6264"/>
    <w:rsid w:val="003A7E0E"/>
    <w:rsid w:val="003B0F63"/>
    <w:rsid w:val="003B57ED"/>
    <w:rsid w:val="003C2F61"/>
    <w:rsid w:val="003C493B"/>
    <w:rsid w:val="003D0DD8"/>
    <w:rsid w:val="003E3B5B"/>
    <w:rsid w:val="003F273A"/>
    <w:rsid w:val="003F2EB3"/>
    <w:rsid w:val="003F6CFB"/>
    <w:rsid w:val="003F6DC7"/>
    <w:rsid w:val="004019A2"/>
    <w:rsid w:val="00403597"/>
    <w:rsid w:val="004040AD"/>
    <w:rsid w:val="00407DB2"/>
    <w:rsid w:val="00412253"/>
    <w:rsid w:val="00420536"/>
    <w:rsid w:val="00427055"/>
    <w:rsid w:val="0043368C"/>
    <w:rsid w:val="00433C30"/>
    <w:rsid w:val="00434C6D"/>
    <w:rsid w:val="004359AE"/>
    <w:rsid w:val="004436F6"/>
    <w:rsid w:val="00445509"/>
    <w:rsid w:val="00450B4F"/>
    <w:rsid w:val="00456EBE"/>
    <w:rsid w:val="00462811"/>
    <w:rsid w:val="00463519"/>
    <w:rsid w:val="00466ED4"/>
    <w:rsid w:val="00470001"/>
    <w:rsid w:val="00475392"/>
    <w:rsid w:val="00481C18"/>
    <w:rsid w:val="004850A3"/>
    <w:rsid w:val="00486F0C"/>
    <w:rsid w:val="00492CBB"/>
    <w:rsid w:val="00496D3A"/>
    <w:rsid w:val="004A07D5"/>
    <w:rsid w:val="004A2729"/>
    <w:rsid w:val="004A3B96"/>
    <w:rsid w:val="004A436F"/>
    <w:rsid w:val="004A43CE"/>
    <w:rsid w:val="004A4821"/>
    <w:rsid w:val="004B26BF"/>
    <w:rsid w:val="004C2105"/>
    <w:rsid w:val="004C6D11"/>
    <w:rsid w:val="004C7758"/>
    <w:rsid w:val="004D1178"/>
    <w:rsid w:val="004D2DDD"/>
    <w:rsid w:val="004D35A4"/>
    <w:rsid w:val="004D6C5F"/>
    <w:rsid w:val="004D6FAB"/>
    <w:rsid w:val="004E2151"/>
    <w:rsid w:val="004E40CF"/>
    <w:rsid w:val="004E4351"/>
    <w:rsid w:val="004E5E37"/>
    <w:rsid w:val="004F1364"/>
    <w:rsid w:val="004F57A5"/>
    <w:rsid w:val="004F5A5E"/>
    <w:rsid w:val="004F600A"/>
    <w:rsid w:val="004F7456"/>
    <w:rsid w:val="00502A6D"/>
    <w:rsid w:val="005108BE"/>
    <w:rsid w:val="005124FF"/>
    <w:rsid w:val="00514465"/>
    <w:rsid w:val="005144D5"/>
    <w:rsid w:val="00515F19"/>
    <w:rsid w:val="0051712B"/>
    <w:rsid w:val="005171EE"/>
    <w:rsid w:val="00523ADE"/>
    <w:rsid w:val="00534AFC"/>
    <w:rsid w:val="0053666A"/>
    <w:rsid w:val="005410BA"/>
    <w:rsid w:val="00547A73"/>
    <w:rsid w:val="005502B5"/>
    <w:rsid w:val="00552916"/>
    <w:rsid w:val="00561DE4"/>
    <w:rsid w:val="00567707"/>
    <w:rsid w:val="0057124B"/>
    <w:rsid w:val="0057137E"/>
    <w:rsid w:val="00576E7E"/>
    <w:rsid w:val="00581260"/>
    <w:rsid w:val="00583E11"/>
    <w:rsid w:val="00586B93"/>
    <w:rsid w:val="00590B10"/>
    <w:rsid w:val="00593A67"/>
    <w:rsid w:val="0059432C"/>
    <w:rsid w:val="005957F2"/>
    <w:rsid w:val="00597FCC"/>
    <w:rsid w:val="005A0553"/>
    <w:rsid w:val="005B49A0"/>
    <w:rsid w:val="005B55D9"/>
    <w:rsid w:val="005B64B6"/>
    <w:rsid w:val="005B7B88"/>
    <w:rsid w:val="005C09CA"/>
    <w:rsid w:val="005C5E06"/>
    <w:rsid w:val="005D27D0"/>
    <w:rsid w:val="005D3027"/>
    <w:rsid w:val="005E0B62"/>
    <w:rsid w:val="005E5051"/>
    <w:rsid w:val="005E7833"/>
    <w:rsid w:val="005F10C6"/>
    <w:rsid w:val="005F2D97"/>
    <w:rsid w:val="005F5FC6"/>
    <w:rsid w:val="006001A1"/>
    <w:rsid w:val="00605804"/>
    <w:rsid w:val="00606831"/>
    <w:rsid w:val="006068D1"/>
    <w:rsid w:val="0061305E"/>
    <w:rsid w:val="00613778"/>
    <w:rsid w:val="00613F4F"/>
    <w:rsid w:val="006160AE"/>
    <w:rsid w:val="00624C37"/>
    <w:rsid w:val="00630EA3"/>
    <w:rsid w:val="00632060"/>
    <w:rsid w:val="00636669"/>
    <w:rsid w:val="00650E4B"/>
    <w:rsid w:val="00650F18"/>
    <w:rsid w:val="00652FD5"/>
    <w:rsid w:val="00660FAE"/>
    <w:rsid w:val="00664790"/>
    <w:rsid w:val="006647C0"/>
    <w:rsid w:val="00670C09"/>
    <w:rsid w:val="00672309"/>
    <w:rsid w:val="0068142A"/>
    <w:rsid w:val="0068740E"/>
    <w:rsid w:val="006A23A6"/>
    <w:rsid w:val="006A2B32"/>
    <w:rsid w:val="006A424B"/>
    <w:rsid w:val="006B2FF6"/>
    <w:rsid w:val="006B371E"/>
    <w:rsid w:val="006B420E"/>
    <w:rsid w:val="006B4C01"/>
    <w:rsid w:val="006B66AE"/>
    <w:rsid w:val="006B6D26"/>
    <w:rsid w:val="006B6E73"/>
    <w:rsid w:val="006C1367"/>
    <w:rsid w:val="006C5A7E"/>
    <w:rsid w:val="006D241D"/>
    <w:rsid w:val="006D570E"/>
    <w:rsid w:val="006D6BB8"/>
    <w:rsid w:val="006E25D8"/>
    <w:rsid w:val="006F1BB8"/>
    <w:rsid w:val="006F7267"/>
    <w:rsid w:val="0070010D"/>
    <w:rsid w:val="00703AC5"/>
    <w:rsid w:val="00704099"/>
    <w:rsid w:val="00706CC3"/>
    <w:rsid w:val="007073C6"/>
    <w:rsid w:val="007103E1"/>
    <w:rsid w:val="00715BFD"/>
    <w:rsid w:val="00717C1D"/>
    <w:rsid w:val="00720737"/>
    <w:rsid w:val="00721240"/>
    <w:rsid w:val="007226B1"/>
    <w:rsid w:val="0072525C"/>
    <w:rsid w:val="007259FE"/>
    <w:rsid w:val="007262F2"/>
    <w:rsid w:val="00727275"/>
    <w:rsid w:val="0074010A"/>
    <w:rsid w:val="00743FFD"/>
    <w:rsid w:val="0074465E"/>
    <w:rsid w:val="00756C53"/>
    <w:rsid w:val="00757DF1"/>
    <w:rsid w:val="0076158A"/>
    <w:rsid w:val="00762D4C"/>
    <w:rsid w:val="007636F3"/>
    <w:rsid w:val="00765E8D"/>
    <w:rsid w:val="00767844"/>
    <w:rsid w:val="00767B10"/>
    <w:rsid w:val="00774808"/>
    <w:rsid w:val="007767D5"/>
    <w:rsid w:val="00785986"/>
    <w:rsid w:val="0078710E"/>
    <w:rsid w:val="00792E42"/>
    <w:rsid w:val="00794A8A"/>
    <w:rsid w:val="007A0583"/>
    <w:rsid w:val="007A501A"/>
    <w:rsid w:val="007A7C37"/>
    <w:rsid w:val="007B098F"/>
    <w:rsid w:val="007B4236"/>
    <w:rsid w:val="007B7759"/>
    <w:rsid w:val="007C780E"/>
    <w:rsid w:val="007C79C8"/>
    <w:rsid w:val="007D191B"/>
    <w:rsid w:val="007D3BDE"/>
    <w:rsid w:val="007D7595"/>
    <w:rsid w:val="007E014B"/>
    <w:rsid w:val="007E0A92"/>
    <w:rsid w:val="007E37F5"/>
    <w:rsid w:val="007F6339"/>
    <w:rsid w:val="00800A54"/>
    <w:rsid w:val="00800E82"/>
    <w:rsid w:val="008045E9"/>
    <w:rsid w:val="008106D5"/>
    <w:rsid w:val="008116B2"/>
    <w:rsid w:val="008126A6"/>
    <w:rsid w:val="00815159"/>
    <w:rsid w:val="00816188"/>
    <w:rsid w:val="00816F6A"/>
    <w:rsid w:val="0081760D"/>
    <w:rsid w:val="00824158"/>
    <w:rsid w:val="00834BCE"/>
    <w:rsid w:val="00836682"/>
    <w:rsid w:val="0083746C"/>
    <w:rsid w:val="00841DF1"/>
    <w:rsid w:val="008465B5"/>
    <w:rsid w:val="008525C1"/>
    <w:rsid w:val="008542B7"/>
    <w:rsid w:val="00854392"/>
    <w:rsid w:val="008577B6"/>
    <w:rsid w:val="008605CA"/>
    <w:rsid w:val="00866541"/>
    <w:rsid w:val="00871744"/>
    <w:rsid w:val="00874DDC"/>
    <w:rsid w:val="0087629F"/>
    <w:rsid w:val="008773C3"/>
    <w:rsid w:val="00884254"/>
    <w:rsid w:val="00884E8F"/>
    <w:rsid w:val="00886E9D"/>
    <w:rsid w:val="00890A4C"/>
    <w:rsid w:val="00892527"/>
    <w:rsid w:val="008970A9"/>
    <w:rsid w:val="008B034D"/>
    <w:rsid w:val="008D018D"/>
    <w:rsid w:val="008D67F5"/>
    <w:rsid w:val="008D7DAC"/>
    <w:rsid w:val="008E64A9"/>
    <w:rsid w:val="008E7085"/>
    <w:rsid w:val="008F1AAD"/>
    <w:rsid w:val="008F58CC"/>
    <w:rsid w:val="008F76E1"/>
    <w:rsid w:val="0090717B"/>
    <w:rsid w:val="0090797F"/>
    <w:rsid w:val="00911C0C"/>
    <w:rsid w:val="00913991"/>
    <w:rsid w:val="00917B91"/>
    <w:rsid w:val="00930898"/>
    <w:rsid w:val="0093337B"/>
    <w:rsid w:val="00936E88"/>
    <w:rsid w:val="00940DD2"/>
    <w:rsid w:val="00941A33"/>
    <w:rsid w:val="009453A7"/>
    <w:rsid w:val="0094585D"/>
    <w:rsid w:val="00947297"/>
    <w:rsid w:val="0095064D"/>
    <w:rsid w:val="00954E92"/>
    <w:rsid w:val="00962AF0"/>
    <w:rsid w:val="00967C99"/>
    <w:rsid w:val="0097108D"/>
    <w:rsid w:val="009722E2"/>
    <w:rsid w:val="00985FCC"/>
    <w:rsid w:val="00986F61"/>
    <w:rsid w:val="00991FDC"/>
    <w:rsid w:val="00992C61"/>
    <w:rsid w:val="00992CCF"/>
    <w:rsid w:val="00997400"/>
    <w:rsid w:val="009A08C3"/>
    <w:rsid w:val="009A4818"/>
    <w:rsid w:val="009A51D4"/>
    <w:rsid w:val="009A5B2D"/>
    <w:rsid w:val="009A761A"/>
    <w:rsid w:val="009B0BD3"/>
    <w:rsid w:val="009B11E3"/>
    <w:rsid w:val="009C3443"/>
    <w:rsid w:val="009C3A1D"/>
    <w:rsid w:val="009C4D69"/>
    <w:rsid w:val="009D7C40"/>
    <w:rsid w:val="009E357C"/>
    <w:rsid w:val="009E7962"/>
    <w:rsid w:val="009F3398"/>
    <w:rsid w:val="009F6547"/>
    <w:rsid w:val="009F7147"/>
    <w:rsid w:val="009F7CBE"/>
    <w:rsid w:val="00A020B2"/>
    <w:rsid w:val="00A0373C"/>
    <w:rsid w:val="00A13B1C"/>
    <w:rsid w:val="00A25A74"/>
    <w:rsid w:val="00A27249"/>
    <w:rsid w:val="00A3370C"/>
    <w:rsid w:val="00A3683D"/>
    <w:rsid w:val="00A37DCD"/>
    <w:rsid w:val="00A46E6A"/>
    <w:rsid w:val="00A47A76"/>
    <w:rsid w:val="00A54D4B"/>
    <w:rsid w:val="00A55841"/>
    <w:rsid w:val="00A57C33"/>
    <w:rsid w:val="00A61F5E"/>
    <w:rsid w:val="00A64C83"/>
    <w:rsid w:val="00A66C02"/>
    <w:rsid w:val="00A70795"/>
    <w:rsid w:val="00A7101C"/>
    <w:rsid w:val="00A72B0A"/>
    <w:rsid w:val="00A932CC"/>
    <w:rsid w:val="00A94079"/>
    <w:rsid w:val="00AA3CBB"/>
    <w:rsid w:val="00AB0F9B"/>
    <w:rsid w:val="00AB3F9E"/>
    <w:rsid w:val="00AC0472"/>
    <w:rsid w:val="00AC2B00"/>
    <w:rsid w:val="00AC5AE8"/>
    <w:rsid w:val="00AD25CC"/>
    <w:rsid w:val="00AE3BDE"/>
    <w:rsid w:val="00AE53B4"/>
    <w:rsid w:val="00AE6C44"/>
    <w:rsid w:val="00AE74B8"/>
    <w:rsid w:val="00AF6570"/>
    <w:rsid w:val="00AF7D54"/>
    <w:rsid w:val="00B0489F"/>
    <w:rsid w:val="00B06040"/>
    <w:rsid w:val="00B10F60"/>
    <w:rsid w:val="00B14AA2"/>
    <w:rsid w:val="00B2638E"/>
    <w:rsid w:val="00B26EBC"/>
    <w:rsid w:val="00B308B1"/>
    <w:rsid w:val="00B35BEE"/>
    <w:rsid w:val="00B3726D"/>
    <w:rsid w:val="00B415F6"/>
    <w:rsid w:val="00B42EAF"/>
    <w:rsid w:val="00B44E61"/>
    <w:rsid w:val="00B53912"/>
    <w:rsid w:val="00B63D77"/>
    <w:rsid w:val="00B64B67"/>
    <w:rsid w:val="00B66AC8"/>
    <w:rsid w:val="00B6734F"/>
    <w:rsid w:val="00B673F4"/>
    <w:rsid w:val="00B67424"/>
    <w:rsid w:val="00B713E0"/>
    <w:rsid w:val="00B71851"/>
    <w:rsid w:val="00B71FB6"/>
    <w:rsid w:val="00B76B19"/>
    <w:rsid w:val="00B77159"/>
    <w:rsid w:val="00B77CE6"/>
    <w:rsid w:val="00B83991"/>
    <w:rsid w:val="00B865B6"/>
    <w:rsid w:val="00B86F89"/>
    <w:rsid w:val="00B9377E"/>
    <w:rsid w:val="00B960C3"/>
    <w:rsid w:val="00BA0E39"/>
    <w:rsid w:val="00BA0FD5"/>
    <w:rsid w:val="00BA2172"/>
    <w:rsid w:val="00BA233A"/>
    <w:rsid w:val="00BA3213"/>
    <w:rsid w:val="00BA50A4"/>
    <w:rsid w:val="00BA7D5E"/>
    <w:rsid w:val="00BA7ED5"/>
    <w:rsid w:val="00BC1153"/>
    <w:rsid w:val="00BC3DE0"/>
    <w:rsid w:val="00BD220C"/>
    <w:rsid w:val="00BD3CA4"/>
    <w:rsid w:val="00BE4192"/>
    <w:rsid w:val="00BF0193"/>
    <w:rsid w:val="00BF0AB8"/>
    <w:rsid w:val="00C016FF"/>
    <w:rsid w:val="00C018A9"/>
    <w:rsid w:val="00C03B22"/>
    <w:rsid w:val="00C04313"/>
    <w:rsid w:val="00C05C95"/>
    <w:rsid w:val="00C06B01"/>
    <w:rsid w:val="00C06EE3"/>
    <w:rsid w:val="00C12DC4"/>
    <w:rsid w:val="00C17F14"/>
    <w:rsid w:val="00C22A10"/>
    <w:rsid w:val="00C24DB0"/>
    <w:rsid w:val="00C302D4"/>
    <w:rsid w:val="00C31DE2"/>
    <w:rsid w:val="00C33962"/>
    <w:rsid w:val="00C340EA"/>
    <w:rsid w:val="00C349A7"/>
    <w:rsid w:val="00C40439"/>
    <w:rsid w:val="00C44BCF"/>
    <w:rsid w:val="00C45EE4"/>
    <w:rsid w:val="00C4619E"/>
    <w:rsid w:val="00C4673B"/>
    <w:rsid w:val="00C47874"/>
    <w:rsid w:val="00C506EF"/>
    <w:rsid w:val="00C53E52"/>
    <w:rsid w:val="00C56FAD"/>
    <w:rsid w:val="00C57CA2"/>
    <w:rsid w:val="00C61245"/>
    <w:rsid w:val="00C7305C"/>
    <w:rsid w:val="00C7525E"/>
    <w:rsid w:val="00C91B5F"/>
    <w:rsid w:val="00C93F44"/>
    <w:rsid w:val="00C96ED2"/>
    <w:rsid w:val="00CA2BA6"/>
    <w:rsid w:val="00CA7F0B"/>
    <w:rsid w:val="00CB1FA9"/>
    <w:rsid w:val="00CC02A3"/>
    <w:rsid w:val="00CC2E04"/>
    <w:rsid w:val="00CC3869"/>
    <w:rsid w:val="00CC4035"/>
    <w:rsid w:val="00CC5329"/>
    <w:rsid w:val="00CC6F5E"/>
    <w:rsid w:val="00CC7001"/>
    <w:rsid w:val="00CE1656"/>
    <w:rsid w:val="00CE1C6A"/>
    <w:rsid w:val="00CE2251"/>
    <w:rsid w:val="00CE612B"/>
    <w:rsid w:val="00CF0352"/>
    <w:rsid w:val="00CF2213"/>
    <w:rsid w:val="00CF495A"/>
    <w:rsid w:val="00D00097"/>
    <w:rsid w:val="00D03598"/>
    <w:rsid w:val="00D04861"/>
    <w:rsid w:val="00D1622F"/>
    <w:rsid w:val="00D2082D"/>
    <w:rsid w:val="00D26F71"/>
    <w:rsid w:val="00D27754"/>
    <w:rsid w:val="00D342E1"/>
    <w:rsid w:val="00D36DF2"/>
    <w:rsid w:val="00D40ADA"/>
    <w:rsid w:val="00D449B7"/>
    <w:rsid w:val="00D46A4E"/>
    <w:rsid w:val="00D51FBB"/>
    <w:rsid w:val="00D54AD5"/>
    <w:rsid w:val="00D558F8"/>
    <w:rsid w:val="00D57A0F"/>
    <w:rsid w:val="00D6093F"/>
    <w:rsid w:val="00D6469C"/>
    <w:rsid w:val="00D650C0"/>
    <w:rsid w:val="00D659B9"/>
    <w:rsid w:val="00D71036"/>
    <w:rsid w:val="00D75816"/>
    <w:rsid w:val="00D8093F"/>
    <w:rsid w:val="00D827B3"/>
    <w:rsid w:val="00D8323D"/>
    <w:rsid w:val="00D86BD8"/>
    <w:rsid w:val="00D86E8C"/>
    <w:rsid w:val="00D920D1"/>
    <w:rsid w:val="00D923F4"/>
    <w:rsid w:val="00D94D6B"/>
    <w:rsid w:val="00D95846"/>
    <w:rsid w:val="00DA3FD8"/>
    <w:rsid w:val="00DA55C0"/>
    <w:rsid w:val="00DA5879"/>
    <w:rsid w:val="00DA5B6A"/>
    <w:rsid w:val="00DA62DD"/>
    <w:rsid w:val="00DA680D"/>
    <w:rsid w:val="00DB09D8"/>
    <w:rsid w:val="00DB1A93"/>
    <w:rsid w:val="00DB2166"/>
    <w:rsid w:val="00DB3A0E"/>
    <w:rsid w:val="00DB7BAE"/>
    <w:rsid w:val="00DC2C51"/>
    <w:rsid w:val="00DC6EC1"/>
    <w:rsid w:val="00DC7AFC"/>
    <w:rsid w:val="00DD0688"/>
    <w:rsid w:val="00DD72C4"/>
    <w:rsid w:val="00DE1CAF"/>
    <w:rsid w:val="00DE250C"/>
    <w:rsid w:val="00DE2D91"/>
    <w:rsid w:val="00DE7211"/>
    <w:rsid w:val="00DE7A05"/>
    <w:rsid w:val="00DF01C0"/>
    <w:rsid w:val="00DF0514"/>
    <w:rsid w:val="00E009AB"/>
    <w:rsid w:val="00E04AEE"/>
    <w:rsid w:val="00E0573E"/>
    <w:rsid w:val="00E0618F"/>
    <w:rsid w:val="00E072DA"/>
    <w:rsid w:val="00E112E2"/>
    <w:rsid w:val="00E1238D"/>
    <w:rsid w:val="00E143F1"/>
    <w:rsid w:val="00E17818"/>
    <w:rsid w:val="00E24C22"/>
    <w:rsid w:val="00E33092"/>
    <w:rsid w:val="00E40E32"/>
    <w:rsid w:val="00E5163C"/>
    <w:rsid w:val="00E55949"/>
    <w:rsid w:val="00E56AF3"/>
    <w:rsid w:val="00E66A0F"/>
    <w:rsid w:val="00E74B4C"/>
    <w:rsid w:val="00E756C6"/>
    <w:rsid w:val="00E77CF4"/>
    <w:rsid w:val="00E80CF9"/>
    <w:rsid w:val="00E82F0C"/>
    <w:rsid w:val="00E84C3A"/>
    <w:rsid w:val="00E903B1"/>
    <w:rsid w:val="00E90D88"/>
    <w:rsid w:val="00E976AB"/>
    <w:rsid w:val="00E97E7E"/>
    <w:rsid w:val="00EA60EA"/>
    <w:rsid w:val="00EB2E01"/>
    <w:rsid w:val="00EB7969"/>
    <w:rsid w:val="00EC382E"/>
    <w:rsid w:val="00ED1AA6"/>
    <w:rsid w:val="00EE4E67"/>
    <w:rsid w:val="00EF131B"/>
    <w:rsid w:val="00EF5658"/>
    <w:rsid w:val="00EF718A"/>
    <w:rsid w:val="00F0490A"/>
    <w:rsid w:val="00F05A9A"/>
    <w:rsid w:val="00F169C0"/>
    <w:rsid w:val="00F2253D"/>
    <w:rsid w:val="00F31389"/>
    <w:rsid w:val="00F3756F"/>
    <w:rsid w:val="00F40AEF"/>
    <w:rsid w:val="00F44D0C"/>
    <w:rsid w:val="00F4652E"/>
    <w:rsid w:val="00F47A5D"/>
    <w:rsid w:val="00F50E9A"/>
    <w:rsid w:val="00F518FB"/>
    <w:rsid w:val="00F51C78"/>
    <w:rsid w:val="00F52A79"/>
    <w:rsid w:val="00F647C8"/>
    <w:rsid w:val="00F649C0"/>
    <w:rsid w:val="00F67AE2"/>
    <w:rsid w:val="00F72924"/>
    <w:rsid w:val="00F8242C"/>
    <w:rsid w:val="00F87655"/>
    <w:rsid w:val="00F96614"/>
    <w:rsid w:val="00F9754E"/>
    <w:rsid w:val="00FA0F25"/>
    <w:rsid w:val="00FA6067"/>
    <w:rsid w:val="00FA6C61"/>
    <w:rsid w:val="00FB10DC"/>
    <w:rsid w:val="00FB311B"/>
    <w:rsid w:val="00FC0C31"/>
    <w:rsid w:val="00FC2CD7"/>
    <w:rsid w:val="00FC3B43"/>
    <w:rsid w:val="00FD1DFB"/>
    <w:rsid w:val="00FD2E2E"/>
    <w:rsid w:val="00FE055E"/>
    <w:rsid w:val="00FE30E7"/>
    <w:rsid w:val="00FE5EA9"/>
    <w:rsid w:val="00FE77B6"/>
    <w:rsid w:val="00FF0E7D"/>
    <w:rsid w:val="00FF2D6A"/>
    <w:rsid w:val="00FF697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A9B0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7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6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0A28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rsid w:val="000A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A2842"/>
    <w:pPr>
      <w:widowControl/>
      <w:spacing w:before="240"/>
    </w:pPr>
    <w:rPr>
      <w:rFonts w:ascii="Times New Roman" w:eastAsia="Batang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842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42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916"/>
    <w:pPr>
      <w:widowControl w:val="0"/>
      <w:spacing w:before="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916"/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F7D5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A551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6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277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_dlc_DocId xmlns="0f563589-9cf9-4143-b1eb-fb0534803d38">2023FG-64-112949</_dlc_DocId>
    <_dlc_DocIdUrl xmlns="0f563589-9cf9-4143-b1eb-fb0534803d38">
      <Url>http://tweb/sites/fg/csrd/_layouts/15/DocIdRedir.aspx?ID=2023FG-64-112949</Url>
      <Description>2023FG-64-112949</Description>
    </_dlc_DocIdUrl>
  </documentManagement>
</p:properti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8F35FB35-F149-49D4-B2E3-066468E57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1976C-4578-4515-9F6C-88BD419A828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94106D5-E5F3-4BBE-9DCC-E1D84DA8C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CB259F-CE52-4229-83A7-DFB2F1003AA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sharepoint/v4"/>
    <ds:schemaRef ds:uri="0f563589-9cf9-4143-b1eb-fb0534803d3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368DE60-A641-49EB-BA2B-0C9F8419243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45677CB-C064-4DA4-94B9-C26F7417D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58FE8D9-744E-43BA-AA3E-AB363FEF4D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2022-10-28T05:23:00Z</dcterms:created>
  <dcterms:modified xsi:type="dcterms:W3CDTF">2023-01-15T23:22:00Z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_dlc_DocIdItemGuid">
    <vt:lpwstr>31ceb03a-13ce-454f-9340-9d2774a723a1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lb508a4dc5e84436a0fe496b536466aa">
    <vt:lpwstr>TSY RA-8748 - Retain as national archives|243f2231-dbfc-4282-b24a-c9b768286bd0</vt:lpwstr>
  </property>
</Properties>
</file>