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2AE" w14:textId="0955D7E6"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CF2407F" w14:textId="77777777" w:rsidR="000A7AD6" w:rsidRDefault="000A4A4F" w:rsidP="002F18AE">
      <w:pPr>
        <w:pStyle w:val="Title"/>
      </w:pPr>
      <w:r>
        <w:t xml:space="preserve">Implementing </w:t>
      </w:r>
      <w:r w:rsidR="002F18AE">
        <w:t>Water Reform</w:t>
      </w:r>
      <w:r w:rsidR="005B5E51">
        <w:t xml:space="preserve"> </w:t>
      </w:r>
      <w:r w:rsidR="002F18AE">
        <w:t>in the Murray</w:t>
      </w:r>
      <w:r w:rsidR="00297613">
        <w:t>–</w:t>
      </w:r>
      <w:r w:rsidR="002F18AE">
        <w:t>Darling Basin</w:t>
      </w:r>
    </w:p>
    <w:p w14:paraId="6E043316" w14:textId="06649D46" w:rsidR="002F18AE" w:rsidRPr="001E20F4" w:rsidRDefault="000A7AD6" w:rsidP="000A7AD6">
      <w:pPr>
        <w:pStyle w:val="Title"/>
        <w:spacing w:after="120"/>
      </w:pPr>
      <w:r>
        <w:t>(2021/22 – 2023/24)</w:t>
      </w:r>
    </w:p>
    <w:p w14:paraId="028FB178" w14:textId="792DB406" w:rsidR="00C91B5F" w:rsidRPr="00BE249A" w:rsidRDefault="00D54783" w:rsidP="00C91B5F">
      <w:pPr>
        <w:pStyle w:val="Subtitle"/>
      </w:pPr>
      <w:r>
        <w:t xml:space="preserve">FEDERATION FUNDING AGREEMENT – </w:t>
      </w:r>
      <w:r w:rsidR="00152DDA">
        <w:t>ENVIRONMENT</w:t>
      </w:r>
    </w:p>
    <w:tbl>
      <w:tblPr>
        <w:tblW w:w="97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8080"/>
      </w:tblGrid>
      <w:tr w:rsidR="00C91B5F" w:rsidRPr="00F00A18" w14:paraId="2C1B1FCA" w14:textId="77777777" w:rsidTr="00545350">
        <w:tc>
          <w:tcPr>
            <w:tcW w:w="9771" w:type="dxa"/>
            <w:gridSpan w:val="2"/>
            <w:shd w:val="clear" w:color="auto" w:fill="DEEAF6" w:themeFill="accent1" w:themeFillTint="33"/>
          </w:tcPr>
          <w:p w14:paraId="5D980595" w14:textId="77777777" w:rsidR="00C91B5F" w:rsidRPr="00F00A18" w:rsidRDefault="00C91B5F" w:rsidP="002F18AE">
            <w:pPr>
              <w:pStyle w:val="Tableformat"/>
              <w:rPr>
                <w:b/>
                <w:color w:val="auto"/>
              </w:rPr>
            </w:pPr>
            <w:r w:rsidRPr="00F00A18">
              <w:rPr>
                <w:b/>
                <w:color w:val="auto"/>
              </w:rPr>
              <w:t>Table 1: Formalities and operation of schedule</w:t>
            </w:r>
          </w:p>
        </w:tc>
      </w:tr>
      <w:tr w:rsidR="00C91B5F" w:rsidRPr="00F00A18" w14:paraId="65A8E909" w14:textId="77777777" w:rsidTr="00545350">
        <w:tc>
          <w:tcPr>
            <w:tcW w:w="1691" w:type="dxa"/>
            <w:shd w:val="clear" w:color="auto" w:fill="auto"/>
          </w:tcPr>
          <w:p w14:paraId="279F6020" w14:textId="77777777" w:rsidR="00C91B5F" w:rsidRPr="00F00A18" w:rsidRDefault="00C91B5F" w:rsidP="002F18AE">
            <w:pPr>
              <w:pStyle w:val="Tableformat"/>
              <w:rPr>
                <w:color w:val="auto"/>
              </w:rPr>
            </w:pPr>
            <w:r w:rsidRPr="00F00A18">
              <w:rPr>
                <w:color w:val="auto"/>
              </w:rPr>
              <w:t>Parties</w:t>
            </w:r>
          </w:p>
        </w:tc>
        <w:tc>
          <w:tcPr>
            <w:tcW w:w="8080" w:type="dxa"/>
            <w:shd w:val="clear" w:color="auto" w:fill="auto"/>
          </w:tcPr>
          <w:p w14:paraId="3EDBFF8C" w14:textId="77777777" w:rsidR="00C91B5F" w:rsidRDefault="00C91B5F" w:rsidP="00526357">
            <w:pPr>
              <w:pStyle w:val="Tableformat"/>
              <w:spacing w:before="120" w:after="120"/>
              <w:rPr>
                <w:color w:val="auto"/>
              </w:rPr>
            </w:pPr>
            <w:r w:rsidRPr="00F00A18">
              <w:rPr>
                <w:color w:val="auto"/>
              </w:rPr>
              <w:t>Commonwealth</w:t>
            </w:r>
          </w:p>
          <w:p w14:paraId="18E760EC" w14:textId="77777777" w:rsidR="002F18AE" w:rsidRDefault="002F18AE" w:rsidP="00526357">
            <w:pPr>
              <w:pStyle w:val="Tableformat"/>
              <w:spacing w:before="120" w:after="120"/>
              <w:rPr>
                <w:color w:val="auto"/>
              </w:rPr>
            </w:pPr>
            <w:r>
              <w:rPr>
                <w:color w:val="auto"/>
              </w:rPr>
              <w:t>New South Wales</w:t>
            </w:r>
          </w:p>
          <w:p w14:paraId="7F7E0703" w14:textId="77777777" w:rsidR="002F18AE" w:rsidRDefault="002F18AE" w:rsidP="00526357">
            <w:pPr>
              <w:pStyle w:val="Tableformat"/>
              <w:spacing w:before="120" w:after="120"/>
              <w:rPr>
                <w:color w:val="auto"/>
              </w:rPr>
            </w:pPr>
            <w:r>
              <w:rPr>
                <w:color w:val="auto"/>
              </w:rPr>
              <w:t>Victoria</w:t>
            </w:r>
          </w:p>
          <w:p w14:paraId="20DFF0A8" w14:textId="77777777" w:rsidR="002F18AE" w:rsidRDefault="002F18AE" w:rsidP="00526357">
            <w:pPr>
              <w:pStyle w:val="Tableformat"/>
              <w:spacing w:before="120" w:after="120"/>
              <w:rPr>
                <w:color w:val="auto"/>
              </w:rPr>
            </w:pPr>
            <w:r>
              <w:rPr>
                <w:color w:val="auto"/>
              </w:rPr>
              <w:t>Queensland</w:t>
            </w:r>
          </w:p>
          <w:p w14:paraId="4A202C88" w14:textId="77777777" w:rsidR="002F18AE" w:rsidRDefault="002F18AE" w:rsidP="00526357">
            <w:pPr>
              <w:pStyle w:val="Tableformat"/>
              <w:spacing w:before="120" w:after="120"/>
              <w:rPr>
                <w:color w:val="auto"/>
              </w:rPr>
            </w:pPr>
            <w:r>
              <w:rPr>
                <w:color w:val="auto"/>
              </w:rPr>
              <w:t>South Australia</w:t>
            </w:r>
          </w:p>
          <w:p w14:paraId="73502BB0" w14:textId="4F592C88" w:rsidR="002F18AE" w:rsidRPr="00F00A18" w:rsidRDefault="002F18AE" w:rsidP="00526357">
            <w:pPr>
              <w:pStyle w:val="Tableformat"/>
              <w:spacing w:before="120" w:after="120"/>
              <w:rPr>
                <w:color w:val="auto"/>
              </w:rPr>
            </w:pPr>
            <w:r>
              <w:rPr>
                <w:color w:val="auto"/>
              </w:rPr>
              <w:t>Australian Capital Territory</w:t>
            </w:r>
          </w:p>
        </w:tc>
      </w:tr>
      <w:tr w:rsidR="00C91B5F" w:rsidRPr="00F00A18" w14:paraId="0789EB7E" w14:textId="77777777" w:rsidTr="00545350">
        <w:tc>
          <w:tcPr>
            <w:tcW w:w="1691" w:type="dxa"/>
            <w:shd w:val="clear" w:color="auto" w:fill="auto"/>
          </w:tcPr>
          <w:p w14:paraId="1C00DFE7" w14:textId="77777777" w:rsidR="00C91B5F" w:rsidRPr="00F00A18" w:rsidRDefault="00C91B5F" w:rsidP="002F18AE">
            <w:pPr>
              <w:pStyle w:val="Tableformat"/>
              <w:rPr>
                <w:color w:val="auto"/>
              </w:rPr>
            </w:pPr>
            <w:r w:rsidRPr="00F00A18">
              <w:rPr>
                <w:color w:val="auto"/>
              </w:rPr>
              <w:t>Duration</w:t>
            </w:r>
          </w:p>
        </w:tc>
        <w:tc>
          <w:tcPr>
            <w:tcW w:w="8080" w:type="dxa"/>
            <w:shd w:val="clear" w:color="auto" w:fill="auto"/>
          </w:tcPr>
          <w:p w14:paraId="689A6E64" w14:textId="38226D50" w:rsidR="00C91B5F" w:rsidRPr="00F00A18" w:rsidRDefault="00C91B5F" w:rsidP="00526357">
            <w:pPr>
              <w:pStyle w:val="Tableformat"/>
              <w:spacing w:before="120" w:after="120"/>
              <w:rPr>
                <w:color w:val="auto"/>
              </w:rPr>
            </w:pPr>
            <w:r w:rsidRPr="00F00A18">
              <w:rPr>
                <w:color w:val="auto"/>
              </w:rPr>
              <w:t xml:space="preserve">This Schedule is expected to expire on </w:t>
            </w:r>
            <w:r w:rsidR="002F18AE">
              <w:rPr>
                <w:color w:val="auto"/>
              </w:rPr>
              <w:t>30 June 2024</w:t>
            </w:r>
            <w:r w:rsidRPr="00F00A18">
              <w:rPr>
                <w:color w:val="auto"/>
              </w:rPr>
              <w:t>.</w:t>
            </w:r>
          </w:p>
        </w:tc>
      </w:tr>
      <w:tr w:rsidR="00C91B5F" w:rsidRPr="00F00A18" w14:paraId="516BC532" w14:textId="77777777" w:rsidTr="00545350">
        <w:tc>
          <w:tcPr>
            <w:tcW w:w="1691" w:type="dxa"/>
            <w:shd w:val="clear" w:color="auto" w:fill="auto"/>
          </w:tcPr>
          <w:p w14:paraId="511BE93C" w14:textId="0B49B4F6" w:rsidR="00C91B5F" w:rsidRPr="00F00A18" w:rsidRDefault="00C91B5F" w:rsidP="002F18AE">
            <w:pPr>
              <w:pStyle w:val="Tableformat"/>
              <w:rPr>
                <w:color w:val="auto"/>
              </w:rPr>
            </w:pPr>
            <w:r w:rsidRPr="00F00A18">
              <w:rPr>
                <w:color w:val="auto"/>
              </w:rPr>
              <w:t>Purpose</w:t>
            </w:r>
          </w:p>
        </w:tc>
        <w:tc>
          <w:tcPr>
            <w:tcW w:w="8080" w:type="dxa"/>
            <w:shd w:val="clear" w:color="auto" w:fill="auto"/>
          </w:tcPr>
          <w:p w14:paraId="7003CA43" w14:textId="77777777" w:rsidR="009D3DBA" w:rsidRDefault="002F18AE" w:rsidP="00526357">
            <w:pPr>
              <w:pStyle w:val="Tableformat"/>
              <w:spacing w:before="120" w:after="120"/>
              <w:rPr>
                <w:color w:val="auto"/>
              </w:rPr>
            </w:pPr>
            <w:r w:rsidRPr="00DF6C33">
              <w:rPr>
                <w:color w:val="auto"/>
              </w:rPr>
              <w:t>This Schedule will support the continued delivery of Murray</w:t>
            </w:r>
            <w:r w:rsidR="00297613" w:rsidRPr="00DF6C33">
              <w:rPr>
                <w:color w:val="auto"/>
              </w:rPr>
              <w:t>–</w:t>
            </w:r>
            <w:r w:rsidRPr="00DF6C33">
              <w:rPr>
                <w:color w:val="auto"/>
              </w:rPr>
              <w:t xml:space="preserve">Darling Basin water reforms by Basin </w:t>
            </w:r>
            <w:r w:rsidR="00297613" w:rsidRPr="00DF6C33">
              <w:rPr>
                <w:color w:val="auto"/>
              </w:rPr>
              <w:t>S</w:t>
            </w:r>
            <w:r w:rsidRPr="00DF6C33">
              <w:rPr>
                <w:color w:val="auto"/>
              </w:rPr>
              <w:t>tates through implementation of the Murray</w:t>
            </w:r>
            <w:r w:rsidR="00297613" w:rsidRPr="00DF6C33">
              <w:rPr>
                <w:color w:val="auto"/>
              </w:rPr>
              <w:t>–</w:t>
            </w:r>
            <w:r w:rsidRPr="00DF6C33">
              <w:rPr>
                <w:color w:val="auto"/>
              </w:rPr>
              <w:t xml:space="preserve">Darling Basin Plan and </w:t>
            </w:r>
            <w:r w:rsidR="00A631AD">
              <w:rPr>
                <w:color w:val="auto"/>
              </w:rPr>
              <w:t>associated water reform</w:t>
            </w:r>
            <w:r w:rsidRPr="00DF6C33">
              <w:rPr>
                <w:color w:val="auto"/>
              </w:rPr>
              <w:t xml:space="preserve">. </w:t>
            </w:r>
          </w:p>
          <w:p w14:paraId="36CF7FEF" w14:textId="177A4822" w:rsidR="00E47192" w:rsidRPr="00ED5ECC" w:rsidRDefault="002F18AE" w:rsidP="00526357">
            <w:pPr>
              <w:pStyle w:val="Tableformat"/>
              <w:spacing w:before="120" w:after="120"/>
              <w:rPr>
                <w:color w:val="auto"/>
              </w:rPr>
            </w:pPr>
            <w:r w:rsidRPr="00DF6C33">
              <w:rPr>
                <w:color w:val="auto"/>
              </w:rPr>
              <w:t xml:space="preserve">The Schedule builds on the work already completed or underway by the Basin </w:t>
            </w:r>
            <w:r w:rsidR="00EC454F" w:rsidRPr="00DF6C33">
              <w:rPr>
                <w:color w:val="auto"/>
              </w:rPr>
              <w:t>S</w:t>
            </w:r>
            <w:r w:rsidRPr="00DF6C33">
              <w:rPr>
                <w:color w:val="auto"/>
              </w:rPr>
              <w:t xml:space="preserve">tate </w:t>
            </w:r>
            <w:r w:rsidR="00EC454F" w:rsidRPr="00DF6C33">
              <w:rPr>
                <w:color w:val="auto"/>
              </w:rPr>
              <w:t>G</w:t>
            </w:r>
            <w:r w:rsidRPr="00DF6C33">
              <w:rPr>
                <w:color w:val="auto"/>
              </w:rPr>
              <w:t xml:space="preserve">overnments under the </w:t>
            </w:r>
            <w:r w:rsidRPr="00DF6C33">
              <w:rPr>
                <w:i/>
                <w:color w:val="auto"/>
              </w:rPr>
              <w:t>National Partnership Agreement on Implementing Water Reform in the Murray</w:t>
            </w:r>
            <w:r w:rsidR="00297613" w:rsidRPr="00DF6C33">
              <w:rPr>
                <w:i/>
                <w:color w:val="auto"/>
              </w:rPr>
              <w:t>–</w:t>
            </w:r>
            <w:r w:rsidRPr="00DF6C33">
              <w:rPr>
                <w:i/>
                <w:color w:val="auto"/>
              </w:rPr>
              <w:t>Darling Basin</w:t>
            </w:r>
            <w:r w:rsidRPr="00DF6C33">
              <w:rPr>
                <w:color w:val="auto"/>
              </w:rPr>
              <w:t xml:space="preserve"> which expired on 30 June 2020</w:t>
            </w:r>
            <w:r w:rsidR="00297613" w:rsidRPr="00DF6C33">
              <w:rPr>
                <w:color w:val="auto"/>
              </w:rPr>
              <w:t>,</w:t>
            </w:r>
            <w:r w:rsidRPr="00DF6C33">
              <w:rPr>
                <w:color w:val="auto"/>
              </w:rPr>
              <w:t xml:space="preserve"> and the </w:t>
            </w:r>
            <w:r w:rsidRPr="00DF6C33">
              <w:rPr>
                <w:i/>
                <w:iCs w:val="0"/>
                <w:color w:val="auto"/>
              </w:rPr>
              <w:t>Implementing Water Reform in the Murray</w:t>
            </w:r>
            <w:r w:rsidR="00297613" w:rsidRPr="00DF6C33">
              <w:rPr>
                <w:i/>
                <w:color w:val="auto"/>
              </w:rPr>
              <w:t>–</w:t>
            </w:r>
            <w:r w:rsidRPr="00DF6C33">
              <w:rPr>
                <w:i/>
                <w:iCs w:val="0"/>
                <w:color w:val="auto"/>
              </w:rPr>
              <w:t>Darling Basin</w:t>
            </w:r>
            <w:r w:rsidRPr="00DF6C33">
              <w:rPr>
                <w:color w:val="auto"/>
              </w:rPr>
              <w:t xml:space="preserve"> </w:t>
            </w:r>
            <w:r w:rsidR="00D66E33" w:rsidRPr="00DF6C33">
              <w:rPr>
                <w:color w:val="auto"/>
              </w:rPr>
              <w:t xml:space="preserve">schedule to the </w:t>
            </w:r>
            <w:r w:rsidR="00D66E33" w:rsidRPr="00A268DB">
              <w:rPr>
                <w:i/>
                <w:iCs w:val="0"/>
                <w:color w:val="auto"/>
              </w:rPr>
              <w:t>F</w:t>
            </w:r>
            <w:r w:rsidR="00A268DB">
              <w:rPr>
                <w:i/>
                <w:iCs w:val="0"/>
                <w:color w:val="auto"/>
              </w:rPr>
              <w:t xml:space="preserve">ederation </w:t>
            </w:r>
            <w:r w:rsidR="00D66E33" w:rsidRPr="00A268DB">
              <w:rPr>
                <w:i/>
                <w:iCs w:val="0"/>
                <w:color w:val="auto"/>
              </w:rPr>
              <w:t>F</w:t>
            </w:r>
            <w:r w:rsidR="00A268DB">
              <w:rPr>
                <w:i/>
                <w:iCs w:val="0"/>
                <w:color w:val="auto"/>
              </w:rPr>
              <w:t xml:space="preserve">unding </w:t>
            </w:r>
            <w:r w:rsidR="00D66E33" w:rsidRPr="00A268DB">
              <w:rPr>
                <w:i/>
                <w:iCs w:val="0"/>
                <w:color w:val="auto"/>
              </w:rPr>
              <w:t>A</w:t>
            </w:r>
            <w:r w:rsidR="00A268DB">
              <w:rPr>
                <w:i/>
                <w:iCs w:val="0"/>
                <w:color w:val="auto"/>
              </w:rPr>
              <w:t>greement</w:t>
            </w:r>
            <w:r w:rsidR="00D66E33" w:rsidRPr="00A268DB">
              <w:rPr>
                <w:i/>
                <w:iCs w:val="0"/>
                <w:color w:val="auto"/>
              </w:rPr>
              <w:t xml:space="preserve"> – Environment</w:t>
            </w:r>
            <w:r w:rsidR="00D66E33" w:rsidRPr="00DF6C33">
              <w:rPr>
                <w:color w:val="auto"/>
              </w:rPr>
              <w:t xml:space="preserve"> </w:t>
            </w:r>
            <w:r w:rsidRPr="00DF6C33">
              <w:rPr>
                <w:color w:val="auto"/>
              </w:rPr>
              <w:t>which expired on 30 June 2021.</w:t>
            </w:r>
          </w:p>
        </w:tc>
      </w:tr>
      <w:tr w:rsidR="00C91B5F" w:rsidRPr="00715735" w14:paraId="2C63A902" w14:textId="77777777" w:rsidTr="001566E4">
        <w:trPr>
          <w:trHeight w:val="6358"/>
        </w:trPr>
        <w:tc>
          <w:tcPr>
            <w:tcW w:w="1691" w:type="dxa"/>
            <w:shd w:val="clear" w:color="auto" w:fill="auto"/>
          </w:tcPr>
          <w:p w14:paraId="2E78F30B" w14:textId="77777777" w:rsidR="00C91B5F" w:rsidRPr="00F00A18" w:rsidRDefault="00C91B5F" w:rsidP="002F18AE">
            <w:pPr>
              <w:pStyle w:val="Tableformat"/>
              <w:rPr>
                <w:color w:val="auto"/>
              </w:rPr>
            </w:pPr>
            <w:bookmarkStart w:id="0" w:name="_Hlk82072228"/>
            <w:r w:rsidRPr="00F00A18">
              <w:rPr>
                <w:color w:val="auto"/>
              </w:rPr>
              <w:lastRenderedPageBreak/>
              <w:t>Estimated financial contributions</w:t>
            </w:r>
          </w:p>
        </w:tc>
        <w:tc>
          <w:tcPr>
            <w:tcW w:w="8080" w:type="dxa"/>
            <w:shd w:val="clear" w:color="auto" w:fill="auto"/>
          </w:tcPr>
          <w:p w14:paraId="7110CBB4" w14:textId="253FAEA3" w:rsidR="001932EE" w:rsidRPr="001566E4" w:rsidRDefault="009D3DBA" w:rsidP="000C3FE5">
            <w:pPr>
              <w:spacing w:before="80" w:after="80"/>
              <w:rPr>
                <w:rFonts w:ascii="Corbel" w:eastAsia="Times New Roman" w:hAnsi="Corbel" w:cs="Arial"/>
                <w:iCs/>
                <w:sz w:val="24"/>
                <w:szCs w:val="24"/>
                <w:lang w:eastAsia="en-AU"/>
              </w:rPr>
            </w:pPr>
            <w:bookmarkStart w:id="1" w:name="_Hlk82072260"/>
            <w:r w:rsidRPr="001566E4">
              <w:rPr>
                <w:rFonts w:ascii="Corbel" w:eastAsia="Times New Roman" w:hAnsi="Corbel" w:cs="Arial"/>
                <w:iCs/>
                <w:noProof/>
                <w:sz w:val="24"/>
                <w:szCs w:val="24"/>
                <w:lang w:val="en-AU" w:eastAsia="en-AU"/>
              </w:rPr>
              <mc:AlternateContent>
                <mc:Choice Requires="wps">
                  <w:drawing>
                    <wp:anchor distT="45720" distB="0" distL="114300" distR="114300" simplePos="0" relativeHeight="251658240" behindDoc="0" locked="0" layoutInCell="1" allowOverlap="1" wp14:anchorId="48EB322D" wp14:editId="0AC5BE5E">
                      <wp:simplePos x="0" y="0"/>
                      <wp:positionH relativeFrom="column">
                        <wp:posOffset>-62230</wp:posOffset>
                      </wp:positionH>
                      <wp:positionV relativeFrom="paragraph">
                        <wp:posOffset>1068705</wp:posOffset>
                      </wp:positionV>
                      <wp:extent cx="5026025" cy="3015615"/>
                      <wp:effectExtent l="0" t="0" r="3175"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015615"/>
                              </a:xfrm>
                              <a:prstGeom prst="rect">
                                <a:avLst/>
                              </a:prstGeom>
                              <a:solidFill>
                                <a:srgbClr val="FFFFFF"/>
                              </a:solidFill>
                              <a:ln w="9525">
                                <a:noFill/>
                                <a:miter lim="800000"/>
                                <a:headEnd/>
                                <a:tailEnd/>
                              </a:ln>
                            </wps:spPr>
                            <wps:txbx>
                              <w:txbxContent>
                                <w:tbl>
                                  <w:tblPr>
                                    <w:tblW w:w="7797" w:type="dxa"/>
                                    <w:tblLayout w:type="fixed"/>
                                    <w:tblLook w:val="01E0" w:firstRow="1" w:lastRow="1" w:firstColumn="1" w:lastColumn="1" w:noHBand="0" w:noVBand="0"/>
                                  </w:tblPr>
                                  <w:tblGrid>
                                    <w:gridCol w:w="3544"/>
                                    <w:gridCol w:w="1063"/>
                                    <w:gridCol w:w="1063"/>
                                    <w:gridCol w:w="1063"/>
                                    <w:gridCol w:w="1064"/>
                                  </w:tblGrid>
                                  <w:tr w:rsidR="00D60097" w:rsidRPr="00101AB3" w14:paraId="382DBA4C" w14:textId="77777777" w:rsidTr="00ED5ECC">
                                    <w:trPr>
                                      <w:cantSplit/>
                                    </w:trPr>
                                    <w:tc>
                                      <w:tcPr>
                                        <w:tcW w:w="3544" w:type="dxa"/>
                                        <w:tcBorders>
                                          <w:top w:val="single" w:sz="4" w:space="0" w:color="000080"/>
                                          <w:bottom w:val="single" w:sz="4" w:space="0" w:color="000080"/>
                                        </w:tcBorders>
                                      </w:tcPr>
                                      <w:p w14:paraId="408B9138" w14:textId="09045F76" w:rsidR="00D60097" w:rsidRPr="005D39DD" w:rsidRDefault="00D60097" w:rsidP="00656342">
                                        <w:pPr>
                                          <w:keepNext/>
                                          <w:keepLines/>
                                          <w:spacing w:before="40" w:after="40"/>
                                          <w:ind w:left="-111"/>
                                          <w:rPr>
                                            <w:b/>
                                            <w:sz w:val="21"/>
                                            <w:szCs w:val="21"/>
                                          </w:rPr>
                                        </w:pPr>
                                        <w:r>
                                          <w:rPr>
                                            <w:b/>
                                            <w:sz w:val="21"/>
                                            <w:szCs w:val="21"/>
                                          </w:rPr>
                                          <w:t xml:space="preserve">Table 1 - </w:t>
                                        </w:r>
                                        <w:r w:rsidRPr="005D39DD">
                                          <w:rPr>
                                            <w:b/>
                                            <w:sz w:val="21"/>
                                            <w:szCs w:val="21"/>
                                          </w:rPr>
                                          <w:t>($ million)</w:t>
                                        </w:r>
                                      </w:p>
                                    </w:tc>
                                    <w:tc>
                                      <w:tcPr>
                                        <w:tcW w:w="1063" w:type="dxa"/>
                                        <w:tcBorders>
                                          <w:top w:val="single" w:sz="4" w:space="0" w:color="000080"/>
                                          <w:bottom w:val="single" w:sz="4" w:space="0" w:color="000080"/>
                                        </w:tcBorders>
                                      </w:tcPr>
                                      <w:p w14:paraId="38C08048" w14:textId="77777777" w:rsidR="00D60097" w:rsidRPr="005D39DD" w:rsidRDefault="00D60097" w:rsidP="001932EE">
                                        <w:pPr>
                                          <w:keepNext/>
                                          <w:keepLines/>
                                          <w:spacing w:before="40" w:after="40"/>
                                          <w:jc w:val="center"/>
                                          <w:rPr>
                                            <w:b/>
                                            <w:sz w:val="21"/>
                                            <w:szCs w:val="21"/>
                                          </w:rPr>
                                        </w:pPr>
                                        <w:r>
                                          <w:rPr>
                                            <w:b/>
                                            <w:sz w:val="21"/>
                                            <w:szCs w:val="21"/>
                                          </w:rPr>
                                          <w:t>2021-22</w:t>
                                        </w:r>
                                      </w:p>
                                    </w:tc>
                                    <w:tc>
                                      <w:tcPr>
                                        <w:tcW w:w="1063" w:type="dxa"/>
                                        <w:tcBorders>
                                          <w:top w:val="single" w:sz="4" w:space="0" w:color="000080"/>
                                          <w:bottom w:val="single" w:sz="4" w:space="0" w:color="000080"/>
                                        </w:tcBorders>
                                      </w:tcPr>
                                      <w:p w14:paraId="227D40DD" w14:textId="77777777" w:rsidR="00D60097" w:rsidRPr="005D39DD" w:rsidRDefault="00D60097" w:rsidP="001932EE">
                                        <w:pPr>
                                          <w:keepNext/>
                                          <w:keepLines/>
                                          <w:spacing w:before="40" w:after="40"/>
                                          <w:jc w:val="center"/>
                                          <w:rPr>
                                            <w:b/>
                                            <w:sz w:val="21"/>
                                            <w:szCs w:val="21"/>
                                          </w:rPr>
                                        </w:pPr>
                                        <w:r>
                                          <w:rPr>
                                            <w:b/>
                                            <w:sz w:val="21"/>
                                            <w:szCs w:val="21"/>
                                          </w:rPr>
                                          <w:t>2022-23</w:t>
                                        </w:r>
                                      </w:p>
                                    </w:tc>
                                    <w:tc>
                                      <w:tcPr>
                                        <w:tcW w:w="1063" w:type="dxa"/>
                                        <w:tcBorders>
                                          <w:top w:val="single" w:sz="4" w:space="0" w:color="000080"/>
                                          <w:bottom w:val="single" w:sz="4" w:space="0" w:color="000080"/>
                                        </w:tcBorders>
                                      </w:tcPr>
                                      <w:p w14:paraId="16046526" w14:textId="77777777" w:rsidR="00D60097" w:rsidRPr="005D39DD" w:rsidRDefault="00D60097" w:rsidP="001932EE">
                                        <w:pPr>
                                          <w:keepNext/>
                                          <w:keepLines/>
                                          <w:spacing w:before="40" w:after="40"/>
                                          <w:jc w:val="center"/>
                                          <w:rPr>
                                            <w:b/>
                                            <w:sz w:val="21"/>
                                            <w:szCs w:val="21"/>
                                          </w:rPr>
                                        </w:pPr>
                                        <w:r>
                                          <w:rPr>
                                            <w:b/>
                                            <w:sz w:val="21"/>
                                            <w:szCs w:val="21"/>
                                          </w:rPr>
                                          <w:t>2023-24</w:t>
                                        </w:r>
                                      </w:p>
                                    </w:tc>
                                    <w:tc>
                                      <w:tcPr>
                                        <w:tcW w:w="1064" w:type="dxa"/>
                                        <w:tcBorders>
                                          <w:top w:val="single" w:sz="4" w:space="0" w:color="000080"/>
                                          <w:bottom w:val="single" w:sz="4" w:space="0" w:color="000080"/>
                                        </w:tcBorders>
                                      </w:tcPr>
                                      <w:p w14:paraId="13016934" w14:textId="77777777" w:rsidR="00D60097" w:rsidRPr="005D39DD" w:rsidRDefault="00D60097" w:rsidP="00AA0E74">
                                        <w:pPr>
                                          <w:keepNext/>
                                          <w:keepLines/>
                                          <w:spacing w:before="40" w:after="40"/>
                                          <w:jc w:val="right"/>
                                          <w:rPr>
                                            <w:b/>
                                            <w:sz w:val="21"/>
                                            <w:szCs w:val="21"/>
                                          </w:rPr>
                                        </w:pPr>
                                        <w:r w:rsidRPr="005D39DD">
                                          <w:rPr>
                                            <w:b/>
                                            <w:sz w:val="21"/>
                                            <w:szCs w:val="21"/>
                                          </w:rPr>
                                          <w:t>Total</w:t>
                                        </w:r>
                                      </w:p>
                                    </w:tc>
                                  </w:tr>
                                  <w:tr w:rsidR="00D60097" w:rsidRPr="00101AB3" w14:paraId="00D54897" w14:textId="77777777" w:rsidTr="00ED5ECC">
                                    <w:trPr>
                                      <w:cantSplit/>
                                    </w:trPr>
                                    <w:tc>
                                      <w:tcPr>
                                        <w:tcW w:w="3544" w:type="dxa"/>
                                        <w:tcBorders>
                                          <w:top w:val="single" w:sz="4" w:space="0" w:color="000080"/>
                                        </w:tcBorders>
                                      </w:tcPr>
                                      <w:p w14:paraId="4D50B73F" w14:textId="77777777" w:rsidR="00D60097" w:rsidRPr="005D39DD" w:rsidRDefault="00D60097" w:rsidP="000C3FE5">
                                        <w:pPr>
                                          <w:keepNext/>
                                          <w:keepLines/>
                                          <w:spacing w:before="60" w:after="60"/>
                                          <w:ind w:left="-113"/>
                                          <w:rPr>
                                            <w:b/>
                                            <w:sz w:val="21"/>
                                            <w:szCs w:val="21"/>
                                          </w:rPr>
                                        </w:pPr>
                                        <w:r w:rsidRPr="005D39DD">
                                          <w:rPr>
                                            <w:b/>
                                            <w:sz w:val="21"/>
                                            <w:szCs w:val="21"/>
                                          </w:rPr>
                                          <w:t>Estimated total budget</w:t>
                                        </w:r>
                                      </w:p>
                                    </w:tc>
                                    <w:tc>
                                      <w:tcPr>
                                        <w:tcW w:w="1063" w:type="dxa"/>
                                        <w:tcBorders>
                                          <w:top w:val="single" w:sz="4" w:space="0" w:color="000080"/>
                                        </w:tcBorders>
                                      </w:tcPr>
                                      <w:p w14:paraId="1664BA7C" w14:textId="0C164F51"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3" w:type="dxa"/>
                                        <w:tcBorders>
                                          <w:top w:val="single" w:sz="4" w:space="0" w:color="000080"/>
                                        </w:tcBorders>
                                      </w:tcPr>
                                      <w:p w14:paraId="3152EF5B" w14:textId="2FAA9C9B"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3" w:type="dxa"/>
                                        <w:tcBorders>
                                          <w:top w:val="single" w:sz="4" w:space="0" w:color="000080"/>
                                        </w:tcBorders>
                                      </w:tcPr>
                                      <w:p w14:paraId="55B53466" w14:textId="17A26ADA"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4" w:type="dxa"/>
                                        <w:tcBorders>
                                          <w:top w:val="single" w:sz="4" w:space="0" w:color="000080"/>
                                        </w:tcBorders>
                                      </w:tcPr>
                                      <w:p w14:paraId="23A80BB1" w14:textId="4400D0C9" w:rsidR="00D60097" w:rsidRPr="000A7AD6" w:rsidRDefault="00D60097" w:rsidP="00AA0E74">
                                        <w:pPr>
                                          <w:keepNext/>
                                          <w:keepLines/>
                                          <w:spacing w:before="40" w:after="40"/>
                                          <w:jc w:val="right"/>
                                          <w:rPr>
                                            <w:b/>
                                            <w:sz w:val="21"/>
                                            <w:szCs w:val="21"/>
                                          </w:rPr>
                                        </w:pPr>
                                        <w:r>
                                          <w:rPr>
                                            <w:b/>
                                            <w:sz w:val="21"/>
                                            <w:szCs w:val="21"/>
                                          </w:rPr>
                                          <w:t>6</w:t>
                                        </w:r>
                                        <w:r w:rsidRPr="000A7AD6">
                                          <w:rPr>
                                            <w:b/>
                                            <w:sz w:val="21"/>
                                            <w:szCs w:val="21"/>
                                          </w:rPr>
                                          <w:t>0.0</w:t>
                                        </w:r>
                                      </w:p>
                                    </w:tc>
                                  </w:tr>
                                  <w:tr w:rsidR="00D60097" w:rsidRPr="00101AB3" w14:paraId="1AACB3B4" w14:textId="77777777" w:rsidTr="00ED5ECC">
                                    <w:trPr>
                                      <w:cantSplit/>
                                    </w:trPr>
                                    <w:tc>
                                      <w:tcPr>
                                        <w:tcW w:w="3544" w:type="dxa"/>
                                      </w:tcPr>
                                      <w:p w14:paraId="114E80AE" w14:textId="77777777" w:rsidR="00D60097" w:rsidRPr="008C6B79" w:rsidRDefault="00D60097" w:rsidP="001932EE">
                                        <w:pPr>
                                          <w:keepNext/>
                                          <w:keepLines/>
                                          <w:spacing w:before="60" w:after="60"/>
                                          <w:ind w:left="-113"/>
                                          <w:rPr>
                                            <w:sz w:val="21"/>
                                            <w:szCs w:val="21"/>
                                          </w:rPr>
                                        </w:pPr>
                                        <w:r w:rsidRPr="008C6B79">
                                          <w:rPr>
                                            <w:sz w:val="21"/>
                                            <w:szCs w:val="21"/>
                                          </w:rPr>
                                          <w:t xml:space="preserve">Less estimated </w:t>
                                        </w:r>
                                        <w:r>
                                          <w:rPr>
                                            <w:sz w:val="21"/>
                                            <w:szCs w:val="21"/>
                                          </w:rPr>
                                          <w:t xml:space="preserve">Commonwealth </w:t>
                                        </w:r>
                                        <w:r w:rsidRPr="008C6B79">
                                          <w:rPr>
                                            <w:sz w:val="21"/>
                                            <w:szCs w:val="21"/>
                                          </w:rPr>
                                          <w:t xml:space="preserve">Payments </w:t>
                                        </w:r>
                                      </w:p>
                                    </w:tc>
                                    <w:tc>
                                      <w:tcPr>
                                        <w:tcW w:w="1063" w:type="dxa"/>
                                      </w:tcPr>
                                      <w:p w14:paraId="469DF5C6" w14:textId="77777777" w:rsidR="00D60097" w:rsidRPr="005D39DD" w:rsidRDefault="00D60097" w:rsidP="001932EE">
                                        <w:pPr>
                                          <w:keepNext/>
                                          <w:keepLines/>
                                          <w:spacing w:before="40" w:after="40"/>
                                          <w:jc w:val="center"/>
                                          <w:rPr>
                                            <w:sz w:val="21"/>
                                            <w:szCs w:val="21"/>
                                          </w:rPr>
                                        </w:pPr>
                                      </w:p>
                                    </w:tc>
                                    <w:tc>
                                      <w:tcPr>
                                        <w:tcW w:w="1063" w:type="dxa"/>
                                      </w:tcPr>
                                      <w:p w14:paraId="34EA792C" w14:textId="77777777" w:rsidR="00D60097" w:rsidRPr="005D39DD" w:rsidRDefault="00D60097" w:rsidP="001932EE">
                                        <w:pPr>
                                          <w:keepNext/>
                                          <w:keepLines/>
                                          <w:spacing w:before="40" w:after="40"/>
                                          <w:jc w:val="right"/>
                                          <w:rPr>
                                            <w:sz w:val="21"/>
                                            <w:szCs w:val="21"/>
                                          </w:rPr>
                                        </w:pPr>
                                      </w:p>
                                    </w:tc>
                                    <w:tc>
                                      <w:tcPr>
                                        <w:tcW w:w="1063" w:type="dxa"/>
                                      </w:tcPr>
                                      <w:p w14:paraId="22374CAD" w14:textId="77777777" w:rsidR="00D60097" w:rsidRPr="005D39DD" w:rsidRDefault="00D60097" w:rsidP="001932EE">
                                        <w:pPr>
                                          <w:keepNext/>
                                          <w:keepLines/>
                                          <w:spacing w:before="40" w:after="40"/>
                                          <w:jc w:val="right"/>
                                          <w:rPr>
                                            <w:sz w:val="21"/>
                                            <w:szCs w:val="21"/>
                                          </w:rPr>
                                        </w:pPr>
                                      </w:p>
                                    </w:tc>
                                    <w:tc>
                                      <w:tcPr>
                                        <w:tcW w:w="1064" w:type="dxa"/>
                                      </w:tcPr>
                                      <w:p w14:paraId="3E854B76" w14:textId="77777777" w:rsidR="00D60097" w:rsidRPr="005D39DD" w:rsidRDefault="00D60097" w:rsidP="00AA0E74">
                                        <w:pPr>
                                          <w:keepNext/>
                                          <w:keepLines/>
                                          <w:spacing w:before="40" w:after="40"/>
                                          <w:jc w:val="right"/>
                                          <w:rPr>
                                            <w:sz w:val="21"/>
                                            <w:szCs w:val="21"/>
                                          </w:rPr>
                                        </w:pPr>
                                      </w:p>
                                    </w:tc>
                                  </w:tr>
                                  <w:tr w:rsidR="00D60097" w:rsidRPr="00101AB3" w14:paraId="53B29274" w14:textId="77777777" w:rsidTr="00ED5ECC">
                                    <w:trPr>
                                      <w:cantSplit/>
                                    </w:trPr>
                                    <w:tc>
                                      <w:tcPr>
                                        <w:tcW w:w="3544" w:type="dxa"/>
                                      </w:tcPr>
                                      <w:p w14:paraId="6E76BEF4" w14:textId="77777777" w:rsidR="00D60097" w:rsidRPr="008C6B79"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New South Wales</w:t>
                                        </w:r>
                                      </w:p>
                                    </w:tc>
                                    <w:tc>
                                      <w:tcPr>
                                        <w:tcW w:w="1063" w:type="dxa"/>
                                      </w:tcPr>
                                      <w:p w14:paraId="7D29E425" w14:textId="6E5683B0" w:rsidR="00D60097" w:rsidRPr="005D39DD" w:rsidRDefault="00D60097" w:rsidP="00FE5BFE">
                                        <w:pPr>
                                          <w:keepNext/>
                                          <w:keepLines/>
                                          <w:spacing w:before="60" w:after="60"/>
                                          <w:jc w:val="center"/>
                                          <w:rPr>
                                            <w:sz w:val="21"/>
                                            <w:szCs w:val="21"/>
                                          </w:rPr>
                                        </w:pPr>
                                        <w:r>
                                          <w:rPr>
                                            <w:sz w:val="21"/>
                                            <w:szCs w:val="21"/>
                                          </w:rPr>
                                          <w:t>8.6</w:t>
                                        </w:r>
                                      </w:p>
                                    </w:tc>
                                    <w:tc>
                                      <w:tcPr>
                                        <w:tcW w:w="1063" w:type="dxa"/>
                                      </w:tcPr>
                                      <w:p w14:paraId="4B224CB0" w14:textId="09F9E33B" w:rsidR="00D60097" w:rsidRPr="005D39DD" w:rsidRDefault="00D60097" w:rsidP="00FE5BFE">
                                        <w:pPr>
                                          <w:keepNext/>
                                          <w:keepLines/>
                                          <w:spacing w:before="60" w:after="60"/>
                                          <w:jc w:val="center"/>
                                          <w:rPr>
                                            <w:sz w:val="21"/>
                                            <w:szCs w:val="21"/>
                                          </w:rPr>
                                        </w:pPr>
                                        <w:r>
                                          <w:rPr>
                                            <w:sz w:val="21"/>
                                            <w:szCs w:val="21"/>
                                          </w:rPr>
                                          <w:t>6.4</w:t>
                                        </w:r>
                                      </w:p>
                                    </w:tc>
                                    <w:tc>
                                      <w:tcPr>
                                        <w:tcW w:w="1063" w:type="dxa"/>
                                      </w:tcPr>
                                      <w:p w14:paraId="7DE4CF7B" w14:textId="5476EBBC" w:rsidR="00D60097" w:rsidRPr="005D39DD" w:rsidRDefault="00D60097" w:rsidP="00FE5BFE">
                                        <w:pPr>
                                          <w:keepNext/>
                                          <w:keepLines/>
                                          <w:spacing w:before="60" w:after="60"/>
                                          <w:jc w:val="center"/>
                                          <w:rPr>
                                            <w:sz w:val="21"/>
                                            <w:szCs w:val="21"/>
                                          </w:rPr>
                                        </w:pPr>
                                        <w:r>
                                          <w:rPr>
                                            <w:sz w:val="21"/>
                                            <w:szCs w:val="21"/>
                                          </w:rPr>
                                          <w:t>8.6</w:t>
                                        </w:r>
                                      </w:p>
                                    </w:tc>
                                    <w:tc>
                                      <w:tcPr>
                                        <w:tcW w:w="1064" w:type="dxa"/>
                                      </w:tcPr>
                                      <w:p w14:paraId="4DF88FD4" w14:textId="62AB7580" w:rsidR="00D60097" w:rsidRPr="005D39DD" w:rsidRDefault="00D60097" w:rsidP="00FE5BFE">
                                        <w:pPr>
                                          <w:keepNext/>
                                          <w:keepLines/>
                                          <w:spacing w:before="60" w:after="60"/>
                                          <w:jc w:val="right"/>
                                          <w:rPr>
                                            <w:sz w:val="21"/>
                                            <w:szCs w:val="21"/>
                                          </w:rPr>
                                        </w:pPr>
                                        <w:r>
                                          <w:rPr>
                                            <w:sz w:val="21"/>
                                            <w:szCs w:val="21"/>
                                          </w:rPr>
                                          <w:t>23.6</w:t>
                                        </w:r>
                                      </w:p>
                                    </w:tc>
                                  </w:tr>
                                  <w:tr w:rsidR="00D60097" w:rsidRPr="00101AB3" w14:paraId="2B9620D5" w14:textId="77777777" w:rsidTr="00ED5ECC">
                                    <w:trPr>
                                      <w:cantSplit/>
                                    </w:trPr>
                                    <w:tc>
                                      <w:tcPr>
                                        <w:tcW w:w="3544" w:type="dxa"/>
                                      </w:tcPr>
                                      <w:p w14:paraId="04A94F33"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Victoria</w:t>
                                        </w:r>
                                      </w:p>
                                    </w:tc>
                                    <w:tc>
                                      <w:tcPr>
                                        <w:tcW w:w="1063" w:type="dxa"/>
                                      </w:tcPr>
                                      <w:p w14:paraId="1080AE81" w14:textId="5271F2BD" w:rsidR="00D60097" w:rsidRPr="005D39DD" w:rsidRDefault="00D60097" w:rsidP="00FE5BFE">
                                        <w:pPr>
                                          <w:keepNext/>
                                          <w:keepLines/>
                                          <w:spacing w:before="60" w:after="60"/>
                                          <w:jc w:val="center"/>
                                          <w:rPr>
                                            <w:sz w:val="21"/>
                                            <w:szCs w:val="21"/>
                                          </w:rPr>
                                        </w:pPr>
                                        <w:r>
                                          <w:rPr>
                                            <w:sz w:val="21"/>
                                            <w:szCs w:val="21"/>
                                          </w:rPr>
                                          <w:t>6.4</w:t>
                                        </w:r>
                                      </w:p>
                                    </w:tc>
                                    <w:tc>
                                      <w:tcPr>
                                        <w:tcW w:w="1063" w:type="dxa"/>
                                      </w:tcPr>
                                      <w:p w14:paraId="33B33A72" w14:textId="012DC21D" w:rsidR="00D60097" w:rsidRPr="005D39DD" w:rsidRDefault="00D60097" w:rsidP="00FE5BFE">
                                        <w:pPr>
                                          <w:keepNext/>
                                          <w:keepLines/>
                                          <w:spacing w:before="60" w:after="60"/>
                                          <w:jc w:val="center"/>
                                          <w:rPr>
                                            <w:sz w:val="21"/>
                                            <w:szCs w:val="21"/>
                                          </w:rPr>
                                        </w:pPr>
                                        <w:r>
                                          <w:rPr>
                                            <w:sz w:val="21"/>
                                            <w:szCs w:val="21"/>
                                          </w:rPr>
                                          <w:t>4.8</w:t>
                                        </w:r>
                                      </w:p>
                                    </w:tc>
                                    <w:tc>
                                      <w:tcPr>
                                        <w:tcW w:w="1063" w:type="dxa"/>
                                      </w:tcPr>
                                      <w:p w14:paraId="7DD5E800" w14:textId="695687F8" w:rsidR="00D60097" w:rsidRPr="005D39DD" w:rsidRDefault="00D60097" w:rsidP="00FE5BFE">
                                        <w:pPr>
                                          <w:keepNext/>
                                          <w:keepLines/>
                                          <w:spacing w:before="60" w:after="60"/>
                                          <w:jc w:val="center"/>
                                          <w:rPr>
                                            <w:sz w:val="21"/>
                                            <w:szCs w:val="21"/>
                                          </w:rPr>
                                        </w:pPr>
                                        <w:r>
                                          <w:rPr>
                                            <w:sz w:val="21"/>
                                            <w:szCs w:val="21"/>
                                          </w:rPr>
                                          <w:t>6.4</w:t>
                                        </w:r>
                                      </w:p>
                                    </w:tc>
                                    <w:tc>
                                      <w:tcPr>
                                        <w:tcW w:w="1064" w:type="dxa"/>
                                      </w:tcPr>
                                      <w:p w14:paraId="123237DF" w14:textId="467DE670" w:rsidR="00D60097" w:rsidRPr="005D39DD" w:rsidRDefault="00D60097" w:rsidP="00FE5BFE">
                                        <w:pPr>
                                          <w:keepNext/>
                                          <w:keepLines/>
                                          <w:spacing w:before="60" w:after="60"/>
                                          <w:jc w:val="right"/>
                                          <w:rPr>
                                            <w:sz w:val="21"/>
                                            <w:szCs w:val="21"/>
                                          </w:rPr>
                                        </w:pPr>
                                        <w:r>
                                          <w:rPr>
                                            <w:sz w:val="21"/>
                                            <w:szCs w:val="21"/>
                                          </w:rPr>
                                          <w:t>17.6</w:t>
                                        </w:r>
                                      </w:p>
                                    </w:tc>
                                  </w:tr>
                                  <w:tr w:rsidR="00D60097" w:rsidRPr="00101AB3" w14:paraId="3E9E0A20" w14:textId="77777777" w:rsidTr="00ED5ECC">
                                    <w:trPr>
                                      <w:cantSplit/>
                                    </w:trPr>
                                    <w:tc>
                                      <w:tcPr>
                                        <w:tcW w:w="3544" w:type="dxa"/>
                                      </w:tcPr>
                                      <w:p w14:paraId="39765569"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Queensland</w:t>
                                        </w:r>
                                      </w:p>
                                    </w:tc>
                                    <w:tc>
                                      <w:tcPr>
                                        <w:tcW w:w="1063" w:type="dxa"/>
                                      </w:tcPr>
                                      <w:p w14:paraId="154316EA" w14:textId="2FC2BCA6" w:rsidR="00D60097" w:rsidRPr="005D39DD" w:rsidRDefault="00D60097" w:rsidP="00CE09D3">
                                        <w:pPr>
                                          <w:keepNext/>
                                          <w:keepLines/>
                                          <w:spacing w:before="60" w:after="60"/>
                                          <w:jc w:val="center"/>
                                          <w:rPr>
                                            <w:sz w:val="21"/>
                                            <w:szCs w:val="21"/>
                                          </w:rPr>
                                        </w:pPr>
                                        <w:r>
                                          <w:rPr>
                                            <w:sz w:val="21"/>
                                            <w:szCs w:val="21"/>
                                          </w:rPr>
                                          <w:t>2.3</w:t>
                                        </w:r>
                                      </w:p>
                                    </w:tc>
                                    <w:tc>
                                      <w:tcPr>
                                        <w:tcW w:w="1063" w:type="dxa"/>
                                      </w:tcPr>
                                      <w:p w14:paraId="49D2DAE9" w14:textId="20432CAB" w:rsidR="00D60097" w:rsidRPr="005D39DD" w:rsidRDefault="00D60097" w:rsidP="00FE5BFE">
                                        <w:pPr>
                                          <w:keepNext/>
                                          <w:keepLines/>
                                          <w:spacing w:before="60" w:after="60"/>
                                          <w:jc w:val="center"/>
                                          <w:rPr>
                                            <w:sz w:val="21"/>
                                            <w:szCs w:val="21"/>
                                          </w:rPr>
                                        </w:pPr>
                                        <w:r>
                                          <w:rPr>
                                            <w:sz w:val="21"/>
                                            <w:szCs w:val="21"/>
                                          </w:rPr>
                                          <w:t>1.7</w:t>
                                        </w:r>
                                      </w:p>
                                    </w:tc>
                                    <w:tc>
                                      <w:tcPr>
                                        <w:tcW w:w="1063" w:type="dxa"/>
                                      </w:tcPr>
                                      <w:p w14:paraId="3924F68F" w14:textId="7145E39E" w:rsidR="00D60097" w:rsidRPr="005D39DD" w:rsidRDefault="00D60097" w:rsidP="00CE09D3">
                                        <w:pPr>
                                          <w:keepNext/>
                                          <w:keepLines/>
                                          <w:spacing w:before="60" w:after="60"/>
                                          <w:jc w:val="center"/>
                                          <w:rPr>
                                            <w:sz w:val="21"/>
                                            <w:szCs w:val="21"/>
                                          </w:rPr>
                                        </w:pPr>
                                        <w:r>
                                          <w:rPr>
                                            <w:sz w:val="21"/>
                                            <w:szCs w:val="21"/>
                                          </w:rPr>
                                          <w:t>2.3</w:t>
                                        </w:r>
                                      </w:p>
                                    </w:tc>
                                    <w:tc>
                                      <w:tcPr>
                                        <w:tcW w:w="1064" w:type="dxa"/>
                                      </w:tcPr>
                                      <w:p w14:paraId="5A13A497" w14:textId="41E23AAE" w:rsidR="00D60097" w:rsidRPr="005D39DD" w:rsidRDefault="00D60097" w:rsidP="00CE09D3">
                                        <w:pPr>
                                          <w:keepNext/>
                                          <w:keepLines/>
                                          <w:spacing w:before="60" w:after="60"/>
                                          <w:jc w:val="right"/>
                                          <w:rPr>
                                            <w:sz w:val="21"/>
                                            <w:szCs w:val="21"/>
                                          </w:rPr>
                                        </w:pPr>
                                        <w:r>
                                          <w:rPr>
                                            <w:sz w:val="21"/>
                                            <w:szCs w:val="21"/>
                                          </w:rPr>
                                          <w:t>6.3</w:t>
                                        </w:r>
                                      </w:p>
                                    </w:tc>
                                  </w:tr>
                                  <w:tr w:rsidR="00D60097" w:rsidRPr="00101AB3" w14:paraId="3BB41BB3" w14:textId="77777777" w:rsidTr="00ED5ECC">
                                    <w:trPr>
                                      <w:cantSplit/>
                                    </w:trPr>
                                    <w:tc>
                                      <w:tcPr>
                                        <w:tcW w:w="3544" w:type="dxa"/>
                                      </w:tcPr>
                                      <w:p w14:paraId="4FF73C39"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South Australia</w:t>
                                        </w:r>
                                      </w:p>
                                    </w:tc>
                                    <w:tc>
                                      <w:tcPr>
                                        <w:tcW w:w="1063" w:type="dxa"/>
                                      </w:tcPr>
                                      <w:p w14:paraId="364578B5" w14:textId="568E577D" w:rsidR="00D60097" w:rsidRPr="005D39DD" w:rsidRDefault="00D60097" w:rsidP="00FE5BFE">
                                        <w:pPr>
                                          <w:keepNext/>
                                          <w:keepLines/>
                                          <w:spacing w:before="60" w:after="60"/>
                                          <w:jc w:val="center"/>
                                          <w:rPr>
                                            <w:sz w:val="21"/>
                                            <w:szCs w:val="21"/>
                                          </w:rPr>
                                        </w:pPr>
                                        <w:r>
                                          <w:rPr>
                                            <w:sz w:val="21"/>
                                            <w:szCs w:val="21"/>
                                          </w:rPr>
                                          <w:t>1.9</w:t>
                                        </w:r>
                                      </w:p>
                                    </w:tc>
                                    <w:tc>
                                      <w:tcPr>
                                        <w:tcW w:w="1063" w:type="dxa"/>
                                      </w:tcPr>
                                      <w:p w14:paraId="22349A83" w14:textId="1D4B7AA9" w:rsidR="00D60097" w:rsidRPr="005D39DD" w:rsidRDefault="00D60097" w:rsidP="00FE5BFE">
                                        <w:pPr>
                                          <w:keepNext/>
                                          <w:keepLines/>
                                          <w:spacing w:before="60" w:after="60"/>
                                          <w:jc w:val="center"/>
                                          <w:rPr>
                                            <w:sz w:val="21"/>
                                            <w:szCs w:val="21"/>
                                          </w:rPr>
                                        </w:pPr>
                                        <w:r>
                                          <w:rPr>
                                            <w:sz w:val="21"/>
                                            <w:szCs w:val="21"/>
                                          </w:rPr>
                                          <w:t>1.4</w:t>
                                        </w:r>
                                      </w:p>
                                    </w:tc>
                                    <w:tc>
                                      <w:tcPr>
                                        <w:tcW w:w="1063" w:type="dxa"/>
                                      </w:tcPr>
                                      <w:p w14:paraId="57185680" w14:textId="4679A6E7" w:rsidR="00D60097" w:rsidRPr="005D39DD" w:rsidRDefault="00D60097" w:rsidP="00CE09D3">
                                        <w:pPr>
                                          <w:keepNext/>
                                          <w:keepLines/>
                                          <w:spacing w:before="60" w:after="60"/>
                                          <w:jc w:val="center"/>
                                          <w:rPr>
                                            <w:sz w:val="21"/>
                                            <w:szCs w:val="21"/>
                                          </w:rPr>
                                        </w:pPr>
                                        <w:r>
                                          <w:rPr>
                                            <w:sz w:val="21"/>
                                            <w:szCs w:val="21"/>
                                          </w:rPr>
                                          <w:t>1.8</w:t>
                                        </w:r>
                                      </w:p>
                                    </w:tc>
                                    <w:tc>
                                      <w:tcPr>
                                        <w:tcW w:w="1064" w:type="dxa"/>
                                      </w:tcPr>
                                      <w:p w14:paraId="5BBB4E35" w14:textId="089BD8B3" w:rsidR="00D60097" w:rsidRPr="005D39DD" w:rsidRDefault="00D60097" w:rsidP="00CE09D3">
                                        <w:pPr>
                                          <w:keepNext/>
                                          <w:keepLines/>
                                          <w:spacing w:before="60" w:after="60"/>
                                          <w:jc w:val="right"/>
                                          <w:rPr>
                                            <w:sz w:val="21"/>
                                            <w:szCs w:val="21"/>
                                          </w:rPr>
                                        </w:pPr>
                                        <w:r>
                                          <w:rPr>
                                            <w:sz w:val="21"/>
                                            <w:szCs w:val="21"/>
                                          </w:rPr>
                                          <w:t>5.1</w:t>
                                        </w:r>
                                      </w:p>
                                    </w:tc>
                                  </w:tr>
                                  <w:tr w:rsidR="00D60097" w:rsidRPr="00101AB3" w14:paraId="1D84A9EA" w14:textId="77777777" w:rsidTr="00ED5ECC">
                                    <w:trPr>
                                      <w:cantSplit/>
                                    </w:trPr>
                                    <w:tc>
                                      <w:tcPr>
                                        <w:tcW w:w="3544" w:type="dxa"/>
                                      </w:tcPr>
                                      <w:p w14:paraId="079770B5" w14:textId="77777777" w:rsidR="00D60097" w:rsidRPr="008C6B79"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Australian Capital Territory</w:t>
                                        </w:r>
                                      </w:p>
                                    </w:tc>
                                    <w:tc>
                                      <w:tcPr>
                                        <w:tcW w:w="1063" w:type="dxa"/>
                                      </w:tcPr>
                                      <w:p w14:paraId="33DE1279" w14:textId="6977366B" w:rsidR="00D60097" w:rsidRPr="005D39DD" w:rsidRDefault="00D60097" w:rsidP="00FE5BFE">
                                        <w:pPr>
                                          <w:keepNext/>
                                          <w:keepLines/>
                                          <w:spacing w:before="60" w:after="60"/>
                                          <w:jc w:val="center"/>
                                          <w:rPr>
                                            <w:sz w:val="21"/>
                                            <w:szCs w:val="21"/>
                                          </w:rPr>
                                        </w:pPr>
                                        <w:r>
                                          <w:rPr>
                                            <w:sz w:val="21"/>
                                            <w:szCs w:val="21"/>
                                          </w:rPr>
                                          <w:t>0.9</w:t>
                                        </w:r>
                                      </w:p>
                                    </w:tc>
                                    <w:tc>
                                      <w:tcPr>
                                        <w:tcW w:w="1063" w:type="dxa"/>
                                      </w:tcPr>
                                      <w:p w14:paraId="697768B9" w14:textId="17B7ED85" w:rsidR="00D60097" w:rsidRPr="005D39DD" w:rsidRDefault="00D60097" w:rsidP="00BC2655">
                                        <w:pPr>
                                          <w:keepNext/>
                                          <w:keepLines/>
                                          <w:spacing w:before="60" w:after="60"/>
                                          <w:jc w:val="center"/>
                                          <w:rPr>
                                            <w:sz w:val="21"/>
                                            <w:szCs w:val="21"/>
                                          </w:rPr>
                                        </w:pPr>
                                        <w:r>
                                          <w:rPr>
                                            <w:sz w:val="21"/>
                                            <w:szCs w:val="21"/>
                                          </w:rPr>
                                          <w:t>0.6</w:t>
                                        </w:r>
                                      </w:p>
                                    </w:tc>
                                    <w:tc>
                                      <w:tcPr>
                                        <w:tcW w:w="1063" w:type="dxa"/>
                                      </w:tcPr>
                                      <w:p w14:paraId="24F966F6" w14:textId="4BF3B0D5" w:rsidR="00D60097" w:rsidRPr="005D39DD" w:rsidRDefault="00D60097" w:rsidP="00FE5BFE">
                                        <w:pPr>
                                          <w:keepNext/>
                                          <w:keepLines/>
                                          <w:spacing w:before="60" w:after="60"/>
                                          <w:jc w:val="center"/>
                                          <w:rPr>
                                            <w:sz w:val="21"/>
                                            <w:szCs w:val="21"/>
                                          </w:rPr>
                                        </w:pPr>
                                        <w:r>
                                          <w:rPr>
                                            <w:sz w:val="21"/>
                                            <w:szCs w:val="21"/>
                                          </w:rPr>
                                          <w:t>0.9</w:t>
                                        </w:r>
                                      </w:p>
                                    </w:tc>
                                    <w:tc>
                                      <w:tcPr>
                                        <w:tcW w:w="1064" w:type="dxa"/>
                                      </w:tcPr>
                                      <w:p w14:paraId="0EEFB879" w14:textId="1A06366B" w:rsidR="00D60097" w:rsidRPr="005D39DD" w:rsidRDefault="00D60097" w:rsidP="00BC2655">
                                        <w:pPr>
                                          <w:keepNext/>
                                          <w:keepLines/>
                                          <w:spacing w:before="60" w:after="60"/>
                                          <w:jc w:val="right"/>
                                          <w:rPr>
                                            <w:sz w:val="21"/>
                                            <w:szCs w:val="21"/>
                                          </w:rPr>
                                        </w:pPr>
                                        <w:r>
                                          <w:rPr>
                                            <w:sz w:val="21"/>
                                            <w:szCs w:val="21"/>
                                          </w:rPr>
                                          <w:t>2.4</w:t>
                                        </w:r>
                                      </w:p>
                                    </w:tc>
                                  </w:tr>
                                  <w:tr w:rsidR="00D60097" w:rsidRPr="00101AB3" w14:paraId="40499DB0" w14:textId="77777777" w:rsidTr="00ED5ECC">
                                    <w:trPr>
                                      <w:cantSplit/>
                                    </w:trPr>
                                    <w:tc>
                                      <w:tcPr>
                                        <w:tcW w:w="3544" w:type="dxa"/>
                                      </w:tcPr>
                                      <w:p w14:paraId="4123A64C" w14:textId="4EED912B"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Unallocated*</w:t>
                                        </w:r>
                                      </w:p>
                                    </w:tc>
                                    <w:tc>
                                      <w:tcPr>
                                        <w:tcW w:w="1063" w:type="dxa"/>
                                      </w:tcPr>
                                      <w:p w14:paraId="0FAF91F8" w14:textId="77777777" w:rsidR="00D60097" w:rsidRDefault="00D60097" w:rsidP="00FE5BFE">
                                        <w:pPr>
                                          <w:keepNext/>
                                          <w:keepLines/>
                                          <w:spacing w:before="60" w:after="60"/>
                                          <w:jc w:val="center"/>
                                          <w:rPr>
                                            <w:sz w:val="21"/>
                                            <w:szCs w:val="21"/>
                                          </w:rPr>
                                        </w:pPr>
                                        <w:r>
                                          <w:rPr>
                                            <w:sz w:val="21"/>
                                            <w:szCs w:val="21"/>
                                          </w:rPr>
                                          <w:t>0.0</w:t>
                                        </w:r>
                                      </w:p>
                                    </w:tc>
                                    <w:tc>
                                      <w:tcPr>
                                        <w:tcW w:w="1063" w:type="dxa"/>
                                      </w:tcPr>
                                      <w:p w14:paraId="5D7FA132" w14:textId="77777777" w:rsidR="00D60097" w:rsidDel="006E6F83" w:rsidRDefault="00D60097" w:rsidP="00FE5BFE">
                                        <w:pPr>
                                          <w:keepNext/>
                                          <w:keepLines/>
                                          <w:spacing w:before="60" w:after="60"/>
                                          <w:jc w:val="center"/>
                                          <w:rPr>
                                            <w:sz w:val="21"/>
                                            <w:szCs w:val="21"/>
                                          </w:rPr>
                                        </w:pPr>
                                        <w:r>
                                          <w:rPr>
                                            <w:sz w:val="21"/>
                                            <w:szCs w:val="21"/>
                                          </w:rPr>
                                          <w:t>5.0</w:t>
                                        </w:r>
                                      </w:p>
                                    </w:tc>
                                    <w:tc>
                                      <w:tcPr>
                                        <w:tcW w:w="1063" w:type="dxa"/>
                                      </w:tcPr>
                                      <w:p w14:paraId="0457EDA9" w14:textId="77777777" w:rsidR="00D60097" w:rsidDel="006E6F83" w:rsidRDefault="00D60097" w:rsidP="00FE5BFE">
                                        <w:pPr>
                                          <w:keepNext/>
                                          <w:keepLines/>
                                          <w:spacing w:before="60" w:after="60"/>
                                          <w:jc w:val="center"/>
                                          <w:rPr>
                                            <w:sz w:val="21"/>
                                            <w:szCs w:val="21"/>
                                          </w:rPr>
                                        </w:pPr>
                                        <w:r>
                                          <w:rPr>
                                            <w:sz w:val="21"/>
                                            <w:szCs w:val="21"/>
                                          </w:rPr>
                                          <w:t>0.0</w:t>
                                        </w:r>
                                      </w:p>
                                    </w:tc>
                                    <w:tc>
                                      <w:tcPr>
                                        <w:tcW w:w="1064" w:type="dxa"/>
                                      </w:tcPr>
                                      <w:p w14:paraId="3C450E7D" w14:textId="78F96693" w:rsidR="00D60097" w:rsidDel="006E6F83" w:rsidRDefault="00D60097" w:rsidP="00FE5BFE">
                                        <w:pPr>
                                          <w:keepNext/>
                                          <w:keepLines/>
                                          <w:spacing w:before="60" w:after="60"/>
                                          <w:jc w:val="right"/>
                                          <w:rPr>
                                            <w:sz w:val="21"/>
                                            <w:szCs w:val="21"/>
                                          </w:rPr>
                                        </w:pPr>
                                        <w:r>
                                          <w:rPr>
                                            <w:sz w:val="21"/>
                                            <w:szCs w:val="21"/>
                                          </w:rPr>
                                          <w:t>5.0</w:t>
                                        </w:r>
                                      </w:p>
                                    </w:tc>
                                  </w:tr>
                                  <w:tr w:rsidR="00D60097" w:rsidRPr="00CE6794" w14:paraId="078B6189" w14:textId="77777777" w:rsidTr="00ED5ECC">
                                    <w:trPr>
                                      <w:cantSplit/>
                                    </w:trPr>
                                    <w:tc>
                                      <w:tcPr>
                                        <w:tcW w:w="3544" w:type="dxa"/>
                                        <w:tcBorders>
                                          <w:bottom w:val="single" w:sz="4" w:space="0" w:color="auto"/>
                                        </w:tcBorders>
                                      </w:tcPr>
                                      <w:tbl>
                                        <w:tblPr>
                                          <w:tblW w:w="3261" w:type="dxa"/>
                                          <w:tblLayout w:type="fixed"/>
                                          <w:tblLook w:val="01E0" w:firstRow="1" w:lastRow="1" w:firstColumn="1" w:lastColumn="1" w:noHBand="0" w:noVBand="0"/>
                                        </w:tblPr>
                                        <w:tblGrid>
                                          <w:gridCol w:w="3261"/>
                                        </w:tblGrid>
                                        <w:tr w:rsidR="00D60097" w:rsidRPr="00CE6794" w14:paraId="48EF3B2A" w14:textId="77777777" w:rsidTr="006F3A9B">
                                          <w:trPr>
                                            <w:cantSplit/>
                                          </w:trPr>
                                          <w:tc>
                                            <w:tcPr>
                                              <w:tcW w:w="3261" w:type="dxa"/>
                                            </w:tcPr>
                                            <w:p w14:paraId="05773314" w14:textId="77777777" w:rsidR="00D60097" w:rsidRPr="00CE6794" w:rsidRDefault="00D60097" w:rsidP="00FE5BFE">
                                              <w:pPr>
                                                <w:keepNext/>
                                                <w:keepLines/>
                                                <w:spacing w:before="60" w:after="60"/>
                                                <w:ind w:left="-113"/>
                                                <w:rPr>
                                                  <w:sz w:val="21"/>
                                                  <w:szCs w:val="21"/>
                                                </w:rPr>
                                              </w:pPr>
                                              <w:r w:rsidRPr="00CE6794">
                                                <w:rPr>
                                                  <w:sz w:val="21"/>
                                                  <w:szCs w:val="21"/>
                                                </w:rPr>
                                                <w:t>Balance of non-Commonwealth contributions</w:t>
                                              </w:r>
                                            </w:p>
                                          </w:tc>
                                        </w:tr>
                                      </w:tbl>
                                      <w:p w14:paraId="1CBD9D3E" w14:textId="77777777" w:rsidR="00D60097" w:rsidRPr="00CE6794" w:rsidRDefault="00D60097" w:rsidP="00FE5BFE">
                                        <w:pPr>
                                          <w:keepNext/>
                                          <w:keepLines/>
                                          <w:spacing w:before="40" w:after="40"/>
                                          <w:ind w:left="-111"/>
                                          <w:rPr>
                                            <w:sz w:val="21"/>
                                            <w:szCs w:val="21"/>
                                          </w:rPr>
                                        </w:pPr>
                                      </w:p>
                                    </w:tc>
                                    <w:tc>
                                      <w:tcPr>
                                        <w:tcW w:w="1063" w:type="dxa"/>
                                        <w:tcBorders>
                                          <w:bottom w:val="single" w:sz="4" w:space="0" w:color="auto"/>
                                        </w:tcBorders>
                                      </w:tcPr>
                                      <w:p w14:paraId="6639C029"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3" w:type="dxa"/>
                                        <w:tcBorders>
                                          <w:bottom w:val="single" w:sz="4" w:space="0" w:color="auto"/>
                                        </w:tcBorders>
                                      </w:tcPr>
                                      <w:p w14:paraId="508DE0D3"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3" w:type="dxa"/>
                                        <w:tcBorders>
                                          <w:bottom w:val="single" w:sz="4" w:space="0" w:color="auto"/>
                                        </w:tcBorders>
                                      </w:tcPr>
                                      <w:p w14:paraId="6DF6E91F"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4" w:type="dxa"/>
                                        <w:tcBorders>
                                          <w:bottom w:val="single" w:sz="4" w:space="0" w:color="auto"/>
                                        </w:tcBorders>
                                      </w:tcPr>
                                      <w:p w14:paraId="345A4EBC" w14:textId="77777777" w:rsidR="00D60097" w:rsidRPr="00CE6794" w:rsidRDefault="00D60097" w:rsidP="00FE5BFE">
                                        <w:pPr>
                                          <w:widowControl/>
                                          <w:spacing w:after="160" w:line="259" w:lineRule="auto"/>
                                          <w:jc w:val="right"/>
                                        </w:pPr>
                                        <w:r>
                                          <w:rPr>
                                            <w:sz w:val="21"/>
                                            <w:szCs w:val="21"/>
                                          </w:rPr>
                                          <w:t>0</w:t>
                                        </w:r>
                                        <w:r w:rsidRPr="00CE6794">
                                          <w:rPr>
                                            <w:sz w:val="21"/>
                                            <w:szCs w:val="21"/>
                                          </w:rPr>
                                          <w:t>.0</w:t>
                                        </w:r>
                                      </w:p>
                                    </w:tc>
                                  </w:tr>
                                </w:tbl>
                                <w:p w14:paraId="27D4F2F1" w14:textId="288DE92B" w:rsidR="00D60097" w:rsidRPr="00101AB3" w:rsidRDefault="00D60097" w:rsidP="001566E4">
                                  <w:pPr>
                                    <w:spacing w:before="80"/>
                                    <w:rPr>
                                      <w:sz w:val="18"/>
                                      <w:szCs w:val="18"/>
                                    </w:rPr>
                                  </w:pPr>
                                  <w:r w:rsidRPr="00A2354F">
                                    <w:rPr>
                                      <w:i/>
                                      <w:iCs/>
                                      <w:sz w:val="18"/>
                                      <w:szCs w:val="18"/>
                                    </w:rPr>
                                    <w:t xml:space="preserve">* </w:t>
                                  </w:r>
                                  <w:r>
                                    <w:rPr>
                                      <w:i/>
                                      <w:iCs/>
                                      <w:sz w:val="18"/>
                                      <w:szCs w:val="18"/>
                                    </w:rPr>
                                    <w:t>U</w:t>
                                  </w:r>
                                  <w:r w:rsidRPr="00A2354F">
                                    <w:rPr>
                                      <w:i/>
                                      <w:iCs/>
                                      <w:sz w:val="18"/>
                                      <w:szCs w:val="18"/>
                                    </w:rPr>
                                    <w:t xml:space="preserve">nallocated funds </w:t>
                                  </w:r>
                                  <w:r>
                                    <w:rPr>
                                      <w:i/>
                                      <w:iCs/>
                                      <w:sz w:val="18"/>
                                      <w:szCs w:val="18"/>
                                    </w:rPr>
                                    <w:t>will</w:t>
                                  </w:r>
                                  <w:r w:rsidRPr="00A2354F">
                                    <w:rPr>
                                      <w:i/>
                                      <w:iCs/>
                                      <w:sz w:val="18"/>
                                      <w:szCs w:val="18"/>
                                    </w:rPr>
                                    <w:t xml:space="preserve"> </w:t>
                                  </w:r>
                                  <w:r>
                                    <w:rPr>
                                      <w:i/>
                                      <w:iCs/>
                                      <w:sz w:val="18"/>
                                      <w:szCs w:val="18"/>
                                    </w:rPr>
                                    <w:t>be apportioned by Basin State</w:t>
                                  </w:r>
                                  <w:r w:rsidRPr="00A2354F">
                                    <w:rPr>
                                      <w:i/>
                                      <w:iCs/>
                                      <w:sz w:val="18"/>
                                      <w:szCs w:val="18"/>
                                    </w:rPr>
                                    <w:t xml:space="preserve"> </w:t>
                                  </w:r>
                                  <w:r>
                                    <w:rPr>
                                      <w:i/>
                                      <w:iCs/>
                                      <w:sz w:val="18"/>
                                      <w:szCs w:val="18"/>
                                    </w:rPr>
                                    <w:t xml:space="preserve">as per the agreed </w:t>
                                  </w:r>
                                  <w:r w:rsidRPr="00A2354F">
                                    <w:rPr>
                                      <w:i/>
                                      <w:iCs/>
                                      <w:sz w:val="18"/>
                                      <w:szCs w:val="18"/>
                                    </w:rPr>
                                    <w:t>formula</w:t>
                                  </w:r>
                                  <w:r>
                                    <w:rPr>
                                      <w:i/>
                                      <w:iCs/>
                                      <w:sz w:val="18"/>
                                      <w:szCs w:val="18"/>
                                    </w:rPr>
                                    <w:t xml:space="preserve"> for allocated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84.15pt;width:395.75pt;height:237.45pt;z-index:25165824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" stroked="f">
                      <v:textbox>
                        <w:txbxContent>
                          <w:tbl>
                            <w:tblPr>
                              <w:tblW w:w="7797" w:type="dxa"/>
                              <w:tblLayout w:type="fixed"/>
                              <w:tblLook w:val="01E0" w:firstRow="1" w:lastRow="1" w:firstColumn="1" w:lastColumn="1" w:noHBand="0" w:noVBand="0"/>
                            </w:tblPr>
                            <w:tblGrid>
                              <w:gridCol w:w="3544"/>
                              <w:gridCol w:w="1063"/>
                              <w:gridCol w:w="1063"/>
                              <w:gridCol w:w="1063"/>
                              <w:gridCol w:w="1064"/>
                            </w:tblGrid>
                            <w:tr w:rsidR="00D60097" w:rsidRPr="00101AB3" w14:paraId="382DBA4C" w14:textId="77777777" w:rsidTr="00ED5ECC">
                              <w:trPr>
                                <w:cantSplit/>
                              </w:trPr>
                              <w:tc>
                                <w:tcPr>
                                  <w:tcW w:w="3544" w:type="dxa"/>
                                  <w:tcBorders>
                                    <w:top w:val="single" w:sz="4" w:space="0" w:color="000080"/>
                                    <w:bottom w:val="single" w:sz="4" w:space="0" w:color="000080"/>
                                  </w:tcBorders>
                                </w:tcPr>
                                <w:p w14:paraId="408B9138" w14:textId="09045F76" w:rsidR="00D60097" w:rsidRPr="005D39DD" w:rsidRDefault="00D60097" w:rsidP="00656342">
                                  <w:pPr>
                                    <w:keepNext/>
                                    <w:keepLines/>
                                    <w:spacing w:before="40" w:after="40"/>
                                    <w:ind w:left="-111"/>
                                    <w:rPr>
                                      <w:b/>
                                      <w:sz w:val="21"/>
                                      <w:szCs w:val="21"/>
                                    </w:rPr>
                                  </w:pPr>
                                  <w:r>
                                    <w:rPr>
                                      <w:b/>
                                      <w:sz w:val="21"/>
                                      <w:szCs w:val="21"/>
                                    </w:rPr>
                                    <w:t xml:space="preserve">Table 1 - </w:t>
                                  </w:r>
                                  <w:r w:rsidRPr="005D39DD">
                                    <w:rPr>
                                      <w:b/>
                                      <w:sz w:val="21"/>
                                      <w:szCs w:val="21"/>
                                    </w:rPr>
                                    <w:t>($ million)</w:t>
                                  </w:r>
                                </w:p>
                              </w:tc>
                              <w:tc>
                                <w:tcPr>
                                  <w:tcW w:w="1063" w:type="dxa"/>
                                  <w:tcBorders>
                                    <w:top w:val="single" w:sz="4" w:space="0" w:color="000080"/>
                                    <w:bottom w:val="single" w:sz="4" w:space="0" w:color="000080"/>
                                  </w:tcBorders>
                                </w:tcPr>
                                <w:p w14:paraId="38C08048" w14:textId="77777777" w:rsidR="00D60097" w:rsidRPr="005D39DD" w:rsidRDefault="00D60097" w:rsidP="001932EE">
                                  <w:pPr>
                                    <w:keepNext/>
                                    <w:keepLines/>
                                    <w:spacing w:before="40" w:after="40"/>
                                    <w:jc w:val="center"/>
                                    <w:rPr>
                                      <w:b/>
                                      <w:sz w:val="21"/>
                                      <w:szCs w:val="21"/>
                                    </w:rPr>
                                  </w:pPr>
                                  <w:r>
                                    <w:rPr>
                                      <w:b/>
                                      <w:sz w:val="21"/>
                                      <w:szCs w:val="21"/>
                                    </w:rPr>
                                    <w:t>2021-22</w:t>
                                  </w:r>
                                </w:p>
                              </w:tc>
                              <w:tc>
                                <w:tcPr>
                                  <w:tcW w:w="1063" w:type="dxa"/>
                                  <w:tcBorders>
                                    <w:top w:val="single" w:sz="4" w:space="0" w:color="000080"/>
                                    <w:bottom w:val="single" w:sz="4" w:space="0" w:color="000080"/>
                                  </w:tcBorders>
                                </w:tcPr>
                                <w:p w14:paraId="227D40DD" w14:textId="77777777" w:rsidR="00D60097" w:rsidRPr="005D39DD" w:rsidRDefault="00D60097" w:rsidP="001932EE">
                                  <w:pPr>
                                    <w:keepNext/>
                                    <w:keepLines/>
                                    <w:spacing w:before="40" w:after="40"/>
                                    <w:jc w:val="center"/>
                                    <w:rPr>
                                      <w:b/>
                                      <w:sz w:val="21"/>
                                      <w:szCs w:val="21"/>
                                    </w:rPr>
                                  </w:pPr>
                                  <w:r>
                                    <w:rPr>
                                      <w:b/>
                                      <w:sz w:val="21"/>
                                      <w:szCs w:val="21"/>
                                    </w:rPr>
                                    <w:t>2022-23</w:t>
                                  </w:r>
                                </w:p>
                              </w:tc>
                              <w:tc>
                                <w:tcPr>
                                  <w:tcW w:w="1063" w:type="dxa"/>
                                  <w:tcBorders>
                                    <w:top w:val="single" w:sz="4" w:space="0" w:color="000080"/>
                                    <w:bottom w:val="single" w:sz="4" w:space="0" w:color="000080"/>
                                  </w:tcBorders>
                                </w:tcPr>
                                <w:p w14:paraId="16046526" w14:textId="77777777" w:rsidR="00D60097" w:rsidRPr="005D39DD" w:rsidRDefault="00D60097" w:rsidP="001932EE">
                                  <w:pPr>
                                    <w:keepNext/>
                                    <w:keepLines/>
                                    <w:spacing w:before="40" w:after="40"/>
                                    <w:jc w:val="center"/>
                                    <w:rPr>
                                      <w:b/>
                                      <w:sz w:val="21"/>
                                      <w:szCs w:val="21"/>
                                    </w:rPr>
                                  </w:pPr>
                                  <w:r>
                                    <w:rPr>
                                      <w:b/>
                                      <w:sz w:val="21"/>
                                      <w:szCs w:val="21"/>
                                    </w:rPr>
                                    <w:t>2023-24</w:t>
                                  </w:r>
                                </w:p>
                              </w:tc>
                              <w:tc>
                                <w:tcPr>
                                  <w:tcW w:w="1064" w:type="dxa"/>
                                  <w:tcBorders>
                                    <w:top w:val="single" w:sz="4" w:space="0" w:color="000080"/>
                                    <w:bottom w:val="single" w:sz="4" w:space="0" w:color="000080"/>
                                  </w:tcBorders>
                                </w:tcPr>
                                <w:p w14:paraId="13016934" w14:textId="77777777" w:rsidR="00D60097" w:rsidRPr="005D39DD" w:rsidRDefault="00D60097" w:rsidP="00AA0E74">
                                  <w:pPr>
                                    <w:keepNext/>
                                    <w:keepLines/>
                                    <w:spacing w:before="40" w:after="40"/>
                                    <w:jc w:val="right"/>
                                    <w:rPr>
                                      <w:b/>
                                      <w:sz w:val="21"/>
                                      <w:szCs w:val="21"/>
                                    </w:rPr>
                                  </w:pPr>
                                  <w:r w:rsidRPr="005D39DD">
                                    <w:rPr>
                                      <w:b/>
                                      <w:sz w:val="21"/>
                                      <w:szCs w:val="21"/>
                                    </w:rPr>
                                    <w:t>Total</w:t>
                                  </w:r>
                                </w:p>
                              </w:tc>
                            </w:tr>
                            <w:tr w:rsidR="00D60097" w:rsidRPr="00101AB3" w14:paraId="00D54897" w14:textId="77777777" w:rsidTr="00ED5ECC">
                              <w:trPr>
                                <w:cantSplit/>
                              </w:trPr>
                              <w:tc>
                                <w:tcPr>
                                  <w:tcW w:w="3544" w:type="dxa"/>
                                  <w:tcBorders>
                                    <w:top w:val="single" w:sz="4" w:space="0" w:color="000080"/>
                                  </w:tcBorders>
                                </w:tcPr>
                                <w:p w14:paraId="4D50B73F" w14:textId="77777777" w:rsidR="00D60097" w:rsidRPr="005D39DD" w:rsidRDefault="00D60097" w:rsidP="000C3FE5">
                                  <w:pPr>
                                    <w:keepNext/>
                                    <w:keepLines/>
                                    <w:spacing w:before="60" w:after="60"/>
                                    <w:ind w:left="-113"/>
                                    <w:rPr>
                                      <w:b/>
                                      <w:sz w:val="21"/>
                                      <w:szCs w:val="21"/>
                                    </w:rPr>
                                  </w:pPr>
                                  <w:r w:rsidRPr="005D39DD">
                                    <w:rPr>
                                      <w:b/>
                                      <w:sz w:val="21"/>
                                      <w:szCs w:val="21"/>
                                    </w:rPr>
                                    <w:t>Estimated total budget</w:t>
                                  </w:r>
                                </w:p>
                              </w:tc>
                              <w:tc>
                                <w:tcPr>
                                  <w:tcW w:w="1063" w:type="dxa"/>
                                  <w:tcBorders>
                                    <w:top w:val="single" w:sz="4" w:space="0" w:color="000080"/>
                                  </w:tcBorders>
                                </w:tcPr>
                                <w:p w14:paraId="1664BA7C" w14:textId="0C164F51"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3" w:type="dxa"/>
                                  <w:tcBorders>
                                    <w:top w:val="single" w:sz="4" w:space="0" w:color="000080"/>
                                  </w:tcBorders>
                                </w:tcPr>
                                <w:p w14:paraId="3152EF5B" w14:textId="2FAA9C9B"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3" w:type="dxa"/>
                                  <w:tcBorders>
                                    <w:top w:val="single" w:sz="4" w:space="0" w:color="000080"/>
                                  </w:tcBorders>
                                </w:tcPr>
                                <w:p w14:paraId="55B53466" w14:textId="17A26ADA" w:rsidR="00D60097" w:rsidRPr="000A7AD6" w:rsidRDefault="00D60097" w:rsidP="001932EE">
                                  <w:pPr>
                                    <w:keepNext/>
                                    <w:keepLines/>
                                    <w:spacing w:before="40" w:after="40"/>
                                    <w:jc w:val="center"/>
                                    <w:rPr>
                                      <w:b/>
                                      <w:sz w:val="21"/>
                                      <w:szCs w:val="21"/>
                                    </w:rPr>
                                  </w:pPr>
                                  <w:r>
                                    <w:rPr>
                                      <w:b/>
                                      <w:sz w:val="21"/>
                                      <w:szCs w:val="21"/>
                                    </w:rPr>
                                    <w:t>2</w:t>
                                  </w:r>
                                  <w:r w:rsidRPr="000A7AD6">
                                    <w:rPr>
                                      <w:b/>
                                      <w:sz w:val="21"/>
                                      <w:szCs w:val="21"/>
                                    </w:rPr>
                                    <w:t>0.0</w:t>
                                  </w:r>
                                </w:p>
                              </w:tc>
                              <w:tc>
                                <w:tcPr>
                                  <w:tcW w:w="1064" w:type="dxa"/>
                                  <w:tcBorders>
                                    <w:top w:val="single" w:sz="4" w:space="0" w:color="000080"/>
                                  </w:tcBorders>
                                </w:tcPr>
                                <w:p w14:paraId="23A80BB1" w14:textId="4400D0C9" w:rsidR="00D60097" w:rsidRPr="000A7AD6" w:rsidRDefault="00D60097" w:rsidP="00AA0E74">
                                  <w:pPr>
                                    <w:keepNext/>
                                    <w:keepLines/>
                                    <w:spacing w:before="40" w:after="40"/>
                                    <w:jc w:val="right"/>
                                    <w:rPr>
                                      <w:b/>
                                      <w:sz w:val="21"/>
                                      <w:szCs w:val="21"/>
                                    </w:rPr>
                                  </w:pPr>
                                  <w:r>
                                    <w:rPr>
                                      <w:b/>
                                      <w:sz w:val="21"/>
                                      <w:szCs w:val="21"/>
                                    </w:rPr>
                                    <w:t>6</w:t>
                                  </w:r>
                                  <w:r w:rsidRPr="000A7AD6">
                                    <w:rPr>
                                      <w:b/>
                                      <w:sz w:val="21"/>
                                      <w:szCs w:val="21"/>
                                    </w:rPr>
                                    <w:t>0.0</w:t>
                                  </w:r>
                                </w:p>
                              </w:tc>
                            </w:tr>
                            <w:tr w:rsidR="00D60097" w:rsidRPr="00101AB3" w14:paraId="1AACB3B4" w14:textId="77777777" w:rsidTr="00ED5ECC">
                              <w:trPr>
                                <w:cantSplit/>
                              </w:trPr>
                              <w:tc>
                                <w:tcPr>
                                  <w:tcW w:w="3544" w:type="dxa"/>
                                </w:tcPr>
                                <w:p w14:paraId="114E80AE" w14:textId="77777777" w:rsidR="00D60097" w:rsidRPr="008C6B79" w:rsidRDefault="00D60097" w:rsidP="001932EE">
                                  <w:pPr>
                                    <w:keepNext/>
                                    <w:keepLines/>
                                    <w:spacing w:before="60" w:after="60"/>
                                    <w:ind w:left="-113"/>
                                    <w:rPr>
                                      <w:sz w:val="21"/>
                                      <w:szCs w:val="21"/>
                                    </w:rPr>
                                  </w:pPr>
                                  <w:r w:rsidRPr="008C6B79">
                                    <w:rPr>
                                      <w:sz w:val="21"/>
                                      <w:szCs w:val="21"/>
                                    </w:rPr>
                                    <w:t xml:space="preserve">Less estimated </w:t>
                                  </w:r>
                                  <w:r>
                                    <w:rPr>
                                      <w:sz w:val="21"/>
                                      <w:szCs w:val="21"/>
                                    </w:rPr>
                                    <w:t xml:space="preserve">Commonwealth </w:t>
                                  </w:r>
                                  <w:r w:rsidRPr="008C6B79">
                                    <w:rPr>
                                      <w:sz w:val="21"/>
                                      <w:szCs w:val="21"/>
                                    </w:rPr>
                                    <w:t xml:space="preserve">Payments </w:t>
                                  </w:r>
                                </w:p>
                              </w:tc>
                              <w:tc>
                                <w:tcPr>
                                  <w:tcW w:w="1063" w:type="dxa"/>
                                </w:tcPr>
                                <w:p w14:paraId="469DF5C6" w14:textId="77777777" w:rsidR="00D60097" w:rsidRPr="005D39DD" w:rsidRDefault="00D60097" w:rsidP="001932EE">
                                  <w:pPr>
                                    <w:keepNext/>
                                    <w:keepLines/>
                                    <w:spacing w:before="40" w:after="40"/>
                                    <w:jc w:val="center"/>
                                    <w:rPr>
                                      <w:sz w:val="21"/>
                                      <w:szCs w:val="21"/>
                                    </w:rPr>
                                  </w:pPr>
                                </w:p>
                              </w:tc>
                              <w:tc>
                                <w:tcPr>
                                  <w:tcW w:w="1063" w:type="dxa"/>
                                </w:tcPr>
                                <w:p w14:paraId="34EA792C" w14:textId="77777777" w:rsidR="00D60097" w:rsidRPr="005D39DD" w:rsidRDefault="00D60097" w:rsidP="001932EE">
                                  <w:pPr>
                                    <w:keepNext/>
                                    <w:keepLines/>
                                    <w:spacing w:before="40" w:after="40"/>
                                    <w:jc w:val="right"/>
                                    <w:rPr>
                                      <w:sz w:val="21"/>
                                      <w:szCs w:val="21"/>
                                    </w:rPr>
                                  </w:pPr>
                                </w:p>
                              </w:tc>
                              <w:tc>
                                <w:tcPr>
                                  <w:tcW w:w="1063" w:type="dxa"/>
                                </w:tcPr>
                                <w:p w14:paraId="22374CAD" w14:textId="77777777" w:rsidR="00D60097" w:rsidRPr="005D39DD" w:rsidRDefault="00D60097" w:rsidP="001932EE">
                                  <w:pPr>
                                    <w:keepNext/>
                                    <w:keepLines/>
                                    <w:spacing w:before="40" w:after="40"/>
                                    <w:jc w:val="right"/>
                                    <w:rPr>
                                      <w:sz w:val="21"/>
                                      <w:szCs w:val="21"/>
                                    </w:rPr>
                                  </w:pPr>
                                </w:p>
                              </w:tc>
                              <w:tc>
                                <w:tcPr>
                                  <w:tcW w:w="1064" w:type="dxa"/>
                                </w:tcPr>
                                <w:p w14:paraId="3E854B76" w14:textId="77777777" w:rsidR="00D60097" w:rsidRPr="005D39DD" w:rsidRDefault="00D60097" w:rsidP="00AA0E74">
                                  <w:pPr>
                                    <w:keepNext/>
                                    <w:keepLines/>
                                    <w:spacing w:before="40" w:after="40"/>
                                    <w:jc w:val="right"/>
                                    <w:rPr>
                                      <w:sz w:val="21"/>
                                      <w:szCs w:val="21"/>
                                    </w:rPr>
                                  </w:pPr>
                                </w:p>
                              </w:tc>
                            </w:tr>
                            <w:tr w:rsidR="00D60097" w:rsidRPr="00101AB3" w14:paraId="53B29274" w14:textId="77777777" w:rsidTr="00ED5ECC">
                              <w:trPr>
                                <w:cantSplit/>
                              </w:trPr>
                              <w:tc>
                                <w:tcPr>
                                  <w:tcW w:w="3544" w:type="dxa"/>
                                </w:tcPr>
                                <w:p w14:paraId="6E76BEF4" w14:textId="77777777" w:rsidR="00D60097" w:rsidRPr="008C6B79"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New South Wales</w:t>
                                  </w:r>
                                </w:p>
                              </w:tc>
                              <w:tc>
                                <w:tcPr>
                                  <w:tcW w:w="1063" w:type="dxa"/>
                                </w:tcPr>
                                <w:p w14:paraId="7D29E425" w14:textId="6E5683B0" w:rsidR="00D60097" w:rsidRPr="005D39DD" w:rsidRDefault="00D60097" w:rsidP="00FE5BFE">
                                  <w:pPr>
                                    <w:keepNext/>
                                    <w:keepLines/>
                                    <w:spacing w:before="60" w:after="60"/>
                                    <w:jc w:val="center"/>
                                    <w:rPr>
                                      <w:sz w:val="21"/>
                                      <w:szCs w:val="21"/>
                                    </w:rPr>
                                  </w:pPr>
                                  <w:r>
                                    <w:rPr>
                                      <w:sz w:val="21"/>
                                      <w:szCs w:val="21"/>
                                    </w:rPr>
                                    <w:t>8.6</w:t>
                                  </w:r>
                                </w:p>
                              </w:tc>
                              <w:tc>
                                <w:tcPr>
                                  <w:tcW w:w="1063" w:type="dxa"/>
                                </w:tcPr>
                                <w:p w14:paraId="4B224CB0" w14:textId="09F9E33B" w:rsidR="00D60097" w:rsidRPr="005D39DD" w:rsidRDefault="00D60097" w:rsidP="00FE5BFE">
                                  <w:pPr>
                                    <w:keepNext/>
                                    <w:keepLines/>
                                    <w:spacing w:before="60" w:after="60"/>
                                    <w:jc w:val="center"/>
                                    <w:rPr>
                                      <w:sz w:val="21"/>
                                      <w:szCs w:val="21"/>
                                    </w:rPr>
                                  </w:pPr>
                                  <w:r>
                                    <w:rPr>
                                      <w:sz w:val="21"/>
                                      <w:szCs w:val="21"/>
                                    </w:rPr>
                                    <w:t>6.4</w:t>
                                  </w:r>
                                </w:p>
                              </w:tc>
                              <w:tc>
                                <w:tcPr>
                                  <w:tcW w:w="1063" w:type="dxa"/>
                                </w:tcPr>
                                <w:p w14:paraId="7DE4CF7B" w14:textId="5476EBBC" w:rsidR="00D60097" w:rsidRPr="005D39DD" w:rsidRDefault="00D60097" w:rsidP="00FE5BFE">
                                  <w:pPr>
                                    <w:keepNext/>
                                    <w:keepLines/>
                                    <w:spacing w:before="60" w:after="60"/>
                                    <w:jc w:val="center"/>
                                    <w:rPr>
                                      <w:sz w:val="21"/>
                                      <w:szCs w:val="21"/>
                                    </w:rPr>
                                  </w:pPr>
                                  <w:r>
                                    <w:rPr>
                                      <w:sz w:val="21"/>
                                      <w:szCs w:val="21"/>
                                    </w:rPr>
                                    <w:t>8.6</w:t>
                                  </w:r>
                                </w:p>
                              </w:tc>
                              <w:tc>
                                <w:tcPr>
                                  <w:tcW w:w="1064" w:type="dxa"/>
                                </w:tcPr>
                                <w:p w14:paraId="4DF88FD4" w14:textId="62AB7580" w:rsidR="00D60097" w:rsidRPr="005D39DD" w:rsidRDefault="00D60097" w:rsidP="00FE5BFE">
                                  <w:pPr>
                                    <w:keepNext/>
                                    <w:keepLines/>
                                    <w:spacing w:before="60" w:after="60"/>
                                    <w:jc w:val="right"/>
                                    <w:rPr>
                                      <w:sz w:val="21"/>
                                      <w:szCs w:val="21"/>
                                    </w:rPr>
                                  </w:pPr>
                                  <w:r>
                                    <w:rPr>
                                      <w:sz w:val="21"/>
                                      <w:szCs w:val="21"/>
                                    </w:rPr>
                                    <w:t>23.6</w:t>
                                  </w:r>
                                </w:p>
                              </w:tc>
                            </w:tr>
                            <w:tr w:rsidR="00D60097" w:rsidRPr="00101AB3" w14:paraId="2B9620D5" w14:textId="77777777" w:rsidTr="00ED5ECC">
                              <w:trPr>
                                <w:cantSplit/>
                              </w:trPr>
                              <w:tc>
                                <w:tcPr>
                                  <w:tcW w:w="3544" w:type="dxa"/>
                                </w:tcPr>
                                <w:p w14:paraId="04A94F33"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Victoria</w:t>
                                  </w:r>
                                </w:p>
                              </w:tc>
                              <w:tc>
                                <w:tcPr>
                                  <w:tcW w:w="1063" w:type="dxa"/>
                                </w:tcPr>
                                <w:p w14:paraId="1080AE81" w14:textId="5271F2BD" w:rsidR="00D60097" w:rsidRPr="005D39DD" w:rsidRDefault="00D60097" w:rsidP="00FE5BFE">
                                  <w:pPr>
                                    <w:keepNext/>
                                    <w:keepLines/>
                                    <w:spacing w:before="60" w:after="60"/>
                                    <w:jc w:val="center"/>
                                    <w:rPr>
                                      <w:sz w:val="21"/>
                                      <w:szCs w:val="21"/>
                                    </w:rPr>
                                  </w:pPr>
                                  <w:r>
                                    <w:rPr>
                                      <w:sz w:val="21"/>
                                      <w:szCs w:val="21"/>
                                    </w:rPr>
                                    <w:t>6.4</w:t>
                                  </w:r>
                                </w:p>
                              </w:tc>
                              <w:tc>
                                <w:tcPr>
                                  <w:tcW w:w="1063" w:type="dxa"/>
                                </w:tcPr>
                                <w:p w14:paraId="33B33A72" w14:textId="012DC21D" w:rsidR="00D60097" w:rsidRPr="005D39DD" w:rsidRDefault="00D60097" w:rsidP="00FE5BFE">
                                  <w:pPr>
                                    <w:keepNext/>
                                    <w:keepLines/>
                                    <w:spacing w:before="60" w:after="60"/>
                                    <w:jc w:val="center"/>
                                    <w:rPr>
                                      <w:sz w:val="21"/>
                                      <w:szCs w:val="21"/>
                                    </w:rPr>
                                  </w:pPr>
                                  <w:r>
                                    <w:rPr>
                                      <w:sz w:val="21"/>
                                      <w:szCs w:val="21"/>
                                    </w:rPr>
                                    <w:t>4.8</w:t>
                                  </w:r>
                                </w:p>
                              </w:tc>
                              <w:tc>
                                <w:tcPr>
                                  <w:tcW w:w="1063" w:type="dxa"/>
                                </w:tcPr>
                                <w:p w14:paraId="7DD5E800" w14:textId="695687F8" w:rsidR="00D60097" w:rsidRPr="005D39DD" w:rsidRDefault="00D60097" w:rsidP="00FE5BFE">
                                  <w:pPr>
                                    <w:keepNext/>
                                    <w:keepLines/>
                                    <w:spacing w:before="60" w:after="60"/>
                                    <w:jc w:val="center"/>
                                    <w:rPr>
                                      <w:sz w:val="21"/>
                                      <w:szCs w:val="21"/>
                                    </w:rPr>
                                  </w:pPr>
                                  <w:r>
                                    <w:rPr>
                                      <w:sz w:val="21"/>
                                      <w:szCs w:val="21"/>
                                    </w:rPr>
                                    <w:t>6.4</w:t>
                                  </w:r>
                                </w:p>
                              </w:tc>
                              <w:tc>
                                <w:tcPr>
                                  <w:tcW w:w="1064" w:type="dxa"/>
                                </w:tcPr>
                                <w:p w14:paraId="123237DF" w14:textId="467DE670" w:rsidR="00D60097" w:rsidRPr="005D39DD" w:rsidRDefault="00D60097" w:rsidP="00FE5BFE">
                                  <w:pPr>
                                    <w:keepNext/>
                                    <w:keepLines/>
                                    <w:spacing w:before="60" w:after="60"/>
                                    <w:jc w:val="right"/>
                                    <w:rPr>
                                      <w:sz w:val="21"/>
                                      <w:szCs w:val="21"/>
                                    </w:rPr>
                                  </w:pPr>
                                  <w:r>
                                    <w:rPr>
                                      <w:sz w:val="21"/>
                                      <w:szCs w:val="21"/>
                                    </w:rPr>
                                    <w:t>17.6</w:t>
                                  </w:r>
                                </w:p>
                              </w:tc>
                            </w:tr>
                            <w:tr w:rsidR="00D60097" w:rsidRPr="00101AB3" w14:paraId="3E9E0A20" w14:textId="77777777" w:rsidTr="00ED5ECC">
                              <w:trPr>
                                <w:cantSplit/>
                              </w:trPr>
                              <w:tc>
                                <w:tcPr>
                                  <w:tcW w:w="3544" w:type="dxa"/>
                                </w:tcPr>
                                <w:p w14:paraId="39765569"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Queensland</w:t>
                                  </w:r>
                                </w:p>
                              </w:tc>
                              <w:tc>
                                <w:tcPr>
                                  <w:tcW w:w="1063" w:type="dxa"/>
                                </w:tcPr>
                                <w:p w14:paraId="154316EA" w14:textId="2FC2BCA6" w:rsidR="00D60097" w:rsidRPr="005D39DD" w:rsidRDefault="00D60097" w:rsidP="00CE09D3">
                                  <w:pPr>
                                    <w:keepNext/>
                                    <w:keepLines/>
                                    <w:spacing w:before="60" w:after="60"/>
                                    <w:jc w:val="center"/>
                                    <w:rPr>
                                      <w:sz w:val="21"/>
                                      <w:szCs w:val="21"/>
                                    </w:rPr>
                                  </w:pPr>
                                  <w:r>
                                    <w:rPr>
                                      <w:sz w:val="21"/>
                                      <w:szCs w:val="21"/>
                                    </w:rPr>
                                    <w:t>2.3</w:t>
                                  </w:r>
                                </w:p>
                              </w:tc>
                              <w:tc>
                                <w:tcPr>
                                  <w:tcW w:w="1063" w:type="dxa"/>
                                </w:tcPr>
                                <w:p w14:paraId="49D2DAE9" w14:textId="20432CAB" w:rsidR="00D60097" w:rsidRPr="005D39DD" w:rsidRDefault="00D60097" w:rsidP="00FE5BFE">
                                  <w:pPr>
                                    <w:keepNext/>
                                    <w:keepLines/>
                                    <w:spacing w:before="60" w:after="60"/>
                                    <w:jc w:val="center"/>
                                    <w:rPr>
                                      <w:sz w:val="21"/>
                                      <w:szCs w:val="21"/>
                                    </w:rPr>
                                  </w:pPr>
                                  <w:r>
                                    <w:rPr>
                                      <w:sz w:val="21"/>
                                      <w:szCs w:val="21"/>
                                    </w:rPr>
                                    <w:t>1.7</w:t>
                                  </w:r>
                                </w:p>
                              </w:tc>
                              <w:tc>
                                <w:tcPr>
                                  <w:tcW w:w="1063" w:type="dxa"/>
                                </w:tcPr>
                                <w:p w14:paraId="3924F68F" w14:textId="7145E39E" w:rsidR="00D60097" w:rsidRPr="005D39DD" w:rsidRDefault="00D60097" w:rsidP="00CE09D3">
                                  <w:pPr>
                                    <w:keepNext/>
                                    <w:keepLines/>
                                    <w:spacing w:before="60" w:after="60"/>
                                    <w:jc w:val="center"/>
                                    <w:rPr>
                                      <w:sz w:val="21"/>
                                      <w:szCs w:val="21"/>
                                    </w:rPr>
                                  </w:pPr>
                                  <w:r>
                                    <w:rPr>
                                      <w:sz w:val="21"/>
                                      <w:szCs w:val="21"/>
                                    </w:rPr>
                                    <w:t>2.3</w:t>
                                  </w:r>
                                </w:p>
                              </w:tc>
                              <w:tc>
                                <w:tcPr>
                                  <w:tcW w:w="1064" w:type="dxa"/>
                                </w:tcPr>
                                <w:p w14:paraId="5A13A497" w14:textId="41E23AAE" w:rsidR="00D60097" w:rsidRPr="005D39DD" w:rsidRDefault="00D60097" w:rsidP="00CE09D3">
                                  <w:pPr>
                                    <w:keepNext/>
                                    <w:keepLines/>
                                    <w:spacing w:before="60" w:after="60"/>
                                    <w:jc w:val="right"/>
                                    <w:rPr>
                                      <w:sz w:val="21"/>
                                      <w:szCs w:val="21"/>
                                    </w:rPr>
                                  </w:pPr>
                                  <w:r>
                                    <w:rPr>
                                      <w:sz w:val="21"/>
                                      <w:szCs w:val="21"/>
                                    </w:rPr>
                                    <w:t>6.3</w:t>
                                  </w:r>
                                </w:p>
                              </w:tc>
                            </w:tr>
                            <w:tr w:rsidR="00D60097" w:rsidRPr="00101AB3" w14:paraId="3BB41BB3" w14:textId="77777777" w:rsidTr="00ED5ECC">
                              <w:trPr>
                                <w:cantSplit/>
                              </w:trPr>
                              <w:tc>
                                <w:tcPr>
                                  <w:tcW w:w="3544" w:type="dxa"/>
                                </w:tcPr>
                                <w:p w14:paraId="4FF73C39" w14:textId="77777777"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South Australia</w:t>
                                  </w:r>
                                </w:p>
                              </w:tc>
                              <w:tc>
                                <w:tcPr>
                                  <w:tcW w:w="1063" w:type="dxa"/>
                                </w:tcPr>
                                <w:p w14:paraId="364578B5" w14:textId="568E577D" w:rsidR="00D60097" w:rsidRPr="005D39DD" w:rsidRDefault="00D60097" w:rsidP="00FE5BFE">
                                  <w:pPr>
                                    <w:keepNext/>
                                    <w:keepLines/>
                                    <w:spacing w:before="60" w:after="60"/>
                                    <w:jc w:val="center"/>
                                    <w:rPr>
                                      <w:sz w:val="21"/>
                                      <w:szCs w:val="21"/>
                                    </w:rPr>
                                  </w:pPr>
                                  <w:r>
                                    <w:rPr>
                                      <w:sz w:val="21"/>
                                      <w:szCs w:val="21"/>
                                    </w:rPr>
                                    <w:t>1.9</w:t>
                                  </w:r>
                                </w:p>
                              </w:tc>
                              <w:tc>
                                <w:tcPr>
                                  <w:tcW w:w="1063" w:type="dxa"/>
                                </w:tcPr>
                                <w:p w14:paraId="22349A83" w14:textId="1D4B7AA9" w:rsidR="00D60097" w:rsidRPr="005D39DD" w:rsidRDefault="00D60097" w:rsidP="00FE5BFE">
                                  <w:pPr>
                                    <w:keepNext/>
                                    <w:keepLines/>
                                    <w:spacing w:before="60" w:after="60"/>
                                    <w:jc w:val="center"/>
                                    <w:rPr>
                                      <w:sz w:val="21"/>
                                      <w:szCs w:val="21"/>
                                    </w:rPr>
                                  </w:pPr>
                                  <w:r>
                                    <w:rPr>
                                      <w:sz w:val="21"/>
                                      <w:szCs w:val="21"/>
                                    </w:rPr>
                                    <w:t>1.4</w:t>
                                  </w:r>
                                </w:p>
                              </w:tc>
                              <w:tc>
                                <w:tcPr>
                                  <w:tcW w:w="1063" w:type="dxa"/>
                                </w:tcPr>
                                <w:p w14:paraId="57185680" w14:textId="4679A6E7" w:rsidR="00D60097" w:rsidRPr="005D39DD" w:rsidRDefault="00D60097" w:rsidP="00CE09D3">
                                  <w:pPr>
                                    <w:keepNext/>
                                    <w:keepLines/>
                                    <w:spacing w:before="60" w:after="60"/>
                                    <w:jc w:val="center"/>
                                    <w:rPr>
                                      <w:sz w:val="21"/>
                                      <w:szCs w:val="21"/>
                                    </w:rPr>
                                  </w:pPr>
                                  <w:r>
                                    <w:rPr>
                                      <w:sz w:val="21"/>
                                      <w:szCs w:val="21"/>
                                    </w:rPr>
                                    <w:t>1.8</w:t>
                                  </w:r>
                                </w:p>
                              </w:tc>
                              <w:tc>
                                <w:tcPr>
                                  <w:tcW w:w="1064" w:type="dxa"/>
                                </w:tcPr>
                                <w:p w14:paraId="5BBB4E35" w14:textId="089BD8B3" w:rsidR="00D60097" w:rsidRPr="005D39DD" w:rsidRDefault="00D60097" w:rsidP="00CE09D3">
                                  <w:pPr>
                                    <w:keepNext/>
                                    <w:keepLines/>
                                    <w:spacing w:before="60" w:after="60"/>
                                    <w:jc w:val="right"/>
                                    <w:rPr>
                                      <w:sz w:val="21"/>
                                      <w:szCs w:val="21"/>
                                    </w:rPr>
                                  </w:pPr>
                                  <w:r>
                                    <w:rPr>
                                      <w:sz w:val="21"/>
                                      <w:szCs w:val="21"/>
                                    </w:rPr>
                                    <w:t>5.1</w:t>
                                  </w:r>
                                </w:p>
                              </w:tc>
                            </w:tr>
                            <w:tr w:rsidR="00D60097" w:rsidRPr="00101AB3" w14:paraId="1D84A9EA" w14:textId="77777777" w:rsidTr="00ED5ECC">
                              <w:trPr>
                                <w:cantSplit/>
                              </w:trPr>
                              <w:tc>
                                <w:tcPr>
                                  <w:tcW w:w="3544" w:type="dxa"/>
                                </w:tcPr>
                                <w:p w14:paraId="079770B5" w14:textId="77777777" w:rsidR="00D60097" w:rsidRPr="008C6B79"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Australian Capital Territory</w:t>
                                  </w:r>
                                </w:p>
                              </w:tc>
                              <w:tc>
                                <w:tcPr>
                                  <w:tcW w:w="1063" w:type="dxa"/>
                                </w:tcPr>
                                <w:p w14:paraId="33DE1279" w14:textId="6977366B" w:rsidR="00D60097" w:rsidRPr="005D39DD" w:rsidRDefault="00D60097" w:rsidP="00FE5BFE">
                                  <w:pPr>
                                    <w:keepNext/>
                                    <w:keepLines/>
                                    <w:spacing w:before="60" w:after="60"/>
                                    <w:jc w:val="center"/>
                                    <w:rPr>
                                      <w:sz w:val="21"/>
                                      <w:szCs w:val="21"/>
                                    </w:rPr>
                                  </w:pPr>
                                  <w:r>
                                    <w:rPr>
                                      <w:sz w:val="21"/>
                                      <w:szCs w:val="21"/>
                                    </w:rPr>
                                    <w:t>0.9</w:t>
                                  </w:r>
                                </w:p>
                              </w:tc>
                              <w:tc>
                                <w:tcPr>
                                  <w:tcW w:w="1063" w:type="dxa"/>
                                </w:tcPr>
                                <w:p w14:paraId="697768B9" w14:textId="17B7ED85" w:rsidR="00D60097" w:rsidRPr="005D39DD" w:rsidRDefault="00D60097" w:rsidP="00BC2655">
                                  <w:pPr>
                                    <w:keepNext/>
                                    <w:keepLines/>
                                    <w:spacing w:before="60" w:after="60"/>
                                    <w:jc w:val="center"/>
                                    <w:rPr>
                                      <w:sz w:val="21"/>
                                      <w:szCs w:val="21"/>
                                    </w:rPr>
                                  </w:pPr>
                                  <w:r>
                                    <w:rPr>
                                      <w:sz w:val="21"/>
                                      <w:szCs w:val="21"/>
                                    </w:rPr>
                                    <w:t>0.6</w:t>
                                  </w:r>
                                </w:p>
                              </w:tc>
                              <w:tc>
                                <w:tcPr>
                                  <w:tcW w:w="1063" w:type="dxa"/>
                                </w:tcPr>
                                <w:p w14:paraId="24F966F6" w14:textId="4BF3B0D5" w:rsidR="00D60097" w:rsidRPr="005D39DD" w:rsidRDefault="00D60097" w:rsidP="00FE5BFE">
                                  <w:pPr>
                                    <w:keepNext/>
                                    <w:keepLines/>
                                    <w:spacing w:before="60" w:after="60"/>
                                    <w:jc w:val="center"/>
                                    <w:rPr>
                                      <w:sz w:val="21"/>
                                      <w:szCs w:val="21"/>
                                    </w:rPr>
                                  </w:pPr>
                                  <w:r>
                                    <w:rPr>
                                      <w:sz w:val="21"/>
                                      <w:szCs w:val="21"/>
                                    </w:rPr>
                                    <w:t>0.9</w:t>
                                  </w:r>
                                </w:p>
                              </w:tc>
                              <w:tc>
                                <w:tcPr>
                                  <w:tcW w:w="1064" w:type="dxa"/>
                                </w:tcPr>
                                <w:p w14:paraId="0EEFB879" w14:textId="1A06366B" w:rsidR="00D60097" w:rsidRPr="005D39DD" w:rsidRDefault="00D60097" w:rsidP="00BC2655">
                                  <w:pPr>
                                    <w:keepNext/>
                                    <w:keepLines/>
                                    <w:spacing w:before="60" w:after="60"/>
                                    <w:jc w:val="right"/>
                                    <w:rPr>
                                      <w:sz w:val="21"/>
                                      <w:szCs w:val="21"/>
                                    </w:rPr>
                                  </w:pPr>
                                  <w:r>
                                    <w:rPr>
                                      <w:sz w:val="21"/>
                                      <w:szCs w:val="21"/>
                                    </w:rPr>
                                    <w:t>2.4</w:t>
                                  </w:r>
                                </w:p>
                              </w:tc>
                            </w:tr>
                            <w:tr w:rsidR="00D60097" w:rsidRPr="00101AB3" w14:paraId="40499DB0" w14:textId="77777777" w:rsidTr="00ED5ECC">
                              <w:trPr>
                                <w:cantSplit/>
                              </w:trPr>
                              <w:tc>
                                <w:tcPr>
                                  <w:tcW w:w="3544" w:type="dxa"/>
                                </w:tcPr>
                                <w:p w14:paraId="4123A64C" w14:textId="4EED912B" w:rsidR="00D60097" w:rsidRDefault="00D60097" w:rsidP="00FE5BFE">
                                  <w:pPr>
                                    <w:pStyle w:val="ListParagraph"/>
                                    <w:keepNext/>
                                    <w:keepLines/>
                                    <w:widowControl/>
                                    <w:numPr>
                                      <w:ilvl w:val="0"/>
                                      <w:numId w:val="2"/>
                                    </w:numPr>
                                    <w:spacing w:before="60" w:after="60"/>
                                    <w:ind w:left="244" w:hanging="357"/>
                                    <w:rPr>
                                      <w:rFonts w:ascii="Corbel" w:hAnsi="Corbel"/>
                                      <w:sz w:val="21"/>
                                      <w:szCs w:val="21"/>
                                    </w:rPr>
                                  </w:pPr>
                                  <w:r>
                                    <w:rPr>
                                      <w:rFonts w:ascii="Corbel" w:hAnsi="Corbel"/>
                                      <w:sz w:val="21"/>
                                      <w:szCs w:val="21"/>
                                    </w:rPr>
                                    <w:t>Unallocated*</w:t>
                                  </w:r>
                                </w:p>
                              </w:tc>
                              <w:tc>
                                <w:tcPr>
                                  <w:tcW w:w="1063" w:type="dxa"/>
                                </w:tcPr>
                                <w:p w14:paraId="0FAF91F8" w14:textId="77777777" w:rsidR="00D60097" w:rsidRDefault="00D60097" w:rsidP="00FE5BFE">
                                  <w:pPr>
                                    <w:keepNext/>
                                    <w:keepLines/>
                                    <w:spacing w:before="60" w:after="60"/>
                                    <w:jc w:val="center"/>
                                    <w:rPr>
                                      <w:sz w:val="21"/>
                                      <w:szCs w:val="21"/>
                                    </w:rPr>
                                  </w:pPr>
                                  <w:r>
                                    <w:rPr>
                                      <w:sz w:val="21"/>
                                      <w:szCs w:val="21"/>
                                    </w:rPr>
                                    <w:t>0.0</w:t>
                                  </w:r>
                                </w:p>
                              </w:tc>
                              <w:tc>
                                <w:tcPr>
                                  <w:tcW w:w="1063" w:type="dxa"/>
                                </w:tcPr>
                                <w:p w14:paraId="5D7FA132" w14:textId="77777777" w:rsidR="00D60097" w:rsidDel="006E6F83" w:rsidRDefault="00D60097" w:rsidP="00FE5BFE">
                                  <w:pPr>
                                    <w:keepNext/>
                                    <w:keepLines/>
                                    <w:spacing w:before="60" w:after="60"/>
                                    <w:jc w:val="center"/>
                                    <w:rPr>
                                      <w:sz w:val="21"/>
                                      <w:szCs w:val="21"/>
                                    </w:rPr>
                                  </w:pPr>
                                  <w:r>
                                    <w:rPr>
                                      <w:sz w:val="21"/>
                                      <w:szCs w:val="21"/>
                                    </w:rPr>
                                    <w:t>5.0</w:t>
                                  </w:r>
                                </w:p>
                              </w:tc>
                              <w:tc>
                                <w:tcPr>
                                  <w:tcW w:w="1063" w:type="dxa"/>
                                </w:tcPr>
                                <w:p w14:paraId="0457EDA9" w14:textId="77777777" w:rsidR="00D60097" w:rsidDel="006E6F83" w:rsidRDefault="00D60097" w:rsidP="00FE5BFE">
                                  <w:pPr>
                                    <w:keepNext/>
                                    <w:keepLines/>
                                    <w:spacing w:before="60" w:after="60"/>
                                    <w:jc w:val="center"/>
                                    <w:rPr>
                                      <w:sz w:val="21"/>
                                      <w:szCs w:val="21"/>
                                    </w:rPr>
                                  </w:pPr>
                                  <w:r>
                                    <w:rPr>
                                      <w:sz w:val="21"/>
                                      <w:szCs w:val="21"/>
                                    </w:rPr>
                                    <w:t>0.0</w:t>
                                  </w:r>
                                </w:p>
                              </w:tc>
                              <w:tc>
                                <w:tcPr>
                                  <w:tcW w:w="1064" w:type="dxa"/>
                                </w:tcPr>
                                <w:p w14:paraId="3C450E7D" w14:textId="78F96693" w:rsidR="00D60097" w:rsidDel="006E6F83" w:rsidRDefault="00D60097" w:rsidP="00FE5BFE">
                                  <w:pPr>
                                    <w:keepNext/>
                                    <w:keepLines/>
                                    <w:spacing w:before="60" w:after="60"/>
                                    <w:jc w:val="right"/>
                                    <w:rPr>
                                      <w:sz w:val="21"/>
                                      <w:szCs w:val="21"/>
                                    </w:rPr>
                                  </w:pPr>
                                  <w:r>
                                    <w:rPr>
                                      <w:sz w:val="21"/>
                                      <w:szCs w:val="21"/>
                                    </w:rPr>
                                    <w:t>5.0</w:t>
                                  </w:r>
                                </w:p>
                              </w:tc>
                            </w:tr>
                            <w:tr w:rsidR="00D60097" w:rsidRPr="00CE6794" w14:paraId="078B6189" w14:textId="77777777" w:rsidTr="00ED5ECC">
                              <w:trPr>
                                <w:cantSplit/>
                              </w:trPr>
                              <w:tc>
                                <w:tcPr>
                                  <w:tcW w:w="3544" w:type="dxa"/>
                                  <w:tcBorders>
                                    <w:bottom w:val="single" w:sz="4" w:space="0" w:color="auto"/>
                                  </w:tcBorders>
                                </w:tcPr>
                                <w:tbl>
                                  <w:tblPr>
                                    <w:tblW w:w="3261" w:type="dxa"/>
                                    <w:tblLayout w:type="fixed"/>
                                    <w:tblLook w:val="01E0" w:firstRow="1" w:lastRow="1" w:firstColumn="1" w:lastColumn="1" w:noHBand="0" w:noVBand="0"/>
                                  </w:tblPr>
                                  <w:tblGrid>
                                    <w:gridCol w:w="3261"/>
                                  </w:tblGrid>
                                  <w:tr w:rsidR="00D60097" w:rsidRPr="00CE6794" w14:paraId="48EF3B2A" w14:textId="77777777" w:rsidTr="006F3A9B">
                                    <w:trPr>
                                      <w:cantSplit/>
                                    </w:trPr>
                                    <w:tc>
                                      <w:tcPr>
                                        <w:tcW w:w="3261" w:type="dxa"/>
                                      </w:tcPr>
                                      <w:p w14:paraId="05773314" w14:textId="77777777" w:rsidR="00D60097" w:rsidRPr="00CE6794" w:rsidRDefault="00D60097" w:rsidP="00FE5BFE">
                                        <w:pPr>
                                          <w:keepNext/>
                                          <w:keepLines/>
                                          <w:spacing w:before="60" w:after="60"/>
                                          <w:ind w:left="-113"/>
                                          <w:rPr>
                                            <w:sz w:val="21"/>
                                            <w:szCs w:val="21"/>
                                          </w:rPr>
                                        </w:pPr>
                                        <w:r w:rsidRPr="00CE6794">
                                          <w:rPr>
                                            <w:sz w:val="21"/>
                                            <w:szCs w:val="21"/>
                                          </w:rPr>
                                          <w:t>Balance of non-Commonwealth contributions</w:t>
                                        </w:r>
                                      </w:p>
                                    </w:tc>
                                  </w:tr>
                                </w:tbl>
                                <w:p w14:paraId="1CBD9D3E" w14:textId="77777777" w:rsidR="00D60097" w:rsidRPr="00CE6794" w:rsidRDefault="00D60097" w:rsidP="00FE5BFE">
                                  <w:pPr>
                                    <w:keepNext/>
                                    <w:keepLines/>
                                    <w:spacing w:before="40" w:after="40"/>
                                    <w:ind w:left="-111"/>
                                    <w:rPr>
                                      <w:sz w:val="21"/>
                                      <w:szCs w:val="21"/>
                                    </w:rPr>
                                  </w:pPr>
                                </w:p>
                              </w:tc>
                              <w:tc>
                                <w:tcPr>
                                  <w:tcW w:w="1063" w:type="dxa"/>
                                  <w:tcBorders>
                                    <w:bottom w:val="single" w:sz="4" w:space="0" w:color="auto"/>
                                  </w:tcBorders>
                                </w:tcPr>
                                <w:p w14:paraId="6639C029"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3" w:type="dxa"/>
                                  <w:tcBorders>
                                    <w:bottom w:val="single" w:sz="4" w:space="0" w:color="auto"/>
                                  </w:tcBorders>
                                </w:tcPr>
                                <w:p w14:paraId="508DE0D3"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3" w:type="dxa"/>
                                  <w:tcBorders>
                                    <w:bottom w:val="single" w:sz="4" w:space="0" w:color="auto"/>
                                  </w:tcBorders>
                                </w:tcPr>
                                <w:p w14:paraId="6DF6E91F" w14:textId="77777777" w:rsidR="00D60097" w:rsidRPr="00CE6794" w:rsidRDefault="00D60097" w:rsidP="00FE5BFE">
                                  <w:pPr>
                                    <w:keepNext/>
                                    <w:keepLines/>
                                    <w:spacing w:before="40" w:after="40"/>
                                    <w:jc w:val="center"/>
                                    <w:rPr>
                                      <w:sz w:val="21"/>
                                      <w:szCs w:val="21"/>
                                    </w:rPr>
                                  </w:pPr>
                                  <w:r w:rsidRPr="00CE6794">
                                    <w:rPr>
                                      <w:sz w:val="21"/>
                                      <w:szCs w:val="21"/>
                                    </w:rPr>
                                    <w:t>0.0</w:t>
                                  </w:r>
                                </w:p>
                              </w:tc>
                              <w:tc>
                                <w:tcPr>
                                  <w:tcW w:w="1064" w:type="dxa"/>
                                  <w:tcBorders>
                                    <w:bottom w:val="single" w:sz="4" w:space="0" w:color="auto"/>
                                  </w:tcBorders>
                                </w:tcPr>
                                <w:p w14:paraId="345A4EBC" w14:textId="77777777" w:rsidR="00D60097" w:rsidRPr="00CE6794" w:rsidRDefault="00D60097" w:rsidP="00FE5BFE">
                                  <w:pPr>
                                    <w:widowControl/>
                                    <w:spacing w:after="160" w:line="259" w:lineRule="auto"/>
                                    <w:jc w:val="right"/>
                                  </w:pPr>
                                  <w:r>
                                    <w:rPr>
                                      <w:sz w:val="21"/>
                                      <w:szCs w:val="21"/>
                                    </w:rPr>
                                    <w:t>0</w:t>
                                  </w:r>
                                  <w:r w:rsidRPr="00CE6794">
                                    <w:rPr>
                                      <w:sz w:val="21"/>
                                      <w:szCs w:val="21"/>
                                    </w:rPr>
                                    <w:t>.0</w:t>
                                  </w:r>
                                </w:p>
                              </w:tc>
                            </w:tr>
                          </w:tbl>
                          <w:p w14:paraId="27D4F2F1" w14:textId="288DE92B" w:rsidR="00D60097" w:rsidRPr="00101AB3" w:rsidRDefault="00D60097" w:rsidP="001566E4">
                            <w:pPr>
                              <w:spacing w:before="80"/>
                              <w:rPr>
                                <w:sz w:val="18"/>
                                <w:szCs w:val="18"/>
                              </w:rPr>
                            </w:pPr>
                            <w:r w:rsidRPr="00A2354F">
                              <w:rPr>
                                <w:i/>
                                <w:iCs/>
                                <w:sz w:val="18"/>
                                <w:szCs w:val="18"/>
                              </w:rPr>
                              <w:t xml:space="preserve">* </w:t>
                            </w:r>
                            <w:r>
                              <w:rPr>
                                <w:i/>
                                <w:iCs/>
                                <w:sz w:val="18"/>
                                <w:szCs w:val="18"/>
                              </w:rPr>
                              <w:t>U</w:t>
                            </w:r>
                            <w:r w:rsidRPr="00A2354F">
                              <w:rPr>
                                <w:i/>
                                <w:iCs/>
                                <w:sz w:val="18"/>
                                <w:szCs w:val="18"/>
                              </w:rPr>
                              <w:t xml:space="preserve">nallocated funds </w:t>
                            </w:r>
                            <w:r>
                              <w:rPr>
                                <w:i/>
                                <w:iCs/>
                                <w:sz w:val="18"/>
                                <w:szCs w:val="18"/>
                              </w:rPr>
                              <w:t>will</w:t>
                            </w:r>
                            <w:r w:rsidRPr="00A2354F">
                              <w:rPr>
                                <w:i/>
                                <w:iCs/>
                                <w:sz w:val="18"/>
                                <w:szCs w:val="18"/>
                              </w:rPr>
                              <w:t xml:space="preserve"> </w:t>
                            </w:r>
                            <w:r>
                              <w:rPr>
                                <w:i/>
                                <w:iCs/>
                                <w:sz w:val="18"/>
                                <w:szCs w:val="18"/>
                              </w:rPr>
                              <w:t>be apportioned by Basin State</w:t>
                            </w:r>
                            <w:r w:rsidRPr="00A2354F">
                              <w:rPr>
                                <w:i/>
                                <w:iCs/>
                                <w:sz w:val="18"/>
                                <w:szCs w:val="18"/>
                              </w:rPr>
                              <w:t xml:space="preserve"> </w:t>
                            </w:r>
                            <w:r>
                              <w:rPr>
                                <w:i/>
                                <w:iCs/>
                                <w:sz w:val="18"/>
                                <w:szCs w:val="18"/>
                              </w:rPr>
                              <w:t xml:space="preserve">as per the agreed </w:t>
                            </w:r>
                            <w:r w:rsidRPr="00A2354F">
                              <w:rPr>
                                <w:i/>
                                <w:iCs/>
                                <w:sz w:val="18"/>
                                <w:szCs w:val="18"/>
                              </w:rPr>
                              <w:t>formula</w:t>
                            </w:r>
                            <w:r>
                              <w:rPr>
                                <w:i/>
                                <w:iCs/>
                                <w:sz w:val="18"/>
                                <w:szCs w:val="18"/>
                              </w:rPr>
                              <w:t xml:space="preserve"> for allocated funds.</w:t>
                            </w:r>
                          </w:p>
                        </w:txbxContent>
                      </v:textbox>
                      <w10:wrap type="square"/>
                    </v:shape>
                  </w:pict>
                </mc:Fallback>
              </mc:AlternateContent>
            </w:r>
            <w:r w:rsidR="00C91B5F" w:rsidRPr="001566E4">
              <w:rPr>
                <w:rFonts w:ascii="Corbel" w:eastAsia="Times New Roman" w:hAnsi="Corbel" w:cs="Arial"/>
                <w:iCs/>
                <w:sz w:val="24"/>
                <w:szCs w:val="24"/>
                <w:lang w:eastAsia="en-AU"/>
              </w:rPr>
              <w:t xml:space="preserve">The Commonwealth will provide an estimated total financial contribution to the </w:t>
            </w:r>
            <w:r w:rsidR="00A268DB" w:rsidRPr="001566E4">
              <w:rPr>
                <w:rFonts w:ascii="Corbel" w:eastAsia="Times New Roman" w:hAnsi="Corbel" w:cs="Arial"/>
                <w:iCs/>
                <w:sz w:val="24"/>
                <w:szCs w:val="24"/>
                <w:lang w:eastAsia="en-AU"/>
              </w:rPr>
              <w:t xml:space="preserve">Basin </w:t>
            </w:r>
            <w:r w:rsidR="00C91B5F" w:rsidRPr="001566E4">
              <w:rPr>
                <w:rFonts w:ascii="Corbel" w:eastAsia="Times New Roman" w:hAnsi="Corbel" w:cs="Arial"/>
                <w:iCs/>
                <w:sz w:val="24"/>
                <w:szCs w:val="24"/>
                <w:lang w:eastAsia="en-AU"/>
              </w:rPr>
              <w:t>States of</w:t>
            </w:r>
            <w:r w:rsidR="009E483C" w:rsidRPr="001566E4">
              <w:rPr>
                <w:rFonts w:ascii="Corbel" w:eastAsia="Times New Roman" w:hAnsi="Corbel" w:cs="Arial"/>
                <w:iCs/>
                <w:sz w:val="24"/>
                <w:szCs w:val="24"/>
                <w:lang w:eastAsia="en-AU"/>
              </w:rPr>
              <w:t xml:space="preserve"> up to</w:t>
            </w:r>
            <w:r w:rsidR="00C91B5F" w:rsidRPr="001566E4">
              <w:rPr>
                <w:rFonts w:ascii="Corbel" w:eastAsia="Times New Roman" w:hAnsi="Corbel" w:cs="Arial"/>
                <w:iCs/>
                <w:sz w:val="24"/>
                <w:szCs w:val="24"/>
                <w:lang w:eastAsia="en-AU"/>
              </w:rPr>
              <w:t xml:space="preserve"> </w:t>
            </w:r>
            <w:r w:rsidR="002F18AE" w:rsidRPr="001566E4">
              <w:rPr>
                <w:rFonts w:ascii="Corbel" w:eastAsia="Times New Roman" w:hAnsi="Corbel" w:cs="Arial"/>
                <w:iCs/>
                <w:sz w:val="24"/>
                <w:szCs w:val="24"/>
                <w:lang w:eastAsia="en-AU"/>
              </w:rPr>
              <w:t>$</w:t>
            </w:r>
            <w:r w:rsidR="00A600CE" w:rsidRPr="001566E4">
              <w:rPr>
                <w:rFonts w:ascii="Corbel" w:eastAsia="Times New Roman" w:hAnsi="Corbel" w:cs="Arial"/>
                <w:iCs/>
                <w:sz w:val="24"/>
                <w:szCs w:val="24"/>
                <w:lang w:eastAsia="en-AU"/>
              </w:rPr>
              <w:t>60</w:t>
            </w:r>
            <w:r w:rsidR="002F18AE" w:rsidRPr="001566E4">
              <w:rPr>
                <w:rFonts w:ascii="Corbel" w:eastAsia="Times New Roman" w:hAnsi="Corbel" w:cs="Arial"/>
                <w:iCs/>
                <w:sz w:val="24"/>
                <w:szCs w:val="24"/>
                <w:lang w:eastAsia="en-AU"/>
              </w:rPr>
              <w:t xml:space="preserve">.0 million </w:t>
            </w:r>
            <w:r w:rsidR="00C91B5F" w:rsidRPr="001566E4">
              <w:rPr>
                <w:rFonts w:ascii="Corbel" w:eastAsia="Times New Roman" w:hAnsi="Corbel" w:cs="Arial"/>
                <w:iCs/>
                <w:sz w:val="24"/>
                <w:szCs w:val="24"/>
                <w:lang w:eastAsia="en-AU"/>
              </w:rPr>
              <w:t>in respect of this</w:t>
            </w:r>
            <w:r w:rsidR="007E0CBE" w:rsidRPr="001566E4">
              <w:rPr>
                <w:rFonts w:ascii="Corbel" w:eastAsia="Times New Roman" w:hAnsi="Corbel" w:cs="Arial"/>
                <w:iCs/>
                <w:sz w:val="24"/>
                <w:szCs w:val="24"/>
                <w:lang w:eastAsia="en-AU"/>
              </w:rPr>
              <w:t xml:space="preserve"> </w:t>
            </w:r>
            <w:r w:rsidR="00EC7C93" w:rsidRPr="001566E4">
              <w:rPr>
                <w:rFonts w:ascii="Corbel" w:eastAsia="Times New Roman" w:hAnsi="Corbel" w:cs="Arial"/>
                <w:iCs/>
                <w:sz w:val="24"/>
                <w:szCs w:val="24"/>
                <w:lang w:eastAsia="en-AU"/>
              </w:rPr>
              <w:t>S</w:t>
            </w:r>
            <w:r w:rsidR="007E0CBE" w:rsidRPr="001566E4">
              <w:rPr>
                <w:rFonts w:ascii="Corbel" w:eastAsia="Times New Roman" w:hAnsi="Corbel" w:cs="Arial"/>
                <w:iCs/>
                <w:sz w:val="24"/>
                <w:szCs w:val="24"/>
                <w:lang w:eastAsia="en-AU"/>
              </w:rPr>
              <w:t>chedule</w:t>
            </w:r>
            <w:r w:rsidR="00C91B5F" w:rsidRPr="001566E4">
              <w:rPr>
                <w:rFonts w:ascii="Corbel" w:eastAsia="Times New Roman" w:hAnsi="Corbel" w:cs="Arial"/>
                <w:iCs/>
                <w:sz w:val="24"/>
                <w:szCs w:val="24"/>
                <w:lang w:eastAsia="en-AU"/>
              </w:rPr>
              <w:t>.</w:t>
            </w:r>
            <w:bookmarkStart w:id="2" w:name="_Hlk82072099"/>
            <w:r w:rsidR="004C2596" w:rsidRPr="001566E4">
              <w:rPr>
                <w:rFonts w:ascii="Corbel" w:eastAsia="Times New Roman" w:hAnsi="Corbel" w:cs="Arial"/>
                <w:iCs/>
                <w:sz w:val="24"/>
                <w:szCs w:val="24"/>
                <w:lang w:eastAsia="en-AU"/>
              </w:rPr>
              <w:t xml:space="preserve"> </w:t>
            </w:r>
            <w:r w:rsidR="00FE5BFE" w:rsidRPr="001566E4">
              <w:rPr>
                <w:rFonts w:ascii="Corbel" w:eastAsia="Times New Roman" w:hAnsi="Corbel" w:cs="Arial"/>
                <w:iCs/>
                <w:sz w:val="24"/>
                <w:szCs w:val="24"/>
                <w:lang w:eastAsia="en-AU"/>
              </w:rPr>
              <w:t xml:space="preserve">A contingency of $5.0 million will be reserved in 2022-23 </w:t>
            </w:r>
            <w:r w:rsidR="00BF2B64" w:rsidRPr="001566E4">
              <w:rPr>
                <w:rFonts w:ascii="Corbel" w:eastAsia="Times New Roman" w:hAnsi="Corbel" w:cs="Arial"/>
                <w:iCs/>
                <w:sz w:val="24"/>
                <w:szCs w:val="24"/>
                <w:lang w:eastAsia="en-AU"/>
              </w:rPr>
              <w:t xml:space="preserve">(for allocation by variation) </w:t>
            </w:r>
            <w:r w:rsidR="00FE5BFE" w:rsidRPr="001566E4">
              <w:rPr>
                <w:rFonts w:ascii="Corbel" w:eastAsia="Times New Roman" w:hAnsi="Corbel" w:cs="Arial"/>
                <w:iCs/>
                <w:sz w:val="24"/>
                <w:szCs w:val="24"/>
                <w:lang w:eastAsia="en-AU"/>
              </w:rPr>
              <w:t>to support delivery of Murray–Darling Basin water market reform activities and other priorities as they arise.</w:t>
            </w:r>
            <w:bookmarkEnd w:id="1"/>
            <w:bookmarkEnd w:id="2"/>
          </w:p>
        </w:tc>
      </w:tr>
      <w:bookmarkEnd w:id="0"/>
      <w:tr w:rsidR="00C91B5F" w:rsidRPr="00F00A18" w14:paraId="21E3D649" w14:textId="77777777" w:rsidTr="00545350">
        <w:tc>
          <w:tcPr>
            <w:tcW w:w="1691" w:type="dxa"/>
            <w:shd w:val="clear" w:color="auto" w:fill="auto"/>
          </w:tcPr>
          <w:p w14:paraId="06578BDF" w14:textId="6297DE76" w:rsidR="00C91B5F" w:rsidRPr="00F00A18" w:rsidRDefault="00C91B5F" w:rsidP="002F18AE">
            <w:pPr>
              <w:pStyle w:val="Tableformat"/>
              <w:rPr>
                <w:color w:val="auto"/>
              </w:rPr>
            </w:pPr>
            <w:r w:rsidRPr="00F00A18">
              <w:rPr>
                <w:color w:val="auto"/>
              </w:rPr>
              <w:t>Additional terms</w:t>
            </w:r>
          </w:p>
        </w:tc>
        <w:tc>
          <w:tcPr>
            <w:tcW w:w="8080" w:type="dxa"/>
            <w:shd w:val="clear" w:color="auto" w:fill="auto"/>
          </w:tcPr>
          <w:p w14:paraId="5FA880E2" w14:textId="7871225C" w:rsidR="00D5068B" w:rsidRPr="001566E4" w:rsidRDefault="000D5C59" w:rsidP="00526357">
            <w:pPr>
              <w:pStyle w:val="Tableformat"/>
              <w:spacing w:before="120" w:after="120"/>
              <w:rPr>
                <w:color w:val="auto"/>
                <w:sz w:val="24"/>
                <w:szCs w:val="24"/>
              </w:rPr>
            </w:pPr>
            <w:r w:rsidRPr="001566E4">
              <w:rPr>
                <w:color w:val="auto"/>
                <w:sz w:val="24"/>
                <w:szCs w:val="24"/>
              </w:rPr>
              <w:t>Each Basin State will report</w:t>
            </w:r>
            <w:r w:rsidR="00DA1F24" w:rsidRPr="001566E4">
              <w:rPr>
                <w:color w:val="auto"/>
                <w:sz w:val="24"/>
                <w:szCs w:val="24"/>
              </w:rPr>
              <w:t xml:space="preserve"> </w:t>
            </w:r>
            <w:r w:rsidR="00CE6794" w:rsidRPr="001566E4">
              <w:rPr>
                <w:color w:val="auto"/>
                <w:sz w:val="24"/>
                <w:szCs w:val="24"/>
              </w:rPr>
              <w:t xml:space="preserve">to the Commonwealth on or before </w:t>
            </w:r>
            <w:r w:rsidR="00293631" w:rsidRPr="001566E4">
              <w:rPr>
                <w:color w:val="auto"/>
                <w:sz w:val="24"/>
                <w:szCs w:val="24"/>
              </w:rPr>
              <w:t>31</w:t>
            </w:r>
            <w:r w:rsidR="00A268DB" w:rsidRPr="001566E4">
              <w:rPr>
                <w:color w:val="auto"/>
                <w:sz w:val="24"/>
                <w:szCs w:val="24"/>
              </w:rPr>
              <w:t xml:space="preserve"> </w:t>
            </w:r>
            <w:r w:rsidR="00293631" w:rsidRPr="001566E4">
              <w:rPr>
                <w:color w:val="auto"/>
                <w:sz w:val="24"/>
                <w:szCs w:val="24"/>
              </w:rPr>
              <w:t>March</w:t>
            </w:r>
            <w:r w:rsidR="00CE6794" w:rsidRPr="001566E4">
              <w:rPr>
                <w:color w:val="auto"/>
                <w:sz w:val="24"/>
                <w:szCs w:val="24"/>
              </w:rPr>
              <w:t xml:space="preserve"> </w:t>
            </w:r>
            <w:r w:rsidR="00931AA8" w:rsidRPr="001566E4">
              <w:rPr>
                <w:color w:val="auto"/>
                <w:sz w:val="24"/>
                <w:szCs w:val="24"/>
              </w:rPr>
              <w:t xml:space="preserve">each funding year </w:t>
            </w:r>
            <w:r w:rsidR="00CE6794" w:rsidRPr="001566E4">
              <w:rPr>
                <w:color w:val="auto"/>
                <w:sz w:val="24"/>
                <w:szCs w:val="24"/>
              </w:rPr>
              <w:t>on its progress against all milestones and</w:t>
            </w:r>
            <w:r w:rsidR="00FF1BA7" w:rsidRPr="001566E4">
              <w:rPr>
                <w:color w:val="auto"/>
                <w:sz w:val="24"/>
                <w:szCs w:val="24"/>
              </w:rPr>
              <w:t xml:space="preserve"> key performance indicators</w:t>
            </w:r>
            <w:r w:rsidR="00CE6794" w:rsidRPr="001566E4">
              <w:rPr>
                <w:color w:val="auto"/>
                <w:sz w:val="24"/>
                <w:szCs w:val="24"/>
              </w:rPr>
              <w:t xml:space="preserve"> </w:t>
            </w:r>
            <w:r w:rsidR="00FF1BA7" w:rsidRPr="001566E4">
              <w:rPr>
                <w:color w:val="auto"/>
                <w:sz w:val="24"/>
                <w:szCs w:val="24"/>
              </w:rPr>
              <w:t>(</w:t>
            </w:r>
            <w:r w:rsidR="00DA1F24" w:rsidRPr="001566E4">
              <w:rPr>
                <w:color w:val="auto"/>
                <w:sz w:val="24"/>
                <w:szCs w:val="24"/>
              </w:rPr>
              <w:t>KPIs</w:t>
            </w:r>
            <w:r w:rsidR="00FF1BA7" w:rsidRPr="001566E4">
              <w:rPr>
                <w:color w:val="auto"/>
                <w:sz w:val="24"/>
                <w:szCs w:val="24"/>
              </w:rPr>
              <w:t>)</w:t>
            </w:r>
            <w:r w:rsidR="00CE6794" w:rsidRPr="001566E4">
              <w:rPr>
                <w:color w:val="auto"/>
                <w:sz w:val="24"/>
                <w:szCs w:val="24"/>
              </w:rPr>
              <w:t xml:space="preserve"> listed in its state table below. </w:t>
            </w:r>
            <w:r w:rsidR="00D5068B" w:rsidRPr="001566E4">
              <w:rPr>
                <w:color w:val="auto"/>
                <w:sz w:val="24"/>
                <w:szCs w:val="24"/>
              </w:rPr>
              <w:t xml:space="preserve">Using these reports and any supporting information </w:t>
            </w:r>
            <w:r w:rsidR="00FF1BA7" w:rsidRPr="001566E4">
              <w:rPr>
                <w:color w:val="auto"/>
                <w:sz w:val="24"/>
                <w:szCs w:val="24"/>
              </w:rPr>
              <w:t>(</w:t>
            </w:r>
            <w:r w:rsidR="00D5068B" w:rsidRPr="001566E4">
              <w:rPr>
                <w:color w:val="auto"/>
                <w:sz w:val="24"/>
                <w:szCs w:val="24"/>
              </w:rPr>
              <w:t>including that provided by the Murray–Darling Basin Authority</w:t>
            </w:r>
            <w:r w:rsidR="00FF1BA7" w:rsidRPr="001566E4">
              <w:rPr>
                <w:color w:val="auto"/>
                <w:sz w:val="24"/>
                <w:szCs w:val="24"/>
              </w:rPr>
              <w:t>,</w:t>
            </w:r>
            <w:r w:rsidR="00526357" w:rsidRPr="001566E4">
              <w:rPr>
                <w:color w:val="auto"/>
                <w:sz w:val="24"/>
                <w:szCs w:val="24"/>
              </w:rPr>
              <w:t xml:space="preserve"> </w:t>
            </w:r>
            <w:r w:rsidR="00D5068B" w:rsidRPr="001566E4">
              <w:rPr>
                <w:color w:val="auto"/>
                <w:sz w:val="24"/>
                <w:szCs w:val="24"/>
              </w:rPr>
              <w:t>the Commonwealth Environmental Water Holder</w:t>
            </w:r>
            <w:r w:rsidR="00FF1BA7" w:rsidRPr="001566E4">
              <w:rPr>
                <w:color w:val="auto"/>
                <w:sz w:val="24"/>
                <w:szCs w:val="24"/>
              </w:rPr>
              <w:t xml:space="preserve"> and the Inspector-General of Water Compliance)</w:t>
            </w:r>
            <w:r w:rsidR="00D5068B" w:rsidRPr="001566E4">
              <w:rPr>
                <w:color w:val="auto"/>
                <w:sz w:val="24"/>
                <w:szCs w:val="24"/>
              </w:rPr>
              <w:t xml:space="preserve">, the Commonwealth Department of Agriculture, Water and the Environment (the Department) will assess each Basin State’s performance against its KPIs. The assessment against KPIs will be made on a reasonable </w:t>
            </w:r>
            <w:r w:rsidR="007C3B81" w:rsidRPr="001566E4">
              <w:rPr>
                <w:color w:val="auto"/>
                <w:sz w:val="24"/>
                <w:szCs w:val="24"/>
              </w:rPr>
              <w:t>endeavors</w:t>
            </w:r>
            <w:r w:rsidR="00D5068B" w:rsidRPr="001566E4">
              <w:rPr>
                <w:color w:val="auto"/>
                <w:sz w:val="24"/>
                <w:szCs w:val="24"/>
              </w:rPr>
              <w:t xml:space="preserve"> basis and a Basin State will not be penalised for action, or lack of action, by another Party. This will be given particular attention where the delivery of a KPI for one Basin State is directly dependent on the completion of an activity that is the responsibility of another Party. The Commonwealth will work closely with Basin States in developing the assessment report.  </w:t>
            </w:r>
          </w:p>
          <w:p w14:paraId="5E65571C" w14:textId="77777777" w:rsidR="00D5068B" w:rsidRPr="001566E4" w:rsidRDefault="00D5068B" w:rsidP="00526357">
            <w:pPr>
              <w:pStyle w:val="Tableformat"/>
              <w:spacing w:before="120" w:after="120"/>
              <w:rPr>
                <w:color w:val="auto"/>
                <w:sz w:val="24"/>
                <w:szCs w:val="24"/>
              </w:rPr>
            </w:pPr>
            <w:r w:rsidRPr="001566E4">
              <w:rPr>
                <w:color w:val="auto"/>
                <w:sz w:val="24"/>
                <w:szCs w:val="24"/>
              </w:rPr>
              <w:t>The Department will advise the Commonwealth Minister with portfolio responsibility for water (the Minister) of its assessment. The Minister will authorise whether payment should be made to each Basin State, based on the funding arrangements set out in Table 1 and having regard to that Basin State’s assessment report. In the case of an adverse assessment, the Minister may consider whether or not the adverse assessment is material to that state’s cooperation with the reforms.</w:t>
            </w:r>
          </w:p>
          <w:p w14:paraId="679D8AD4" w14:textId="70CBB46C" w:rsidR="00497E84" w:rsidRPr="00F649B2" w:rsidRDefault="00D5068B" w:rsidP="00526357">
            <w:pPr>
              <w:pStyle w:val="Tableformat"/>
              <w:spacing w:before="120" w:after="120"/>
              <w:rPr>
                <w:color w:val="auto"/>
                <w:sz w:val="25"/>
                <w:szCs w:val="25"/>
              </w:rPr>
            </w:pPr>
            <w:r w:rsidRPr="001566E4">
              <w:rPr>
                <w:color w:val="auto"/>
                <w:sz w:val="24"/>
                <w:szCs w:val="24"/>
              </w:rPr>
              <w:t>After payment is authorised, the Department will prepare an annual assessment report for publication on its website, and Basin States will be provided with an opportunity to comment on the draft report before it is finalised</w:t>
            </w:r>
            <w:r w:rsidR="005B77B8" w:rsidRPr="001566E4">
              <w:rPr>
                <w:color w:val="auto"/>
                <w:sz w:val="24"/>
                <w:szCs w:val="24"/>
              </w:rPr>
              <w:t>.</w:t>
            </w:r>
          </w:p>
        </w:tc>
      </w:tr>
    </w:tbl>
    <w:p w14:paraId="27BAEF7E" w14:textId="77777777" w:rsidR="00FE5BFE" w:rsidRDefault="00FE5BFE">
      <w:r>
        <w:rPr>
          <w:iCs/>
        </w:rPr>
        <w:br w:type="page"/>
      </w:r>
    </w:p>
    <w:tbl>
      <w:tblPr>
        <w:tblW w:w="5273"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2"/>
        <w:gridCol w:w="2568"/>
        <w:gridCol w:w="3657"/>
        <w:gridCol w:w="1276"/>
        <w:gridCol w:w="1190"/>
      </w:tblGrid>
      <w:tr w:rsidR="00931AA8" w:rsidRPr="00F00A18" w14:paraId="3DB783D8" w14:textId="77777777" w:rsidTr="00B04829">
        <w:tc>
          <w:tcPr>
            <w:tcW w:w="10263" w:type="dxa"/>
            <w:gridSpan w:val="5"/>
            <w:shd w:val="clear" w:color="auto" w:fill="DEEAF6" w:themeFill="accent1" w:themeFillTint="33"/>
          </w:tcPr>
          <w:p w14:paraId="5F118210" w14:textId="2C2522F6" w:rsidR="00931AA8" w:rsidRPr="00F00A18" w:rsidRDefault="00931AA8" w:rsidP="00931AA8">
            <w:pPr>
              <w:pStyle w:val="Tableformat"/>
              <w:tabs>
                <w:tab w:val="left" w:pos="6043"/>
              </w:tabs>
              <w:rPr>
                <w:b/>
                <w:color w:val="auto"/>
              </w:rPr>
            </w:pPr>
            <w:r>
              <w:rPr>
                <w:b/>
                <w:color w:val="auto"/>
              </w:rPr>
              <w:lastRenderedPageBreak/>
              <w:t>Table 2A</w:t>
            </w:r>
            <w:r w:rsidRPr="00F00A18">
              <w:rPr>
                <w:b/>
                <w:color w:val="auto"/>
              </w:rPr>
              <w:t xml:space="preserve">: </w:t>
            </w:r>
            <w:r>
              <w:rPr>
                <w:b/>
                <w:color w:val="auto"/>
              </w:rPr>
              <w:t>New South Wales</w:t>
            </w:r>
            <w:r w:rsidRPr="00F00A18">
              <w:rPr>
                <w:b/>
                <w:color w:val="auto"/>
              </w:rPr>
              <w:t xml:space="preserve"> – Performance requirements, reporting and payment summary</w:t>
            </w:r>
          </w:p>
        </w:tc>
      </w:tr>
      <w:tr w:rsidR="0008575B" w:rsidRPr="00F00A18" w14:paraId="2F301A1A" w14:textId="77777777" w:rsidTr="00B04829">
        <w:tc>
          <w:tcPr>
            <w:tcW w:w="10263" w:type="dxa"/>
            <w:gridSpan w:val="5"/>
            <w:shd w:val="clear" w:color="auto" w:fill="DEEAF6" w:themeFill="accent1" w:themeFillTint="33"/>
          </w:tcPr>
          <w:p w14:paraId="3C9EB26F" w14:textId="31541862" w:rsidR="0008575B" w:rsidRDefault="0008575B" w:rsidP="00931AA8">
            <w:pPr>
              <w:pStyle w:val="Tableformat"/>
              <w:tabs>
                <w:tab w:val="left" w:pos="6043"/>
              </w:tabs>
              <w:rPr>
                <w:b/>
                <w:color w:val="auto"/>
              </w:rPr>
            </w:pPr>
            <w:r>
              <w:rPr>
                <w:b/>
                <w:color w:val="auto"/>
              </w:rPr>
              <w:t>Year 1: 2021-2022</w:t>
            </w:r>
          </w:p>
        </w:tc>
      </w:tr>
      <w:tr w:rsidR="00931AA8" w:rsidRPr="00FD6EB4" w14:paraId="705EAE8F" w14:textId="77777777" w:rsidTr="00C26E8B">
        <w:tc>
          <w:tcPr>
            <w:tcW w:w="1572" w:type="dxa"/>
            <w:shd w:val="clear" w:color="auto" w:fill="F2F2F2" w:themeFill="background1" w:themeFillShade="F2"/>
          </w:tcPr>
          <w:p w14:paraId="4449BBC0" w14:textId="77777777" w:rsidR="00931AA8" w:rsidRPr="00FD6EB4" w:rsidRDefault="00931AA8" w:rsidP="00931AA8">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68" w:type="dxa"/>
            <w:shd w:val="clear" w:color="auto" w:fill="F2F2F2" w:themeFill="background1" w:themeFillShade="F2"/>
          </w:tcPr>
          <w:p w14:paraId="5BB49D20" w14:textId="77777777" w:rsidR="00931AA8" w:rsidRPr="00FD6EB4" w:rsidRDefault="00931AA8" w:rsidP="00931AA8">
            <w:pPr>
              <w:pStyle w:val="Tableformat"/>
              <w:rPr>
                <w:b/>
                <w:color w:val="auto"/>
                <w:sz w:val="22"/>
                <w:szCs w:val="22"/>
              </w:rPr>
            </w:pPr>
            <w:r w:rsidRPr="00FD6EB4">
              <w:rPr>
                <w:b/>
                <w:color w:val="auto"/>
                <w:sz w:val="22"/>
                <w:szCs w:val="22"/>
              </w:rPr>
              <w:t>Performance milestones</w:t>
            </w:r>
          </w:p>
        </w:tc>
        <w:tc>
          <w:tcPr>
            <w:tcW w:w="3657" w:type="dxa"/>
            <w:shd w:val="clear" w:color="auto" w:fill="F2F2F2" w:themeFill="background1" w:themeFillShade="F2"/>
          </w:tcPr>
          <w:p w14:paraId="3AFCAF70" w14:textId="77777777" w:rsidR="00931AA8" w:rsidRPr="00FD6EB4" w:rsidRDefault="00931AA8" w:rsidP="00931AA8">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0AE33B3A" w14:textId="77777777" w:rsidR="00931AA8" w:rsidRPr="00FD6EB4" w:rsidRDefault="00931AA8" w:rsidP="00931AA8">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90" w:type="dxa"/>
            <w:tcBorders>
              <w:bottom w:val="single" w:sz="8" w:space="0" w:color="4F81BD"/>
            </w:tcBorders>
            <w:shd w:val="clear" w:color="auto" w:fill="F2F2F2" w:themeFill="background1" w:themeFillShade="F2"/>
          </w:tcPr>
          <w:p w14:paraId="4A63C3E3" w14:textId="77777777" w:rsidR="00931AA8" w:rsidRPr="00FD6EB4" w:rsidRDefault="00931AA8" w:rsidP="00931AA8">
            <w:pPr>
              <w:pStyle w:val="Tableformat"/>
              <w:rPr>
                <w:b/>
                <w:color w:val="auto"/>
                <w:sz w:val="22"/>
                <w:szCs w:val="22"/>
              </w:rPr>
            </w:pPr>
            <w:r w:rsidRPr="00FD6EB4">
              <w:rPr>
                <w:b/>
                <w:color w:val="auto"/>
                <w:sz w:val="22"/>
                <w:szCs w:val="22"/>
              </w:rPr>
              <w:t>Payment</w:t>
            </w:r>
          </w:p>
        </w:tc>
      </w:tr>
      <w:tr w:rsidR="00DA6A97" w:rsidRPr="0091710A" w14:paraId="63A0E2E2" w14:textId="77777777" w:rsidTr="00C26E8B">
        <w:tc>
          <w:tcPr>
            <w:tcW w:w="1572" w:type="dxa"/>
            <w:vMerge w:val="restart"/>
            <w:tcBorders>
              <w:top w:val="single" w:sz="8" w:space="0" w:color="4F81BD"/>
              <w:left w:val="single" w:sz="8" w:space="0" w:color="4F81BD"/>
              <w:right w:val="single" w:sz="8" w:space="0" w:color="4F81BD"/>
            </w:tcBorders>
            <w:shd w:val="clear" w:color="auto" w:fill="F2F2F2" w:themeFill="background1" w:themeFillShade="F2"/>
          </w:tcPr>
          <w:p w14:paraId="0E4A607D" w14:textId="7FF51D9E" w:rsidR="00DA6A97" w:rsidRPr="00DA6A97" w:rsidRDefault="00DA6A97" w:rsidP="00AD4A97">
            <w:pPr>
              <w:pStyle w:val="Tableformat"/>
              <w:rPr>
                <w:bCs/>
                <w:color w:val="auto"/>
                <w:sz w:val="20"/>
                <w:szCs w:val="20"/>
              </w:rPr>
            </w:pPr>
            <w:r w:rsidRPr="00DA6A97">
              <w:rPr>
                <w:bCs/>
                <w:color w:val="auto"/>
                <w:sz w:val="20"/>
                <w:szCs w:val="20"/>
              </w:rPr>
              <w:t xml:space="preserve">Water </w:t>
            </w:r>
            <w:r w:rsidR="003D57EA">
              <w:rPr>
                <w:bCs/>
                <w:color w:val="auto"/>
                <w:sz w:val="20"/>
                <w:szCs w:val="20"/>
              </w:rPr>
              <w:t>r</w:t>
            </w:r>
            <w:r w:rsidRPr="00DA6A97">
              <w:rPr>
                <w:bCs/>
                <w:color w:val="auto"/>
                <w:sz w:val="20"/>
                <w:szCs w:val="20"/>
              </w:rPr>
              <w:t>ecovery</w:t>
            </w:r>
          </w:p>
        </w:tc>
        <w:tc>
          <w:tcPr>
            <w:tcW w:w="2568" w:type="dxa"/>
            <w:vMerge w:val="restart"/>
            <w:tcBorders>
              <w:top w:val="single" w:sz="8" w:space="0" w:color="4F81BD"/>
              <w:left w:val="single" w:sz="8" w:space="0" w:color="4F81BD"/>
              <w:right w:val="single" w:sz="8" w:space="0" w:color="4F81BD"/>
            </w:tcBorders>
            <w:shd w:val="clear" w:color="auto" w:fill="F2F2F2" w:themeFill="background1" w:themeFillShade="F2"/>
          </w:tcPr>
          <w:p w14:paraId="56645867" w14:textId="7055FF7D" w:rsidR="00DA6A97" w:rsidRPr="00DA6A97" w:rsidRDefault="00C26E8B" w:rsidP="00AD4A97">
            <w:pPr>
              <w:pStyle w:val="Tableformat"/>
              <w:rPr>
                <w:bCs/>
                <w:color w:val="auto"/>
                <w:sz w:val="20"/>
                <w:szCs w:val="20"/>
              </w:rPr>
            </w:pPr>
            <w:r>
              <w:rPr>
                <w:bCs/>
                <w:color w:val="auto"/>
                <w:sz w:val="20"/>
                <w:szCs w:val="20"/>
              </w:rPr>
              <w:t xml:space="preserve">1. </w:t>
            </w:r>
            <w:r w:rsidR="00AC6E08" w:rsidRPr="00AC6E08">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A03BB6" w14:textId="4C6376AD" w:rsidR="00DA6A97" w:rsidRPr="00DA6A97" w:rsidRDefault="00C26E8B" w:rsidP="00AD4A97">
            <w:pPr>
              <w:pStyle w:val="Tableformat"/>
              <w:rPr>
                <w:bCs/>
                <w:color w:val="auto"/>
                <w:sz w:val="20"/>
                <w:szCs w:val="20"/>
              </w:rPr>
            </w:pPr>
            <w:r>
              <w:rPr>
                <w:bCs/>
                <w:color w:val="auto"/>
                <w:sz w:val="20"/>
                <w:szCs w:val="20"/>
              </w:rPr>
              <w:t xml:space="preserve">1.a </w:t>
            </w:r>
            <w:r w:rsidR="00AC6E08" w:rsidRPr="00AC6E08">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1F9C38" w14:textId="203DE822" w:rsidR="00DA6A97" w:rsidRPr="00DA6A97" w:rsidRDefault="00AB71CC" w:rsidP="00AD4A97">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FB8E7C9" w14:textId="7E6D07D7" w:rsidR="00DA6A97" w:rsidRPr="00DA6A97" w:rsidRDefault="00D37EDA" w:rsidP="00AD4A97">
            <w:pPr>
              <w:pStyle w:val="Tableformat"/>
              <w:rPr>
                <w:bCs/>
                <w:color w:val="auto"/>
                <w:sz w:val="20"/>
                <w:szCs w:val="20"/>
              </w:rPr>
            </w:pPr>
            <w:r>
              <w:rPr>
                <w:bCs/>
                <w:color w:val="auto"/>
                <w:sz w:val="20"/>
                <w:szCs w:val="20"/>
              </w:rPr>
              <w:t>$</w:t>
            </w:r>
            <w:r w:rsidR="0085140F">
              <w:rPr>
                <w:bCs/>
                <w:color w:val="auto"/>
                <w:sz w:val="20"/>
                <w:szCs w:val="20"/>
              </w:rPr>
              <w:t>572,800</w:t>
            </w:r>
          </w:p>
        </w:tc>
      </w:tr>
      <w:tr w:rsidR="0085140F" w:rsidRPr="0091710A" w14:paraId="10F00677" w14:textId="77777777" w:rsidTr="00C26E8B">
        <w:tc>
          <w:tcPr>
            <w:tcW w:w="1572" w:type="dxa"/>
            <w:vMerge/>
            <w:tcBorders>
              <w:left w:val="single" w:sz="8" w:space="0" w:color="4F81BD"/>
              <w:right w:val="single" w:sz="8" w:space="0" w:color="4F81BD"/>
            </w:tcBorders>
            <w:shd w:val="clear" w:color="auto" w:fill="F2F2F2" w:themeFill="background1" w:themeFillShade="F2"/>
          </w:tcPr>
          <w:p w14:paraId="2E2CE247" w14:textId="77777777" w:rsidR="0085140F" w:rsidRPr="00DA6A97" w:rsidRDefault="0085140F" w:rsidP="0085140F">
            <w:pPr>
              <w:pStyle w:val="Tableformat"/>
              <w:rPr>
                <w:bCs/>
                <w:color w:val="auto"/>
                <w:sz w:val="20"/>
                <w:szCs w:val="20"/>
              </w:rPr>
            </w:pPr>
          </w:p>
        </w:tc>
        <w:tc>
          <w:tcPr>
            <w:tcW w:w="2568" w:type="dxa"/>
            <w:vMerge/>
            <w:tcBorders>
              <w:left w:val="single" w:sz="8" w:space="0" w:color="4F81BD"/>
              <w:right w:val="single" w:sz="8" w:space="0" w:color="4F81BD"/>
            </w:tcBorders>
            <w:shd w:val="clear" w:color="auto" w:fill="F2F2F2" w:themeFill="background1" w:themeFillShade="F2"/>
          </w:tcPr>
          <w:p w14:paraId="0AF18008"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C97C42" w14:textId="46BD72E0" w:rsidR="0085140F" w:rsidRPr="00DA6A97" w:rsidRDefault="0085140F" w:rsidP="0085140F">
            <w:pPr>
              <w:pStyle w:val="Tableformat"/>
              <w:rPr>
                <w:bCs/>
                <w:color w:val="auto"/>
                <w:sz w:val="20"/>
                <w:szCs w:val="20"/>
              </w:rPr>
            </w:pPr>
            <w:r w:rsidRPr="00C26E8B">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26E8B">
              <w:rPr>
                <w:bCs/>
                <w:color w:val="auto"/>
                <w:sz w:val="20"/>
                <w:szCs w:val="20"/>
              </w:rPr>
              <w:t xml:space="preserve"> using the Ministerial Council </w:t>
            </w:r>
            <w:r w:rsidR="007C3B81" w:rsidRPr="00C26E8B">
              <w:rPr>
                <w:bCs/>
                <w:color w:val="auto"/>
                <w:sz w:val="20"/>
                <w:szCs w:val="20"/>
              </w:rPr>
              <w:t>stock take</w:t>
            </w:r>
            <w:r w:rsidRPr="00C26E8B">
              <w:rPr>
                <w:bCs/>
                <w:color w:val="auto"/>
                <w:sz w:val="20"/>
                <w:szCs w:val="20"/>
              </w:rPr>
              <w:t xml:space="preserve"> as a starting point. Business case applications will include socio-economic analysis and proposals for transfer of water entitlements</w:t>
            </w:r>
            <w:r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B0E982" w14:textId="325BCA8D"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FB120B" w14:textId="0BB2595C" w:rsidR="0085140F" w:rsidRPr="00DA6A97" w:rsidRDefault="0085140F" w:rsidP="0085140F">
            <w:pPr>
              <w:pStyle w:val="Tableformat"/>
              <w:rPr>
                <w:bCs/>
                <w:color w:val="auto"/>
                <w:sz w:val="20"/>
                <w:szCs w:val="20"/>
              </w:rPr>
            </w:pPr>
            <w:r>
              <w:rPr>
                <w:bCs/>
                <w:color w:val="auto"/>
                <w:sz w:val="20"/>
                <w:szCs w:val="20"/>
              </w:rPr>
              <w:t>$572,800</w:t>
            </w:r>
          </w:p>
        </w:tc>
      </w:tr>
      <w:tr w:rsidR="0085140F" w:rsidRPr="0091710A" w14:paraId="4B108115" w14:textId="77777777" w:rsidTr="00C26E8B">
        <w:tc>
          <w:tcPr>
            <w:tcW w:w="1572" w:type="dxa"/>
            <w:vMerge/>
            <w:tcBorders>
              <w:left w:val="single" w:sz="8" w:space="0" w:color="4F81BD"/>
              <w:right w:val="single" w:sz="8" w:space="0" w:color="4F81BD"/>
            </w:tcBorders>
            <w:shd w:val="clear" w:color="auto" w:fill="F2F2F2" w:themeFill="background1" w:themeFillShade="F2"/>
          </w:tcPr>
          <w:p w14:paraId="6334CE3B" w14:textId="77777777" w:rsidR="0085140F" w:rsidRPr="00DA6A97" w:rsidRDefault="0085140F" w:rsidP="0085140F">
            <w:pPr>
              <w:pStyle w:val="Tableformat"/>
              <w:rPr>
                <w:bCs/>
                <w:color w:val="auto"/>
                <w:sz w:val="20"/>
                <w:szCs w:val="20"/>
              </w:rPr>
            </w:pPr>
          </w:p>
        </w:tc>
        <w:tc>
          <w:tcPr>
            <w:tcW w:w="2568" w:type="dxa"/>
            <w:vMerge/>
            <w:tcBorders>
              <w:left w:val="single" w:sz="8" w:space="0" w:color="4F81BD"/>
              <w:bottom w:val="single" w:sz="8" w:space="0" w:color="4F81BD"/>
              <w:right w:val="single" w:sz="8" w:space="0" w:color="4F81BD"/>
            </w:tcBorders>
            <w:shd w:val="clear" w:color="auto" w:fill="F2F2F2" w:themeFill="background1" w:themeFillShade="F2"/>
          </w:tcPr>
          <w:p w14:paraId="7BD8A6D0"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8483A8" w14:textId="479D60CB" w:rsidR="0085140F" w:rsidRPr="00DA6A97" w:rsidRDefault="0085140F" w:rsidP="0085140F">
            <w:pPr>
              <w:pStyle w:val="Tableformat"/>
              <w:rPr>
                <w:bCs/>
                <w:color w:val="auto"/>
                <w:sz w:val="20"/>
                <w:szCs w:val="20"/>
              </w:rPr>
            </w:pPr>
            <w:r w:rsidRPr="00C26E8B">
              <w:rPr>
                <w:bCs/>
                <w:color w:val="auto"/>
                <w:sz w:val="20"/>
                <w:szCs w:val="20"/>
              </w:rPr>
              <w:t>1.c Proactively provide support and advice on possible approaches and projects to bridge-the-gap under the Off-Farm Efficiency Program arrangements, or other arrangements</w:t>
            </w:r>
            <w:r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BB94E2" w14:textId="06766442"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4B5534" w14:textId="0DE20AB7" w:rsidR="0085140F" w:rsidRPr="00DA6A97" w:rsidRDefault="0085140F" w:rsidP="0085140F">
            <w:pPr>
              <w:pStyle w:val="Tableformat"/>
              <w:rPr>
                <w:bCs/>
                <w:color w:val="auto"/>
                <w:sz w:val="20"/>
                <w:szCs w:val="20"/>
              </w:rPr>
            </w:pPr>
            <w:r>
              <w:rPr>
                <w:bCs/>
                <w:color w:val="auto"/>
                <w:sz w:val="20"/>
                <w:szCs w:val="20"/>
              </w:rPr>
              <w:t>$572,800</w:t>
            </w:r>
          </w:p>
        </w:tc>
      </w:tr>
      <w:tr w:rsidR="0085140F" w:rsidRPr="0091710A" w14:paraId="54F5CB30" w14:textId="77777777" w:rsidTr="00C26E8B">
        <w:tc>
          <w:tcPr>
            <w:tcW w:w="1572" w:type="dxa"/>
            <w:vMerge/>
            <w:tcBorders>
              <w:left w:val="single" w:sz="8" w:space="0" w:color="4F81BD"/>
              <w:right w:val="single" w:sz="8" w:space="0" w:color="4F81BD"/>
            </w:tcBorders>
            <w:shd w:val="clear" w:color="auto" w:fill="F2F2F2" w:themeFill="background1" w:themeFillShade="F2"/>
          </w:tcPr>
          <w:p w14:paraId="3E43F984" w14:textId="77777777"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right w:val="single" w:sz="8" w:space="0" w:color="4F81BD"/>
            </w:tcBorders>
            <w:shd w:val="clear" w:color="auto" w:fill="F2F2F2" w:themeFill="background1" w:themeFillShade="F2"/>
          </w:tcPr>
          <w:p w14:paraId="50C7FF90" w14:textId="5F30655D" w:rsidR="0085140F" w:rsidRPr="00DA6A97" w:rsidRDefault="009D465A" w:rsidP="0085140F">
            <w:pPr>
              <w:pStyle w:val="Tableformat"/>
              <w:rPr>
                <w:bCs/>
                <w:color w:val="auto"/>
                <w:sz w:val="20"/>
                <w:szCs w:val="20"/>
              </w:rPr>
            </w:pPr>
            <w:r>
              <w:rPr>
                <w:bCs/>
                <w:color w:val="auto"/>
                <w:sz w:val="20"/>
                <w:szCs w:val="20"/>
              </w:rPr>
              <w:t xml:space="preserve">2. </w:t>
            </w:r>
            <w:r w:rsidR="0085140F" w:rsidRPr="00DA6A97">
              <w:rPr>
                <w:bCs/>
                <w:color w:val="auto"/>
                <w:sz w:val="20"/>
                <w:szCs w:val="20"/>
              </w:rPr>
              <w:t>Change stock and domestic water entitlements (as required) so they can be used for water recovery by the Commonwealth.</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3A42383" w14:textId="61511FB3" w:rsidR="0085140F" w:rsidRPr="00DA6A97" w:rsidRDefault="009D465A" w:rsidP="0085140F">
            <w:pPr>
              <w:pStyle w:val="Tableformat"/>
              <w:rPr>
                <w:bCs/>
                <w:color w:val="auto"/>
                <w:sz w:val="20"/>
                <w:szCs w:val="20"/>
              </w:rPr>
            </w:pPr>
            <w:r>
              <w:rPr>
                <w:bCs/>
                <w:color w:val="auto"/>
                <w:sz w:val="20"/>
                <w:szCs w:val="20"/>
              </w:rPr>
              <w:t xml:space="preserve">2. a </w:t>
            </w:r>
            <w:r w:rsidR="0085140F" w:rsidRPr="00DA6A97">
              <w:rPr>
                <w:bCs/>
                <w:color w:val="auto"/>
                <w:sz w:val="20"/>
                <w:szCs w:val="20"/>
              </w:rPr>
              <w:t>Submit a project plan outlining the necessary mechanisms and steps relevant to the transformation of stock and domestic entitlements to enable water recovery</w:t>
            </w:r>
            <w:r>
              <w:rPr>
                <w:bCs/>
                <w:color w:val="auto"/>
                <w:sz w:val="20"/>
                <w:szCs w:val="20"/>
              </w:rPr>
              <w:t xml:space="preserve"> </w:t>
            </w:r>
            <w:r w:rsidRPr="009D465A">
              <w:rPr>
                <w:bCs/>
                <w:color w:val="auto"/>
                <w:sz w:val="20"/>
                <w:szCs w:val="20"/>
              </w:rPr>
              <w:t>and transfer of licenses as required</w:t>
            </w:r>
            <w:r w:rsidR="0085140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F31727" w14:textId="64D023F0"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CC26B6" w14:textId="2A6F1D74" w:rsidR="0085140F" w:rsidRPr="00DA6A97" w:rsidRDefault="0085140F" w:rsidP="0085140F">
            <w:pPr>
              <w:pStyle w:val="Tableformat"/>
              <w:rPr>
                <w:bCs/>
                <w:color w:val="auto"/>
                <w:sz w:val="20"/>
                <w:szCs w:val="20"/>
              </w:rPr>
            </w:pPr>
            <w:r>
              <w:rPr>
                <w:bCs/>
                <w:color w:val="auto"/>
                <w:sz w:val="20"/>
                <w:szCs w:val="20"/>
              </w:rPr>
              <w:t>$572,800</w:t>
            </w:r>
          </w:p>
        </w:tc>
      </w:tr>
      <w:tr w:rsidR="0085140F" w:rsidRPr="0091710A" w14:paraId="5FDAB642" w14:textId="77777777" w:rsidTr="00C26E8B">
        <w:tc>
          <w:tcPr>
            <w:tcW w:w="1572" w:type="dxa"/>
            <w:vMerge w:val="restart"/>
            <w:tcBorders>
              <w:top w:val="single" w:sz="8" w:space="0" w:color="4F81BD"/>
              <w:left w:val="single" w:sz="8" w:space="0" w:color="4F81BD"/>
              <w:right w:val="single" w:sz="8" w:space="0" w:color="4F81BD"/>
            </w:tcBorders>
            <w:shd w:val="clear" w:color="auto" w:fill="F2F2F2" w:themeFill="background1" w:themeFillShade="F2"/>
          </w:tcPr>
          <w:p w14:paraId="6842B88D" w14:textId="77777777" w:rsidR="0085140F" w:rsidRPr="00DA6A97" w:rsidRDefault="0085140F" w:rsidP="0085140F">
            <w:pPr>
              <w:pStyle w:val="Tableformat"/>
              <w:rPr>
                <w:bCs/>
                <w:color w:val="auto"/>
                <w:sz w:val="20"/>
                <w:szCs w:val="20"/>
              </w:rPr>
            </w:pPr>
            <w:r w:rsidRPr="00DA6A97">
              <w:rPr>
                <w:bCs/>
                <w:color w:val="auto"/>
                <w:sz w:val="20"/>
                <w:szCs w:val="20"/>
              </w:rPr>
              <w:t>Coordinated environmental water use</w:t>
            </w: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AEE438" w14:textId="3ABAFFCE" w:rsidR="0085140F" w:rsidRPr="00DA6A97" w:rsidRDefault="0085140F" w:rsidP="0085140F">
            <w:pPr>
              <w:pStyle w:val="Tableformat"/>
              <w:rPr>
                <w:bCs/>
                <w:color w:val="auto"/>
                <w:sz w:val="20"/>
                <w:szCs w:val="20"/>
              </w:rPr>
            </w:pPr>
            <w:r>
              <w:rPr>
                <w:bCs/>
                <w:color w:val="auto"/>
                <w:sz w:val="20"/>
                <w:szCs w:val="20"/>
              </w:rPr>
              <w:t xml:space="preserve">3. </w:t>
            </w:r>
            <w:r w:rsidRPr="00DA6A97">
              <w:rPr>
                <w:bCs/>
                <w:color w:val="auto"/>
                <w:sz w:val="20"/>
                <w:szCs w:val="20"/>
              </w:rPr>
              <w:t>Deliver an agreed Basin-wide Environmental Water Protection Strategy and Implementation Plan.</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7620DE" w14:textId="6CECD0CA" w:rsidR="0085140F" w:rsidRPr="00DA6A97" w:rsidRDefault="0085140F" w:rsidP="0085140F">
            <w:pPr>
              <w:pStyle w:val="Tableformat"/>
              <w:rPr>
                <w:bCs/>
                <w:color w:val="auto"/>
                <w:sz w:val="20"/>
                <w:szCs w:val="20"/>
              </w:rPr>
            </w:pPr>
            <w:r w:rsidRPr="00C26E8B">
              <w:rPr>
                <w:bCs/>
                <w:color w:val="auto"/>
                <w:sz w:val="20"/>
                <w:szCs w:val="20"/>
              </w:rPr>
              <w:t xml:space="preserve">3.a Through the Environmental Water Committee, define and agree a </w:t>
            </w:r>
            <w:r w:rsidR="007C3B81" w:rsidRPr="00C26E8B">
              <w:rPr>
                <w:bCs/>
                <w:color w:val="auto"/>
                <w:sz w:val="20"/>
                <w:szCs w:val="20"/>
              </w:rPr>
              <w:t>work plan</w:t>
            </w:r>
            <w:r w:rsidRPr="00C26E8B">
              <w:rPr>
                <w:bCs/>
                <w:color w:val="auto"/>
                <w:sz w:val="20"/>
                <w:szCs w:val="20"/>
              </w:rPr>
              <w:t xml:space="preserve"> of priority collaborative activities to deliver the Environmental Water Protection Strategy, where relevant to the jurisdiction</w:t>
            </w:r>
            <w:r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D7CD66" w14:textId="2CB87C2F"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EF995A" w14:textId="5412D848" w:rsidR="0085140F" w:rsidRPr="00DA6A97" w:rsidRDefault="0085140F" w:rsidP="001111EA">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507BF882" w14:textId="77777777" w:rsidTr="00C26E8B">
        <w:tc>
          <w:tcPr>
            <w:tcW w:w="1572" w:type="dxa"/>
            <w:vMerge/>
            <w:tcBorders>
              <w:left w:val="single" w:sz="8" w:space="0" w:color="4F81BD"/>
              <w:bottom w:val="single" w:sz="8" w:space="0" w:color="4F81BD"/>
              <w:right w:val="single" w:sz="8" w:space="0" w:color="4F81BD"/>
            </w:tcBorders>
            <w:shd w:val="clear" w:color="auto" w:fill="F2F2F2" w:themeFill="background1" w:themeFillShade="F2"/>
          </w:tcPr>
          <w:p w14:paraId="552DBE98" w14:textId="77777777"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F5B2BF" w14:textId="10904690" w:rsidR="0085140F" w:rsidRPr="00DA6A97" w:rsidRDefault="0085140F" w:rsidP="0085140F">
            <w:pPr>
              <w:pStyle w:val="Tableformat"/>
              <w:rPr>
                <w:bCs/>
                <w:color w:val="auto"/>
                <w:sz w:val="20"/>
                <w:szCs w:val="20"/>
              </w:rPr>
            </w:pPr>
            <w:r>
              <w:rPr>
                <w:bCs/>
                <w:color w:val="auto"/>
                <w:sz w:val="20"/>
                <w:szCs w:val="20"/>
              </w:rPr>
              <w:t xml:space="preserve">4. </w:t>
            </w:r>
            <w:r w:rsidRPr="00DA6A97">
              <w:rPr>
                <w:bCs/>
                <w:color w:val="auto"/>
                <w:sz w:val="20"/>
                <w:szCs w:val="20"/>
              </w:rPr>
              <w:t xml:space="preserve">Improve environmental watering plans and strategies, including by updating Long-Term Watering Plans (LTWPs) within agreed timeframes. </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D727F3" w14:textId="72002895" w:rsidR="0085140F" w:rsidRPr="00DA6A97" w:rsidRDefault="0085140F" w:rsidP="006F3A9B">
            <w:pPr>
              <w:pStyle w:val="Tableformat"/>
              <w:rPr>
                <w:bCs/>
                <w:color w:val="auto"/>
                <w:sz w:val="20"/>
                <w:szCs w:val="20"/>
              </w:rPr>
            </w:pPr>
            <w:r w:rsidRPr="00C26E8B">
              <w:rPr>
                <w:bCs/>
                <w:color w:val="auto"/>
                <w:sz w:val="20"/>
                <w:szCs w:val="20"/>
              </w:rPr>
              <w:t xml:space="preserve">4.a Engage with </w:t>
            </w:r>
            <w:r w:rsidR="006F3A9B">
              <w:rPr>
                <w:bCs/>
                <w:color w:val="auto"/>
                <w:sz w:val="20"/>
                <w:szCs w:val="20"/>
              </w:rPr>
              <w:t>all stakeholders</w:t>
            </w:r>
            <w:r w:rsidRPr="00C26E8B">
              <w:rPr>
                <w:bCs/>
                <w:color w:val="auto"/>
                <w:sz w:val="20"/>
                <w:szCs w:val="20"/>
              </w:rPr>
              <w:t>, in the development of annual environmental water plans or priorities; and in the implementation, review and update of LTWPs, where relevant to the jurisdiction</w:t>
            </w:r>
            <w:r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245199" w14:textId="3C80F3D6"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5B1686" w14:textId="0B21C196"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7016E0C8" w14:textId="77777777" w:rsidTr="00C26E8B">
        <w:tc>
          <w:tcPr>
            <w:tcW w:w="1572" w:type="dxa"/>
            <w:vMerge w:val="restart"/>
            <w:tcBorders>
              <w:left w:val="single" w:sz="8" w:space="0" w:color="4F81BD"/>
              <w:right w:val="single" w:sz="8" w:space="0" w:color="4F81BD"/>
            </w:tcBorders>
            <w:shd w:val="clear" w:color="auto" w:fill="F2F2F2" w:themeFill="background1" w:themeFillShade="F2"/>
          </w:tcPr>
          <w:p w14:paraId="12C6D0F1" w14:textId="155BC5A8" w:rsidR="0085140F" w:rsidRPr="00DA6A97" w:rsidRDefault="0085140F" w:rsidP="0085140F">
            <w:pPr>
              <w:pStyle w:val="Tableformat"/>
              <w:rPr>
                <w:bCs/>
                <w:color w:val="auto"/>
                <w:sz w:val="20"/>
                <w:szCs w:val="20"/>
              </w:rPr>
            </w:pPr>
            <w:r w:rsidRPr="00DA6A97">
              <w:rPr>
                <w:bCs/>
                <w:color w:val="auto"/>
                <w:sz w:val="20"/>
                <w:szCs w:val="20"/>
              </w:rPr>
              <w:t>Implementation of the Basin Plan</w:t>
            </w:r>
          </w:p>
        </w:tc>
        <w:tc>
          <w:tcPr>
            <w:tcW w:w="2568" w:type="dxa"/>
            <w:vMerge w:val="restart"/>
            <w:tcBorders>
              <w:left w:val="single" w:sz="8" w:space="0" w:color="4F81BD"/>
              <w:right w:val="single" w:sz="8" w:space="0" w:color="4F81BD"/>
            </w:tcBorders>
            <w:shd w:val="clear" w:color="auto" w:fill="F2F2F2" w:themeFill="background1" w:themeFillShade="F2"/>
          </w:tcPr>
          <w:p w14:paraId="704A5DE0" w14:textId="2B688909" w:rsidR="0085140F" w:rsidRPr="00DA6A97" w:rsidRDefault="0085140F" w:rsidP="0085140F">
            <w:pPr>
              <w:pStyle w:val="Tableformat"/>
              <w:rPr>
                <w:bCs/>
                <w:color w:val="auto"/>
                <w:sz w:val="20"/>
                <w:szCs w:val="20"/>
              </w:rPr>
            </w:pPr>
            <w:r>
              <w:rPr>
                <w:bCs/>
                <w:color w:val="auto"/>
                <w:sz w:val="20"/>
                <w:szCs w:val="20"/>
              </w:rPr>
              <w:t xml:space="preserve">5. </w:t>
            </w:r>
            <w:r w:rsidRPr="00DA6A97">
              <w:rPr>
                <w:bCs/>
                <w:color w:val="auto"/>
                <w:sz w:val="20"/>
                <w:szCs w:val="20"/>
              </w:rPr>
              <w:t>Implement the SDLAM program, where not funded under other agreements.</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A564BE" w14:textId="77777777" w:rsidR="0085140F" w:rsidRPr="008773F1" w:rsidRDefault="0085140F" w:rsidP="0085140F">
            <w:pPr>
              <w:pStyle w:val="Tableformat"/>
              <w:rPr>
                <w:bCs/>
                <w:color w:val="auto"/>
                <w:sz w:val="20"/>
                <w:szCs w:val="20"/>
              </w:rPr>
            </w:pPr>
            <w:r w:rsidRPr="008773F1">
              <w:rPr>
                <w:bCs/>
                <w:color w:val="auto"/>
                <w:sz w:val="20"/>
                <w:szCs w:val="20"/>
              </w:rPr>
              <w:t>5.a Actively work with the Commonwealth to optimise and address risks to SDLAM program outcomes, including:</w:t>
            </w:r>
          </w:p>
          <w:p w14:paraId="5916BB2B" w14:textId="77777777" w:rsidR="0085140F" w:rsidRPr="008773F1" w:rsidRDefault="0085140F" w:rsidP="0085140F">
            <w:pPr>
              <w:pStyle w:val="Tableformat"/>
              <w:rPr>
                <w:bCs/>
                <w:color w:val="auto"/>
                <w:sz w:val="20"/>
                <w:szCs w:val="20"/>
              </w:rPr>
            </w:pPr>
            <w:r w:rsidRPr="008773F1">
              <w:rPr>
                <w:bCs/>
                <w:color w:val="auto"/>
                <w:sz w:val="20"/>
                <w:szCs w:val="20"/>
              </w:rPr>
              <w:t>- the establishment of a process to formally amend project scope</w:t>
            </w:r>
          </w:p>
          <w:p w14:paraId="58173B0F" w14:textId="77777777" w:rsidR="0085140F" w:rsidRPr="008773F1" w:rsidRDefault="0085140F" w:rsidP="0085140F">
            <w:pPr>
              <w:pStyle w:val="Tableformat"/>
              <w:rPr>
                <w:bCs/>
                <w:color w:val="auto"/>
                <w:sz w:val="20"/>
                <w:szCs w:val="20"/>
              </w:rPr>
            </w:pPr>
            <w:r w:rsidRPr="008773F1">
              <w:rPr>
                <w:bCs/>
                <w:color w:val="auto"/>
                <w:sz w:val="20"/>
                <w:szCs w:val="20"/>
              </w:rPr>
              <w:t>- resolution of critical policy issues to enable agreement to Stage 2 funding arrangements</w:t>
            </w:r>
          </w:p>
          <w:p w14:paraId="0E419182" w14:textId="77777777" w:rsidR="0085140F" w:rsidRPr="008773F1" w:rsidRDefault="0085140F" w:rsidP="0085140F">
            <w:pPr>
              <w:pStyle w:val="Tableformat"/>
              <w:rPr>
                <w:bCs/>
                <w:color w:val="auto"/>
                <w:sz w:val="20"/>
                <w:szCs w:val="20"/>
              </w:rPr>
            </w:pPr>
            <w:r w:rsidRPr="008773F1">
              <w:rPr>
                <w:bCs/>
                <w:color w:val="auto"/>
                <w:sz w:val="20"/>
                <w:szCs w:val="20"/>
              </w:rPr>
              <w:t>- fast-tracking relevant projects</w:t>
            </w:r>
          </w:p>
          <w:p w14:paraId="700060A5" w14:textId="0477E0A7" w:rsidR="0085140F" w:rsidRPr="00DA6A97" w:rsidRDefault="0085140F" w:rsidP="0085140F">
            <w:pPr>
              <w:pStyle w:val="Tableformat"/>
              <w:rPr>
                <w:bCs/>
                <w:color w:val="auto"/>
                <w:sz w:val="20"/>
                <w:szCs w:val="20"/>
              </w:rPr>
            </w:pPr>
            <w:r w:rsidRPr="008773F1">
              <w:rPr>
                <w:bCs/>
                <w:color w:val="auto"/>
                <w:sz w:val="20"/>
                <w:szCs w:val="20"/>
              </w:rPr>
              <w:t>- investigating the potential for existing, enhanced projects to contribute to Basin Plan outcomes.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8886F6" w14:textId="6B47F320"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AE704B" w14:textId="290C48DF"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05AAA5BF" w14:textId="77777777" w:rsidTr="00C26E8B">
        <w:tc>
          <w:tcPr>
            <w:tcW w:w="1572" w:type="dxa"/>
            <w:vMerge/>
            <w:tcBorders>
              <w:left w:val="single" w:sz="8" w:space="0" w:color="4F81BD"/>
              <w:right w:val="single" w:sz="8" w:space="0" w:color="4F81BD"/>
            </w:tcBorders>
            <w:shd w:val="clear" w:color="auto" w:fill="F2F2F2" w:themeFill="background1" w:themeFillShade="F2"/>
          </w:tcPr>
          <w:p w14:paraId="38BA5C4E" w14:textId="77777777" w:rsidR="0085140F" w:rsidRPr="00DA6A97" w:rsidRDefault="0085140F" w:rsidP="0085140F">
            <w:pPr>
              <w:pStyle w:val="Tableformat"/>
              <w:rPr>
                <w:bCs/>
                <w:color w:val="auto"/>
                <w:sz w:val="20"/>
                <w:szCs w:val="20"/>
              </w:rPr>
            </w:pPr>
          </w:p>
        </w:tc>
        <w:tc>
          <w:tcPr>
            <w:tcW w:w="2568" w:type="dxa"/>
            <w:vMerge/>
            <w:tcBorders>
              <w:left w:val="single" w:sz="8" w:space="0" w:color="4F81BD"/>
              <w:right w:val="single" w:sz="8" w:space="0" w:color="4F81BD"/>
            </w:tcBorders>
            <w:shd w:val="clear" w:color="auto" w:fill="F2F2F2" w:themeFill="background1" w:themeFillShade="F2"/>
          </w:tcPr>
          <w:p w14:paraId="6073FBB8"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8CA473" w14:textId="658B9F01" w:rsidR="0085140F" w:rsidRPr="00DA6A97" w:rsidRDefault="0085140F" w:rsidP="0085140F">
            <w:pPr>
              <w:pStyle w:val="Tableformat"/>
              <w:rPr>
                <w:bCs/>
                <w:color w:val="auto"/>
                <w:sz w:val="20"/>
                <w:szCs w:val="20"/>
              </w:rPr>
            </w:pPr>
            <w:r w:rsidRPr="008773F1">
              <w:rPr>
                <w:bCs/>
                <w:color w:val="auto"/>
                <w:sz w:val="20"/>
                <w:szCs w:val="20"/>
              </w:rPr>
              <w:t>5.b Identify, develop and progress required changes to the River Murray Operations Framework and Murray-Darling Basin Agreement. Any changes are to be agreed by all jurisdictions</w:t>
            </w:r>
            <w:r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8DAB1E" w14:textId="424706FD"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EA617C" w14:textId="57546163"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2CBC04F4" w14:textId="77777777" w:rsidTr="00C26E8B">
        <w:tc>
          <w:tcPr>
            <w:tcW w:w="1572" w:type="dxa"/>
            <w:vMerge/>
            <w:tcBorders>
              <w:left w:val="single" w:sz="8" w:space="0" w:color="4F81BD"/>
              <w:right w:val="single" w:sz="8" w:space="0" w:color="4F81BD"/>
            </w:tcBorders>
            <w:shd w:val="clear" w:color="auto" w:fill="F2F2F2" w:themeFill="background1" w:themeFillShade="F2"/>
          </w:tcPr>
          <w:p w14:paraId="7EA53FBD" w14:textId="77777777" w:rsidR="0085140F" w:rsidRPr="00DA6A97" w:rsidRDefault="0085140F" w:rsidP="0085140F">
            <w:pPr>
              <w:pStyle w:val="Tableformat"/>
              <w:rPr>
                <w:bCs/>
                <w:color w:val="auto"/>
                <w:sz w:val="20"/>
                <w:szCs w:val="20"/>
              </w:rPr>
            </w:pPr>
          </w:p>
        </w:tc>
        <w:tc>
          <w:tcPr>
            <w:tcW w:w="2568" w:type="dxa"/>
            <w:vMerge/>
            <w:tcBorders>
              <w:left w:val="single" w:sz="8" w:space="0" w:color="4F81BD"/>
              <w:bottom w:val="single" w:sz="8" w:space="0" w:color="4F81BD"/>
              <w:right w:val="single" w:sz="8" w:space="0" w:color="4F81BD"/>
            </w:tcBorders>
            <w:shd w:val="clear" w:color="auto" w:fill="F2F2F2" w:themeFill="background1" w:themeFillShade="F2"/>
          </w:tcPr>
          <w:p w14:paraId="248B2E12"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733E7C" w14:textId="5B28ECA7" w:rsidR="0085140F" w:rsidRPr="00DA6A97" w:rsidRDefault="0085140F" w:rsidP="00361C39">
            <w:pPr>
              <w:pStyle w:val="Tableformat"/>
              <w:rPr>
                <w:bCs/>
                <w:color w:val="auto"/>
                <w:sz w:val="20"/>
                <w:szCs w:val="20"/>
              </w:rPr>
            </w:pPr>
            <w:r w:rsidRPr="008773F1">
              <w:rPr>
                <w:bCs/>
                <w:color w:val="auto"/>
                <w:sz w:val="20"/>
                <w:szCs w:val="20"/>
              </w:rPr>
              <w:t>5.</w:t>
            </w:r>
            <w:r w:rsidR="00361C39">
              <w:rPr>
                <w:bCs/>
                <w:color w:val="auto"/>
                <w:sz w:val="20"/>
                <w:szCs w:val="20"/>
              </w:rPr>
              <w:t>c</w:t>
            </w:r>
            <w:r w:rsidR="00361C39" w:rsidRPr="008773F1">
              <w:rPr>
                <w:bCs/>
                <w:color w:val="auto"/>
                <w:sz w:val="20"/>
                <w:szCs w:val="20"/>
              </w:rPr>
              <w:t xml:space="preserve"> </w:t>
            </w:r>
            <w:r w:rsidRPr="008773F1">
              <w:rPr>
                <w:bCs/>
                <w:color w:val="auto"/>
                <w:sz w:val="20"/>
                <w:szCs w:val="20"/>
              </w:rPr>
              <w:t>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Pr="00D57F7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30DBA4" w14:textId="39E3F532"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66C5B9" w14:textId="4C0BACC4"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68CF7048" w14:textId="77777777" w:rsidTr="00C26E8B">
        <w:tc>
          <w:tcPr>
            <w:tcW w:w="1572" w:type="dxa"/>
            <w:vMerge/>
            <w:tcBorders>
              <w:left w:val="single" w:sz="8" w:space="0" w:color="4F81BD"/>
              <w:right w:val="single" w:sz="8" w:space="0" w:color="4F81BD"/>
            </w:tcBorders>
            <w:shd w:val="clear" w:color="auto" w:fill="F2F2F2" w:themeFill="background1" w:themeFillShade="F2"/>
          </w:tcPr>
          <w:p w14:paraId="71F7F2B8" w14:textId="77777777" w:rsidR="0085140F" w:rsidRPr="00DA6A97" w:rsidRDefault="0085140F" w:rsidP="0085140F">
            <w:pPr>
              <w:pStyle w:val="Tableformat"/>
              <w:rPr>
                <w:bCs/>
                <w:color w:val="auto"/>
                <w:sz w:val="20"/>
                <w:szCs w:val="20"/>
              </w:rPr>
            </w:pPr>
          </w:p>
        </w:tc>
        <w:tc>
          <w:tcPr>
            <w:tcW w:w="2568" w:type="dxa"/>
            <w:vMerge w:val="restart"/>
            <w:tcBorders>
              <w:top w:val="single" w:sz="8" w:space="0" w:color="4F81BD"/>
              <w:left w:val="single" w:sz="8" w:space="0" w:color="4F81BD"/>
              <w:right w:val="single" w:sz="8" w:space="0" w:color="4F81BD"/>
            </w:tcBorders>
            <w:shd w:val="clear" w:color="auto" w:fill="F2F2F2" w:themeFill="background1" w:themeFillShade="F2"/>
          </w:tcPr>
          <w:p w14:paraId="50276944" w14:textId="662C2B37" w:rsidR="0085140F" w:rsidRPr="00DA6A97" w:rsidRDefault="001E30D2" w:rsidP="0085140F">
            <w:pPr>
              <w:pStyle w:val="Tableformat"/>
              <w:rPr>
                <w:bCs/>
                <w:color w:val="auto"/>
                <w:sz w:val="20"/>
                <w:szCs w:val="20"/>
              </w:rPr>
            </w:pPr>
            <w:r>
              <w:rPr>
                <w:bCs/>
                <w:color w:val="auto"/>
                <w:sz w:val="20"/>
                <w:szCs w:val="20"/>
              </w:rPr>
              <w:t>6</w:t>
            </w:r>
            <w:r w:rsidR="0085140F">
              <w:rPr>
                <w:bCs/>
                <w:color w:val="auto"/>
                <w:sz w:val="20"/>
                <w:szCs w:val="20"/>
              </w:rPr>
              <w:t>. Contribute to delivery of</w:t>
            </w:r>
            <w:r w:rsidR="0085140F" w:rsidRPr="00DA6A97">
              <w:rPr>
                <w:bCs/>
                <w:color w:val="auto"/>
                <w:sz w:val="20"/>
                <w:szCs w:val="20"/>
              </w:rPr>
              <w:t xml:space="preserve"> the MDBA-led SDL Accounting Framework Improvement Strategy 2020-25 </w:t>
            </w:r>
            <w:r w:rsidR="007C3B81" w:rsidRPr="00DA6A97">
              <w:rPr>
                <w:bCs/>
                <w:color w:val="auto"/>
                <w:sz w:val="20"/>
                <w:szCs w:val="20"/>
              </w:rPr>
              <w:t>work plan</w:t>
            </w:r>
            <w:r w:rsidR="0085140F" w:rsidRPr="00DA6A97">
              <w:rPr>
                <w:bCs/>
                <w:color w:val="auto"/>
                <w:sz w:val="20"/>
                <w:szCs w:val="20"/>
              </w:rPr>
              <w:t>, including supplying data and quality assurance documentation</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2FE2940" w14:textId="0163B1A6" w:rsidR="0085140F" w:rsidRPr="00DA6A97" w:rsidRDefault="00160137" w:rsidP="0085140F">
            <w:pPr>
              <w:pStyle w:val="Tableformat"/>
              <w:rPr>
                <w:bCs/>
                <w:color w:val="auto"/>
                <w:sz w:val="20"/>
                <w:szCs w:val="20"/>
              </w:rPr>
            </w:pPr>
            <w:r>
              <w:rPr>
                <w:bCs/>
                <w:color w:val="auto"/>
                <w:sz w:val="20"/>
                <w:szCs w:val="20"/>
              </w:rPr>
              <w:t>6</w:t>
            </w:r>
            <w:r w:rsidR="0085140F" w:rsidRPr="008773F1">
              <w:rPr>
                <w:bCs/>
                <w:color w:val="auto"/>
                <w:sz w:val="20"/>
                <w:szCs w:val="20"/>
              </w:rPr>
              <w:t xml:space="preserve">.a Contribute to developing a </w:t>
            </w:r>
            <w:r w:rsidR="007C3B81" w:rsidRPr="008773F1">
              <w:rPr>
                <w:bCs/>
                <w:color w:val="auto"/>
                <w:sz w:val="20"/>
                <w:szCs w:val="20"/>
              </w:rPr>
              <w:t>work plan</w:t>
            </w:r>
            <w:r w:rsidR="0085140F" w:rsidRPr="008773F1">
              <w:rPr>
                <w:bCs/>
                <w:color w:val="auto"/>
                <w:sz w:val="20"/>
                <w:szCs w:val="20"/>
              </w:rPr>
              <w:t xml:space="preserve"> to implement the SDL Accounting Framework Improvement Strategy 2020-25, led by the MDBA and agreed by BOC Alternates</w:t>
            </w:r>
            <w:r w:rsidR="0085140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814408" w14:textId="022F2399"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1BC131" w14:textId="68A2DBD5"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376F05E9" w14:textId="77777777" w:rsidTr="00C26E8B">
        <w:tc>
          <w:tcPr>
            <w:tcW w:w="1572" w:type="dxa"/>
            <w:vMerge/>
            <w:tcBorders>
              <w:left w:val="single" w:sz="8" w:space="0" w:color="4F81BD"/>
              <w:right w:val="single" w:sz="8" w:space="0" w:color="4F81BD"/>
            </w:tcBorders>
            <w:shd w:val="clear" w:color="auto" w:fill="F2F2F2" w:themeFill="background1" w:themeFillShade="F2"/>
          </w:tcPr>
          <w:p w14:paraId="7913612E" w14:textId="77777777" w:rsidR="0085140F" w:rsidRPr="00DA6A97" w:rsidRDefault="0085140F" w:rsidP="0085140F">
            <w:pPr>
              <w:pStyle w:val="Tableformat"/>
              <w:rPr>
                <w:bCs/>
                <w:color w:val="auto"/>
                <w:sz w:val="20"/>
                <w:szCs w:val="20"/>
              </w:rPr>
            </w:pPr>
          </w:p>
        </w:tc>
        <w:tc>
          <w:tcPr>
            <w:tcW w:w="2568" w:type="dxa"/>
            <w:vMerge/>
            <w:tcBorders>
              <w:left w:val="single" w:sz="8" w:space="0" w:color="4F81BD"/>
              <w:bottom w:val="single" w:sz="8" w:space="0" w:color="4F81BD"/>
              <w:right w:val="single" w:sz="8" w:space="0" w:color="4F81BD"/>
            </w:tcBorders>
            <w:shd w:val="clear" w:color="auto" w:fill="F2F2F2" w:themeFill="background1" w:themeFillShade="F2"/>
          </w:tcPr>
          <w:p w14:paraId="7784188B"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AE8FFF" w14:textId="6CBB7095" w:rsidR="0085140F" w:rsidRPr="00DA6A97" w:rsidRDefault="00160137" w:rsidP="0085140F">
            <w:pPr>
              <w:pStyle w:val="Tableformat"/>
              <w:rPr>
                <w:bCs/>
                <w:color w:val="auto"/>
                <w:sz w:val="20"/>
                <w:szCs w:val="20"/>
              </w:rPr>
            </w:pPr>
            <w:r>
              <w:rPr>
                <w:bCs/>
                <w:color w:val="auto"/>
                <w:sz w:val="20"/>
                <w:szCs w:val="20"/>
              </w:rPr>
              <w:t>6</w:t>
            </w:r>
            <w:r w:rsidR="0085140F" w:rsidRPr="008773F1">
              <w:rPr>
                <w:bCs/>
                <w:color w:val="auto"/>
                <w:sz w:val="20"/>
                <w:szCs w:val="20"/>
              </w:rPr>
              <w:t xml:space="preserve">.b Implement the SDL Accounting Framework Improvement Strategy </w:t>
            </w:r>
            <w:r w:rsidR="007C3B81" w:rsidRPr="008773F1">
              <w:rPr>
                <w:bCs/>
                <w:color w:val="auto"/>
                <w:sz w:val="20"/>
                <w:szCs w:val="20"/>
              </w:rPr>
              <w:t>work plan</w:t>
            </w:r>
            <w:r w:rsidR="0085140F" w:rsidRPr="008773F1">
              <w:rPr>
                <w:bCs/>
                <w:color w:val="auto"/>
                <w:sz w:val="20"/>
                <w:szCs w:val="20"/>
              </w:rPr>
              <w:t xml:space="preserve"> led by the MDBA, as relevant to the jurisdictio</w:t>
            </w:r>
            <w:r w:rsidR="0085140F">
              <w:rPr>
                <w:bCs/>
                <w:color w:val="auto"/>
                <w:sz w:val="20"/>
                <w:szCs w:val="20"/>
              </w:rPr>
              <w:t>n</w:t>
            </w:r>
            <w:r w:rsidR="0085140F"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D6FB16" w14:textId="65755DC0"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26B3F7B" w14:textId="6DDAFE56"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14112B2A" w14:textId="77777777" w:rsidTr="00C26E8B">
        <w:tc>
          <w:tcPr>
            <w:tcW w:w="1572" w:type="dxa"/>
            <w:vMerge/>
            <w:tcBorders>
              <w:left w:val="single" w:sz="8" w:space="0" w:color="4F81BD"/>
              <w:right w:val="single" w:sz="8" w:space="0" w:color="4F81BD"/>
            </w:tcBorders>
            <w:shd w:val="clear" w:color="auto" w:fill="F2F2F2" w:themeFill="background1" w:themeFillShade="F2"/>
          </w:tcPr>
          <w:p w14:paraId="2B066BE4" w14:textId="77777777"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65E577" w14:textId="055C0CFA" w:rsidR="0085140F" w:rsidRPr="00DA6A97" w:rsidRDefault="001E30D2" w:rsidP="0085140F">
            <w:pPr>
              <w:pStyle w:val="Tableformat"/>
              <w:rPr>
                <w:bCs/>
                <w:color w:val="auto"/>
                <w:sz w:val="20"/>
                <w:szCs w:val="20"/>
              </w:rPr>
            </w:pPr>
            <w:r>
              <w:rPr>
                <w:bCs/>
                <w:color w:val="auto"/>
                <w:sz w:val="20"/>
                <w:szCs w:val="20"/>
              </w:rPr>
              <w:t>7</w:t>
            </w:r>
            <w:r w:rsidR="0085140F">
              <w:rPr>
                <w:bCs/>
                <w:color w:val="auto"/>
                <w:sz w:val="20"/>
                <w:szCs w:val="20"/>
              </w:rPr>
              <w:t xml:space="preserve">. </w:t>
            </w:r>
            <w:r w:rsidR="0085140F" w:rsidRPr="00DA6A97">
              <w:rPr>
                <w:bCs/>
                <w:color w:val="auto"/>
                <w:sz w:val="20"/>
                <w:szCs w:val="20"/>
              </w:rPr>
              <w:t>Ensure State water planning frameworks that are included in Water Resource Plans remain consistent with the Basin Plan.</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20E5B0" w14:textId="376A7D4E" w:rsidR="0085140F" w:rsidRPr="00DA6A97" w:rsidRDefault="00160137" w:rsidP="0085140F">
            <w:pPr>
              <w:pStyle w:val="Tableformat"/>
              <w:rPr>
                <w:bCs/>
                <w:color w:val="auto"/>
                <w:sz w:val="20"/>
                <w:szCs w:val="20"/>
              </w:rPr>
            </w:pPr>
            <w:r>
              <w:rPr>
                <w:bCs/>
                <w:color w:val="auto"/>
                <w:sz w:val="20"/>
                <w:szCs w:val="20"/>
              </w:rPr>
              <w:t>7</w:t>
            </w:r>
            <w:r w:rsidR="0085140F" w:rsidRPr="008773F1">
              <w:rPr>
                <w:bCs/>
                <w:color w:val="auto"/>
                <w:sz w:val="20"/>
                <w:szCs w:val="20"/>
              </w:rPr>
              <w:t>.a Submit amendments to WRPs to the Commonwealth for approval where state water planning frameworks in WRPs become inconsistent with the Basin Plan</w:t>
            </w:r>
            <w:r w:rsidR="0085140F"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9187A84" w14:textId="629A7F4B"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20CACE" w14:textId="0B55F2CE"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082DA567" w14:textId="77777777" w:rsidTr="00C26E8B">
        <w:tc>
          <w:tcPr>
            <w:tcW w:w="1572" w:type="dxa"/>
            <w:vMerge/>
            <w:tcBorders>
              <w:left w:val="single" w:sz="8" w:space="0" w:color="4F81BD"/>
              <w:right w:val="single" w:sz="8" w:space="0" w:color="4F81BD"/>
            </w:tcBorders>
            <w:shd w:val="clear" w:color="auto" w:fill="F2F2F2" w:themeFill="background1" w:themeFillShade="F2"/>
          </w:tcPr>
          <w:p w14:paraId="71B19411" w14:textId="77777777" w:rsidR="0085140F" w:rsidRPr="00DA6A97" w:rsidRDefault="0085140F" w:rsidP="0085140F">
            <w:pPr>
              <w:pStyle w:val="Tableformat"/>
              <w:rPr>
                <w:bCs/>
                <w:color w:val="auto"/>
                <w:sz w:val="20"/>
                <w:szCs w:val="20"/>
              </w:rPr>
            </w:pPr>
          </w:p>
        </w:tc>
        <w:tc>
          <w:tcPr>
            <w:tcW w:w="2568" w:type="dxa"/>
            <w:vMerge w:val="restart"/>
            <w:tcBorders>
              <w:top w:val="single" w:sz="8" w:space="0" w:color="4F81BD"/>
              <w:left w:val="single" w:sz="8" w:space="0" w:color="4F81BD"/>
              <w:right w:val="single" w:sz="8" w:space="0" w:color="4F81BD"/>
            </w:tcBorders>
            <w:shd w:val="clear" w:color="auto" w:fill="F2F2F2" w:themeFill="background1" w:themeFillShade="F2"/>
          </w:tcPr>
          <w:p w14:paraId="448A37A7" w14:textId="7B5077AA" w:rsidR="0085140F" w:rsidRPr="00DA6A97" w:rsidRDefault="001E30D2" w:rsidP="0085140F">
            <w:pPr>
              <w:pStyle w:val="Tableformat"/>
              <w:rPr>
                <w:bCs/>
                <w:color w:val="auto"/>
                <w:sz w:val="20"/>
                <w:szCs w:val="20"/>
              </w:rPr>
            </w:pPr>
            <w:r>
              <w:rPr>
                <w:bCs/>
                <w:color w:val="auto"/>
                <w:sz w:val="20"/>
                <w:szCs w:val="20"/>
              </w:rPr>
              <w:t>8</w:t>
            </w:r>
            <w:r w:rsidR="0085140F">
              <w:rPr>
                <w:bCs/>
                <w:color w:val="auto"/>
                <w:sz w:val="20"/>
                <w:szCs w:val="20"/>
              </w:rPr>
              <w:t xml:space="preserve">. </w:t>
            </w:r>
            <w:r w:rsidR="0085140F" w:rsidRPr="00DA6A97">
              <w:rPr>
                <w:bCs/>
                <w:color w:val="auto"/>
                <w:sz w:val="20"/>
                <w:szCs w:val="20"/>
              </w:rPr>
              <w:t>Deliver required Basin Plan monitoring, evaluation, science and reporting.</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85D5AB" w14:textId="0952BC98" w:rsidR="0085140F" w:rsidRPr="00DA6A97" w:rsidRDefault="00160137" w:rsidP="001E30D2">
            <w:pPr>
              <w:pStyle w:val="Tableformat"/>
              <w:rPr>
                <w:bCs/>
                <w:color w:val="auto"/>
                <w:sz w:val="20"/>
                <w:szCs w:val="20"/>
              </w:rPr>
            </w:pPr>
            <w:r>
              <w:rPr>
                <w:bCs/>
                <w:color w:val="auto"/>
                <w:sz w:val="20"/>
                <w:szCs w:val="20"/>
              </w:rPr>
              <w:t>8</w:t>
            </w:r>
            <w:r w:rsidR="0085140F">
              <w:rPr>
                <w:bCs/>
                <w:color w:val="auto"/>
                <w:sz w:val="20"/>
                <w:szCs w:val="20"/>
              </w:rPr>
              <w:t xml:space="preserve">.a </w:t>
            </w:r>
            <w:r w:rsidR="0085140F" w:rsidRPr="00DA6A97">
              <w:rPr>
                <w:bCs/>
                <w:color w:val="auto"/>
                <w:sz w:val="20"/>
                <w:szCs w:val="20"/>
              </w:rPr>
              <w:t>Deliver Basin Plan reporting under Schedule 12, including reporting under Matters 8, 12, 18 and 19</w:t>
            </w:r>
            <w:r w:rsidR="001E30D2">
              <w:rPr>
                <w:bCs/>
                <w:color w:val="auto"/>
                <w:sz w:val="20"/>
                <w:szCs w:val="20"/>
              </w:rPr>
              <w:t xml:space="preserve"> and 21 (compliance with water resource plans, such as but not limited to Part</w:t>
            </w:r>
            <w:r w:rsidR="00DD072F">
              <w:rPr>
                <w:bCs/>
                <w:color w:val="auto"/>
                <w:sz w:val="20"/>
                <w:szCs w:val="20"/>
              </w:rPr>
              <w:t>s</w:t>
            </w:r>
            <w:r w:rsidR="001E30D2">
              <w:rPr>
                <w:bCs/>
                <w:color w:val="auto"/>
                <w:sz w:val="20"/>
                <w:szCs w:val="20"/>
              </w:rPr>
              <w:t xml:space="preserve"> 4, 6, 14)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62A5FC" w14:textId="5C124A58"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869C79" w14:textId="67C596DE" w:rsidR="0085140F" w:rsidRPr="00DA6A97" w:rsidRDefault="0085140F">
            <w:pPr>
              <w:pStyle w:val="Tableformat"/>
              <w:rPr>
                <w:bCs/>
                <w:color w:val="auto"/>
                <w:sz w:val="20"/>
                <w:szCs w:val="20"/>
              </w:rPr>
            </w:pPr>
            <w:r>
              <w:rPr>
                <w:bCs/>
                <w:color w:val="auto"/>
                <w:sz w:val="20"/>
                <w:szCs w:val="20"/>
              </w:rPr>
              <w:t>$</w:t>
            </w:r>
            <w:r w:rsidR="004C76F5">
              <w:rPr>
                <w:bCs/>
                <w:color w:val="auto"/>
                <w:sz w:val="20"/>
                <w:szCs w:val="20"/>
              </w:rPr>
              <w:t>451,080</w:t>
            </w:r>
          </w:p>
        </w:tc>
      </w:tr>
      <w:tr w:rsidR="0085140F" w:rsidRPr="0091710A" w14:paraId="6B022639" w14:textId="77777777" w:rsidTr="00C26E8B">
        <w:tc>
          <w:tcPr>
            <w:tcW w:w="1572" w:type="dxa"/>
            <w:vMerge/>
            <w:tcBorders>
              <w:left w:val="single" w:sz="8" w:space="0" w:color="4F81BD"/>
              <w:right w:val="single" w:sz="8" w:space="0" w:color="4F81BD"/>
            </w:tcBorders>
            <w:shd w:val="clear" w:color="auto" w:fill="F2F2F2" w:themeFill="background1" w:themeFillShade="F2"/>
          </w:tcPr>
          <w:p w14:paraId="5A2F12EB" w14:textId="77777777" w:rsidR="0085140F" w:rsidRPr="00DA6A97" w:rsidRDefault="0085140F" w:rsidP="0085140F">
            <w:pPr>
              <w:pStyle w:val="Tableformat"/>
              <w:rPr>
                <w:bCs/>
                <w:color w:val="auto"/>
                <w:sz w:val="20"/>
                <w:szCs w:val="20"/>
              </w:rPr>
            </w:pPr>
          </w:p>
        </w:tc>
        <w:tc>
          <w:tcPr>
            <w:tcW w:w="2568" w:type="dxa"/>
            <w:vMerge/>
            <w:tcBorders>
              <w:left w:val="single" w:sz="8" w:space="0" w:color="4F81BD"/>
              <w:bottom w:val="single" w:sz="8" w:space="0" w:color="4F81BD"/>
              <w:right w:val="single" w:sz="8" w:space="0" w:color="4F81BD"/>
            </w:tcBorders>
            <w:shd w:val="clear" w:color="auto" w:fill="F2F2F2" w:themeFill="background1" w:themeFillShade="F2"/>
          </w:tcPr>
          <w:p w14:paraId="5AF5AB8B"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C2DC19" w14:textId="181B2EBD" w:rsidR="0085140F" w:rsidRPr="00DA6A97" w:rsidRDefault="00160137" w:rsidP="0085140F">
            <w:pPr>
              <w:pStyle w:val="Tableformat"/>
              <w:rPr>
                <w:bCs/>
                <w:color w:val="auto"/>
                <w:sz w:val="20"/>
                <w:szCs w:val="20"/>
              </w:rPr>
            </w:pPr>
            <w:r>
              <w:rPr>
                <w:bCs/>
                <w:color w:val="auto"/>
                <w:sz w:val="20"/>
                <w:szCs w:val="20"/>
              </w:rPr>
              <w:t>8</w:t>
            </w:r>
            <w:r w:rsidR="0085140F">
              <w:rPr>
                <w:bCs/>
                <w:color w:val="auto"/>
                <w:sz w:val="20"/>
                <w:szCs w:val="20"/>
              </w:rPr>
              <w:t xml:space="preserve">.b </w:t>
            </w:r>
            <w:r w:rsidR="0085140F" w:rsidRPr="00DA6A97">
              <w:rPr>
                <w:bCs/>
                <w:color w:val="auto"/>
                <w:sz w:val="20"/>
                <w:szCs w:val="20"/>
              </w:rPr>
              <w:t>Deliver on</w:t>
            </w:r>
            <w:r w:rsidR="0085140F">
              <w:rPr>
                <w:bCs/>
                <w:color w:val="auto"/>
                <w:sz w:val="20"/>
                <w:szCs w:val="20"/>
              </w:rPr>
              <w:t xml:space="preserve"> agreed</w:t>
            </w:r>
            <w:r w:rsidR="0085140F" w:rsidRPr="00DA6A97">
              <w:rPr>
                <w:bCs/>
                <w:color w:val="auto"/>
                <w:sz w:val="20"/>
                <w:szCs w:val="20"/>
              </w:rPr>
              <w:t xml:space="preserve"> strategic activities under the Basin Monitoring Evaluation and Reporting Working Group annual </w:t>
            </w:r>
            <w:r w:rsidR="007C3B81" w:rsidRPr="00DA6A97">
              <w:rPr>
                <w:bCs/>
                <w:color w:val="auto"/>
                <w:sz w:val="20"/>
                <w:szCs w:val="20"/>
              </w:rPr>
              <w:t>work plan</w:t>
            </w:r>
            <w:r w:rsidR="0085140F" w:rsidRPr="00DA6A97">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827470" w14:textId="44BAF39A"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2B9BFDC" w14:textId="626F0243" w:rsidR="0085140F" w:rsidRPr="00DA6A97" w:rsidRDefault="0085140F">
            <w:pPr>
              <w:pStyle w:val="Tableformat"/>
              <w:rPr>
                <w:bCs/>
                <w:color w:val="auto"/>
                <w:sz w:val="20"/>
                <w:szCs w:val="20"/>
              </w:rPr>
            </w:pPr>
            <w:r>
              <w:rPr>
                <w:bCs/>
                <w:color w:val="auto"/>
                <w:sz w:val="20"/>
                <w:szCs w:val="20"/>
              </w:rPr>
              <w:t>$</w:t>
            </w:r>
            <w:r w:rsidR="004C76F5">
              <w:rPr>
                <w:bCs/>
                <w:color w:val="auto"/>
                <w:sz w:val="20"/>
                <w:szCs w:val="20"/>
              </w:rPr>
              <w:t>451,080</w:t>
            </w:r>
          </w:p>
        </w:tc>
      </w:tr>
      <w:tr w:rsidR="0085140F" w:rsidRPr="0091710A" w14:paraId="691C8043" w14:textId="77777777" w:rsidTr="00C26E8B">
        <w:tc>
          <w:tcPr>
            <w:tcW w:w="1572" w:type="dxa"/>
            <w:vMerge w:val="restart"/>
            <w:tcBorders>
              <w:top w:val="single" w:sz="8" w:space="0" w:color="4F81BD"/>
              <w:left w:val="single" w:sz="8" w:space="0" w:color="4F81BD"/>
              <w:right w:val="single" w:sz="8" w:space="0" w:color="4F81BD"/>
            </w:tcBorders>
            <w:shd w:val="clear" w:color="auto" w:fill="F2F2F2" w:themeFill="background1" w:themeFillShade="F2"/>
          </w:tcPr>
          <w:p w14:paraId="69D8754B" w14:textId="77777777" w:rsidR="0085140F" w:rsidRPr="00DA6A97" w:rsidRDefault="0085140F" w:rsidP="0085140F">
            <w:pPr>
              <w:pStyle w:val="Tableformat"/>
              <w:rPr>
                <w:bCs/>
                <w:color w:val="auto"/>
                <w:sz w:val="20"/>
                <w:szCs w:val="20"/>
              </w:rPr>
            </w:pPr>
            <w:r w:rsidRPr="00DA6A97">
              <w:rPr>
                <w:bCs/>
                <w:color w:val="auto"/>
                <w:sz w:val="20"/>
                <w:szCs w:val="20"/>
              </w:rPr>
              <w:t>Water market improvement</w:t>
            </w: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18A978" w14:textId="1588893F" w:rsidR="0085140F" w:rsidRPr="00DA6A97" w:rsidRDefault="001421B5">
            <w:pPr>
              <w:pStyle w:val="Tableformat"/>
              <w:rPr>
                <w:bCs/>
                <w:color w:val="auto"/>
                <w:sz w:val="20"/>
                <w:szCs w:val="20"/>
              </w:rPr>
            </w:pPr>
            <w:r>
              <w:rPr>
                <w:bCs/>
                <w:color w:val="auto"/>
                <w:sz w:val="20"/>
                <w:szCs w:val="20"/>
              </w:rPr>
              <w:t>9</w:t>
            </w:r>
            <w:r w:rsidR="0085140F">
              <w:rPr>
                <w:bCs/>
                <w:color w:val="auto"/>
                <w:sz w:val="20"/>
                <w:szCs w:val="20"/>
              </w:rPr>
              <w:t xml:space="preserve">. </w:t>
            </w:r>
            <w:r w:rsidR="0085140F" w:rsidRPr="00DA6A97">
              <w:rPr>
                <w:bCs/>
                <w:color w:val="auto"/>
                <w:sz w:val="20"/>
                <w:szCs w:val="20"/>
              </w:rPr>
              <w:t>Improve water market trading arrangements across the Basin.</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2A37A9" w14:textId="285AA083" w:rsidR="0085140F" w:rsidRPr="00DA6A97" w:rsidRDefault="001421B5">
            <w:pPr>
              <w:pStyle w:val="Tableformat"/>
              <w:rPr>
                <w:bCs/>
                <w:color w:val="auto"/>
                <w:sz w:val="20"/>
                <w:szCs w:val="20"/>
              </w:rPr>
            </w:pPr>
            <w:r>
              <w:rPr>
                <w:bCs/>
                <w:color w:val="auto"/>
                <w:sz w:val="20"/>
                <w:szCs w:val="20"/>
              </w:rPr>
              <w:t>9</w:t>
            </w:r>
            <w:r w:rsidR="0085140F" w:rsidRPr="008773F1">
              <w:rPr>
                <w:bCs/>
                <w:color w:val="auto"/>
                <w:sz w:val="20"/>
                <w:szCs w:val="20"/>
              </w:rPr>
              <w:t>.a Contribute to the development of a road map for Murray-Darling Basin water market reform in response to the ACCC repor</w:t>
            </w:r>
            <w:r w:rsidR="0085140F">
              <w:rPr>
                <w:bCs/>
                <w:color w:val="auto"/>
                <w:sz w:val="20"/>
                <w:szCs w:val="20"/>
              </w:rPr>
              <w:t>t</w:t>
            </w:r>
            <w:r w:rsidR="0085140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A62AC9" w14:textId="13BB8A08"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C41312" w14:textId="37CC76DD"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16D5827F" w14:textId="77777777" w:rsidTr="00C26E8B">
        <w:tc>
          <w:tcPr>
            <w:tcW w:w="1572" w:type="dxa"/>
            <w:vMerge/>
            <w:tcBorders>
              <w:left w:val="single" w:sz="8" w:space="0" w:color="4F81BD"/>
              <w:bottom w:val="single" w:sz="8" w:space="0" w:color="4F81BD"/>
              <w:right w:val="single" w:sz="8" w:space="0" w:color="4F81BD"/>
            </w:tcBorders>
            <w:shd w:val="clear" w:color="auto" w:fill="F2F2F2" w:themeFill="background1" w:themeFillShade="F2"/>
          </w:tcPr>
          <w:p w14:paraId="572F2C07" w14:textId="77777777"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B8E1EF" w14:textId="1B12F19A" w:rsidR="0085140F" w:rsidRPr="00DA6A97" w:rsidRDefault="001421B5">
            <w:pPr>
              <w:pStyle w:val="Tableformat"/>
              <w:rPr>
                <w:bCs/>
                <w:color w:val="auto"/>
                <w:sz w:val="20"/>
                <w:szCs w:val="20"/>
              </w:rPr>
            </w:pPr>
            <w:r>
              <w:rPr>
                <w:bCs/>
                <w:color w:val="auto"/>
                <w:sz w:val="20"/>
                <w:szCs w:val="20"/>
              </w:rPr>
              <w:t>10</w:t>
            </w:r>
            <w:r w:rsidR="0085140F">
              <w:rPr>
                <w:bCs/>
                <w:color w:val="auto"/>
                <w:sz w:val="20"/>
                <w:szCs w:val="20"/>
              </w:rPr>
              <w:t xml:space="preserve">. </w:t>
            </w:r>
            <w:r w:rsidR="0085140F" w:rsidRPr="00DA6A97">
              <w:rPr>
                <w:bCs/>
                <w:color w:val="auto"/>
                <w:sz w:val="20"/>
                <w:szCs w:val="20"/>
              </w:rPr>
              <w:t>Establish two-way entitlement and allocation trade between the ACT and NSW, to ensure protection of future environmental water downstream from the ACT.</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C05C0D" w14:textId="530DE96F" w:rsidR="0085140F" w:rsidRPr="00DA6A97" w:rsidRDefault="001421B5">
            <w:pPr>
              <w:pStyle w:val="Tableformat"/>
              <w:rPr>
                <w:bCs/>
                <w:color w:val="auto"/>
                <w:sz w:val="20"/>
                <w:szCs w:val="20"/>
              </w:rPr>
            </w:pPr>
            <w:r>
              <w:rPr>
                <w:bCs/>
                <w:color w:val="auto"/>
                <w:sz w:val="20"/>
                <w:szCs w:val="20"/>
              </w:rPr>
              <w:t>10</w:t>
            </w:r>
            <w:r w:rsidR="0085140F">
              <w:rPr>
                <w:bCs/>
                <w:color w:val="auto"/>
                <w:sz w:val="20"/>
                <w:szCs w:val="20"/>
              </w:rPr>
              <w:t xml:space="preserve">.a </w:t>
            </w:r>
            <w:r w:rsidR="0085140F" w:rsidRPr="00DA6A97">
              <w:rPr>
                <w:bCs/>
                <w:color w:val="auto"/>
                <w:sz w:val="20"/>
                <w:szCs w:val="20"/>
              </w:rPr>
              <w:t>Implement the agreed work plan to establish a transfer and trade mechanism with the ACT, noting that establishment of this mechanism is to be in accordance with the principles agreed on 01/09/2021.</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982A79" w14:textId="1CAB23BC"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A2564C" w14:textId="57C1177F"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46E31F6C" w14:textId="77777777" w:rsidTr="00C26E8B">
        <w:tc>
          <w:tcPr>
            <w:tcW w:w="1572" w:type="dxa"/>
            <w:vMerge w:val="restart"/>
            <w:tcBorders>
              <w:top w:val="single" w:sz="8" w:space="0" w:color="4F81BD"/>
              <w:left w:val="single" w:sz="8" w:space="0" w:color="4F81BD"/>
              <w:right w:val="single" w:sz="8" w:space="0" w:color="4F81BD"/>
            </w:tcBorders>
            <w:shd w:val="clear" w:color="auto" w:fill="F2F2F2" w:themeFill="background1" w:themeFillShade="F2"/>
          </w:tcPr>
          <w:p w14:paraId="4ECD49AF" w14:textId="77777777" w:rsidR="0085140F" w:rsidRPr="00DA6A97" w:rsidRDefault="0085140F" w:rsidP="0085140F">
            <w:pPr>
              <w:pStyle w:val="Tableformat"/>
              <w:rPr>
                <w:bCs/>
                <w:color w:val="auto"/>
                <w:sz w:val="20"/>
                <w:szCs w:val="20"/>
              </w:rPr>
            </w:pPr>
            <w:r w:rsidRPr="00DA6A97">
              <w:rPr>
                <w:bCs/>
                <w:color w:val="auto"/>
                <w:sz w:val="20"/>
                <w:szCs w:val="20"/>
              </w:rPr>
              <w:t>Improved compliance and reporting</w:t>
            </w: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90B09E" w14:textId="50CE3CF4" w:rsidR="0085140F" w:rsidRPr="00DA6A97" w:rsidRDefault="001421B5">
            <w:pPr>
              <w:pStyle w:val="Tableformat"/>
              <w:rPr>
                <w:bCs/>
                <w:color w:val="auto"/>
                <w:sz w:val="20"/>
                <w:szCs w:val="20"/>
              </w:rPr>
            </w:pPr>
            <w:r>
              <w:rPr>
                <w:bCs/>
                <w:color w:val="auto"/>
                <w:sz w:val="20"/>
                <w:szCs w:val="20"/>
              </w:rPr>
              <w:t>11</w:t>
            </w:r>
            <w:r w:rsidR="0085140F">
              <w:rPr>
                <w:bCs/>
                <w:color w:val="auto"/>
                <w:sz w:val="20"/>
                <w:szCs w:val="20"/>
              </w:rPr>
              <w:t xml:space="preserve">. </w:t>
            </w:r>
            <w:r w:rsidR="0085140F" w:rsidRPr="00DA6A97">
              <w:rPr>
                <w:bCs/>
                <w:color w:val="auto"/>
                <w:sz w:val="20"/>
                <w:szCs w:val="20"/>
              </w:rPr>
              <w:t xml:space="preserve">Implement revised Metrological Assurance Framework (MAF2) </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D46269" w14:textId="4C8BC163" w:rsidR="0085140F" w:rsidRPr="00DA6A97" w:rsidRDefault="001421B5">
            <w:pPr>
              <w:pStyle w:val="Tableformat"/>
              <w:rPr>
                <w:bCs/>
                <w:color w:val="auto"/>
                <w:sz w:val="20"/>
                <w:szCs w:val="20"/>
              </w:rPr>
            </w:pPr>
            <w:r>
              <w:rPr>
                <w:bCs/>
                <w:color w:val="auto"/>
                <w:sz w:val="20"/>
                <w:szCs w:val="20"/>
              </w:rPr>
              <w:t>11</w:t>
            </w:r>
            <w:r w:rsidR="0085140F" w:rsidRPr="008773F1">
              <w:rPr>
                <w:bCs/>
                <w:color w:val="auto"/>
                <w:sz w:val="20"/>
                <w:szCs w:val="20"/>
              </w:rPr>
              <w:t>.a Develop an implementation plan that integrates MAF2 requirements into the state’s metering compliance plan/policy</w:t>
            </w:r>
            <w:r w:rsidR="0085140F"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D014C9" w14:textId="6C869A11"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BA372B" w14:textId="2886C9F5"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656271C6" w14:textId="77777777" w:rsidTr="00C26E8B">
        <w:tc>
          <w:tcPr>
            <w:tcW w:w="1572" w:type="dxa"/>
            <w:vMerge/>
            <w:tcBorders>
              <w:left w:val="single" w:sz="8" w:space="0" w:color="4F81BD"/>
              <w:right w:val="single" w:sz="8" w:space="0" w:color="4F81BD"/>
            </w:tcBorders>
            <w:shd w:val="clear" w:color="auto" w:fill="F2F2F2" w:themeFill="background1" w:themeFillShade="F2"/>
          </w:tcPr>
          <w:p w14:paraId="371FF523" w14:textId="77777777" w:rsidR="0085140F" w:rsidRPr="00DA6A97" w:rsidRDefault="0085140F" w:rsidP="0085140F">
            <w:pPr>
              <w:pStyle w:val="Tableformat"/>
              <w:rPr>
                <w:bCs/>
                <w:color w:val="auto"/>
                <w:sz w:val="20"/>
                <w:szCs w:val="20"/>
              </w:rPr>
            </w:pPr>
          </w:p>
        </w:tc>
        <w:tc>
          <w:tcPr>
            <w:tcW w:w="2568" w:type="dxa"/>
            <w:vMerge w:val="restart"/>
            <w:tcBorders>
              <w:top w:val="single" w:sz="8" w:space="0" w:color="4F81BD"/>
              <w:left w:val="single" w:sz="8" w:space="0" w:color="4F81BD"/>
              <w:right w:val="single" w:sz="8" w:space="0" w:color="4F81BD"/>
            </w:tcBorders>
            <w:shd w:val="clear" w:color="auto" w:fill="F2F2F2" w:themeFill="background1" w:themeFillShade="F2"/>
          </w:tcPr>
          <w:p w14:paraId="600C1176" w14:textId="221DB8C6" w:rsidR="0085140F" w:rsidRPr="00DA6A97" w:rsidRDefault="001421B5">
            <w:pPr>
              <w:pStyle w:val="Tableformat"/>
              <w:rPr>
                <w:bCs/>
                <w:color w:val="auto"/>
                <w:sz w:val="20"/>
                <w:szCs w:val="20"/>
              </w:rPr>
            </w:pPr>
            <w:r>
              <w:rPr>
                <w:bCs/>
                <w:color w:val="auto"/>
                <w:sz w:val="20"/>
                <w:szCs w:val="20"/>
              </w:rPr>
              <w:t>12</w:t>
            </w:r>
            <w:r w:rsidR="0085140F">
              <w:rPr>
                <w:bCs/>
                <w:color w:val="auto"/>
                <w:sz w:val="20"/>
                <w:szCs w:val="20"/>
              </w:rPr>
              <w:t xml:space="preserve">. </w:t>
            </w:r>
            <w:r w:rsidR="0085140F" w:rsidRPr="004D3DF8">
              <w:rPr>
                <w:bCs/>
                <w:color w:val="auto"/>
                <w:sz w:val="20"/>
                <w:szCs w:val="20"/>
              </w:rPr>
              <w:t>Work with the Inspector General of Water Compliance (IGWC) to provide clear compliance arrangements and reporting in the Murray</w:t>
            </w:r>
            <w:r w:rsidR="0085140F">
              <w:rPr>
                <w:bCs/>
                <w:color w:val="auto"/>
                <w:sz w:val="20"/>
                <w:szCs w:val="20"/>
              </w:rPr>
              <w:t>–</w:t>
            </w:r>
            <w:r w:rsidR="0085140F" w:rsidRPr="004D3DF8">
              <w:rPr>
                <w:bCs/>
                <w:color w:val="auto"/>
                <w:sz w:val="20"/>
                <w:szCs w:val="20"/>
              </w:rPr>
              <w:t>Darling Basin.</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06BC3A" w14:textId="47A86CDB" w:rsidR="0085140F" w:rsidRPr="00DA6A97" w:rsidRDefault="001421B5">
            <w:pPr>
              <w:pStyle w:val="Tableformat"/>
              <w:rPr>
                <w:bCs/>
                <w:color w:val="auto"/>
                <w:sz w:val="20"/>
                <w:szCs w:val="20"/>
              </w:rPr>
            </w:pPr>
            <w:r>
              <w:rPr>
                <w:bCs/>
                <w:color w:val="auto"/>
                <w:sz w:val="20"/>
                <w:szCs w:val="20"/>
              </w:rPr>
              <w:t>12</w:t>
            </w:r>
            <w:r w:rsidR="0085140F" w:rsidRPr="008773F1">
              <w:rPr>
                <w:bCs/>
                <w:color w:val="auto"/>
                <w:sz w:val="20"/>
                <w:szCs w:val="20"/>
              </w:rPr>
              <w:t>.a Contribute to the establishment of MoUs and/or protocols with the IGWC where relevant to the jurisdiction</w:t>
            </w:r>
            <w:r w:rsidR="0085140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6FC72C" w14:textId="02D175EA"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38D579" w14:textId="2364E946"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2AE84653" w14:textId="77777777" w:rsidTr="00C26E8B">
        <w:tc>
          <w:tcPr>
            <w:tcW w:w="1572" w:type="dxa"/>
            <w:vMerge/>
            <w:tcBorders>
              <w:left w:val="single" w:sz="8" w:space="0" w:color="4F81BD"/>
              <w:right w:val="single" w:sz="8" w:space="0" w:color="4F81BD"/>
            </w:tcBorders>
            <w:shd w:val="clear" w:color="auto" w:fill="F2F2F2" w:themeFill="background1" w:themeFillShade="F2"/>
          </w:tcPr>
          <w:p w14:paraId="0CB3ABA6" w14:textId="77777777" w:rsidR="0085140F" w:rsidRPr="00DA6A97" w:rsidRDefault="0085140F" w:rsidP="0085140F">
            <w:pPr>
              <w:pStyle w:val="Tableformat"/>
              <w:rPr>
                <w:bCs/>
                <w:color w:val="auto"/>
                <w:sz w:val="20"/>
                <w:szCs w:val="20"/>
              </w:rPr>
            </w:pPr>
          </w:p>
        </w:tc>
        <w:tc>
          <w:tcPr>
            <w:tcW w:w="2568" w:type="dxa"/>
            <w:vMerge/>
            <w:tcBorders>
              <w:left w:val="single" w:sz="8" w:space="0" w:color="4F81BD"/>
              <w:right w:val="single" w:sz="8" w:space="0" w:color="4F81BD"/>
            </w:tcBorders>
            <w:shd w:val="clear" w:color="auto" w:fill="F2F2F2" w:themeFill="background1" w:themeFillShade="F2"/>
          </w:tcPr>
          <w:p w14:paraId="63CCB64D"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7A8E40" w14:textId="06DEE13B" w:rsidR="0085140F" w:rsidRPr="00DA6A97" w:rsidRDefault="001421B5">
            <w:pPr>
              <w:pStyle w:val="Tableformat"/>
              <w:rPr>
                <w:bCs/>
                <w:color w:val="auto"/>
                <w:sz w:val="20"/>
                <w:szCs w:val="20"/>
              </w:rPr>
            </w:pPr>
            <w:r>
              <w:rPr>
                <w:bCs/>
                <w:color w:val="auto"/>
                <w:sz w:val="20"/>
                <w:szCs w:val="20"/>
              </w:rPr>
              <w:t>12</w:t>
            </w:r>
            <w:r w:rsidR="0085140F" w:rsidRPr="008773F1">
              <w:rPr>
                <w:bCs/>
                <w:color w:val="auto"/>
                <w:sz w:val="20"/>
                <w:szCs w:val="20"/>
              </w:rPr>
              <w:t>.b Provide input to the IGWC on the development of standards and guidelines</w:t>
            </w:r>
            <w:r w:rsidR="0085140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B004C4" w14:textId="38A54FAD"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B3B30A" w14:textId="2F7345D0"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72AE99F6" w14:textId="77777777" w:rsidTr="006F3A9B">
        <w:tc>
          <w:tcPr>
            <w:tcW w:w="1572" w:type="dxa"/>
            <w:vMerge/>
            <w:tcBorders>
              <w:left w:val="single" w:sz="8" w:space="0" w:color="4F81BD"/>
              <w:right w:val="single" w:sz="8" w:space="0" w:color="4F81BD"/>
            </w:tcBorders>
            <w:shd w:val="clear" w:color="auto" w:fill="F2F2F2" w:themeFill="background1" w:themeFillShade="F2"/>
          </w:tcPr>
          <w:p w14:paraId="76F0A7D9" w14:textId="77777777" w:rsidR="0085140F" w:rsidRPr="00DA6A97" w:rsidRDefault="0085140F" w:rsidP="0085140F">
            <w:pPr>
              <w:pStyle w:val="Tableformat"/>
              <w:rPr>
                <w:bCs/>
                <w:color w:val="auto"/>
                <w:sz w:val="20"/>
                <w:szCs w:val="20"/>
              </w:rPr>
            </w:pPr>
          </w:p>
        </w:tc>
        <w:tc>
          <w:tcPr>
            <w:tcW w:w="2568" w:type="dxa"/>
            <w:vMerge/>
            <w:tcBorders>
              <w:left w:val="single" w:sz="8" w:space="0" w:color="4F81BD"/>
              <w:right w:val="single" w:sz="8" w:space="0" w:color="4F81BD"/>
            </w:tcBorders>
            <w:shd w:val="clear" w:color="auto" w:fill="F2F2F2" w:themeFill="background1" w:themeFillShade="F2"/>
          </w:tcPr>
          <w:p w14:paraId="09643163"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C758B0" w14:textId="579272E0" w:rsidR="0085140F" w:rsidRPr="00DA6A97" w:rsidRDefault="001421B5">
            <w:pPr>
              <w:pStyle w:val="Tableformat"/>
              <w:rPr>
                <w:bCs/>
                <w:color w:val="auto"/>
                <w:sz w:val="20"/>
                <w:szCs w:val="20"/>
              </w:rPr>
            </w:pPr>
            <w:r>
              <w:rPr>
                <w:bCs/>
                <w:color w:val="auto"/>
                <w:sz w:val="20"/>
                <w:szCs w:val="20"/>
              </w:rPr>
              <w:t>12</w:t>
            </w:r>
            <w:r w:rsidR="0085140F" w:rsidRPr="008773F1">
              <w:rPr>
                <w:bCs/>
                <w:color w:val="auto"/>
                <w:sz w:val="20"/>
                <w:szCs w:val="20"/>
              </w:rPr>
              <w:t>.c Report to the IGWC against MAF2 Chapter 15 at least annually or in accordance with IGWC guidelines</w:t>
            </w:r>
            <w:r w:rsidR="0085140F"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A23AD7" w14:textId="509F94A8" w:rsidR="0085140F"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B84150" w14:textId="284DE58D" w:rsidR="0085140F"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0DFE3014" w14:textId="77777777" w:rsidTr="00C26E8B">
        <w:tc>
          <w:tcPr>
            <w:tcW w:w="1572" w:type="dxa"/>
            <w:vMerge/>
            <w:tcBorders>
              <w:left w:val="single" w:sz="8" w:space="0" w:color="4F81BD"/>
              <w:right w:val="single" w:sz="8" w:space="0" w:color="4F81BD"/>
            </w:tcBorders>
            <w:shd w:val="clear" w:color="auto" w:fill="F2F2F2" w:themeFill="background1" w:themeFillShade="F2"/>
          </w:tcPr>
          <w:p w14:paraId="4237599F" w14:textId="77777777" w:rsidR="0085140F" w:rsidRPr="00DA6A97" w:rsidRDefault="0085140F" w:rsidP="0085140F">
            <w:pPr>
              <w:pStyle w:val="Tableformat"/>
              <w:rPr>
                <w:bCs/>
                <w:color w:val="auto"/>
                <w:sz w:val="20"/>
                <w:szCs w:val="20"/>
              </w:rPr>
            </w:pPr>
          </w:p>
        </w:tc>
        <w:tc>
          <w:tcPr>
            <w:tcW w:w="2568" w:type="dxa"/>
            <w:vMerge/>
            <w:tcBorders>
              <w:left w:val="single" w:sz="8" w:space="0" w:color="4F81BD"/>
              <w:bottom w:val="single" w:sz="8" w:space="0" w:color="4F81BD"/>
              <w:right w:val="single" w:sz="8" w:space="0" w:color="4F81BD"/>
            </w:tcBorders>
            <w:shd w:val="clear" w:color="auto" w:fill="F2F2F2" w:themeFill="background1" w:themeFillShade="F2"/>
          </w:tcPr>
          <w:p w14:paraId="60760BAA" w14:textId="77777777" w:rsidR="0085140F" w:rsidRPr="00DA6A97" w:rsidRDefault="0085140F" w:rsidP="0085140F">
            <w:pPr>
              <w:pStyle w:val="Tableformat"/>
              <w:rPr>
                <w:bCs/>
                <w:color w:val="auto"/>
                <w:sz w:val="20"/>
                <w:szCs w:val="20"/>
              </w:rPr>
            </w:pP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AA6FF8" w14:textId="0059BC3A" w:rsidR="0085140F" w:rsidRPr="008773F1" w:rsidRDefault="001421B5">
            <w:pPr>
              <w:pStyle w:val="Tableformat"/>
              <w:rPr>
                <w:bCs/>
                <w:color w:val="auto"/>
                <w:sz w:val="20"/>
                <w:szCs w:val="20"/>
              </w:rPr>
            </w:pPr>
            <w:r>
              <w:rPr>
                <w:bCs/>
                <w:color w:val="auto"/>
                <w:sz w:val="20"/>
                <w:szCs w:val="20"/>
              </w:rPr>
              <w:t>12</w:t>
            </w:r>
            <w:r w:rsidR="0085140F" w:rsidRPr="008773F1">
              <w:rPr>
                <w:bCs/>
                <w:color w:val="auto"/>
                <w:sz w:val="20"/>
                <w:szCs w:val="20"/>
              </w:rPr>
              <w:t>.d 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96568F" w14:textId="2D0D7570" w:rsidR="0085140F"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838124" w14:textId="0D96A9E1" w:rsidR="0085140F"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6A79CE27" w14:textId="77777777" w:rsidTr="00C26E8B">
        <w:tc>
          <w:tcPr>
            <w:tcW w:w="1572" w:type="dxa"/>
            <w:vMerge/>
            <w:tcBorders>
              <w:left w:val="single" w:sz="8" w:space="0" w:color="4F81BD"/>
              <w:right w:val="single" w:sz="8" w:space="0" w:color="4F81BD"/>
            </w:tcBorders>
            <w:shd w:val="clear" w:color="auto" w:fill="F2F2F2" w:themeFill="background1" w:themeFillShade="F2"/>
          </w:tcPr>
          <w:p w14:paraId="2BDEA0C4" w14:textId="77777777"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right w:val="single" w:sz="8" w:space="0" w:color="4F81BD"/>
            </w:tcBorders>
            <w:shd w:val="clear" w:color="auto" w:fill="F2F2F2" w:themeFill="background1" w:themeFillShade="F2"/>
          </w:tcPr>
          <w:p w14:paraId="16CA450A" w14:textId="5F75C4E5" w:rsidR="0085140F" w:rsidRPr="00DA6A97" w:rsidRDefault="001421B5">
            <w:pPr>
              <w:pStyle w:val="Tableformat"/>
              <w:rPr>
                <w:bCs/>
                <w:color w:val="auto"/>
                <w:sz w:val="20"/>
                <w:szCs w:val="20"/>
              </w:rPr>
            </w:pPr>
            <w:r>
              <w:rPr>
                <w:bCs/>
                <w:color w:val="auto"/>
                <w:sz w:val="20"/>
                <w:szCs w:val="20"/>
              </w:rPr>
              <w:t>13</w:t>
            </w:r>
            <w:r w:rsidR="0085140F">
              <w:rPr>
                <w:bCs/>
                <w:color w:val="auto"/>
                <w:sz w:val="20"/>
                <w:szCs w:val="20"/>
              </w:rPr>
              <w:t xml:space="preserve">. </w:t>
            </w:r>
            <w:r w:rsidR="0085140F" w:rsidRPr="00DA6A97">
              <w:rPr>
                <w:bCs/>
                <w:color w:val="auto"/>
                <w:sz w:val="20"/>
                <w:szCs w:val="20"/>
              </w:rPr>
              <w:t xml:space="preserve">Response to the Compliance Compact Review </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8C74F32" w14:textId="1C366DA9" w:rsidR="0085140F" w:rsidRPr="00DA6A97" w:rsidRDefault="001421B5">
            <w:pPr>
              <w:pStyle w:val="Tableformat"/>
              <w:rPr>
                <w:bCs/>
                <w:color w:val="auto"/>
                <w:sz w:val="20"/>
                <w:szCs w:val="20"/>
              </w:rPr>
            </w:pPr>
            <w:r>
              <w:rPr>
                <w:bCs/>
                <w:color w:val="auto"/>
                <w:sz w:val="20"/>
                <w:szCs w:val="20"/>
              </w:rPr>
              <w:t>13</w:t>
            </w:r>
            <w:r w:rsidR="0085140F" w:rsidRPr="0085140F">
              <w:rPr>
                <w:bCs/>
                <w:color w:val="auto"/>
                <w:sz w:val="20"/>
                <w:szCs w:val="20"/>
              </w:rPr>
              <w:t>.a Develop a set of metrics to be used to communicate and report on water compliance performance and effort across the Basin</w:t>
            </w:r>
            <w:r w:rsidR="0085140F" w:rsidRPr="007F24D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3624B4" w14:textId="38EE6622"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2AEAAD" w14:textId="6F19A14B" w:rsidR="0085140F" w:rsidRPr="00DA6A97"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27EF4DC3" w14:textId="77777777" w:rsidTr="00C26E8B">
        <w:tc>
          <w:tcPr>
            <w:tcW w:w="1572" w:type="dxa"/>
            <w:vMerge/>
            <w:tcBorders>
              <w:left w:val="single" w:sz="8" w:space="0" w:color="4F81BD"/>
              <w:bottom w:val="single" w:sz="8" w:space="0" w:color="4F81BD"/>
              <w:right w:val="single" w:sz="8" w:space="0" w:color="4F81BD"/>
            </w:tcBorders>
            <w:shd w:val="clear" w:color="auto" w:fill="F2F2F2" w:themeFill="background1" w:themeFillShade="F2"/>
          </w:tcPr>
          <w:p w14:paraId="34788FCA" w14:textId="5AAAC05B" w:rsidR="0085140F" w:rsidRPr="00DA6A97" w:rsidRDefault="0085140F" w:rsidP="0085140F">
            <w:pPr>
              <w:pStyle w:val="Tableformat"/>
              <w:rPr>
                <w:bCs/>
                <w:color w:val="auto"/>
                <w:sz w:val="20"/>
                <w:szCs w:val="20"/>
              </w:rPr>
            </w:pP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30F7B3" w14:textId="4D9591F6" w:rsidR="0085140F" w:rsidRPr="00DA6A97" w:rsidRDefault="001421B5">
            <w:pPr>
              <w:pStyle w:val="Tableformat"/>
              <w:rPr>
                <w:bCs/>
                <w:color w:val="auto"/>
                <w:sz w:val="20"/>
                <w:szCs w:val="20"/>
              </w:rPr>
            </w:pPr>
            <w:r>
              <w:rPr>
                <w:bCs/>
                <w:color w:val="auto"/>
                <w:sz w:val="20"/>
                <w:szCs w:val="20"/>
              </w:rPr>
              <w:t>14</w:t>
            </w:r>
            <w:r w:rsidR="0085140F">
              <w:rPr>
                <w:bCs/>
                <w:color w:val="auto"/>
                <w:sz w:val="20"/>
                <w:szCs w:val="20"/>
              </w:rPr>
              <w:t>. Compliance Compact oversight</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9B5429" w14:textId="6328F2A8" w:rsidR="0085140F" w:rsidRPr="00DA6A97" w:rsidRDefault="004C76F5">
            <w:pPr>
              <w:pStyle w:val="Tableformat"/>
              <w:rPr>
                <w:bCs/>
                <w:color w:val="auto"/>
                <w:sz w:val="20"/>
                <w:szCs w:val="20"/>
              </w:rPr>
            </w:pPr>
            <w:r>
              <w:rPr>
                <w:bCs/>
                <w:color w:val="auto"/>
                <w:sz w:val="20"/>
                <w:szCs w:val="20"/>
              </w:rPr>
              <w:t>14</w:t>
            </w:r>
            <w:r w:rsidR="0085140F" w:rsidRPr="0085140F">
              <w:rPr>
                <w:bCs/>
                <w:color w:val="auto"/>
                <w:sz w:val="20"/>
                <w:szCs w:val="20"/>
              </w:rPr>
              <w:t>.a Provide information to the IGWC as requested and in accordance with agreed MOU/guidelines to enable oversight of Compliance Compact commitments.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F88354" w14:textId="19585FF5" w:rsidR="0085140F"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D336F0" w14:textId="34F201F4" w:rsidR="0085140F" w:rsidRDefault="0085140F" w:rsidP="0085140F">
            <w:pPr>
              <w:pStyle w:val="Tableformat"/>
              <w:rPr>
                <w:bCs/>
                <w:color w:val="auto"/>
                <w:sz w:val="20"/>
                <w:szCs w:val="20"/>
              </w:rPr>
            </w:pPr>
            <w:r>
              <w:rPr>
                <w:bCs/>
                <w:color w:val="auto"/>
                <w:sz w:val="20"/>
                <w:szCs w:val="20"/>
              </w:rPr>
              <w:t>$</w:t>
            </w:r>
            <w:r w:rsidR="001111EA">
              <w:rPr>
                <w:bCs/>
                <w:color w:val="auto"/>
                <w:sz w:val="20"/>
                <w:szCs w:val="20"/>
              </w:rPr>
              <w:t>300,720</w:t>
            </w:r>
          </w:p>
        </w:tc>
      </w:tr>
      <w:tr w:rsidR="0085140F" w:rsidRPr="0091710A" w14:paraId="2B0DA97F" w14:textId="77777777" w:rsidTr="00C26E8B">
        <w:tc>
          <w:tcPr>
            <w:tcW w:w="157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A0936F" w14:textId="77777777" w:rsidR="0085140F" w:rsidRPr="00DA6A97" w:rsidRDefault="0085140F" w:rsidP="0085140F">
            <w:pPr>
              <w:pStyle w:val="Tableformat"/>
              <w:rPr>
                <w:bCs/>
                <w:color w:val="auto"/>
                <w:sz w:val="20"/>
                <w:szCs w:val="20"/>
              </w:rPr>
            </w:pPr>
            <w:r w:rsidRPr="00DA6A97">
              <w:rPr>
                <w:bCs/>
                <w:color w:val="auto"/>
                <w:sz w:val="20"/>
                <w:szCs w:val="20"/>
              </w:rPr>
              <w:t>Enhanced and coordinated consultation and engagement with all Basin communities</w:t>
            </w:r>
          </w:p>
        </w:tc>
        <w:tc>
          <w:tcPr>
            <w:tcW w:w="25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44D9B9" w14:textId="4EB69E09" w:rsidR="0085140F" w:rsidRPr="00DA6A97" w:rsidRDefault="004C76F5">
            <w:pPr>
              <w:pStyle w:val="Tableformat"/>
              <w:rPr>
                <w:bCs/>
                <w:color w:val="auto"/>
                <w:sz w:val="20"/>
                <w:szCs w:val="20"/>
              </w:rPr>
            </w:pPr>
            <w:r>
              <w:rPr>
                <w:bCs/>
                <w:color w:val="auto"/>
                <w:sz w:val="20"/>
                <w:szCs w:val="20"/>
              </w:rPr>
              <w:t>15</w:t>
            </w:r>
            <w:r w:rsidR="0085140F">
              <w:rPr>
                <w:bCs/>
                <w:color w:val="auto"/>
                <w:sz w:val="20"/>
                <w:szCs w:val="20"/>
              </w:rPr>
              <w:t xml:space="preserve">. </w:t>
            </w:r>
            <w:r w:rsidR="0085140F" w:rsidRPr="00DA6A97">
              <w:rPr>
                <w:bCs/>
                <w:color w:val="auto"/>
                <w:sz w:val="20"/>
                <w:szCs w:val="20"/>
              </w:rPr>
              <w:t>Improve consultation and strategic engagement in collaboration with the Commonwealth and other Basin governments.</w:t>
            </w:r>
          </w:p>
        </w:tc>
        <w:tc>
          <w:tcPr>
            <w:tcW w:w="365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616439" w14:textId="0C637DE4" w:rsidR="0085140F" w:rsidRPr="00DA6A97" w:rsidRDefault="004C76F5">
            <w:pPr>
              <w:pStyle w:val="Tableformat"/>
              <w:rPr>
                <w:bCs/>
                <w:color w:val="auto"/>
                <w:sz w:val="20"/>
                <w:szCs w:val="20"/>
              </w:rPr>
            </w:pPr>
            <w:r>
              <w:rPr>
                <w:bCs/>
                <w:color w:val="auto"/>
                <w:sz w:val="20"/>
                <w:szCs w:val="20"/>
              </w:rPr>
              <w:t>15</w:t>
            </w:r>
            <w:r w:rsidR="0085140F">
              <w:rPr>
                <w:bCs/>
                <w:color w:val="auto"/>
                <w:sz w:val="20"/>
                <w:szCs w:val="20"/>
              </w:rPr>
              <w:t xml:space="preserve">.a </w:t>
            </w:r>
            <w:r w:rsidR="0085140F" w:rsidRPr="00DA6A97">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4ECCA1" w14:textId="68E18AE5" w:rsidR="0085140F" w:rsidRPr="00DA6A97" w:rsidRDefault="0085140F" w:rsidP="0085140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0D01DF" w14:textId="17DCD0E8" w:rsidR="0085140F" w:rsidRPr="00DA6A97" w:rsidRDefault="0085140F" w:rsidP="0085140F">
            <w:pPr>
              <w:pStyle w:val="Tableformat"/>
              <w:rPr>
                <w:bCs/>
                <w:color w:val="auto"/>
                <w:sz w:val="20"/>
                <w:szCs w:val="20"/>
              </w:rPr>
            </w:pPr>
            <w:r>
              <w:rPr>
                <w:bCs/>
                <w:color w:val="auto"/>
                <w:sz w:val="20"/>
                <w:szCs w:val="20"/>
              </w:rPr>
              <w:t>$286,400</w:t>
            </w:r>
          </w:p>
        </w:tc>
      </w:tr>
      <w:tr w:rsidR="0085140F" w:rsidRPr="00DD56FE" w14:paraId="2FF0F2C7" w14:textId="77777777" w:rsidTr="001D7426">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24610F9A" w14:textId="0F6E3336" w:rsidR="0085140F" w:rsidRPr="00DD56FE" w:rsidRDefault="0085140F" w:rsidP="0085140F">
            <w:pPr>
              <w:pStyle w:val="Tableformat"/>
              <w:jc w:val="right"/>
              <w:rPr>
                <w:bCs/>
                <w:i/>
                <w:iCs w:val="0"/>
                <w:color w:val="auto"/>
                <w:sz w:val="20"/>
                <w:szCs w:val="20"/>
              </w:rPr>
            </w:pPr>
            <w:r w:rsidRPr="00DD56FE">
              <w:rPr>
                <w:bCs/>
                <w:i/>
                <w:iCs w:val="0"/>
                <w:color w:val="auto"/>
                <w:sz w:val="20"/>
                <w:szCs w:val="20"/>
              </w:rPr>
              <w:t>Total payment for New South Wales</w:t>
            </w:r>
            <w:r>
              <w:rPr>
                <w:bCs/>
                <w:i/>
                <w:iCs w:val="0"/>
                <w:color w:val="auto"/>
                <w:sz w:val="20"/>
                <w:szCs w:val="20"/>
              </w:rPr>
              <w:t xml:space="preserve"> for Year 1</w:t>
            </w:r>
            <w:r w:rsidRPr="00DD56FE">
              <w:rPr>
                <w:bCs/>
                <w:i/>
                <w:iCs w:val="0"/>
                <w:color w:val="auto"/>
                <w:sz w:val="20"/>
                <w:szCs w:val="20"/>
              </w:rPr>
              <w:t xml:space="preserve"> if all KPIs are met</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vAlign w:val="center"/>
          </w:tcPr>
          <w:p w14:paraId="3AA03A7F" w14:textId="6EFE88B6" w:rsidR="0085140F" w:rsidRPr="00F90314" w:rsidRDefault="0085140F" w:rsidP="0085140F">
            <w:pPr>
              <w:widowControl/>
              <w:rPr>
                <w:rFonts w:ascii="Corbel" w:hAnsi="Corbel" w:cs="Calibri"/>
                <w:color w:val="000000"/>
                <w:sz w:val="20"/>
                <w:szCs w:val="20"/>
                <w:lang w:val="en-AU"/>
              </w:rPr>
            </w:pPr>
            <w:r w:rsidRPr="00F90314">
              <w:rPr>
                <w:rFonts w:ascii="Corbel" w:hAnsi="Corbel" w:cs="Calibri"/>
                <w:color w:val="000000"/>
                <w:sz w:val="20"/>
                <w:szCs w:val="20"/>
              </w:rPr>
              <w:t>$</w:t>
            </w:r>
            <w:r w:rsidRPr="00256D20">
              <w:rPr>
                <w:rFonts w:ascii="Corbel" w:hAnsi="Corbel" w:cs="Calibri"/>
                <w:color w:val="000000"/>
                <w:sz w:val="20"/>
                <w:szCs w:val="20"/>
              </w:rPr>
              <w:t>8,</w:t>
            </w:r>
            <w:r>
              <w:rPr>
                <w:rFonts w:ascii="Corbel" w:hAnsi="Corbel" w:cs="Calibri"/>
                <w:color w:val="000000"/>
                <w:sz w:val="20"/>
                <w:szCs w:val="20"/>
              </w:rPr>
              <w:t>592</w:t>
            </w:r>
            <w:r w:rsidRPr="00256D20">
              <w:rPr>
                <w:rFonts w:ascii="Corbel" w:hAnsi="Corbel" w:cs="Calibri"/>
                <w:color w:val="000000"/>
                <w:sz w:val="20"/>
                <w:szCs w:val="20"/>
              </w:rPr>
              <w:t>,000</w:t>
            </w:r>
          </w:p>
        </w:tc>
      </w:tr>
    </w:tbl>
    <w:p w14:paraId="39399C2B" w14:textId="77777777" w:rsidR="00387874" w:rsidRDefault="00387874" w:rsidP="00931AA8">
      <w:pPr>
        <w:rPr>
          <w:lang w:val="en-GB"/>
        </w:rPr>
      </w:pPr>
    </w:p>
    <w:p w14:paraId="2B728AFC" w14:textId="77777777" w:rsidR="00B101FE" w:rsidRDefault="00B101FE" w:rsidP="00931AA8">
      <w:pPr>
        <w:rPr>
          <w:lang w:val="en-GB"/>
        </w:rPr>
      </w:pPr>
    </w:p>
    <w:p w14:paraId="7C6A379E" w14:textId="77777777" w:rsidR="0085140F" w:rsidRDefault="0085140F">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1"/>
        <w:gridCol w:w="2566"/>
        <w:gridCol w:w="3565"/>
        <w:gridCol w:w="1320"/>
        <w:gridCol w:w="1185"/>
      </w:tblGrid>
      <w:tr w:rsidR="00DA6A97" w:rsidRPr="00F00A18" w14:paraId="4C060904" w14:textId="77777777" w:rsidTr="00696408">
        <w:tc>
          <w:tcPr>
            <w:tcW w:w="10207" w:type="dxa"/>
            <w:gridSpan w:val="5"/>
            <w:shd w:val="clear" w:color="auto" w:fill="DEEAF6" w:themeFill="accent1" w:themeFillTint="33"/>
          </w:tcPr>
          <w:p w14:paraId="7CEA853A" w14:textId="5D5E0ECA" w:rsidR="00DA6A97" w:rsidRPr="00F00A18" w:rsidRDefault="00DA6A97" w:rsidP="006F3A9B">
            <w:pPr>
              <w:pStyle w:val="Tableformat"/>
              <w:tabs>
                <w:tab w:val="left" w:pos="6043"/>
              </w:tabs>
              <w:rPr>
                <w:b/>
                <w:color w:val="auto"/>
              </w:rPr>
            </w:pPr>
            <w:r>
              <w:rPr>
                <w:b/>
                <w:color w:val="auto"/>
              </w:rPr>
              <w:t>Table 2A</w:t>
            </w:r>
            <w:r w:rsidRPr="00F00A18">
              <w:rPr>
                <w:b/>
                <w:color w:val="auto"/>
              </w:rPr>
              <w:t xml:space="preserve">: </w:t>
            </w:r>
            <w:r>
              <w:rPr>
                <w:b/>
                <w:color w:val="auto"/>
              </w:rPr>
              <w:t>New South Wales</w:t>
            </w:r>
            <w:r w:rsidRPr="00F00A18">
              <w:rPr>
                <w:b/>
                <w:color w:val="auto"/>
              </w:rPr>
              <w:t xml:space="preserve"> – Performance requirements, reporting and payment summary</w:t>
            </w:r>
          </w:p>
        </w:tc>
      </w:tr>
      <w:tr w:rsidR="00DA6A97" w:rsidRPr="00F00A18" w14:paraId="4B381DDD" w14:textId="77777777" w:rsidTr="00696408">
        <w:tc>
          <w:tcPr>
            <w:tcW w:w="10207" w:type="dxa"/>
            <w:gridSpan w:val="5"/>
            <w:shd w:val="clear" w:color="auto" w:fill="DEEAF6" w:themeFill="accent1" w:themeFillTint="33"/>
          </w:tcPr>
          <w:p w14:paraId="1E94BD8A" w14:textId="10E71588" w:rsidR="00DA6A97" w:rsidRDefault="00DA6A97" w:rsidP="006F3A9B">
            <w:pPr>
              <w:pStyle w:val="Tableformat"/>
              <w:tabs>
                <w:tab w:val="left" w:pos="6043"/>
              </w:tabs>
              <w:rPr>
                <w:b/>
                <w:color w:val="auto"/>
              </w:rPr>
            </w:pPr>
            <w:r>
              <w:rPr>
                <w:b/>
                <w:color w:val="auto"/>
              </w:rPr>
              <w:t>Year 2: 2022-2023</w:t>
            </w:r>
          </w:p>
        </w:tc>
      </w:tr>
      <w:tr w:rsidR="00DA6A97" w:rsidRPr="00FD6EB4" w14:paraId="5E150303" w14:textId="77777777" w:rsidTr="00744D35">
        <w:tc>
          <w:tcPr>
            <w:tcW w:w="1571" w:type="dxa"/>
            <w:shd w:val="clear" w:color="auto" w:fill="F2F2F2" w:themeFill="background1" w:themeFillShade="F2"/>
          </w:tcPr>
          <w:p w14:paraId="42DE931B" w14:textId="77777777" w:rsidR="00DA6A97" w:rsidRPr="00FD6EB4" w:rsidRDefault="00DA6A97"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66" w:type="dxa"/>
            <w:shd w:val="clear" w:color="auto" w:fill="F2F2F2" w:themeFill="background1" w:themeFillShade="F2"/>
          </w:tcPr>
          <w:p w14:paraId="6FBE5B42" w14:textId="77777777" w:rsidR="00DA6A97" w:rsidRPr="00FD6EB4" w:rsidRDefault="00DA6A97" w:rsidP="006F3A9B">
            <w:pPr>
              <w:pStyle w:val="Tableformat"/>
              <w:rPr>
                <w:b/>
                <w:color w:val="auto"/>
                <w:sz w:val="22"/>
                <w:szCs w:val="22"/>
              </w:rPr>
            </w:pPr>
            <w:r w:rsidRPr="00FD6EB4">
              <w:rPr>
                <w:b/>
                <w:color w:val="auto"/>
                <w:sz w:val="22"/>
                <w:szCs w:val="22"/>
              </w:rPr>
              <w:t>Performance milestones</w:t>
            </w:r>
          </w:p>
        </w:tc>
        <w:tc>
          <w:tcPr>
            <w:tcW w:w="3565" w:type="dxa"/>
            <w:shd w:val="clear" w:color="auto" w:fill="F2F2F2" w:themeFill="background1" w:themeFillShade="F2"/>
          </w:tcPr>
          <w:p w14:paraId="74BFD4C1" w14:textId="77777777" w:rsidR="00DA6A97" w:rsidRPr="00FD6EB4" w:rsidRDefault="00DA6A97" w:rsidP="006F3A9B">
            <w:pPr>
              <w:pStyle w:val="Tableformat"/>
              <w:rPr>
                <w:b/>
                <w:color w:val="auto"/>
                <w:sz w:val="22"/>
                <w:szCs w:val="22"/>
              </w:rPr>
            </w:pPr>
            <w:r w:rsidRPr="00FD6EB4">
              <w:rPr>
                <w:b/>
                <w:color w:val="auto"/>
                <w:sz w:val="22"/>
                <w:szCs w:val="22"/>
              </w:rPr>
              <w:t>Key Performance Indicators</w:t>
            </w:r>
          </w:p>
        </w:tc>
        <w:tc>
          <w:tcPr>
            <w:tcW w:w="1320" w:type="dxa"/>
            <w:shd w:val="clear" w:color="auto" w:fill="F2F2F2" w:themeFill="background1" w:themeFillShade="F2"/>
          </w:tcPr>
          <w:p w14:paraId="7E51F1F6" w14:textId="77777777" w:rsidR="00DA6A97" w:rsidRPr="00FD6EB4" w:rsidRDefault="00DA6A97"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85" w:type="dxa"/>
            <w:tcBorders>
              <w:bottom w:val="single" w:sz="8" w:space="0" w:color="4F81BD"/>
            </w:tcBorders>
            <w:shd w:val="clear" w:color="auto" w:fill="F2F2F2" w:themeFill="background1" w:themeFillShade="F2"/>
          </w:tcPr>
          <w:p w14:paraId="28BC6254" w14:textId="77777777" w:rsidR="00DA6A97" w:rsidRPr="00FD6EB4" w:rsidRDefault="00DA6A97" w:rsidP="006F3A9B">
            <w:pPr>
              <w:pStyle w:val="Tableformat"/>
              <w:rPr>
                <w:b/>
                <w:color w:val="auto"/>
                <w:sz w:val="22"/>
                <w:szCs w:val="22"/>
              </w:rPr>
            </w:pPr>
            <w:r w:rsidRPr="00FD6EB4">
              <w:rPr>
                <w:b/>
                <w:color w:val="auto"/>
                <w:sz w:val="22"/>
                <w:szCs w:val="22"/>
              </w:rPr>
              <w:t>Payment</w:t>
            </w:r>
          </w:p>
        </w:tc>
      </w:tr>
      <w:tr w:rsidR="004C4B9D" w:rsidRPr="004C4B9D" w14:paraId="3B17C2E1" w14:textId="77777777" w:rsidTr="00744D35">
        <w:tc>
          <w:tcPr>
            <w:tcW w:w="1571" w:type="dxa"/>
            <w:vMerge w:val="restart"/>
            <w:tcBorders>
              <w:top w:val="single" w:sz="8" w:space="0" w:color="4F81BD"/>
              <w:left w:val="single" w:sz="8" w:space="0" w:color="4F81BD"/>
              <w:right w:val="single" w:sz="8" w:space="0" w:color="4F81BD"/>
            </w:tcBorders>
            <w:shd w:val="clear" w:color="auto" w:fill="F2F2F2" w:themeFill="background1" w:themeFillShade="F2"/>
          </w:tcPr>
          <w:p w14:paraId="549E04DB" w14:textId="31A8920D" w:rsidR="004C4B9D" w:rsidRPr="004C4B9D" w:rsidRDefault="004C4B9D" w:rsidP="004C4B9D">
            <w:pPr>
              <w:pStyle w:val="Tableformat"/>
              <w:rPr>
                <w:bCs/>
                <w:color w:val="auto"/>
                <w:sz w:val="20"/>
                <w:szCs w:val="20"/>
              </w:rPr>
            </w:pPr>
            <w:r w:rsidRPr="004C4B9D">
              <w:rPr>
                <w:bCs/>
                <w:color w:val="auto"/>
                <w:sz w:val="20"/>
                <w:szCs w:val="20"/>
              </w:rPr>
              <w:t xml:space="preserve">Water </w:t>
            </w:r>
            <w:r w:rsidR="003D57EA">
              <w:rPr>
                <w:bCs/>
                <w:color w:val="auto"/>
                <w:sz w:val="20"/>
                <w:szCs w:val="20"/>
              </w:rPr>
              <w:t>r</w:t>
            </w:r>
            <w:r w:rsidRPr="004C4B9D">
              <w:rPr>
                <w:bCs/>
                <w:color w:val="auto"/>
                <w:sz w:val="20"/>
                <w:szCs w:val="20"/>
              </w:rPr>
              <w:t>ecovery</w:t>
            </w:r>
          </w:p>
        </w:tc>
        <w:tc>
          <w:tcPr>
            <w:tcW w:w="2566" w:type="dxa"/>
            <w:vMerge w:val="restart"/>
            <w:tcBorders>
              <w:top w:val="single" w:sz="8" w:space="0" w:color="4F81BD"/>
              <w:left w:val="single" w:sz="8" w:space="0" w:color="4F81BD"/>
              <w:right w:val="single" w:sz="8" w:space="0" w:color="4F81BD"/>
            </w:tcBorders>
            <w:shd w:val="clear" w:color="auto" w:fill="F2F2F2" w:themeFill="background1" w:themeFillShade="F2"/>
          </w:tcPr>
          <w:p w14:paraId="4D2D2E9C" w14:textId="771F6A67" w:rsidR="004C4B9D" w:rsidRPr="004C4B9D" w:rsidRDefault="00627469" w:rsidP="004C4B9D">
            <w:pPr>
              <w:pStyle w:val="Tableformat"/>
              <w:rPr>
                <w:bCs/>
                <w:color w:val="auto"/>
                <w:sz w:val="20"/>
                <w:szCs w:val="20"/>
              </w:rPr>
            </w:pPr>
            <w:r>
              <w:rPr>
                <w:bCs/>
                <w:color w:val="auto"/>
                <w:sz w:val="20"/>
                <w:szCs w:val="20"/>
              </w:rPr>
              <w:t xml:space="preserve">1. </w:t>
            </w:r>
            <w:r w:rsidR="001D7426" w:rsidRPr="001D7426">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004C4B9D" w:rsidRPr="004C4B9D">
              <w:rPr>
                <w:bCs/>
                <w:color w:val="auto"/>
                <w:sz w:val="20"/>
                <w:szCs w:val="20"/>
              </w:rPr>
              <w:t>.</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61E379" w14:textId="2CA7F3F3" w:rsidR="004C4B9D" w:rsidRPr="004C4B9D" w:rsidRDefault="00627469" w:rsidP="004C4B9D">
            <w:pPr>
              <w:pStyle w:val="Tableformat"/>
              <w:rPr>
                <w:bCs/>
                <w:color w:val="auto"/>
                <w:sz w:val="20"/>
                <w:szCs w:val="20"/>
              </w:rPr>
            </w:pPr>
            <w:r>
              <w:rPr>
                <w:bCs/>
                <w:color w:val="auto"/>
                <w:sz w:val="20"/>
                <w:szCs w:val="20"/>
              </w:rPr>
              <w:t xml:space="preserve">1.a </w:t>
            </w:r>
            <w:r w:rsidR="004C4B9D" w:rsidRPr="004C4B9D">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6079C4" w14:textId="6F8025BA" w:rsidR="004C4B9D" w:rsidRPr="004C4B9D" w:rsidRDefault="004C4B9D" w:rsidP="004C4B9D">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2C21C1" w14:textId="03FA0BC2" w:rsidR="004C4B9D" w:rsidRPr="004C4B9D" w:rsidRDefault="00696408" w:rsidP="004C4B9D">
            <w:pPr>
              <w:pStyle w:val="Tableformat"/>
              <w:rPr>
                <w:bCs/>
                <w:color w:val="auto"/>
                <w:sz w:val="20"/>
                <w:szCs w:val="20"/>
              </w:rPr>
            </w:pPr>
            <w:r>
              <w:rPr>
                <w:bCs/>
                <w:color w:val="auto"/>
                <w:sz w:val="20"/>
                <w:szCs w:val="20"/>
              </w:rPr>
              <w:t>$</w:t>
            </w:r>
            <w:r w:rsidR="004D079A">
              <w:rPr>
                <w:bCs/>
                <w:color w:val="auto"/>
                <w:sz w:val="20"/>
                <w:szCs w:val="20"/>
              </w:rPr>
              <w:t>429,600</w:t>
            </w:r>
          </w:p>
        </w:tc>
      </w:tr>
      <w:tr w:rsidR="004C4B9D" w:rsidRPr="004C4B9D" w14:paraId="7D3A91EA" w14:textId="77777777" w:rsidTr="00744D35">
        <w:tc>
          <w:tcPr>
            <w:tcW w:w="1571" w:type="dxa"/>
            <w:vMerge/>
            <w:tcBorders>
              <w:left w:val="single" w:sz="8" w:space="0" w:color="4F81BD"/>
              <w:right w:val="single" w:sz="8" w:space="0" w:color="4F81BD"/>
            </w:tcBorders>
            <w:shd w:val="clear" w:color="auto" w:fill="F2F2F2" w:themeFill="background1" w:themeFillShade="F2"/>
          </w:tcPr>
          <w:p w14:paraId="199BFC72" w14:textId="77777777" w:rsidR="004C4B9D" w:rsidRPr="004C4B9D" w:rsidRDefault="004C4B9D" w:rsidP="004C4B9D">
            <w:pPr>
              <w:pStyle w:val="Tableformat"/>
              <w:rPr>
                <w:bCs/>
                <w:color w:val="auto"/>
                <w:sz w:val="20"/>
                <w:szCs w:val="20"/>
              </w:rPr>
            </w:pPr>
          </w:p>
        </w:tc>
        <w:tc>
          <w:tcPr>
            <w:tcW w:w="2566" w:type="dxa"/>
            <w:vMerge/>
            <w:tcBorders>
              <w:left w:val="single" w:sz="8" w:space="0" w:color="4F81BD"/>
              <w:right w:val="single" w:sz="8" w:space="0" w:color="4F81BD"/>
            </w:tcBorders>
            <w:shd w:val="clear" w:color="auto" w:fill="F2F2F2" w:themeFill="background1" w:themeFillShade="F2"/>
          </w:tcPr>
          <w:p w14:paraId="10305891" w14:textId="77777777" w:rsidR="004C4B9D" w:rsidRPr="004C4B9D" w:rsidRDefault="004C4B9D" w:rsidP="004C4B9D">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C25A2A" w14:textId="08558E57" w:rsidR="004C4B9D" w:rsidRPr="004C4B9D" w:rsidRDefault="00627469" w:rsidP="004C4B9D">
            <w:pPr>
              <w:pStyle w:val="Tableformat"/>
              <w:rPr>
                <w:bCs/>
                <w:color w:val="auto"/>
                <w:sz w:val="20"/>
                <w:szCs w:val="20"/>
              </w:rPr>
            </w:pPr>
            <w:r w:rsidRPr="00627469">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627469">
              <w:rPr>
                <w:bCs/>
                <w:color w:val="auto"/>
                <w:sz w:val="20"/>
                <w:szCs w:val="20"/>
              </w:rPr>
              <w:t xml:space="preserve"> using the Ministerial Council stocktake as a starting point. Business case applications will include socio-economic analysis and proposals for transfer of water entitlements</w:t>
            </w:r>
            <w:r w:rsidR="001D7426" w:rsidRPr="001D7426">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09CC89" w14:textId="66B8B052" w:rsidR="004C4B9D" w:rsidRPr="004C4B9D" w:rsidRDefault="004C4B9D" w:rsidP="004C4B9D">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F85DFD" w14:textId="59B8F3DF" w:rsidR="004C4B9D" w:rsidRPr="004C4B9D" w:rsidRDefault="004D079A" w:rsidP="004C4B9D">
            <w:pPr>
              <w:pStyle w:val="Tableformat"/>
              <w:rPr>
                <w:bCs/>
                <w:color w:val="auto"/>
                <w:sz w:val="20"/>
                <w:szCs w:val="20"/>
              </w:rPr>
            </w:pPr>
            <w:r>
              <w:rPr>
                <w:bCs/>
                <w:color w:val="auto"/>
                <w:sz w:val="20"/>
                <w:szCs w:val="20"/>
              </w:rPr>
              <w:t>$429,600</w:t>
            </w:r>
          </w:p>
        </w:tc>
      </w:tr>
      <w:tr w:rsidR="00696408" w:rsidRPr="004C4B9D" w14:paraId="4BE248E4" w14:textId="77777777" w:rsidTr="00744D35">
        <w:tc>
          <w:tcPr>
            <w:tcW w:w="1571" w:type="dxa"/>
            <w:vMerge/>
            <w:tcBorders>
              <w:left w:val="single" w:sz="8" w:space="0" w:color="4F81BD"/>
              <w:right w:val="single" w:sz="8" w:space="0" w:color="4F81BD"/>
            </w:tcBorders>
            <w:shd w:val="clear" w:color="auto" w:fill="F2F2F2" w:themeFill="background1" w:themeFillShade="F2"/>
          </w:tcPr>
          <w:p w14:paraId="4AFCCA7F" w14:textId="77777777" w:rsidR="00696408" w:rsidRPr="004C4B9D" w:rsidRDefault="00696408" w:rsidP="00696408">
            <w:pPr>
              <w:pStyle w:val="Tableformat"/>
              <w:rPr>
                <w:bCs/>
                <w:color w:val="auto"/>
                <w:sz w:val="20"/>
                <w:szCs w:val="20"/>
              </w:rPr>
            </w:pPr>
          </w:p>
        </w:tc>
        <w:tc>
          <w:tcPr>
            <w:tcW w:w="2566" w:type="dxa"/>
            <w:vMerge/>
            <w:tcBorders>
              <w:left w:val="single" w:sz="8" w:space="0" w:color="4F81BD"/>
              <w:right w:val="single" w:sz="8" w:space="0" w:color="4F81BD"/>
            </w:tcBorders>
            <w:shd w:val="clear" w:color="auto" w:fill="F2F2F2" w:themeFill="background1" w:themeFillShade="F2"/>
          </w:tcPr>
          <w:p w14:paraId="5EF15A27" w14:textId="77777777" w:rsidR="00696408" w:rsidRPr="004C4B9D" w:rsidRDefault="00696408" w:rsidP="00696408">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1C7936" w14:textId="166DF17B" w:rsidR="00696408" w:rsidRPr="004C4B9D" w:rsidRDefault="00627469" w:rsidP="00696408">
            <w:pPr>
              <w:pStyle w:val="Tableformat"/>
              <w:rPr>
                <w:bCs/>
                <w:color w:val="auto"/>
                <w:sz w:val="20"/>
                <w:szCs w:val="20"/>
              </w:rPr>
            </w:pPr>
            <w:r w:rsidRPr="00627469">
              <w:rPr>
                <w:bCs/>
                <w:color w:val="auto"/>
                <w:sz w:val="20"/>
                <w:szCs w:val="20"/>
              </w:rPr>
              <w:t>1.c Proactively provide support and advice on possible approaches and projects to bridge-the-gap under the Off-Farm Efficiency Program arrangements, or other arrangements</w:t>
            </w:r>
            <w:r w:rsidR="00696408"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62EDCD" w14:textId="04D17AF5" w:rsidR="00696408" w:rsidRPr="004C4B9D" w:rsidRDefault="00696408" w:rsidP="00696408">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499B94" w14:textId="26F9561B" w:rsidR="00696408" w:rsidRPr="004C4B9D" w:rsidRDefault="004D079A" w:rsidP="00696408">
            <w:pPr>
              <w:pStyle w:val="Tableformat"/>
              <w:rPr>
                <w:bCs/>
                <w:color w:val="auto"/>
                <w:sz w:val="20"/>
                <w:szCs w:val="20"/>
              </w:rPr>
            </w:pPr>
            <w:r>
              <w:rPr>
                <w:bCs/>
                <w:color w:val="auto"/>
                <w:sz w:val="20"/>
                <w:szCs w:val="20"/>
              </w:rPr>
              <w:t>$429,600</w:t>
            </w:r>
          </w:p>
        </w:tc>
      </w:tr>
      <w:tr w:rsidR="00696408" w:rsidRPr="004C4B9D" w14:paraId="01FD111F" w14:textId="77777777" w:rsidTr="00744D35">
        <w:tc>
          <w:tcPr>
            <w:tcW w:w="1571" w:type="dxa"/>
            <w:vMerge/>
            <w:tcBorders>
              <w:left w:val="single" w:sz="8" w:space="0" w:color="4F81BD"/>
              <w:right w:val="single" w:sz="8" w:space="0" w:color="4F81BD"/>
            </w:tcBorders>
            <w:shd w:val="clear" w:color="auto" w:fill="F2F2F2" w:themeFill="background1" w:themeFillShade="F2"/>
          </w:tcPr>
          <w:p w14:paraId="431341A6" w14:textId="77777777" w:rsidR="00696408" w:rsidRPr="004C4B9D" w:rsidRDefault="00696408" w:rsidP="00696408">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54CA4995" w14:textId="77777777" w:rsidR="00696408" w:rsidRPr="004C4B9D" w:rsidRDefault="00696408" w:rsidP="00696408">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F75AF85" w14:textId="5F98E381" w:rsidR="00696408" w:rsidRPr="004C4B9D" w:rsidRDefault="00627469" w:rsidP="00882360">
            <w:pPr>
              <w:pStyle w:val="Tableformat"/>
              <w:rPr>
                <w:bCs/>
                <w:color w:val="auto"/>
                <w:sz w:val="20"/>
                <w:szCs w:val="20"/>
              </w:rPr>
            </w:pPr>
            <w:r w:rsidRPr="00627469">
              <w:rPr>
                <w:bCs/>
                <w:color w:val="auto"/>
                <w:sz w:val="20"/>
                <w:szCs w:val="20"/>
              </w:rPr>
              <w:t>1.</w:t>
            </w:r>
            <w:r w:rsidR="00882360">
              <w:rPr>
                <w:bCs/>
                <w:color w:val="auto"/>
                <w:sz w:val="20"/>
                <w:szCs w:val="20"/>
              </w:rPr>
              <w:t>d</w:t>
            </w:r>
            <w:r w:rsidR="00882360" w:rsidRPr="00627469">
              <w:rPr>
                <w:bCs/>
                <w:color w:val="auto"/>
                <w:sz w:val="20"/>
                <w:szCs w:val="20"/>
              </w:rPr>
              <w:t xml:space="preserve"> </w:t>
            </w:r>
            <w:r w:rsidRPr="00627469">
              <w:rPr>
                <w:bCs/>
                <w:color w:val="auto"/>
                <w:sz w:val="20"/>
                <w:szCs w:val="20"/>
              </w:rPr>
              <w:t>Report to the Commonwealth on progress towards bridging-the-gap by June 2022</w:t>
            </w:r>
            <w:r w:rsidR="00696408" w:rsidRPr="004C4B9D">
              <w:rPr>
                <w:bCs/>
                <w:color w:val="auto"/>
                <w:sz w:val="20"/>
                <w:szCs w:val="20"/>
              </w:rPr>
              <w:t xml:space="preserve">. </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DB6BB8" w14:textId="492E1746" w:rsidR="00696408" w:rsidRPr="004C4B9D" w:rsidRDefault="00696408" w:rsidP="00696408">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C0229F" w14:textId="485BC211" w:rsidR="00696408" w:rsidRPr="004C4B9D" w:rsidRDefault="004D079A" w:rsidP="00696408">
            <w:pPr>
              <w:pStyle w:val="Tableformat"/>
              <w:rPr>
                <w:bCs/>
                <w:color w:val="auto"/>
                <w:sz w:val="20"/>
                <w:szCs w:val="20"/>
              </w:rPr>
            </w:pPr>
            <w:r>
              <w:rPr>
                <w:bCs/>
                <w:color w:val="auto"/>
                <w:sz w:val="20"/>
                <w:szCs w:val="20"/>
              </w:rPr>
              <w:t>$429,600</w:t>
            </w:r>
          </w:p>
        </w:tc>
      </w:tr>
      <w:tr w:rsidR="00696408" w:rsidRPr="004C4B9D" w14:paraId="5ACED225" w14:textId="77777777" w:rsidTr="00744D35">
        <w:tc>
          <w:tcPr>
            <w:tcW w:w="1571" w:type="dxa"/>
            <w:vMerge w:val="restart"/>
            <w:tcBorders>
              <w:top w:val="single" w:sz="8" w:space="0" w:color="4F81BD"/>
              <w:left w:val="single" w:sz="8" w:space="0" w:color="4F81BD"/>
              <w:right w:val="single" w:sz="8" w:space="0" w:color="4F81BD"/>
            </w:tcBorders>
            <w:shd w:val="clear" w:color="auto" w:fill="F2F2F2" w:themeFill="background1" w:themeFillShade="F2"/>
          </w:tcPr>
          <w:p w14:paraId="397C6A22" w14:textId="0329A235" w:rsidR="00696408" w:rsidRPr="004C4B9D" w:rsidRDefault="00696408" w:rsidP="00696408">
            <w:pPr>
              <w:pStyle w:val="Tableformat"/>
              <w:rPr>
                <w:bCs/>
                <w:color w:val="auto"/>
                <w:sz w:val="20"/>
                <w:szCs w:val="20"/>
              </w:rPr>
            </w:pPr>
            <w:r w:rsidRPr="004C4B9D">
              <w:rPr>
                <w:bCs/>
                <w:color w:val="auto"/>
                <w:sz w:val="20"/>
                <w:szCs w:val="20"/>
              </w:rPr>
              <w:t>Coordinated environmental water use</w:t>
            </w: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5007862" w14:textId="075CB9F0" w:rsidR="00696408" w:rsidRPr="004C4B9D" w:rsidRDefault="0056691D" w:rsidP="00696408">
            <w:pPr>
              <w:pStyle w:val="Tableformat"/>
              <w:rPr>
                <w:bCs/>
                <w:color w:val="auto"/>
                <w:sz w:val="20"/>
                <w:szCs w:val="20"/>
              </w:rPr>
            </w:pPr>
            <w:r>
              <w:rPr>
                <w:bCs/>
                <w:color w:val="auto"/>
                <w:sz w:val="20"/>
                <w:szCs w:val="20"/>
              </w:rPr>
              <w:t>2</w:t>
            </w:r>
            <w:r w:rsidR="008224F9">
              <w:rPr>
                <w:bCs/>
                <w:color w:val="auto"/>
                <w:sz w:val="20"/>
                <w:szCs w:val="20"/>
              </w:rPr>
              <w:t xml:space="preserve">. </w:t>
            </w:r>
            <w:r w:rsidR="00696408" w:rsidRPr="004C4B9D">
              <w:rPr>
                <w:bCs/>
                <w:color w:val="auto"/>
                <w:sz w:val="20"/>
                <w:szCs w:val="20"/>
              </w:rPr>
              <w:t>Deliver an agreed Basin-wide Environmental Water Protection Strategy and Implementation Plan.</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17463B" w14:textId="5A49AEDD" w:rsidR="00696408" w:rsidRPr="004C4B9D" w:rsidRDefault="00882360" w:rsidP="00882360">
            <w:pPr>
              <w:pStyle w:val="Tableformat"/>
              <w:rPr>
                <w:bCs/>
                <w:color w:val="auto"/>
                <w:sz w:val="20"/>
                <w:szCs w:val="20"/>
              </w:rPr>
            </w:pPr>
            <w:r>
              <w:rPr>
                <w:bCs/>
                <w:color w:val="auto"/>
                <w:sz w:val="20"/>
                <w:szCs w:val="20"/>
              </w:rPr>
              <w:t>2</w:t>
            </w:r>
            <w:r w:rsidR="00627469" w:rsidRPr="00627469">
              <w:rPr>
                <w:bCs/>
                <w:color w:val="auto"/>
                <w:sz w:val="20"/>
                <w:szCs w:val="20"/>
              </w:rPr>
              <w:t>.</w:t>
            </w:r>
            <w:r>
              <w:rPr>
                <w:bCs/>
                <w:color w:val="auto"/>
                <w:sz w:val="20"/>
                <w:szCs w:val="20"/>
              </w:rPr>
              <w:t>a</w:t>
            </w:r>
            <w:r w:rsidRPr="00627469">
              <w:rPr>
                <w:bCs/>
                <w:color w:val="auto"/>
                <w:sz w:val="20"/>
                <w:szCs w:val="20"/>
              </w:rPr>
              <w:t xml:space="preserve"> </w:t>
            </w:r>
            <w:r w:rsidR="00627469" w:rsidRPr="00627469">
              <w:rPr>
                <w:bCs/>
                <w:color w:val="auto"/>
                <w:sz w:val="20"/>
                <w:szCs w:val="20"/>
              </w:rPr>
              <w:t>Deliver and implement the agreed workplan of the priority collaborative activities of the Environmental Water Protection Strategy, where relevant to the jurisdiction</w:t>
            </w:r>
            <w:r w:rsidR="001920CF"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EE1E5F" w14:textId="7FBD4325" w:rsidR="00696408" w:rsidRPr="004C4B9D" w:rsidRDefault="00696408" w:rsidP="00696408">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1013A7" w14:textId="57C6286E" w:rsidR="00696408" w:rsidRPr="004C4B9D" w:rsidRDefault="00696408" w:rsidP="00C42373">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102AB9E1" w14:textId="77777777" w:rsidTr="00744D35">
        <w:tc>
          <w:tcPr>
            <w:tcW w:w="1571" w:type="dxa"/>
            <w:vMerge/>
            <w:tcBorders>
              <w:left w:val="single" w:sz="8" w:space="0" w:color="4F81BD"/>
              <w:right w:val="single" w:sz="8" w:space="0" w:color="4F81BD"/>
            </w:tcBorders>
            <w:shd w:val="clear" w:color="auto" w:fill="F2F2F2" w:themeFill="background1" w:themeFillShade="F2"/>
          </w:tcPr>
          <w:p w14:paraId="4B60C589" w14:textId="77777777" w:rsidR="004D079A" w:rsidRPr="004C4B9D" w:rsidRDefault="004D079A" w:rsidP="004D079A">
            <w:pPr>
              <w:pStyle w:val="Tableformat"/>
              <w:rPr>
                <w:bCs/>
                <w:color w:val="auto"/>
                <w:sz w:val="20"/>
                <w:szCs w:val="20"/>
              </w:rPr>
            </w:pPr>
          </w:p>
        </w:tc>
        <w:tc>
          <w:tcPr>
            <w:tcW w:w="2566" w:type="dxa"/>
            <w:vMerge w:val="restart"/>
            <w:tcBorders>
              <w:top w:val="single" w:sz="8" w:space="0" w:color="4F81BD"/>
              <w:left w:val="single" w:sz="8" w:space="0" w:color="4F81BD"/>
              <w:right w:val="single" w:sz="8" w:space="0" w:color="4F81BD"/>
            </w:tcBorders>
            <w:shd w:val="clear" w:color="auto" w:fill="F2F2F2" w:themeFill="background1" w:themeFillShade="F2"/>
          </w:tcPr>
          <w:p w14:paraId="5A86E86B" w14:textId="6809DD20" w:rsidR="004D079A" w:rsidRPr="004C4B9D" w:rsidRDefault="0056691D" w:rsidP="004D079A">
            <w:pPr>
              <w:pStyle w:val="Tableformat"/>
              <w:rPr>
                <w:bCs/>
                <w:color w:val="auto"/>
                <w:sz w:val="20"/>
                <w:szCs w:val="20"/>
              </w:rPr>
            </w:pPr>
            <w:r>
              <w:rPr>
                <w:bCs/>
                <w:color w:val="auto"/>
                <w:sz w:val="20"/>
                <w:szCs w:val="20"/>
              </w:rPr>
              <w:t>3</w:t>
            </w:r>
            <w:r w:rsidR="004D079A">
              <w:rPr>
                <w:bCs/>
                <w:color w:val="auto"/>
                <w:sz w:val="20"/>
                <w:szCs w:val="20"/>
              </w:rPr>
              <w:t xml:space="preserve">. </w:t>
            </w:r>
            <w:r w:rsidR="004D079A" w:rsidRPr="004C4B9D">
              <w:rPr>
                <w:bCs/>
                <w:color w:val="auto"/>
                <w:sz w:val="20"/>
                <w:szCs w:val="20"/>
              </w:rPr>
              <w:t xml:space="preserve">Improve environmental watering plans and strategies, including by updating Long-Term Watering Plans (LTWPs) within agreed timeframes. </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8F2DF0" w14:textId="6ACD52D0" w:rsidR="004D079A" w:rsidRPr="004C4B9D" w:rsidRDefault="0056691D" w:rsidP="004D079A">
            <w:pPr>
              <w:pStyle w:val="Tableformat"/>
              <w:rPr>
                <w:bCs/>
                <w:color w:val="auto"/>
                <w:sz w:val="20"/>
                <w:szCs w:val="20"/>
              </w:rPr>
            </w:pPr>
            <w:r>
              <w:rPr>
                <w:bCs/>
                <w:color w:val="auto"/>
                <w:sz w:val="20"/>
                <w:szCs w:val="20"/>
              </w:rPr>
              <w:t>3</w:t>
            </w:r>
            <w:r w:rsidR="004D079A" w:rsidRPr="008224F9">
              <w:rPr>
                <w:bCs/>
                <w:color w:val="auto"/>
                <w:sz w:val="20"/>
                <w:szCs w:val="20"/>
              </w:rPr>
              <w:t xml:space="preserve">.a Engage with </w:t>
            </w:r>
            <w:r w:rsidR="00407DF5">
              <w:rPr>
                <w:bCs/>
                <w:color w:val="auto"/>
                <w:sz w:val="20"/>
                <w:szCs w:val="20"/>
              </w:rPr>
              <w:t>all stakeholders</w:t>
            </w:r>
            <w:r w:rsidR="004D079A" w:rsidRPr="008224F9">
              <w:rPr>
                <w:bCs/>
                <w:color w:val="auto"/>
                <w:sz w:val="20"/>
                <w:szCs w:val="20"/>
              </w:rPr>
              <w:t>, in the development of annual environmental water plans or priorities; and in the implementation, review and update of LTWPs, where relevant to the jurisdiction</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E1F43B" w14:textId="35FED565"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633D13" w14:textId="61EEE6C7"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539F97FC" w14:textId="77777777" w:rsidTr="00744D35">
        <w:tc>
          <w:tcPr>
            <w:tcW w:w="1571" w:type="dxa"/>
            <w:vMerge/>
            <w:tcBorders>
              <w:left w:val="single" w:sz="8" w:space="0" w:color="4F81BD"/>
              <w:bottom w:val="single" w:sz="8" w:space="0" w:color="4F81BD"/>
              <w:right w:val="single" w:sz="8" w:space="0" w:color="4F81BD"/>
            </w:tcBorders>
            <w:shd w:val="clear" w:color="auto" w:fill="F2F2F2" w:themeFill="background1" w:themeFillShade="F2"/>
          </w:tcPr>
          <w:p w14:paraId="52299426" w14:textId="77777777" w:rsidR="004D079A" w:rsidRPr="004C4B9D" w:rsidRDefault="004D079A" w:rsidP="004D079A">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2025647A" w14:textId="77777777" w:rsidR="004D079A" w:rsidRPr="004C4B9D"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8C5AA9" w14:textId="25184BD1" w:rsidR="004D079A" w:rsidRPr="004C4B9D" w:rsidRDefault="0056691D" w:rsidP="004D079A">
            <w:pPr>
              <w:pStyle w:val="Tableformat"/>
              <w:rPr>
                <w:bCs/>
                <w:color w:val="auto"/>
                <w:sz w:val="20"/>
                <w:szCs w:val="20"/>
              </w:rPr>
            </w:pPr>
            <w:r>
              <w:rPr>
                <w:bCs/>
                <w:color w:val="auto"/>
                <w:sz w:val="20"/>
                <w:szCs w:val="20"/>
              </w:rPr>
              <w:t>3</w:t>
            </w:r>
            <w:r w:rsidR="004D079A" w:rsidRPr="008224F9">
              <w:rPr>
                <w:bCs/>
                <w:color w:val="auto"/>
                <w:sz w:val="20"/>
                <w:szCs w:val="20"/>
              </w:rPr>
              <w:t>.b Provide input to third edition of the Basin-wide Environmental Watering Strategy, including input on climate adaptation approaches and techniques</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7EE408" w14:textId="0CF07444"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2FECA32" w14:textId="30215D81"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7C667E4E" w14:textId="77777777" w:rsidTr="00744D35">
        <w:tc>
          <w:tcPr>
            <w:tcW w:w="1571" w:type="dxa"/>
            <w:vMerge w:val="restart"/>
            <w:tcBorders>
              <w:left w:val="single" w:sz="8" w:space="0" w:color="4F81BD"/>
              <w:right w:val="single" w:sz="8" w:space="0" w:color="4F81BD"/>
            </w:tcBorders>
            <w:shd w:val="clear" w:color="auto" w:fill="F2F2F2" w:themeFill="background1" w:themeFillShade="F2"/>
          </w:tcPr>
          <w:p w14:paraId="7347F3DF" w14:textId="6ED7BD7E" w:rsidR="004D079A" w:rsidRPr="004C4B9D" w:rsidRDefault="004D079A" w:rsidP="004D079A">
            <w:pPr>
              <w:pStyle w:val="Tableformat"/>
              <w:rPr>
                <w:bCs/>
                <w:color w:val="auto"/>
                <w:sz w:val="20"/>
                <w:szCs w:val="20"/>
              </w:rPr>
            </w:pPr>
            <w:r w:rsidRPr="004C4B9D">
              <w:rPr>
                <w:bCs/>
                <w:color w:val="auto"/>
                <w:sz w:val="20"/>
                <w:szCs w:val="20"/>
              </w:rPr>
              <w:t>Implementation of the Basin Plan</w:t>
            </w:r>
          </w:p>
        </w:tc>
        <w:tc>
          <w:tcPr>
            <w:tcW w:w="2566" w:type="dxa"/>
            <w:vMerge w:val="restart"/>
            <w:tcBorders>
              <w:left w:val="single" w:sz="8" w:space="0" w:color="4F81BD"/>
              <w:right w:val="single" w:sz="8" w:space="0" w:color="4F81BD"/>
            </w:tcBorders>
            <w:shd w:val="clear" w:color="auto" w:fill="F2F2F2" w:themeFill="background1" w:themeFillShade="F2"/>
          </w:tcPr>
          <w:p w14:paraId="2A63A9C0" w14:textId="0B0CE9C5" w:rsidR="004D079A" w:rsidRPr="004C4B9D" w:rsidRDefault="0056691D" w:rsidP="004D079A">
            <w:pPr>
              <w:pStyle w:val="Tableformat"/>
              <w:rPr>
                <w:bCs/>
                <w:color w:val="auto"/>
                <w:sz w:val="20"/>
                <w:szCs w:val="20"/>
              </w:rPr>
            </w:pPr>
            <w:r>
              <w:rPr>
                <w:bCs/>
                <w:color w:val="auto"/>
                <w:sz w:val="20"/>
                <w:szCs w:val="20"/>
              </w:rPr>
              <w:t>4</w:t>
            </w:r>
            <w:r w:rsidR="004D079A">
              <w:rPr>
                <w:bCs/>
                <w:color w:val="auto"/>
                <w:sz w:val="20"/>
                <w:szCs w:val="20"/>
              </w:rPr>
              <w:t xml:space="preserve">. </w:t>
            </w:r>
            <w:r w:rsidR="004D079A" w:rsidRPr="004C4B9D">
              <w:rPr>
                <w:bCs/>
                <w:color w:val="auto"/>
                <w:sz w:val="20"/>
                <w:szCs w:val="20"/>
              </w:rPr>
              <w:t>Implement the SDLAM program, where not funded under other agreements</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520BE9" w14:textId="0970DE1F" w:rsidR="004D079A" w:rsidRPr="008224F9" w:rsidRDefault="0056691D" w:rsidP="004D079A">
            <w:pPr>
              <w:pStyle w:val="Tableformat"/>
              <w:rPr>
                <w:bCs/>
                <w:color w:val="auto"/>
                <w:sz w:val="20"/>
                <w:szCs w:val="20"/>
              </w:rPr>
            </w:pPr>
            <w:r>
              <w:rPr>
                <w:bCs/>
                <w:color w:val="auto"/>
                <w:sz w:val="20"/>
                <w:szCs w:val="20"/>
              </w:rPr>
              <w:t>4</w:t>
            </w:r>
            <w:r w:rsidR="004D079A" w:rsidRPr="008224F9">
              <w:rPr>
                <w:bCs/>
                <w:color w:val="auto"/>
                <w:sz w:val="20"/>
                <w:szCs w:val="20"/>
              </w:rPr>
              <w:t>.a Actively work with the Commonwealth to optimise and address risks to SDLAM program outcomes, including:</w:t>
            </w:r>
          </w:p>
          <w:p w14:paraId="059FC0B7" w14:textId="77777777" w:rsidR="004D079A" w:rsidRPr="008224F9" w:rsidRDefault="004D079A" w:rsidP="004D079A">
            <w:pPr>
              <w:pStyle w:val="Tableformat"/>
              <w:rPr>
                <w:bCs/>
                <w:color w:val="auto"/>
                <w:sz w:val="20"/>
                <w:szCs w:val="20"/>
              </w:rPr>
            </w:pPr>
            <w:r w:rsidRPr="008224F9">
              <w:rPr>
                <w:bCs/>
                <w:color w:val="auto"/>
                <w:sz w:val="20"/>
                <w:szCs w:val="20"/>
              </w:rPr>
              <w:t>- the establishment of a process to formally amend project scope</w:t>
            </w:r>
          </w:p>
          <w:p w14:paraId="5CB0E281" w14:textId="77777777" w:rsidR="004D079A" w:rsidRPr="008224F9" w:rsidRDefault="004D079A" w:rsidP="004D079A">
            <w:pPr>
              <w:pStyle w:val="Tableformat"/>
              <w:rPr>
                <w:bCs/>
                <w:color w:val="auto"/>
                <w:sz w:val="20"/>
                <w:szCs w:val="20"/>
              </w:rPr>
            </w:pPr>
            <w:r w:rsidRPr="008224F9">
              <w:rPr>
                <w:bCs/>
                <w:color w:val="auto"/>
                <w:sz w:val="20"/>
                <w:szCs w:val="20"/>
              </w:rPr>
              <w:t>- resolution of critical policy issues to enable agreement to Stage 2 funding arrangements</w:t>
            </w:r>
          </w:p>
          <w:p w14:paraId="08EE4748" w14:textId="77777777" w:rsidR="004D079A" w:rsidRPr="008224F9" w:rsidRDefault="004D079A" w:rsidP="004D079A">
            <w:pPr>
              <w:pStyle w:val="Tableformat"/>
              <w:rPr>
                <w:bCs/>
                <w:color w:val="auto"/>
                <w:sz w:val="20"/>
                <w:szCs w:val="20"/>
              </w:rPr>
            </w:pPr>
            <w:r w:rsidRPr="008224F9">
              <w:rPr>
                <w:bCs/>
                <w:color w:val="auto"/>
                <w:sz w:val="20"/>
                <w:szCs w:val="20"/>
              </w:rPr>
              <w:t>- fast-tracking relevant projects</w:t>
            </w:r>
          </w:p>
          <w:p w14:paraId="4C73E86A" w14:textId="38315585" w:rsidR="004D079A" w:rsidRPr="004C4B9D" w:rsidRDefault="004D079A" w:rsidP="004D079A">
            <w:pPr>
              <w:pStyle w:val="Tableformat"/>
              <w:rPr>
                <w:bCs/>
                <w:color w:val="auto"/>
                <w:sz w:val="20"/>
                <w:szCs w:val="20"/>
              </w:rPr>
            </w:pPr>
            <w:r w:rsidRPr="008224F9">
              <w:rPr>
                <w:bCs/>
                <w:color w:val="auto"/>
                <w:sz w:val="20"/>
                <w:szCs w:val="20"/>
              </w:rPr>
              <w:t>- investigating the potential for existing, enhanced projects to contribute to Basin Plan outcomes</w:t>
            </w:r>
            <w:r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A81728" w14:textId="76FED124"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8D1B8A" w14:textId="4A05FD8A"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30BF2559" w14:textId="77777777" w:rsidTr="00744D35">
        <w:tc>
          <w:tcPr>
            <w:tcW w:w="1571" w:type="dxa"/>
            <w:vMerge/>
            <w:tcBorders>
              <w:left w:val="single" w:sz="8" w:space="0" w:color="4F81BD"/>
              <w:right w:val="single" w:sz="8" w:space="0" w:color="4F81BD"/>
            </w:tcBorders>
            <w:shd w:val="clear" w:color="auto" w:fill="F2F2F2" w:themeFill="background1" w:themeFillShade="F2"/>
          </w:tcPr>
          <w:p w14:paraId="03087C3D" w14:textId="77777777" w:rsidR="004D079A" w:rsidRPr="004C4B9D" w:rsidRDefault="004D079A" w:rsidP="004D079A">
            <w:pPr>
              <w:pStyle w:val="Tableformat"/>
              <w:rPr>
                <w:bCs/>
                <w:color w:val="auto"/>
                <w:sz w:val="20"/>
                <w:szCs w:val="20"/>
              </w:rPr>
            </w:pPr>
          </w:p>
        </w:tc>
        <w:tc>
          <w:tcPr>
            <w:tcW w:w="2566" w:type="dxa"/>
            <w:vMerge/>
            <w:tcBorders>
              <w:left w:val="single" w:sz="8" w:space="0" w:color="4F81BD"/>
              <w:right w:val="single" w:sz="8" w:space="0" w:color="4F81BD"/>
            </w:tcBorders>
            <w:shd w:val="clear" w:color="auto" w:fill="F2F2F2" w:themeFill="background1" w:themeFillShade="F2"/>
          </w:tcPr>
          <w:p w14:paraId="7792D40C" w14:textId="77777777" w:rsidR="004D079A" w:rsidRPr="004C4B9D"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DDD0CA" w14:textId="62DC6C66" w:rsidR="004D079A" w:rsidRPr="004C4B9D" w:rsidRDefault="0056691D" w:rsidP="004D079A">
            <w:pPr>
              <w:pStyle w:val="Tableformat"/>
              <w:rPr>
                <w:bCs/>
                <w:color w:val="auto"/>
                <w:sz w:val="20"/>
                <w:szCs w:val="20"/>
              </w:rPr>
            </w:pPr>
            <w:r>
              <w:rPr>
                <w:bCs/>
                <w:color w:val="auto"/>
                <w:sz w:val="20"/>
                <w:szCs w:val="20"/>
              </w:rPr>
              <w:t>4</w:t>
            </w:r>
            <w:r w:rsidR="004D079A" w:rsidRPr="008224F9">
              <w:rPr>
                <w:bCs/>
                <w:color w:val="auto"/>
                <w:sz w:val="20"/>
                <w:szCs w:val="20"/>
              </w:rPr>
              <w:t>.b Identify, develop and progress required changes to the River Murray Operations Framework and Murray-Darling Basin Agreement. Any changes are to be agreed by all jurisdictions</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69FACAD" w14:textId="291DA62A"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B033C8" w14:textId="3D377A05"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79CA8A24" w14:textId="77777777" w:rsidTr="00744D35">
        <w:tc>
          <w:tcPr>
            <w:tcW w:w="1571" w:type="dxa"/>
            <w:vMerge/>
            <w:tcBorders>
              <w:left w:val="single" w:sz="8" w:space="0" w:color="4F81BD"/>
              <w:right w:val="single" w:sz="8" w:space="0" w:color="4F81BD"/>
            </w:tcBorders>
            <w:shd w:val="clear" w:color="auto" w:fill="F2F2F2" w:themeFill="background1" w:themeFillShade="F2"/>
          </w:tcPr>
          <w:p w14:paraId="300888D2" w14:textId="77777777" w:rsidR="004D079A" w:rsidRPr="004C4B9D" w:rsidRDefault="004D079A" w:rsidP="004D079A">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5275B0B0" w14:textId="77777777" w:rsidR="004D079A" w:rsidRPr="004C4B9D"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80825F5" w14:textId="7CC9DC17" w:rsidR="004D079A" w:rsidRPr="004C4B9D" w:rsidRDefault="0056691D" w:rsidP="00AF658D">
            <w:pPr>
              <w:pStyle w:val="Tableformat"/>
              <w:rPr>
                <w:bCs/>
                <w:color w:val="auto"/>
                <w:sz w:val="20"/>
                <w:szCs w:val="20"/>
              </w:rPr>
            </w:pPr>
            <w:r>
              <w:rPr>
                <w:bCs/>
                <w:color w:val="auto"/>
                <w:sz w:val="20"/>
                <w:szCs w:val="20"/>
              </w:rPr>
              <w:t>4</w:t>
            </w:r>
            <w:r w:rsidR="004D079A" w:rsidRPr="008224F9">
              <w:rPr>
                <w:bCs/>
                <w:color w:val="auto"/>
                <w:sz w:val="20"/>
                <w:szCs w:val="20"/>
              </w:rPr>
              <w:t>.</w:t>
            </w:r>
            <w:r w:rsidR="00AF658D">
              <w:rPr>
                <w:bCs/>
                <w:color w:val="auto"/>
                <w:sz w:val="20"/>
                <w:szCs w:val="20"/>
              </w:rPr>
              <w:t>c</w:t>
            </w:r>
            <w:r w:rsidR="00AF658D" w:rsidRPr="008224F9">
              <w:rPr>
                <w:bCs/>
                <w:color w:val="auto"/>
                <w:sz w:val="20"/>
                <w:szCs w:val="20"/>
              </w:rPr>
              <w:t xml:space="preserve"> </w:t>
            </w:r>
            <w:r w:rsidR="004D079A" w:rsidRPr="008224F9">
              <w:rPr>
                <w:bCs/>
                <w:color w:val="auto"/>
                <w:sz w:val="20"/>
                <w:szCs w:val="20"/>
              </w:rPr>
              <w:t>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A4EF90" w14:textId="4ACEE07E"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872CB2" w14:textId="670D6779"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3145BE42" w14:textId="77777777" w:rsidTr="00744D35">
        <w:tc>
          <w:tcPr>
            <w:tcW w:w="1571" w:type="dxa"/>
            <w:vMerge/>
            <w:tcBorders>
              <w:left w:val="single" w:sz="8" w:space="0" w:color="4F81BD"/>
              <w:right w:val="single" w:sz="8" w:space="0" w:color="4F81BD"/>
            </w:tcBorders>
            <w:shd w:val="clear" w:color="auto" w:fill="F2F2F2" w:themeFill="background1" w:themeFillShade="F2"/>
          </w:tcPr>
          <w:p w14:paraId="126BA359" w14:textId="77777777" w:rsidR="004D079A" w:rsidRPr="004C4B9D" w:rsidRDefault="004D079A" w:rsidP="004D079A">
            <w:pPr>
              <w:pStyle w:val="Tableformat"/>
              <w:rPr>
                <w:bCs/>
                <w:color w:val="auto"/>
                <w:sz w:val="20"/>
                <w:szCs w:val="20"/>
              </w:rPr>
            </w:pPr>
          </w:p>
        </w:tc>
        <w:tc>
          <w:tcPr>
            <w:tcW w:w="2566" w:type="dxa"/>
            <w:tcBorders>
              <w:top w:val="single" w:sz="8" w:space="0" w:color="4F81BD"/>
              <w:left w:val="single" w:sz="8" w:space="0" w:color="4F81BD"/>
              <w:right w:val="single" w:sz="8" w:space="0" w:color="4F81BD"/>
            </w:tcBorders>
            <w:shd w:val="clear" w:color="auto" w:fill="F2F2F2" w:themeFill="background1" w:themeFillShade="F2"/>
          </w:tcPr>
          <w:p w14:paraId="46664C7F" w14:textId="5432E84D" w:rsidR="004D079A" w:rsidRPr="004C4B9D" w:rsidRDefault="0056691D" w:rsidP="0056691D">
            <w:pPr>
              <w:pStyle w:val="Tableformat"/>
              <w:rPr>
                <w:bCs/>
                <w:color w:val="auto"/>
                <w:sz w:val="20"/>
                <w:szCs w:val="20"/>
              </w:rPr>
            </w:pPr>
            <w:r>
              <w:rPr>
                <w:bCs/>
                <w:color w:val="auto"/>
                <w:sz w:val="20"/>
                <w:szCs w:val="20"/>
              </w:rPr>
              <w:t>5</w:t>
            </w:r>
            <w:r w:rsidR="004D079A" w:rsidRPr="008224F9">
              <w:rPr>
                <w:bCs/>
                <w:color w:val="auto"/>
                <w:sz w:val="20"/>
                <w:szCs w:val="20"/>
              </w:rPr>
              <w:t xml:space="preserve">. Contribute to delivery of the MDBA-led SDL Accounting Framework Improvement Strategy 2020-25 </w:t>
            </w:r>
            <w:r w:rsidR="007C3B81" w:rsidRPr="008224F9">
              <w:rPr>
                <w:bCs/>
                <w:color w:val="auto"/>
                <w:sz w:val="20"/>
                <w:szCs w:val="20"/>
              </w:rPr>
              <w:t>work plan</w:t>
            </w:r>
            <w:r w:rsidR="004D079A" w:rsidRPr="008224F9">
              <w:rPr>
                <w:bCs/>
                <w:color w:val="auto"/>
                <w:sz w:val="20"/>
                <w:szCs w:val="20"/>
              </w:rPr>
              <w:t>, including supplying data and quality assurance documentation.</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9182B2" w14:textId="7729F24B" w:rsidR="004D079A" w:rsidRPr="004C4B9D" w:rsidRDefault="0056691D" w:rsidP="00FE16ED">
            <w:pPr>
              <w:pStyle w:val="Tableformat"/>
              <w:rPr>
                <w:bCs/>
                <w:color w:val="auto"/>
                <w:sz w:val="20"/>
                <w:szCs w:val="20"/>
              </w:rPr>
            </w:pPr>
            <w:r>
              <w:rPr>
                <w:bCs/>
                <w:color w:val="auto"/>
                <w:sz w:val="20"/>
                <w:szCs w:val="20"/>
              </w:rPr>
              <w:t>5</w:t>
            </w:r>
            <w:r w:rsidR="004D079A" w:rsidRPr="008224F9">
              <w:rPr>
                <w:bCs/>
                <w:color w:val="auto"/>
                <w:sz w:val="20"/>
                <w:szCs w:val="20"/>
              </w:rPr>
              <w:t>.</w:t>
            </w:r>
            <w:r w:rsidR="00FE16ED">
              <w:rPr>
                <w:bCs/>
                <w:color w:val="auto"/>
                <w:sz w:val="20"/>
                <w:szCs w:val="20"/>
              </w:rPr>
              <w:t>a</w:t>
            </w:r>
            <w:r w:rsidR="00FE16ED" w:rsidRPr="008224F9">
              <w:rPr>
                <w:bCs/>
                <w:color w:val="auto"/>
                <w:sz w:val="20"/>
                <w:szCs w:val="20"/>
              </w:rPr>
              <w:t xml:space="preserve"> </w:t>
            </w:r>
            <w:r w:rsidR="004D079A" w:rsidRPr="008224F9">
              <w:rPr>
                <w:bCs/>
                <w:color w:val="auto"/>
                <w:sz w:val="20"/>
                <w:szCs w:val="20"/>
              </w:rPr>
              <w:t xml:space="preserve">Implement the SDL Accounting Framework Improvement Strategy </w:t>
            </w:r>
            <w:r w:rsidR="007C3B81" w:rsidRPr="008224F9">
              <w:rPr>
                <w:bCs/>
                <w:color w:val="auto"/>
                <w:sz w:val="20"/>
                <w:szCs w:val="20"/>
              </w:rPr>
              <w:t>work plan</w:t>
            </w:r>
            <w:r w:rsidR="004D079A" w:rsidRPr="008224F9">
              <w:rPr>
                <w:bCs/>
                <w:color w:val="auto"/>
                <w:sz w:val="20"/>
                <w:szCs w:val="20"/>
              </w:rPr>
              <w:t xml:space="preserve"> led by the MDBA, as relevant to the jurisdiction</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4FC959" w14:textId="10DF71FF"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EC1746" w14:textId="1F411039"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68209B68" w14:textId="77777777" w:rsidTr="00744D35">
        <w:tc>
          <w:tcPr>
            <w:tcW w:w="1571" w:type="dxa"/>
            <w:vMerge/>
            <w:tcBorders>
              <w:left w:val="single" w:sz="8" w:space="0" w:color="4F81BD"/>
              <w:right w:val="single" w:sz="8" w:space="0" w:color="4F81BD"/>
            </w:tcBorders>
            <w:shd w:val="clear" w:color="auto" w:fill="F2F2F2" w:themeFill="background1" w:themeFillShade="F2"/>
          </w:tcPr>
          <w:p w14:paraId="6E407585" w14:textId="77777777" w:rsidR="004D079A" w:rsidRPr="004C4B9D" w:rsidRDefault="004D079A" w:rsidP="004D079A">
            <w:pPr>
              <w:pStyle w:val="Tableformat"/>
              <w:rPr>
                <w:bCs/>
                <w:color w:val="auto"/>
                <w:sz w:val="20"/>
                <w:szCs w:val="20"/>
              </w:rPr>
            </w:pP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E97391" w14:textId="1EA812EF" w:rsidR="004D079A" w:rsidRPr="004C4B9D" w:rsidRDefault="0056691D" w:rsidP="0056691D">
            <w:pPr>
              <w:pStyle w:val="Tableformat"/>
              <w:rPr>
                <w:bCs/>
                <w:color w:val="auto"/>
                <w:sz w:val="20"/>
                <w:szCs w:val="20"/>
              </w:rPr>
            </w:pPr>
            <w:r>
              <w:rPr>
                <w:bCs/>
                <w:color w:val="auto"/>
                <w:sz w:val="20"/>
                <w:szCs w:val="20"/>
              </w:rPr>
              <w:t>6</w:t>
            </w:r>
            <w:r w:rsidR="004D079A">
              <w:rPr>
                <w:bCs/>
                <w:color w:val="auto"/>
                <w:sz w:val="20"/>
                <w:szCs w:val="20"/>
              </w:rPr>
              <w:t xml:space="preserve">. </w:t>
            </w:r>
            <w:r w:rsidR="004D079A" w:rsidRPr="004C4B9D">
              <w:rPr>
                <w:bCs/>
                <w:color w:val="auto"/>
                <w:sz w:val="20"/>
                <w:szCs w:val="20"/>
              </w:rPr>
              <w:t>Ensure State water planning frameworks that are included in Water Resource Plans remain consistent with the Basin Plan.</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034C14" w14:textId="47CC4C66" w:rsidR="004D079A" w:rsidRPr="004C4B9D" w:rsidRDefault="0056691D" w:rsidP="0056691D">
            <w:pPr>
              <w:pStyle w:val="Tableformat"/>
              <w:rPr>
                <w:bCs/>
                <w:color w:val="auto"/>
                <w:sz w:val="20"/>
                <w:szCs w:val="20"/>
              </w:rPr>
            </w:pPr>
            <w:r>
              <w:rPr>
                <w:bCs/>
                <w:color w:val="auto"/>
                <w:sz w:val="20"/>
                <w:szCs w:val="20"/>
              </w:rPr>
              <w:t>6</w:t>
            </w:r>
            <w:r w:rsidR="004D079A" w:rsidRPr="008224F9">
              <w:rPr>
                <w:bCs/>
                <w:color w:val="auto"/>
                <w:sz w:val="20"/>
                <w:szCs w:val="20"/>
              </w:rPr>
              <w:t>.a Submit amendments to WRPs to the Commonwealth for approval where state water planning frameworks in WRPs become inconsistent with the Basin Plan</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8A8344" w14:textId="4E8C1858"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DAA60A" w14:textId="039BC0D9"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64E5DA31" w14:textId="77777777" w:rsidTr="00744D35">
        <w:tc>
          <w:tcPr>
            <w:tcW w:w="1571" w:type="dxa"/>
            <w:vMerge/>
            <w:tcBorders>
              <w:left w:val="single" w:sz="8" w:space="0" w:color="4F81BD"/>
              <w:right w:val="single" w:sz="8" w:space="0" w:color="4F81BD"/>
            </w:tcBorders>
            <w:shd w:val="clear" w:color="auto" w:fill="F2F2F2" w:themeFill="background1" w:themeFillShade="F2"/>
          </w:tcPr>
          <w:p w14:paraId="45F6D373" w14:textId="77777777" w:rsidR="004D079A" w:rsidRPr="004C4B9D" w:rsidRDefault="004D079A" w:rsidP="004D079A">
            <w:pPr>
              <w:pStyle w:val="Tableformat"/>
              <w:rPr>
                <w:bCs/>
                <w:color w:val="auto"/>
                <w:sz w:val="20"/>
                <w:szCs w:val="20"/>
              </w:rPr>
            </w:pPr>
          </w:p>
        </w:tc>
        <w:tc>
          <w:tcPr>
            <w:tcW w:w="2566" w:type="dxa"/>
            <w:vMerge w:val="restart"/>
            <w:tcBorders>
              <w:top w:val="single" w:sz="8" w:space="0" w:color="4F81BD"/>
              <w:left w:val="single" w:sz="8" w:space="0" w:color="4F81BD"/>
              <w:right w:val="single" w:sz="8" w:space="0" w:color="4F81BD"/>
            </w:tcBorders>
            <w:shd w:val="clear" w:color="auto" w:fill="F2F2F2" w:themeFill="background1" w:themeFillShade="F2"/>
          </w:tcPr>
          <w:p w14:paraId="291AC77C" w14:textId="400E40D5" w:rsidR="004D079A" w:rsidRPr="004C4B9D" w:rsidRDefault="0056691D" w:rsidP="0056691D">
            <w:pPr>
              <w:pStyle w:val="Tableformat"/>
              <w:rPr>
                <w:bCs/>
                <w:color w:val="auto"/>
                <w:sz w:val="20"/>
                <w:szCs w:val="20"/>
              </w:rPr>
            </w:pPr>
            <w:r>
              <w:rPr>
                <w:bCs/>
                <w:color w:val="auto"/>
                <w:sz w:val="20"/>
                <w:szCs w:val="20"/>
              </w:rPr>
              <w:t>7</w:t>
            </w:r>
            <w:r w:rsidR="004D079A">
              <w:rPr>
                <w:bCs/>
                <w:color w:val="auto"/>
                <w:sz w:val="20"/>
                <w:szCs w:val="20"/>
              </w:rPr>
              <w:t xml:space="preserve">. </w:t>
            </w:r>
            <w:r w:rsidR="004D079A" w:rsidRPr="004C4B9D">
              <w:rPr>
                <w:bCs/>
                <w:color w:val="auto"/>
                <w:sz w:val="20"/>
                <w:szCs w:val="20"/>
              </w:rPr>
              <w:t>Deliver required Basin Plan monitoring, evaluation, science and reporting.</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639852" w14:textId="3A3A207F" w:rsidR="004D079A" w:rsidRPr="004C4B9D" w:rsidRDefault="0056691D" w:rsidP="0056691D">
            <w:pPr>
              <w:pStyle w:val="Tableformat"/>
              <w:rPr>
                <w:bCs/>
                <w:color w:val="auto"/>
                <w:sz w:val="20"/>
                <w:szCs w:val="20"/>
              </w:rPr>
            </w:pPr>
            <w:r>
              <w:rPr>
                <w:bCs/>
                <w:color w:val="auto"/>
                <w:sz w:val="20"/>
                <w:szCs w:val="20"/>
              </w:rPr>
              <w:t>7</w:t>
            </w:r>
            <w:r w:rsidR="004D079A">
              <w:rPr>
                <w:bCs/>
                <w:color w:val="auto"/>
                <w:sz w:val="20"/>
                <w:szCs w:val="20"/>
              </w:rPr>
              <w:t xml:space="preserve">.a </w:t>
            </w:r>
            <w:r w:rsidR="004D079A" w:rsidRPr="004C4B9D">
              <w:rPr>
                <w:bCs/>
                <w:color w:val="auto"/>
                <w:sz w:val="20"/>
                <w:szCs w:val="20"/>
              </w:rPr>
              <w:t>Deliver Basin Plan reporting under Schedule 12, including reporting under Matters 8, 12, 18 and 19</w:t>
            </w:r>
            <w:r w:rsidR="00A208DF">
              <w:rPr>
                <w:bCs/>
                <w:color w:val="auto"/>
                <w:sz w:val="20"/>
                <w:szCs w:val="20"/>
              </w:rPr>
              <w:t xml:space="preserve"> and 21 (compliance with water resource plans, such as but not limited to Part</w:t>
            </w:r>
            <w:r w:rsidR="00DD072F">
              <w:rPr>
                <w:bCs/>
                <w:color w:val="auto"/>
                <w:sz w:val="20"/>
                <w:szCs w:val="20"/>
              </w:rPr>
              <w:t>s</w:t>
            </w:r>
            <w:r w:rsidR="00A208DF">
              <w:rPr>
                <w:bCs/>
                <w:color w:val="auto"/>
                <w:sz w:val="20"/>
                <w:szCs w:val="20"/>
              </w:rPr>
              <w:t xml:space="preserve"> 4, 6, 14)</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D74514" w14:textId="560C4D13"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81C816" w14:textId="3167B164" w:rsidR="004D079A" w:rsidRPr="004C4B9D" w:rsidRDefault="004D079A">
            <w:pPr>
              <w:pStyle w:val="Tableformat"/>
              <w:rPr>
                <w:bCs/>
                <w:color w:val="auto"/>
                <w:sz w:val="20"/>
                <w:szCs w:val="20"/>
              </w:rPr>
            </w:pPr>
            <w:r>
              <w:rPr>
                <w:bCs/>
                <w:color w:val="auto"/>
                <w:sz w:val="20"/>
                <w:szCs w:val="20"/>
              </w:rPr>
              <w:t>$</w:t>
            </w:r>
            <w:r w:rsidR="00AB0C8D">
              <w:rPr>
                <w:bCs/>
                <w:color w:val="auto"/>
                <w:sz w:val="20"/>
                <w:szCs w:val="20"/>
              </w:rPr>
              <w:t>338,310</w:t>
            </w:r>
          </w:p>
        </w:tc>
      </w:tr>
      <w:tr w:rsidR="004D079A" w:rsidRPr="004C4B9D" w14:paraId="3D8A0B88" w14:textId="77777777" w:rsidTr="00744D35">
        <w:tc>
          <w:tcPr>
            <w:tcW w:w="1571" w:type="dxa"/>
            <w:vMerge/>
            <w:tcBorders>
              <w:left w:val="single" w:sz="8" w:space="0" w:color="4F81BD"/>
              <w:right w:val="single" w:sz="8" w:space="0" w:color="4F81BD"/>
            </w:tcBorders>
            <w:shd w:val="clear" w:color="auto" w:fill="F2F2F2" w:themeFill="background1" w:themeFillShade="F2"/>
          </w:tcPr>
          <w:p w14:paraId="60F080B6" w14:textId="77777777" w:rsidR="004D079A" w:rsidRPr="004C4B9D" w:rsidRDefault="004D079A" w:rsidP="004D079A">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0586AA13" w14:textId="77777777" w:rsidR="004D079A" w:rsidRPr="004C4B9D"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375A38" w14:textId="3B099BDA" w:rsidR="004D079A" w:rsidRPr="004C4B9D" w:rsidRDefault="0056691D" w:rsidP="0056691D">
            <w:pPr>
              <w:pStyle w:val="Tableformat"/>
              <w:rPr>
                <w:bCs/>
                <w:color w:val="auto"/>
                <w:sz w:val="20"/>
                <w:szCs w:val="20"/>
              </w:rPr>
            </w:pPr>
            <w:r>
              <w:rPr>
                <w:bCs/>
                <w:color w:val="auto"/>
                <w:sz w:val="20"/>
                <w:szCs w:val="20"/>
              </w:rPr>
              <w:t>7</w:t>
            </w:r>
            <w:r w:rsidR="004D079A">
              <w:rPr>
                <w:bCs/>
                <w:color w:val="auto"/>
                <w:sz w:val="20"/>
                <w:szCs w:val="20"/>
              </w:rPr>
              <w:t xml:space="preserve">.b </w:t>
            </w:r>
            <w:r w:rsidR="004D079A" w:rsidRPr="004C4B9D">
              <w:rPr>
                <w:bCs/>
                <w:color w:val="auto"/>
                <w:sz w:val="20"/>
                <w:szCs w:val="20"/>
              </w:rPr>
              <w:t xml:space="preserve">Deliver on </w:t>
            </w:r>
            <w:r w:rsidR="004D079A">
              <w:rPr>
                <w:bCs/>
                <w:color w:val="auto"/>
                <w:sz w:val="20"/>
                <w:szCs w:val="20"/>
              </w:rPr>
              <w:t xml:space="preserve">agreed </w:t>
            </w:r>
            <w:r w:rsidR="004D079A"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4D079A" w:rsidRPr="004C4B9D">
              <w:rPr>
                <w:bCs/>
                <w:color w:val="auto"/>
                <w:sz w:val="20"/>
                <w:szCs w:val="20"/>
              </w:rPr>
              <w:t xml:space="preserve"> as endorsed by BOCA.</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8CDC7A" w14:textId="5A717937"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F30EC3" w14:textId="539FAB52" w:rsidR="004D079A" w:rsidRPr="004C4B9D" w:rsidRDefault="004D079A">
            <w:pPr>
              <w:pStyle w:val="Tableformat"/>
              <w:rPr>
                <w:bCs/>
                <w:color w:val="auto"/>
                <w:sz w:val="20"/>
                <w:szCs w:val="20"/>
              </w:rPr>
            </w:pPr>
            <w:r>
              <w:rPr>
                <w:bCs/>
                <w:color w:val="auto"/>
                <w:sz w:val="20"/>
                <w:szCs w:val="20"/>
              </w:rPr>
              <w:t>$</w:t>
            </w:r>
            <w:r w:rsidR="00AB0C8D">
              <w:rPr>
                <w:bCs/>
                <w:color w:val="auto"/>
                <w:sz w:val="20"/>
                <w:szCs w:val="20"/>
              </w:rPr>
              <w:t>338,310</w:t>
            </w:r>
          </w:p>
        </w:tc>
      </w:tr>
      <w:tr w:rsidR="004D079A" w:rsidRPr="004C4B9D" w14:paraId="1B96FD1E" w14:textId="77777777" w:rsidTr="00744D35">
        <w:tc>
          <w:tcPr>
            <w:tcW w:w="1571" w:type="dxa"/>
            <w:vMerge w:val="restart"/>
            <w:tcBorders>
              <w:top w:val="single" w:sz="8" w:space="0" w:color="4F81BD"/>
              <w:left w:val="single" w:sz="8" w:space="0" w:color="4F81BD"/>
              <w:right w:val="single" w:sz="8" w:space="0" w:color="4F81BD"/>
            </w:tcBorders>
            <w:shd w:val="clear" w:color="auto" w:fill="F2F2F2" w:themeFill="background1" w:themeFillShade="F2"/>
          </w:tcPr>
          <w:p w14:paraId="00797134" w14:textId="0461CB7B" w:rsidR="004D079A" w:rsidRPr="004C4B9D" w:rsidRDefault="004D079A" w:rsidP="004D079A">
            <w:pPr>
              <w:pStyle w:val="Tableformat"/>
              <w:rPr>
                <w:bCs/>
                <w:color w:val="auto"/>
                <w:sz w:val="20"/>
                <w:szCs w:val="20"/>
              </w:rPr>
            </w:pPr>
            <w:r w:rsidRPr="004C4B9D">
              <w:rPr>
                <w:bCs/>
                <w:color w:val="auto"/>
                <w:sz w:val="20"/>
                <w:szCs w:val="20"/>
              </w:rPr>
              <w:t>Water market improvement</w:t>
            </w: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F88FB6" w14:textId="44816B29" w:rsidR="004D079A" w:rsidRPr="004C4B9D" w:rsidRDefault="00AB0C8D">
            <w:pPr>
              <w:pStyle w:val="Tableformat"/>
              <w:rPr>
                <w:bCs/>
                <w:color w:val="auto"/>
                <w:sz w:val="20"/>
                <w:szCs w:val="20"/>
              </w:rPr>
            </w:pPr>
            <w:r>
              <w:rPr>
                <w:bCs/>
                <w:color w:val="auto"/>
                <w:sz w:val="20"/>
                <w:szCs w:val="20"/>
              </w:rPr>
              <w:t>8</w:t>
            </w:r>
            <w:r w:rsidR="004D079A">
              <w:rPr>
                <w:bCs/>
                <w:color w:val="auto"/>
                <w:sz w:val="20"/>
                <w:szCs w:val="20"/>
              </w:rPr>
              <w:t xml:space="preserve">. </w:t>
            </w:r>
            <w:r w:rsidR="004D079A" w:rsidRPr="004C4B9D">
              <w:rPr>
                <w:bCs/>
                <w:color w:val="auto"/>
                <w:sz w:val="20"/>
                <w:szCs w:val="20"/>
              </w:rPr>
              <w:t>Improve water market trading arrangements across the Basin.</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AE1F52" w14:textId="561758E2" w:rsidR="004D079A" w:rsidRPr="004C4B9D" w:rsidRDefault="00AB0C8D">
            <w:pPr>
              <w:pStyle w:val="Tableformat"/>
              <w:rPr>
                <w:bCs/>
                <w:color w:val="auto"/>
                <w:sz w:val="20"/>
                <w:szCs w:val="20"/>
              </w:rPr>
            </w:pPr>
            <w:r>
              <w:rPr>
                <w:bCs/>
                <w:color w:val="auto"/>
                <w:sz w:val="20"/>
                <w:szCs w:val="20"/>
              </w:rPr>
              <w:t>8</w:t>
            </w:r>
            <w:r w:rsidR="004D079A" w:rsidRPr="008224F9">
              <w:rPr>
                <w:bCs/>
                <w:color w:val="auto"/>
                <w:sz w:val="20"/>
                <w:szCs w:val="20"/>
              </w:rPr>
              <w:t>.</w:t>
            </w:r>
            <w:r w:rsidR="00FE16ED">
              <w:rPr>
                <w:bCs/>
                <w:color w:val="auto"/>
                <w:sz w:val="20"/>
                <w:szCs w:val="20"/>
              </w:rPr>
              <w:t>a</w:t>
            </w:r>
            <w:r w:rsidR="00FE16ED" w:rsidRPr="008224F9">
              <w:rPr>
                <w:bCs/>
                <w:color w:val="auto"/>
                <w:sz w:val="20"/>
                <w:szCs w:val="20"/>
              </w:rPr>
              <w:t xml:space="preserve"> </w:t>
            </w:r>
            <w:r w:rsidR="004D079A" w:rsidRPr="008224F9">
              <w:rPr>
                <w:bCs/>
                <w:color w:val="auto"/>
                <w:sz w:val="20"/>
                <w:szCs w:val="20"/>
              </w:rPr>
              <w:t>Implement agreed projects and programs arising from a finalised road map for Murray-Darling Basin water market reform</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F468CD" w14:textId="294C878C"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655C6A" w14:textId="58B9AC0B"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26DBEF8F" w14:textId="77777777" w:rsidTr="00744D35">
        <w:tc>
          <w:tcPr>
            <w:tcW w:w="1571" w:type="dxa"/>
            <w:vMerge/>
            <w:tcBorders>
              <w:left w:val="single" w:sz="8" w:space="0" w:color="4F81BD"/>
              <w:right w:val="single" w:sz="8" w:space="0" w:color="4F81BD"/>
            </w:tcBorders>
            <w:shd w:val="clear" w:color="auto" w:fill="F2F2F2" w:themeFill="background1" w:themeFillShade="F2"/>
          </w:tcPr>
          <w:p w14:paraId="0A791AA1" w14:textId="77777777" w:rsidR="004D079A" w:rsidRPr="004C4B9D" w:rsidRDefault="004D079A" w:rsidP="004D079A">
            <w:pPr>
              <w:pStyle w:val="Tableformat"/>
              <w:rPr>
                <w:bCs/>
                <w:color w:val="auto"/>
                <w:sz w:val="20"/>
                <w:szCs w:val="20"/>
              </w:rPr>
            </w:pPr>
          </w:p>
        </w:tc>
        <w:tc>
          <w:tcPr>
            <w:tcW w:w="2566" w:type="dxa"/>
            <w:vMerge w:val="restart"/>
            <w:tcBorders>
              <w:top w:val="single" w:sz="8" w:space="0" w:color="4F81BD"/>
              <w:left w:val="single" w:sz="8" w:space="0" w:color="4F81BD"/>
              <w:right w:val="single" w:sz="8" w:space="0" w:color="4F81BD"/>
            </w:tcBorders>
            <w:shd w:val="clear" w:color="auto" w:fill="F2F2F2" w:themeFill="background1" w:themeFillShade="F2"/>
          </w:tcPr>
          <w:p w14:paraId="62FF44D7" w14:textId="4764A8C3" w:rsidR="004D079A" w:rsidRPr="004C4B9D" w:rsidRDefault="00AB0C8D">
            <w:pPr>
              <w:pStyle w:val="Tableformat"/>
              <w:rPr>
                <w:bCs/>
                <w:color w:val="auto"/>
                <w:sz w:val="20"/>
                <w:szCs w:val="20"/>
              </w:rPr>
            </w:pPr>
            <w:r>
              <w:rPr>
                <w:bCs/>
                <w:color w:val="auto"/>
                <w:sz w:val="20"/>
                <w:szCs w:val="20"/>
              </w:rPr>
              <w:t>9</w:t>
            </w:r>
            <w:r w:rsidR="004D079A">
              <w:rPr>
                <w:bCs/>
                <w:color w:val="auto"/>
                <w:sz w:val="20"/>
                <w:szCs w:val="20"/>
              </w:rPr>
              <w:t xml:space="preserve">. </w:t>
            </w:r>
            <w:r w:rsidR="004D079A" w:rsidRPr="004C4B9D">
              <w:rPr>
                <w:bCs/>
                <w:color w:val="auto"/>
                <w:sz w:val="20"/>
                <w:szCs w:val="20"/>
              </w:rPr>
              <w:t>Establish two-way entitlement and allocation trade between the ACT and NSW, to ensure protection of future environmental water downstream from the ACT.</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600C857" w14:textId="28E6FEE7" w:rsidR="004D079A" w:rsidRPr="004C4B9D" w:rsidRDefault="00AB0C8D">
            <w:pPr>
              <w:pStyle w:val="Tableformat"/>
              <w:rPr>
                <w:bCs/>
                <w:color w:val="auto"/>
                <w:sz w:val="20"/>
                <w:szCs w:val="20"/>
              </w:rPr>
            </w:pPr>
            <w:r>
              <w:rPr>
                <w:bCs/>
                <w:color w:val="auto"/>
                <w:sz w:val="20"/>
                <w:szCs w:val="20"/>
              </w:rPr>
              <w:t>9</w:t>
            </w:r>
            <w:r w:rsidR="004D079A" w:rsidRPr="008224F9">
              <w:rPr>
                <w:bCs/>
                <w:color w:val="auto"/>
                <w:sz w:val="20"/>
                <w:szCs w:val="20"/>
              </w:rPr>
              <w:t>.a Implement the agreed work plan to establish a transfer and trade mechanism with the ACT, noting that establishment of this mechanism is to be in accordance with the principles agreed on 01/09/2021</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12A273" w14:textId="21A4E7F6"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EEDE88" w14:textId="40CD9AFE"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2C8B54B8" w14:textId="77777777" w:rsidTr="00744D35">
        <w:tc>
          <w:tcPr>
            <w:tcW w:w="1571" w:type="dxa"/>
            <w:vMerge/>
            <w:tcBorders>
              <w:left w:val="single" w:sz="8" w:space="0" w:color="4F81BD"/>
              <w:bottom w:val="single" w:sz="8" w:space="0" w:color="4F81BD"/>
              <w:right w:val="single" w:sz="8" w:space="0" w:color="4F81BD"/>
            </w:tcBorders>
            <w:shd w:val="clear" w:color="auto" w:fill="F2F2F2" w:themeFill="background1" w:themeFillShade="F2"/>
          </w:tcPr>
          <w:p w14:paraId="5E8206DB" w14:textId="77777777" w:rsidR="004D079A" w:rsidRPr="004C4B9D" w:rsidRDefault="004D079A" w:rsidP="004D079A">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3D4DEB75" w14:textId="77777777" w:rsidR="004D079A" w:rsidRPr="004C4B9D"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4EB08E" w14:textId="5B06224E" w:rsidR="004D079A" w:rsidRPr="004C4B9D" w:rsidRDefault="00AB0C8D">
            <w:pPr>
              <w:pStyle w:val="Tableformat"/>
              <w:rPr>
                <w:bCs/>
                <w:color w:val="auto"/>
                <w:sz w:val="20"/>
                <w:szCs w:val="20"/>
              </w:rPr>
            </w:pPr>
            <w:r>
              <w:rPr>
                <w:bCs/>
                <w:color w:val="auto"/>
                <w:sz w:val="20"/>
                <w:szCs w:val="20"/>
              </w:rPr>
              <w:t>9</w:t>
            </w:r>
            <w:r w:rsidR="004D079A" w:rsidRPr="008224F9">
              <w:rPr>
                <w:bCs/>
                <w:color w:val="auto"/>
                <w:sz w:val="20"/>
                <w:szCs w:val="20"/>
              </w:rPr>
              <w:t xml:space="preserve">.b </w:t>
            </w:r>
            <w:r w:rsidR="00F523C4">
              <w:rPr>
                <w:bCs/>
                <w:color w:val="auto"/>
                <w:sz w:val="20"/>
                <w:szCs w:val="20"/>
              </w:rPr>
              <w:t>Trial, test and e</w:t>
            </w:r>
            <w:r w:rsidR="004D079A" w:rsidRPr="008224F9">
              <w:rPr>
                <w:bCs/>
                <w:color w:val="auto"/>
                <w:sz w:val="20"/>
                <w:szCs w:val="20"/>
              </w:rPr>
              <w:t>stablish the transfer and trade mechanism with the ACT developed in accordance with the principles agreed on 01/09/2021</w:t>
            </w:r>
            <w:r w:rsidR="004D079A" w:rsidRPr="004C4B9D">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2D83B9B" w14:textId="5ABDD1B0"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73AB9B" w14:textId="155EECDF"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4B94349A" w14:textId="77777777" w:rsidTr="00744D35">
        <w:tc>
          <w:tcPr>
            <w:tcW w:w="1571" w:type="dxa"/>
            <w:vMerge w:val="restart"/>
            <w:tcBorders>
              <w:top w:val="single" w:sz="8" w:space="0" w:color="4F81BD"/>
              <w:left w:val="single" w:sz="8" w:space="0" w:color="4F81BD"/>
              <w:right w:val="single" w:sz="8" w:space="0" w:color="4F81BD"/>
            </w:tcBorders>
            <w:shd w:val="clear" w:color="auto" w:fill="F2F2F2" w:themeFill="background1" w:themeFillShade="F2"/>
          </w:tcPr>
          <w:p w14:paraId="0635762C" w14:textId="5F307AE0" w:rsidR="004D079A" w:rsidRPr="004C4B9D" w:rsidRDefault="004D079A" w:rsidP="004D079A">
            <w:pPr>
              <w:pStyle w:val="Tableformat"/>
              <w:rPr>
                <w:bCs/>
                <w:color w:val="auto"/>
                <w:sz w:val="20"/>
                <w:szCs w:val="20"/>
              </w:rPr>
            </w:pPr>
            <w:r w:rsidRPr="004C4B9D">
              <w:rPr>
                <w:bCs/>
                <w:color w:val="auto"/>
                <w:sz w:val="20"/>
                <w:szCs w:val="20"/>
              </w:rPr>
              <w:t>Improved compliance and reporting</w:t>
            </w: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032EDB" w14:textId="0EF63014" w:rsidR="004D079A" w:rsidRPr="004C4B9D" w:rsidRDefault="00AB0C8D">
            <w:pPr>
              <w:pStyle w:val="Tableformat"/>
              <w:rPr>
                <w:bCs/>
                <w:color w:val="auto"/>
                <w:sz w:val="20"/>
                <w:szCs w:val="20"/>
              </w:rPr>
            </w:pPr>
            <w:r>
              <w:rPr>
                <w:bCs/>
                <w:color w:val="auto"/>
                <w:sz w:val="20"/>
                <w:szCs w:val="20"/>
              </w:rPr>
              <w:t>10</w:t>
            </w:r>
            <w:r w:rsidR="004D079A">
              <w:rPr>
                <w:bCs/>
                <w:color w:val="auto"/>
                <w:sz w:val="20"/>
                <w:szCs w:val="20"/>
              </w:rPr>
              <w:t xml:space="preserve">. </w:t>
            </w:r>
            <w:r w:rsidR="004D079A" w:rsidRPr="004C4B9D">
              <w:rPr>
                <w:bCs/>
                <w:color w:val="auto"/>
                <w:sz w:val="20"/>
                <w:szCs w:val="20"/>
              </w:rPr>
              <w:t xml:space="preserve">Implement revised Metrological Assurance Framework (MAF2) </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295C3B" w14:textId="385DFA8C" w:rsidR="004D079A" w:rsidRPr="004C4B9D" w:rsidRDefault="00AB0C8D">
            <w:pPr>
              <w:pStyle w:val="Tableformat"/>
              <w:rPr>
                <w:bCs/>
                <w:color w:val="auto"/>
                <w:sz w:val="20"/>
                <w:szCs w:val="20"/>
              </w:rPr>
            </w:pPr>
            <w:r>
              <w:rPr>
                <w:bCs/>
                <w:color w:val="auto"/>
                <w:sz w:val="20"/>
                <w:szCs w:val="20"/>
              </w:rPr>
              <w:t>10</w:t>
            </w:r>
            <w:r w:rsidR="004D079A" w:rsidRPr="008224F9">
              <w:rPr>
                <w:bCs/>
                <w:color w:val="auto"/>
                <w:sz w:val="20"/>
                <w:szCs w:val="20"/>
              </w:rPr>
              <w:t>.</w:t>
            </w:r>
            <w:r w:rsidR="00FE16ED">
              <w:rPr>
                <w:bCs/>
                <w:color w:val="auto"/>
                <w:sz w:val="20"/>
                <w:szCs w:val="20"/>
              </w:rPr>
              <w:t>a</w:t>
            </w:r>
            <w:r w:rsidR="00FE16ED" w:rsidRPr="008224F9">
              <w:rPr>
                <w:bCs/>
                <w:color w:val="auto"/>
                <w:sz w:val="20"/>
                <w:szCs w:val="20"/>
              </w:rPr>
              <w:t xml:space="preserve"> </w:t>
            </w:r>
            <w:r w:rsidR="004D079A" w:rsidRPr="008224F9">
              <w:rPr>
                <w:bCs/>
                <w:color w:val="auto"/>
                <w:sz w:val="20"/>
                <w:szCs w:val="20"/>
              </w:rPr>
              <w:t>Progress the integration of MAF2 requirements into the state’s metering compliance plan/policy in accordance with the implementation pla</w:t>
            </w:r>
            <w:r w:rsidR="004D079A">
              <w:rPr>
                <w:bCs/>
                <w:color w:val="auto"/>
                <w:sz w:val="20"/>
                <w:szCs w:val="20"/>
              </w:rPr>
              <w:t>n</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C400A7" w14:textId="6CC36A3E"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59C980" w14:textId="0861A02F"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176C1311" w14:textId="77777777" w:rsidTr="006F3A9B">
        <w:tc>
          <w:tcPr>
            <w:tcW w:w="1571" w:type="dxa"/>
            <w:vMerge/>
            <w:tcBorders>
              <w:left w:val="single" w:sz="8" w:space="0" w:color="4F81BD"/>
              <w:right w:val="single" w:sz="8" w:space="0" w:color="4F81BD"/>
            </w:tcBorders>
            <w:shd w:val="clear" w:color="auto" w:fill="F2F2F2" w:themeFill="background1" w:themeFillShade="F2"/>
          </w:tcPr>
          <w:p w14:paraId="3ED82DF8" w14:textId="77777777" w:rsidR="004D079A" w:rsidRPr="004C4B9D" w:rsidRDefault="004D079A" w:rsidP="004D079A">
            <w:pPr>
              <w:pStyle w:val="Tableformat"/>
              <w:rPr>
                <w:bCs/>
                <w:color w:val="auto"/>
                <w:sz w:val="20"/>
                <w:szCs w:val="20"/>
              </w:rPr>
            </w:pPr>
          </w:p>
        </w:tc>
        <w:tc>
          <w:tcPr>
            <w:tcW w:w="2566" w:type="dxa"/>
            <w:vMerge w:val="restart"/>
            <w:tcBorders>
              <w:top w:val="single" w:sz="8" w:space="0" w:color="4F81BD"/>
              <w:left w:val="single" w:sz="8" w:space="0" w:color="4F81BD"/>
              <w:right w:val="single" w:sz="8" w:space="0" w:color="4F81BD"/>
            </w:tcBorders>
            <w:shd w:val="clear" w:color="auto" w:fill="F2F2F2" w:themeFill="background1" w:themeFillShade="F2"/>
          </w:tcPr>
          <w:p w14:paraId="066867CD" w14:textId="74EB1374" w:rsidR="004D079A" w:rsidRPr="004C4B9D" w:rsidRDefault="00AB0C8D">
            <w:pPr>
              <w:pStyle w:val="Tableformat"/>
              <w:rPr>
                <w:bCs/>
                <w:color w:val="auto"/>
                <w:sz w:val="20"/>
                <w:szCs w:val="20"/>
              </w:rPr>
            </w:pPr>
            <w:r>
              <w:rPr>
                <w:bCs/>
                <w:color w:val="auto"/>
                <w:sz w:val="20"/>
                <w:szCs w:val="20"/>
              </w:rPr>
              <w:t>11</w:t>
            </w:r>
            <w:r w:rsidR="004D079A">
              <w:rPr>
                <w:bCs/>
                <w:color w:val="auto"/>
                <w:sz w:val="20"/>
                <w:szCs w:val="20"/>
              </w:rPr>
              <w:t xml:space="preserve">. </w:t>
            </w:r>
            <w:r w:rsidR="004D079A" w:rsidRPr="001920CF">
              <w:rPr>
                <w:bCs/>
                <w:color w:val="auto"/>
                <w:sz w:val="20"/>
                <w:szCs w:val="20"/>
              </w:rPr>
              <w:t>Work with the Inspector General of Water Compliance (IGWC) to provide clear compliance arrangements and reporting in the Murray-Darling Basin.</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62DBBE" w14:textId="2E9332BA" w:rsidR="004D079A" w:rsidRPr="004C4B9D" w:rsidRDefault="00AB0C8D">
            <w:pPr>
              <w:pStyle w:val="Tableformat"/>
              <w:rPr>
                <w:bCs/>
                <w:color w:val="auto"/>
                <w:sz w:val="20"/>
                <w:szCs w:val="20"/>
              </w:rPr>
            </w:pPr>
            <w:r>
              <w:rPr>
                <w:bCs/>
                <w:color w:val="auto"/>
                <w:sz w:val="20"/>
                <w:szCs w:val="20"/>
              </w:rPr>
              <w:t>11</w:t>
            </w:r>
            <w:r w:rsidR="004D079A" w:rsidRPr="008224F9">
              <w:rPr>
                <w:bCs/>
                <w:color w:val="auto"/>
                <w:sz w:val="20"/>
                <w:szCs w:val="20"/>
              </w:rPr>
              <w:t>.</w:t>
            </w:r>
            <w:r w:rsidR="0056691D">
              <w:rPr>
                <w:bCs/>
                <w:color w:val="auto"/>
                <w:sz w:val="20"/>
                <w:szCs w:val="20"/>
              </w:rPr>
              <w:t>a</w:t>
            </w:r>
            <w:r w:rsidR="0056691D" w:rsidRPr="008224F9">
              <w:rPr>
                <w:bCs/>
                <w:color w:val="auto"/>
                <w:sz w:val="20"/>
                <w:szCs w:val="20"/>
              </w:rPr>
              <w:t xml:space="preserve"> </w:t>
            </w:r>
            <w:r w:rsidR="004D079A" w:rsidRPr="008224F9">
              <w:rPr>
                <w:bCs/>
                <w:color w:val="auto"/>
                <w:sz w:val="20"/>
                <w:szCs w:val="20"/>
              </w:rPr>
              <w:t>Provide input to the IGWC on the development of standards and guidelines</w:t>
            </w:r>
            <w:r w:rsidR="004D079A" w:rsidRPr="004C4B9D">
              <w:rPr>
                <w:bCs/>
                <w:color w:val="auto"/>
                <w:sz w:val="20"/>
                <w:szCs w:val="20"/>
              </w:rPr>
              <w:t xml:space="preserve">. </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94F1AC" w14:textId="587C7B87"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0831D2" w14:textId="600DD459"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26D4FF51" w14:textId="77777777" w:rsidTr="006F3A9B">
        <w:tc>
          <w:tcPr>
            <w:tcW w:w="1571" w:type="dxa"/>
            <w:vMerge/>
            <w:tcBorders>
              <w:left w:val="single" w:sz="8" w:space="0" w:color="4F81BD"/>
              <w:right w:val="single" w:sz="8" w:space="0" w:color="4F81BD"/>
            </w:tcBorders>
            <w:shd w:val="clear" w:color="auto" w:fill="F2F2F2" w:themeFill="background1" w:themeFillShade="F2"/>
          </w:tcPr>
          <w:p w14:paraId="1FFD0D21" w14:textId="77777777" w:rsidR="004D079A" w:rsidRPr="004C4B9D" w:rsidRDefault="004D079A" w:rsidP="004D079A">
            <w:pPr>
              <w:pStyle w:val="Tableformat"/>
              <w:rPr>
                <w:bCs/>
                <w:color w:val="auto"/>
                <w:sz w:val="20"/>
                <w:szCs w:val="20"/>
              </w:rPr>
            </w:pPr>
          </w:p>
        </w:tc>
        <w:tc>
          <w:tcPr>
            <w:tcW w:w="2566" w:type="dxa"/>
            <w:vMerge/>
            <w:tcBorders>
              <w:left w:val="single" w:sz="8" w:space="0" w:color="4F81BD"/>
              <w:right w:val="single" w:sz="8" w:space="0" w:color="4F81BD"/>
            </w:tcBorders>
            <w:shd w:val="clear" w:color="auto" w:fill="F2F2F2" w:themeFill="background1" w:themeFillShade="F2"/>
          </w:tcPr>
          <w:p w14:paraId="49ED7FA8" w14:textId="77777777" w:rsidR="004D079A" w:rsidRPr="001920CF" w:rsidRDefault="004D079A" w:rsidP="004D079A">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47339D" w14:textId="67811D40" w:rsidR="004D079A" w:rsidRPr="004C4B9D" w:rsidRDefault="00AB0C8D">
            <w:pPr>
              <w:pStyle w:val="Tableformat"/>
              <w:rPr>
                <w:bCs/>
                <w:color w:val="auto"/>
                <w:sz w:val="20"/>
                <w:szCs w:val="20"/>
              </w:rPr>
            </w:pPr>
            <w:r>
              <w:rPr>
                <w:bCs/>
                <w:color w:val="auto"/>
                <w:sz w:val="20"/>
                <w:szCs w:val="20"/>
              </w:rPr>
              <w:t>11</w:t>
            </w:r>
            <w:r w:rsidR="0056691D">
              <w:rPr>
                <w:bCs/>
                <w:color w:val="auto"/>
                <w:sz w:val="20"/>
                <w:szCs w:val="20"/>
              </w:rPr>
              <w:t>.b</w:t>
            </w:r>
            <w:r w:rsidR="004D079A" w:rsidRPr="008224F9">
              <w:rPr>
                <w:bCs/>
                <w:color w:val="auto"/>
                <w:sz w:val="20"/>
                <w:szCs w:val="20"/>
              </w:rPr>
              <w:t xml:space="preserve"> Report to the IGWC against MAF2 Chapter 15 at least annually or in accordance with IGWC guidelines</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93D0DF" w14:textId="4F550689" w:rsidR="004D079A"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C0D5C0" w14:textId="5F4C1104" w:rsidR="004D079A"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366BC990" w14:textId="77777777" w:rsidTr="006F3A9B">
        <w:tc>
          <w:tcPr>
            <w:tcW w:w="1571" w:type="dxa"/>
            <w:vMerge/>
            <w:tcBorders>
              <w:left w:val="single" w:sz="8" w:space="0" w:color="4F81BD"/>
              <w:right w:val="single" w:sz="8" w:space="0" w:color="4F81BD"/>
            </w:tcBorders>
            <w:shd w:val="clear" w:color="auto" w:fill="F2F2F2" w:themeFill="background1" w:themeFillShade="F2"/>
          </w:tcPr>
          <w:p w14:paraId="1ACA81E0" w14:textId="77777777" w:rsidR="004D079A" w:rsidRPr="004C4B9D" w:rsidRDefault="004D079A" w:rsidP="001920CF">
            <w:pPr>
              <w:pStyle w:val="Tableformat"/>
              <w:rPr>
                <w:bCs/>
                <w:color w:val="auto"/>
                <w:sz w:val="20"/>
                <w:szCs w:val="20"/>
              </w:rPr>
            </w:pPr>
          </w:p>
        </w:tc>
        <w:tc>
          <w:tcPr>
            <w:tcW w:w="2566" w:type="dxa"/>
            <w:vMerge/>
            <w:tcBorders>
              <w:left w:val="single" w:sz="8" w:space="0" w:color="4F81BD"/>
              <w:bottom w:val="single" w:sz="8" w:space="0" w:color="4F81BD"/>
              <w:right w:val="single" w:sz="8" w:space="0" w:color="4F81BD"/>
            </w:tcBorders>
            <w:shd w:val="clear" w:color="auto" w:fill="F2F2F2" w:themeFill="background1" w:themeFillShade="F2"/>
          </w:tcPr>
          <w:p w14:paraId="65E53C39" w14:textId="77777777" w:rsidR="004D079A" w:rsidRPr="001920CF" w:rsidRDefault="004D079A" w:rsidP="001920CF">
            <w:pPr>
              <w:pStyle w:val="Tableformat"/>
              <w:rPr>
                <w:bCs/>
                <w:color w:val="auto"/>
                <w:sz w:val="20"/>
                <w:szCs w:val="20"/>
              </w:rPr>
            </w:pP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444C59" w14:textId="619C2B63" w:rsidR="004D079A" w:rsidRPr="008224F9" w:rsidRDefault="00AB0C8D">
            <w:pPr>
              <w:pStyle w:val="Tableformat"/>
              <w:rPr>
                <w:bCs/>
                <w:color w:val="auto"/>
                <w:sz w:val="20"/>
                <w:szCs w:val="20"/>
              </w:rPr>
            </w:pPr>
            <w:r>
              <w:rPr>
                <w:bCs/>
                <w:color w:val="auto"/>
                <w:sz w:val="20"/>
                <w:szCs w:val="20"/>
              </w:rPr>
              <w:t>11</w:t>
            </w:r>
            <w:r w:rsidR="0056691D">
              <w:rPr>
                <w:bCs/>
                <w:color w:val="auto"/>
                <w:sz w:val="20"/>
                <w:szCs w:val="20"/>
              </w:rPr>
              <w:t>.c</w:t>
            </w:r>
            <w:r w:rsidR="004D079A" w:rsidRPr="004D079A">
              <w:rPr>
                <w:bCs/>
                <w:color w:val="auto"/>
                <w:sz w:val="20"/>
                <w:szCs w:val="20"/>
              </w:rPr>
              <w:t xml:space="preserve"> Provide performance data to the IGWC subject to agreed reporting guidelines (annually)</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31AC8E" w14:textId="4530C052" w:rsidR="004D079A" w:rsidRDefault="004D079A" w:rsidP="001920CF">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B57C3A" w14:textId="3F3959AB" w:rsidR="004D079A" w:rsidRDefault="004D079A" w:rsidP="001920CF">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5EC50999" w14:textId="77777777" w:rsidTr="00744D35">
        <w:tc>
          <w:tcPr>
            <w:tcW w:w="1571" w:type="dxa"/>
            <w:vMerge/>
            <w:tcBorders>
              <w:left w:val="single" w:sz="8" w:space="0" w:color="4F81BD"/>
              <w:right w:val="single" w:sz="8" w:space="0" w:color="4F81BD"/>
            </w:tcBorders>
            <w:shd w:val="clear" w:color="auto" w:fill="F2F2F2" w:themeFill="background1" w:themeFillShade="F2"/>
          </w:tcPr>
          <w:p w14:paraId="28243B7C" w14:textId="77777777" w:rsidR="004D079A" w:rsidRPr="004C4B9D" w:rsidRDefault="004D079A" w:rsidP="004D079A">
            <w:pPr>
              <w:pStyle w:val="Tableformat"/>
              <w:rPr>
                <w:bCs/>
                <w:color w:val="auto"/>
                <w:sz w:val="20"/>
                <w:szCs w:val="20"/>
              </w:rPr>
            </w:pPr>
          </w:p>
        </w:tc>
        <w:tc>
          <w:tcPr>
            <w:tcW w:w="2566" w:type="dxa"/>
            <w:tcBorders>
              <w:top w:val="single" w:sz="8" w:space="0" w:color="4F81BD"/>
              <w:left w:val="single" w:sz="8" w:space="0" w:color="4F81BD"/>
              <w:right w:val="single" w:sz="8" w:space="0" w:color="4F81BD"/>
            </w:tcBorders>
            <w:shd w:val="clear" w:color="auto" w:fill="F2F2F2" w:themeFill="background1" w:themeFillShade="F2"/>
          </w:tcPr>
          <w:p w14:paraId="110AC264" w14:textId="51E02306" w:rsidR="004D079A" w:rsidRPr="004C4B9D" w:rsidRDefault="00AB0C8D">
            <w:pPr>
              <w:pStyle w:val="Tableformat"/>
              <w:rPr>
                <w:bCs/>
                <w:color w:val="auto"/>
                <w:sz w:val="20"/>
                <w:szCs w:val="20"/>
              </w:rPr>
            </w:pPr>
            <w:r>
              <w:rPr>
                <w:bCs/>
                <w:color w:val="auto"/>
                <w:sz w:val="20"/>
                <w:szCs w:val="20"/>
              </w:rPr>
              <w:t>12</w:t>
            </w:r>
            <w:r w:rsidR="004D079A">
              <w:rPr>
                <w:bCs/>
                <w:color w:val="auto"/>
                <w:sz w:val="20"/>
                <w:szCs w:val="20"/>
              </w:rPr>
              <w:t xml:space="preserve">. </w:t>
            </w:r>
            <w:r w:rsidR="004D079A" w:rsidRPr="004C4B9D">
              <w:rPr>
                <w:bCs/>
                <w:color w:val="auto"/>
                <w:sz w:val="20"/>
                <w:szCs w:val="20"/>
              </w:rPr>
              <w:t xml:space="preserve">Response to the Compliance Compact Review </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4D02E99" w14:textId="21D62828" w:rsidR="004D079A" w:rsidRPr="004C4B9D" w:rsidRDefault="00AB0C8D">
            <w:pPr>
              <w:pStyle w:val="Tableformat"/>
              <w:rPr>
                <w:bCs/>
                <w:color w:val="auto"/>
                <w:sz w:val="20"/>
                <w:szCs w:val="20"/>
              </w:rPr>
            </w:pPr>
            <w:r>
              <w:rPr>
                <w:bCs/>
                <w:color w:val="auto"/>
                <w:sz w:val="20"/>
                <w:szCs w:val="20"/>
              </w:rPr>
              <w:t>12</w:t>
            </w:r>
            <w:r w:rsidR="004D079A" w:rsidRPr="004D079A">
              <w:rPr>
                <w:bCs/>
                <w:color w:val="auto"/>
                <w:sz w:val="20"/>
                <w:szCs w:val="20"/>
              </w:rPr>
              <w:t>.</w:t>
            </w:r>
            <w:r w:rsidR="0056691D">
              <w:rPr>
                <w:bCs/>
                <w:color w:val="auto"/>
                <w:sz w:val="20"/>
                <w:szCs w:val="20"/>
              </w:rPr>
              <w:t>a</w:t>
            </w:r>
            <w:r w:rsidR="0056691D" w:rsidRPr="004D079A">
              <w:rPr>
                <w:bCs/>
                <w:color w:val="auto"/>
                <w:sz w:val="20"/>
                <w:szCs w:val="20"/>
              </w:rPr>
              <w:t xml:space="preserve"> </w:t>
            </w:r>
            <w:r w:rsidR="004D079A" w:rsidRPr="004D079A">
              <w:rPr>
                <w:bCs/>
                <w:color w:val="auto"/>
                <w:sz w:val="20"/>
                <w:szCs w:val="20"/>
              </w:rPr>
              <w:t>Provide information on metering and telemetry thresholds to an independent analysis lead by the IGWC, including participation in the identification of Basin-wide minimum standards, and communicate on thresholds and standards</w:t>
            </w:r>
            <w:r w:rsidR="004D079A" w:rsidRPr="001920CF">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988D3C" w14:textId="0679D279"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6EEE9E" w14:textId="2FCF4CAA" w:rsidR="004D079A" w:rsidRPr="004C4B9D"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59B5DD99" w14:textId="77777777" w:rsidTr="006F3A9B">
        <w:tc>
          <w:tcPr>
            <w:tcW w:w="1571" w:type="dxa"/>
            <w:vMerge/>
            <w:tcBorders>
              <w:left w:val="single" w:sz="8" w:space="0" w:color="4F81BD"/>
              <w:bottom w:val="single" w:sz="8" w:space="0" w:color="4F81BD"/>
              <w:right w:val="single" w:sz="8" w:space="0" w:color="4F81BD"/>
            </w:tcBorders>
            <w:shd w:val="clear" w:color="auto" w:fill="F2F2F2" w:themeFill="background1" w:themeFillShade="F2"/>
          </w:tcPr>
          <w:p w14:paraId="47976EDE" w14:textId="77777777" w:rsidR="004D079A" w:rsidRPr="004C4B9D" w:rsidRDefault="004D079A" w:rsidP="004D079A">
            <w:pPr>
              <w:pStyle w:val="Tableformat"/>
              <w:rPr>
                <w:bCs/>
                <w:color w:val="auto"/>
                <w:sz w:val="20"/>
                <w:szCs w:val="20"/>
              </w:rPr>
            </w:pP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850E92" w14:textId="476AF021" w:rsidR="004D079A" w:rsidRPr="004C4B9D" w:rsidRDefault="00AB0C8D">
            <w:pPr>
              <w:pStyle w:val="Tableformat"/>
              <w:rPr>
                <w:bCs/>
                <w:color w:val="auto"/>
                <w:sz w:val="20"/>
                <w:szCs w:val="20"/>
              </w:rPr>
            </w:pPr>
            <w:r>
              <w:rPr>
                <w:bCs/>
                <w:color w:val="auto"/>
                <w:sz w:val="20"/>
                <w:szCs w:val="20"/>
              </w:rPr>
              <w:t>13</w:t>
            </w:r>
            <w:r w:rsidR="004D079A">
              <w:rPr>
                <w:bCs/>
                <w:color w:val="auto"/>
                <w:sz w:val="20"/>
                <w:szCs w:val="20"/>
              </w:rPr>
              <w:t>. Compliance Compact oversight</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8CBB4C" w14:textId="16B0A2CB" w:rsidR="004D079A" w:rsidRPr="004C4B9D" w:rsidRDefault="00AB0C8D">
            <w:pPr>
              <w:pStyle w:val="Tableformat"/>
              <w:rPr>
                <w:bCs/>
                <w:color w:val="auto"/>
                <w:sz w:val="20"/>
                <w:szCs w:val="20"/>
              </w:rPr>
            </w:pPr>
            <w:r>
              <w:rPr>
                <w:bCs/>
                <w:color w:val="auto"/>
                <w:sz w:val="20"/>
                <w:szCs w:val="20"/>
              </w:rPr>
              <w:t>13</w:t>
            </w:r>
            <w:r w:rsidR="004D079A" w:rsidRPr="004D079A">
              <w:rPr>
                <w:bCs/>
                <w:color w:val="auto"/>
                <w:sz w:val="20"/>
                <w:szCs w:val="20"/>
              </w:rPr>
              <w:t>.a Provide information to the IGWC as requested and in accordance with agreed MOU/guidelines to enable oversight of Compliance Compact commitments</w:t>
            </w:r>
            <w:r w:rsidR="004D079A" w:rsidRPr="00165E29">
              <w:rPr>
                <w:bCs/>
                <w:color w:val="auto"/>
                <w:sz w:val="20"/>
                <w:szCs w:val="20"/>
              </w:rPr>
              <w:t>.</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FA3EA8" w14:textId="00D83566" w:rsidR="004D079A"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428A05" w14:textId="11620FA1" w:rsidR="004D079A" w:rsidRDefault="004D079A" w:rsidP="004D079A">
            <w:pPr>
              <w:pStyle w:val="Tableformat"/>
              <w:rPr>
                <w:bCs/>
                <w:color w:val="auto"/>
                <w:sz w:val="20"/>
                <w:szCs w:val="20"/>
              </w:rPr>
            </w:pPr>
            <w:r>
              <w:rPr>
                <w:bCs/>
                <w:color w:val="auto"/>
                <w:sz w:val="20"/>
                <w:szCs w:val="20"/>
              </w:rPr>
              <w:t>$</w:t>
            </w:r>
            <w:r w:rsidR="00C42373">
              <w:rPr>
                <w:bCs/>
                <w:color w:val="auto"/>
                <w:sz w:val="20"/>
                <w:szCs w:val="20"/>
              </w:rPr>
              <w:t>225,540</w:t>
            </w:r>
          </w:p>
        </w:tc>
      </w:tr>
      <w:tr w:rsidR="004D079A" w:rsidRPr="004C4B9D" w14:paraId="0533D94E" w14:textId="77777777" w:rsidTr="00744D35">
        <w:tc>
          <w:tcPr>
            <w:tcW w:w="157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D93AB9" w14:textId="77777777" w:rsidR="004D079A" w:rsidRPr="004C4B9D" w:rsidRDefault="004D079A" w:rsidP="004D079A">
            <w:pPr>
              <w:pStyle w:val="Tableformat"/>
              <w:rPr>
                <w:bCs/>
                <w:color w:val="auto"/>
                <w:sz w:val="20"/>
                <w:szCs w:val="20"/>
              </w:rPr>
            </w:pPr>
            <w:r w:rsidRPr="004C4B9D">
              <w:rPr>
                <w:bCs/>
                <w:color w:val="auto"/>
                <w:sz w:val="20"/>
                <w:szCs w:val="20"/>
              </w:rPr>
              <w:t>Enhanced and coordinated consultation and engagement with all Basin communities</w:t>
            </w:r>
          </w:p>
        </w:tc>
        <w:tc>
          <w:tcPr>
            <w:tcW w:w="256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AE9C81" w14:textId="27E84E58" w:rsidR="004D079A" w:rsidRPr="004C4B9D" w:rsidRDefault="00AB0C8D">
            <w:pPr>
              <w:pStyle w:val="Tableformat"/>
              <w:rPr>
                <w:bCs/>
                <w:color w:val="auto"/>
                <w:sz w:val="20"/>
                <w:szCs w:val="20"/>
              </w:rPr>
            </w:pPr>
            <w:r>
              <w:rPr>
                <w:bCs/>
                <w:color w:val="auto"/>
                <w:sz w:val="20"/>
                <w:szCs w:val="20"/>
              </w:rPr>
              <w:t>14</w:t>
            </w:r>
            <w:r w:rsidR="004D079A">
              <w:rPr>
                <w:bCs/>
                <w:color w:val="auto"/>
                <w:sz w:val="20"/>
                <w:szCs w:val="20"/>
              </w:rPr>
              <w:t xml:space="preserve">. </w:t>
            </w:r>
            <w:r w:rsidR="004D079A" w:rsidRPr="004C4B9D">
              <w:rPr>
                <w:bCs/>
                <w:color w:val="auto"/>
                <w:sz w:val="20"/>
                <w:szCs w:val="20"/>
              </w:rPr>
              <w:t>Improve consultation and strategic engagement in collaboration with the Commonwealth and other Basin governments.</w:t>
            </w:r>
          </w:p>
        </w:tc>
        <w:tc>
          <w:tcPr>
            <w:tcW w:w="356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B6DDC6" w14:textId="20BC1CFF" w:rsidR="004D079A" w:rsidRPr="004C4B9D" w:rsidRDefault="00AB0C8D">
            <w:pPr>
              <w:pStyle w:val="Tableformat"/>
              <w:rPr>
                <w:bCs/>
                <w:color w:val="auto"/>
                <w:sz w:val="20"/>
                <w:szCs w:val="20"/>
              </w:rPr>
            </w:pPr>
            <w:r>
              <w:rPr>
                <w:bCs/>
                <w:color w:val="auto"/>
                <w:sz w:val="20"/>
                <w:szCs w:val="20"/>
              </w:rPr>
              <w:t>14</w:t>
            </w:r>
            <w:r w:rsidR="004D079A" w:rsidRPr="004D079A">
              <w:rPr>
                <w:bCs/>
                <w:color w:val="auto"/>
                <w:sz w:val="20"/>
                <w:szCs w:val="20"/>
              </w:rPr>
              <w:t>.a Report on improvements made on strategic consultation, engagement and coordination with Basin communities, in collaboration with the Commonwealth and other Basin governments</w:t>
            </w:r>
            <w:r w:rsidR="004D079A" w:rsidRPr="004C4B9D">
              <w:rPr>
                <w:bCs/>
                <w:color w:val="auto"/>
                <w:sz w:val="20"/>
                <w:szCs w:val="20"/>
              </w:rPr>
              <w:t xml:space="preserve">. </w:t>
            </w:r>
          </w:p>
        </w:tc>
        <w:tc>
          <w:tcPr>
            <w:tcW w:w="132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66D7C2" w14:textId="6FBD4D8A" w:rsidR="004D079A" w:rsidRPr="004C4B9D" w:rsidRDefault="004D079A" w:rsidP="004D079A">
            <w:pPr>
              <w:pStyle w:val="Tableformat"/>
              <w:rPr>
                <w:bCs/>
                <w:color w:val="auto"/>
                <w:sz w:val="20"/>
                <w:szCs w:val="20"/>
              </w:rPr>
            </w:pPr>
            <w:r>
              <w:rPr>
                <w:bCs/>
                <w:color w:val="auto"/>
                <w:sz w:val="20"/>
                <w:szCs w:val="20"/>
              </w:rPr>
              <w:t>31 March 2023</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701DCB" w14:textId="7D665879" w:rsidR="004D079A" w:rsidRPr="004C4B9D" w:rsidRDefault="004D079A" w:rsidP="004D079A">
            <w:pPr>
              <w:pStyle w:val="Tableformat"/>
              <w:rPr>
                <w:bCs/>
                <w:color w:val="auto"/>
                <w:sz w:val="20"/>
                <w:szCs w:val="20"/>
              </w:rPr>
            </w:pPr>
            <w:r>
              <w:rPr>
                <w:bCs/>
                <w:color w:val="auto"/>
                <w:sz w:val="20"/>
                <w:szCs w:val="20"/>
              </w:rPr>
              <w:t>$214,800</w:t>
            </w:r>
          </w:p>
        </w:tc>
      </w:tr>
      <w:tr w:rsidR="00165E29" w:rsidRPr="00DD56FE" w14:paraId="208C6379" w14:textId="77777777" w:rsidTr="00744D35">
        <w:tc>
          <w:tcPr>
            <w:tcW w:w="9022" w:type="dxa"/>
            <w:gridSpan w:val="4"/>
            <w:tcBorders>
              <w:left w:val="single" w:sz="8" w:space="0" w:color="4F81BD"/>
              <w:bottom w:val="single" w:sz="8" w:space="0" w:color="4F81BD"/>
              <w:right w:val="single" w:sz="8" w:space="0" w:color="4F81BD"/>
            </w:tcBorders>
            <w:shd w:val="clear" w:color="auto" w:fill="F2F2F2" w:themeFill="background1" w:themeFillShade="F2"/>
          </w:tcPr>
          <w:p w14:paraId="0AA74C37" w14:textId="7946630B" w:rsidR="00165E29" w:rsidRPr="00DD56FE" w:rsidRDefault="00165E29" w:rsidP="00165E29">
            <w:pPr>
              <w:pStyle w:val="Tableformat"/>
              <w:jc w:val="right"/>
              <w:rPr>
                <w:bCs/>
                <w:i/>
                <w:iCs w:val="0"/>
                <w:color w:val="auto"/>
                <w:sz w:val="20"/>
                <w:szCs w:val="20"/>
              </w:rPr>
            </w:pPr>
            <w:r w:rsidRPr="00DD56FE">
              <w:rPr>
                <w:bCs/>
                <w:i/>
                <w:iCs w:val="0"/>
                <w:color w:val="auto"/>
                <w:sz w:val="20"/>
                <w:szCs w:val="20"/>
              </w:rPr>
              <w:t>Total payment for New South Wales</w:t>
            </w:r>
            <w:r>
              <w:rPr>
                <w:bCs/>
                <w:i/>
                <w:iCs w:val="0"/>
                <w:color w:val="auto"/>
                <w:sz w:val="20"/>
                <w:szCs w:val="20"/>
              </w:rPr>
              <w:t xml:space="preserve"> for Year 2</w:t>
            </w:r>
            <w:r w:rsidRPr="00DD56FE">
              <w:rPr>
                <w:bCs/>
                <w:i/>
                <w:iCs w:val="0"/>
                <w:color w:val="auto"/>
                <w:sz w:val="20"/>
                <w:szCs w:val="20"/>
              </w:rPr>
              <w:t xml:space="preserve"> if all KPIs are met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vAlign w:val="center"/>
          </w:tcPr>
          <w:p w14:paraId="4F238404" w14:textId="090BD552" w:rsidR="00165E29" w:rsidRPr="00F90314" w:rsidRDefault="00165E29" w:rsidP="00165E29">
            <w:pPr>
              <w:widowControl/>
              <w:rPr>
                <w:rFonts w:ascii="Corbel" w:hAnsi="Corbel" w:cs="Calibri"/>
                <w:color w:val="000000"/>
                <w:sz w:val="20"/>
                <w:szCs w:val="20"/>
                <w:lang w:val="en-AU"/>
              </w:rPr>
            </w:pPr>
            <w:r w:rsidRPr="00F90314">
              <w:rPr>
                <w:rFonts w:ascii="Corbel" w:hAnsi="Corbel" w:cs="Calibri"/>
                <w:color w:val="000000"/>
                <w:sz w:val="20"/>
                <w:szCs w:val="20"/>
              </w:rPr>
              <w:t>$</w:t>
            </w:r>
            <w:r w:rsidR="00BE45E3">
              <w:rPr>
                <w:rFonts w:ascii="Corbel" w:hAnsi="Corbel" w:cs="Calibri"/>
                <w:color w:val="000000"/>
                <w:sz w:val="20"/>
                <w:szCs w:val="20"/>
              </w:rPr>
              <w:t>6,444</w:t>
            </w:r>
            <w:r w:rsidRPr="00256D20">
              <w:rPr>
                <w:rFonts w:ascii="Corbel" w:hAnsi="Corbel" w:cs="Calibri"/>
                <w:color w:val="000000"/>
                <w:sz w:val="20"/>
                <w:szCs w:val="20"/>
              </w:rPr>
              <w:t>,000</w:t>
            </w:r>
          </w:p>
        </w:tc>
      </w:tr>
    </w:tbl>
    <w:p w14:paraId="270491FB" w14:textId="77777777" w:rsidR="00DB2E39" w:rsidRDefault="00DB2E39">
      <w:pPr>
        <w:sectPr w:rsidR="00DB2E39" w:rsidSect="00721D06">
          <w:headerReference w:type="default" r:id="rId12"/>
          <w:footerReference w:type="even" r:id="rId13"/>
          <w:footerReference w:type="default" r:id="rId14"/>
          <w:headerReference w:type="first" r:id="rId15"/>
          <w:footerReference w:type="first" r:id="rId16"/>
          <w:pgSz w:w="11906" w:h="16838" w:code="9"/>
          <w:pgMar w:top="1134" w:right="1077" w:bottom="1134" w:left="1077" w:header="709" w:footer="709" w:gutter="0"/>
          <w:pgNumType w:chapStyle="9"/>
          <w:cols w:space="708"/>
          <w:titlePg/>
          <w:docGrid w:linePitch="360"/>
        </w:sectPr>
      </w:pPr>
    </w:p>
    <w:p w14:paraId="0FDCCB1B" w14:textId="5A45135C" w:rsidR="001D7426" w:rsidRDefault="001D7426"/>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9"/>
        <w:gridCol w:w="2581"/>
        <w:gridCol w:w="3586"/>
        <w:gridCol w:w="1185"/>
        <w:gridCol w:w="1276"/>
      </w:tblGrid>
      <w:tr w:rsidR="00DA6A97" w:rsidRPr="00F00A18" w14:paraId="6C6500E3" w14:textId="77777777" w:rsidTr="0061607D">
        <w:tc>
          <w:tcPr>
            <w:tcW w:w="10207" w:type="dxa"/>
            <w:gridSpan w:val="5"/>
            <w:shd w:val="clear" w:color="auto" w:fill="DEEAF6" w:themeFill="accent1" w:themeFillTint="33"/>
          </w:tcPr>
          <w:p w14:paraId="1FF09A87" w14:textId="322D532E" w:rsidR="00DA6A97" w:rsidRPr="00F00A18" w:rsidRDefault="00DA6A97" w:rsidP="006F3A9B">
            <w:pPr>
              <w:pStyle w:val="Tableformat"/>
              <w:tabs>
                <w:tab w:val="left" w:pos="6043"/>
              </w:tabs>
              <w:rPr>
                <w:b/>
                <w:color w:val="auto"/>
              </w:rPr>
            </w:pPr>
            <w:r>
              <w:rPr>
                <w:b/>
                <w:color w:val="auto"/>
              </w:rPr>
              <w:t>Table 2A</w:t>
            </w:r>
            <w:r w:rsidRPr="00F00A18">
              <w:rPr>
                <w:b/>
                <w:color w:val="auto"/>
              </w:rPr>
              <w:t xml:space="preserve">: </w:t>
            </w:r>
            <w:r>
              <w:rPr>
                <w:b/>
                <w:color w:val="auto"/>
              </w:rPr>
              <w:t>New South Wales</w:t>
            </w:r>
            <w:r w:rsidRPr="00F00A18">
              <w:rPr>
                <w:b/>
                <w:color w:val="auto"/>
              </w:rPr>
              <w:t xml:space="preserve"> – Performance requirements, reporting and payment summary</w:t>
            </w:r>
          </w:p>
        </w:tc>
      </w:tr>
      <w:tr w:rsidR="00DA6A97" w:rsidRPr="00F00A18" w14:paraId="1DD8B738" w14:textId="77777777" w:rsidTr="0061607D">
        <w:tc>
          <w:tcPr>
            <w:tcW w:w="10207" w:type="dxa"/>
            <w:gridSpan w:val="5"/>
            <w:shd w:val="clear" w:color="auto" w:fill="DEEAF6" w:themeFill="accent1" w:themeFillTint="33"/>
          </w:tcPr>
          <w:p w14:paraId="79DFE81E" w14:textId="7CE56BF5" w:rsidR="00DA6A97" w:rsidRDefault="00DA6A97" w:rsidP="006F3A9B">
            <w:pPr>
              <w:pStyle w:val="Tableformat"/>
              <w:tabs>
                <w:tab w:val="left" w:pos="6043"/>
              </w:tabs>
              <w:rPr>
                <w:b/>
                <w:color w:val="auto"/>
              </w:rPr>
            </w:pPr>
            <w:r>
              <w:rPr>
                <w:b/>
                <w:color w:val="auto"/>
              </w:rPr>
              <w:t>Year 3: 202</w:t>
            </w:r>
            <w:r w:rsidR="004C4B9D">
              <w:rPr>
                <w:b/>
                <w:color w:val="auto"/>
              </w:rPr>
              <w:t>3</w:t>
            </w:r>
            <w:r>
              <w:rPr>
                <w:b/>
                <w:color w:val="auto"/>
              </w:rPr>
              <w:t>-202</w:t>
            </w:r>
            <w:r w:rsidR="004C4B9D">
              <w:rPr>
                <w:b/>
                <w:color w:val="auto"/>
              </w:rPr>
              <w:t>4</w:t>
            </w:r>
          </w:p>
        </w:tc>
      </w:tr>
      <w:tr w:rsidR="00DA6A97" w:rsidRPr="00FD6EB4" w14:paraId="3B7CBBF2" w14:textId="77777777" w:rsidTr="0061607D">
        <w:tc>
          <w:tcPr>
            <w:tcW w:w="1579" w:type="dxa"/>
            <w:shd w:val="clear" w:color="auto" w:fill="F2F2F2" w:themeFill="background1" w:themeFillShade="F2"/>
          </w:tcPr>
          <w:p w14:paraId="1DF99D9D" w14:textId="77777777" w:rsidR="00DA6A97" w:rsidRPr="00FD6EB4" w:rsidRDefault="00DA6A97"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81" w:type="dxa"/>
            <w:shd w:val="clear" w:color="auto" w:fill="F2F2F2" w:themeFill="background1" w:themeFillShade="F2"/>
          </w:tcPr>
          <w:p w14:paraId="0C204157" w14:textId="77777777" w:rsidR="00DA6A97" w:rsidRPr="00FD6EB4" w:rsidRDefault="00DA6A97" w:rsidP="006F3A9B">
            <w:pPr>
              <w:pStyle w:val="Tableformat"/>
              <w:rPr>
                <w:b/>
                <w:color w:val="auto"/>
                <w:sz w:val="22"/>
                <w:szCs w:val="22"/>
              </w:rPr>
            </w:pPr>
            <w:r w:rsidRPr="00FD6EB4">
              <w:rPr>
                <w:b/>
                <w:color w:val="auto"/>
                <w:sz w:val="22"/>
                <w:szCs w:val="22"/>
              </w:rPr>
              <w:t>Performance milestones</w:t>
            </w:r>
          </w:p>
        </w:tc>
        <w:tc>
          <w:tcPr>
            <w:tcW w:w="3586" w:type="dxa"/>
            <w:shd w:val="clear" w:color="auto" w:fill="F2F2F2" w:themeFill="background1" w:themeFillShade="F2"/>
          </w:tcPr>
          <w:p w14:paraId="4C776E03" w14:textId="77777777" w:rsidR="00DA6A97" w:rsidRPr="00FD6EB4" w:rsidRDefault="00DA6A97" w:rsidP="006F3A9B">
            <w:pPr>
              <w:pStyle w:val="Tableformat"/>
              <w:rPr>
                <w:b/>
                <w:color w:val="auto"/>
                <w:sz w:val="22"/>
                <w:szCs w:val="22"/>
              </w:rPr>
            </w:pPr>
            <w:r w:rsidRPr="00FD6EB4">
              <w:rPr>
                <w:b/>
                <w:color w:val="auto"/>
                <w:sz w:val="22"/>
                <w:szCs w:val="22"/>
              </w:rPr>
              <w:t>Key Performance Indicators</w:t>
            </w:r>
          </w:p>
        </w:tc>
        <w:tc>
          <w:tcPr>
            <w:tcW w:w="1185" w:type="dxa"/>
            <w:shd w:val="clear" w:color="auto" w:fill="F2F2F2" w:themeFill="background1" w:themeFillShade="F2"/>
          </w:tcPr>
          <w:p w14:paraId="1CC446E7" w14:textId="77777777" w:rsidR="00DA6A97" w:rsidRPr="00FD6EB4" w:rsidRDefault="00DA6A97"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276" w:type="dxa"/>
            <w:tcBorders>
              <w:bottom w:val="single" w:sz="8" w:space="0" w:color="4F81BD"/>
            </w:tcBorders>
            <w:shd w:val="clear" w:color="auto" w:fill="F2F2F2" w:themeFill="background1" w:themeFillShade="F2"/>
          </w:tcPr>
          <w:p w14:paraId="30E0CF48" w14:textId="77777777" w:rsidR="00DA6A97" w:rsidRPr="00FD6EB4" w:rsidRDefault="00DA6A97" w:rsidP="006F3A9B">
            <w:pPr>
              <w:pStyle w:val="Tableformat"/>
              <w:rPr>
                <w:b/>
                <w:color w:val="auto"/>
                <w:sz w:val="22"/>
                <w:szCs w:val="22"/>
              </w:rPr>
            </w:pPr>
            <w:r w:rsidRPr="00FD6EB4">
              <w:rPr>
                <w:b/>
                <w:color w:val="auto"/>
                <w:sz w:val="22"/>
                <w:szCs w:val="22"/>
              </w:rPr>
              <w:t>Payment</w:t>
            </w:r>
          </w:p>
        </w:tc>
      </w:tr>
      <w:tr w:rsidR="00C35DA5" w:rsidRPr="004C4B9D" w14:paraId="0A78BBD7" w14:textId="77777777" w:rsidTr="006F3A9B">
        <w:tc>
          <w:tcPr>
            <w:tcW w:w="1579" w:type="dxa"/>
            <w:vMerge w:val="restart"/>
            <w:tcBorders>
              <w:top w:val="single" w:sz="8" w:space="0" w:color="4F81BD"/>
              <w:left w:val="single" w:sz="8" w:space="0" w:color="4F81BD"/>
              <w:right w:val="single" w:sz="8" w:space="0" w:color="4F81BD"/>
            </w:tcBorders>
            <w:shd w:val="clear" w:color="auto" w:fill="F2F2F2" w:themeFill="background1" w:themeFillShade="F2"/>
          </w:tcPr>
          <w:p w14:paraId="334F3E92" w14:textId="57FF81AD" w:rsidR="00C35DA5" w:rsidRPr="004C4B9D" w:rsidRDefault="00C35DA5" w:rsidP="0061607D">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022046CD" w14:textId="084B40FE" w:rsidR="00C35DA5" w:rsidRPr="004C4B9D" w:rsidRDefault="00C35DA5" w:rsidP="0061607D">
            <w:pPr>
              <w:pStyle w:val="Tableformat"/>
              <w:rPr>
                <w:bCs/>
                <w:color w:val="auto"/>
                <w:sz w:val="20"/>
                <w:szCs w:val="20"/>
              </w:rPr>
            </w:pPr>
            <w:r w:rsidRPr="00C35DA5">
              <w:rPr>
                <w:bCs/>
                <w:color w:val="auto"/>
                <w:sz w:val="20"/>
                <w:szCs w:val="20"/>
              </w:rPr>
              <w:t>1. 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524CA9">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48DF32" w14:textId="17E804C9" w:rsidR="00C35DA5" w:rsidRPr="004C4B9D" w:rsidRDefault="00C35DA5" w:rsidP="0061607D">
            <w:pPr>
              <w:pStyle w:val="Tableformat"/>
              <w:rPr>
                <w:bCs/>
                <w:color w:val="auto"/>
                <w:sz w:val="20"/>
                <w:szCs w:val="20"/>
              </w:rPr>
            </w:pPr>
            <w:r w:rsidRPr="00C35DA5">
              <w:rPr>
                <w:bCs/>
                <w:color w:val="auto"/>
                <w:sz w:val="20"/>
                <w:szCs w:val="20"/>
              </w:rPr>
              <w:t>1.a Work with the Commonwealth on water recovery projects, including setting up governance arrangements and schedules as appropriate, conducting outreach and engagement with irrigation networks and transforming entitlements as appropriate.</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A747E7" w14:textId="4C1ABF80" w:rsidR="00C35DA5" w:rsidRPr="004C4B9D" w:rsidRDefault="00C35DA5" w:rsidP="0061607D">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7E1F05" w14:textId="2540C92A" w:rsidR="00C35DA5" w:rsidRPr="004C4B9D" w:rsidRDefault="00F52889" w:rsidP="0061607D">
            <w:pPr>
              <w:pStyle w:val="Tableformat"/>
              <w:rPr>
                <w:bCs/>
                <w:color w:val="auto"/>
                <w:sz w:val="20"/>
                <w:szCs w:val="20"/>
              </w:rPr>
            </w:pPr>
            <w:r>
              <w:rPr>
                <w:bCs/>
                <w:color w:val="auto"/>
                <w:sz w:val="20"/>
                <w:szCs w:val="20"/>
              </w:rPr>
              <w:t>$687,360</w:t>
            </w:r>
          </w:p>
        </w:tc>
      </w:tr>
      <w:tr w:rsidR="00C35DA5" w:rsidRPr="004C4B9D" w14:paraId="14F82280" w14:textId="77777777" w:rsidTr="006F3A9B">
        <w:tc>
          <w:tcPr>
            <w:tcW w:w="1579" w:type="dxa"/>
            <w:vMerge/>
            <w:tcBorders>
              <w:left w:val="single" w:sz="8" w:space="0" w:color="4F81BD"/>
              <w:right w:val="single" w:sz="8" w:space="0" w:color="4F81BD"/>
            </w:tcBorders>
            <w:shd w:val="clear" w:color="auto" w:fill="F2F2F2" w:themeFill="background1" w:themeFillShade="F2"/>
          </w:tcPr>
          <w:p w14:paraId="35F9D4A4" w14:textId="77777777" w:rsidR="00C35DA5" w:rsidRPr="004C4B9D" w:rsidRDefault="00C35DA5" w:rsidP="00C35DA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4C5F5F6F" w14:textId="77777777" w:rsidR="00C35DA5" w:rsidRPr="004C4B9D" w:rsidRDefault="00C35DA5" w:rsidP="00C35DA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DD0696" w14:textId="5542558E" w:rsidR="00C35DA5" w:rsidRPr="002911F1" w:rsidRDefault="00C35DA5" w:rsidP="00C35DA5">
            <w:pPr>
              <w:pStyle w:val="Tableformat"/>
              <w:rPr>
                <w:bCs/>
                <w:color w:val="auto"/>
                <w:sz w:val="20"/>
                <w:szCs w:val="20"/>
              </w:rPr>
            </w:pPr>
            <w:r w:rsidRPr="00C35DA5">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35DA5">
              <w:rPr>
                <w:bCs/>
                <w:color w:val="auto"/>
                <w:sz w:val="20"/>
                <w:szCs w:val="20"/>
              </w:rPr>
              <w:t xml:space="preserve"> using the Ministerial Council stocktake as a starting point. Business case applications will include socio-economic analysis and proposals for transfer of water entitlements</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525321" w14:textId="5BFF4262" w:rsidR="00C35DA5" w:rsidRDefault="00C35DA5" w:rsidP="00C35DA5">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4BDA07" w14:textId="478043C5" w:rsidR="00C35DA5" w:rsidRDefault="00F52889" w:rsidP="00C35DA5">
            <w:pPr>
              <w:pStyle w:val="Tableformat"/>
              <w:rPr>
                <w:bCs/>
                <w:color w:val="auto"/>
                <w:sz w:val="20"/>
                <w:szCs w:val="20"/>
              </w:rPr>
            </w:pPr>
            <w:r>
              <w:rPr>
                <w:bCs/>
                <w:color w:val="auto"/>
                <w:sz w:val="20"/>
                <w:szCs w:val="20"/>
              </w:rPr>
              <w:t>$687,360</w:t>
            </w:r>
          </w:p>
        </w:tc>
      </w:tr>
      <w:tr w:rsidR="00C35DA5" w:rsidRPr="004C4B9D" w14:paraId="6C399427" w14:textId="77777777" w:rsidTr="006F3A9B">
        <w:tc>
          <w:tcPr>
            <w:tcW w:w="1579" w:type="dxa"/>
            <w:vMerge w:val="restart"/>
            <w:tcBorders>
              <w:top w:val="single" w:sz="8" w:space="0" w:color="4F81BD"/>
              <w:left w:val="single" w:sz="8" w:space="0" w:color="4F81BD"/>
              <w:right w:val="single" w:sz="8" w:space="0" w:color="4F81BD"/>
            </w:tcBorders>
            <w:shd w:val="clear" w:color="auto" w:fill="F2F2F2" w:themeFill="background1" w:themeFillShade="F2"/>
          </w:tcPr>
          <w:p w14:paraId="512042DE" w14:textId="663409D8" w:rsidR="00C35DA5" w:rsidRPr="004C4B9D" w:rsidRDefault="00C35DA5" w:rsidP="00C35DA5">
            <w:pPr>
              <w:pStyle w:val="Tableformat"/>
              <w:rPr>
                <w:bCs/>
                <w:color w:val="auto"/>
                <w:sz w:val="20"/>
                <w:szCs w:val="20"/>
              </w:rPr>
            </w:pPr>
            <w:r w:rsidRPr="004C4B9D">
              <w:rPr>
                <w:bCs/>
                <w:color w:val="auto"/>
                <w:sz w:val="20"/>
                <w:szCs w:val="20"/>
              </w:rPr>
              <w:t>Coordinated environmental water use</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B21EA1" w14:textId="09D9AFCF" w:rsidR="00C35DA5" w:rsidRPr="004C4B9D" w:rsidRDefault="008D6564" w:rsidP="00C35DA5">
            <w:pPr>
              <w:pStyle w:val="Tableformat"/>
              <w:rPr>
                <w:bCs/>
                <w:color w:val="auto"/>
                <w:sz w:val="20"/>
                <w:szCs w:val="20"/>
              </w:rPr>
            </w:pPr>
            <w:r>
              <w:rPr>
                <w:bCs/>
                <w:color w:val="auto"/>
                <w:sz w:val="20"/>
                <w:szCs w:val="20"/>
              </w:rPr>
              <w:t>2</w:t>
            </w:r>
            <w:r w:rsidR="00C35DA5">
              <w:rPr>
                <w:bCs/>
                <w:color w:val="auto"/>
                <w:sz w:val="20"/>
                <w:szCs w:val="20"/>
              </w:rPr>
              <w:t xml:space="preserve">. </w:t>
            </w:r>
            <w:r w:rsidR="00C35DA5" w:rsidRPr="004C4B9D">
              <w:rPr>
                <w:bCs/>
                <w:color w:val="auto"/>
                <w:sz w:val="20"/>
                <w:szCs w:val="20"/>
              </w:rPr>
              <w:t>Deliver an agreed Basin-wide Environmental Water Protection Strategy and Implementation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4DFA7B" w14:textId="07ACFC66" w:rsidR="00C35DA5" w:rsidRPr="004C4B9D" w:rsidRDefault="008D6564" w:rsidP="00743869">
            <w:pPr>
              <w:pStyle w:val="Tableformat"/>
              <w:rPr>
                <w:bCs/>
                <w:color w:val="auto"/>
                <w:sz w:val="20"/>
                <w:szCs w:val="20"/>
              </w:rPr>
            </w:pPr>
            <w:r>
              <w:rPr>
                <w:bCs/>
                <w:color w:val="auto"/>
                <w:sz w:val="20"/>
                <w:szCs w:val="20"/>
              </w:rPr>
              <w:t>2</w:t>
            </w:r>
            <w:r w:rsidR="00C35DA5" w:rsidRPr="00C35DA5">
              <w:rPr>
                <w:bCs/>
                <w:color w:val="auto"/>
                <w:sz w:val="20"/>
                <w:szCs w:val="20"/>
              </w:rPr>
              <w:t>.</w:t>
            </w:r>
            <w:r>
              <w:rPr>
                <w:bCs/>
                <w:color w:val="auto"/>
                <w:sz w:val="20"/>
                <w:szCs w:val="20"/>
              </w:rPr>
              <w:t>a</w:t>
            </w:r>
            <w:r w:rsidRPr="00C35DA5">
              <w:rPr>
                <w:bCs/>
                <w:color w:val="auto"/>
                <w:sz w:val="20"/>
                <w:szCs w:val="20"/>
              </w:rPr>
              <w:t xml:space="preserve"> </w:t>
            </w:r>
            <w:r w:rsidR="00C35DA5" w:rsidRPr="00C35DA5">
              <w:rPr>
                <w:bCs/>
                <w:color w:val="auto"/>
                <w:sz w:val="20"/>
                <w:szCs w:val="20"/>
              </w:rPr>
              <w:t xml:space="preserve">Deliver and implement the agreed </w:t>
            </w:r>
            <w:r w:rsidR="007C3B81" w:rsidRPr="00C35DA5">
              <w:rPr>
                <w:bCs/>
                <w:color w:val="auto"/>
                <w:sz w:val="20"/>
                <w:szCs w:val="20"/>
              </w:rPr>
              <w:t>work plan</w:t>
            </w:r>
            <w:r w:rsidR="00C35DA5" w:rsidRPr="00C35DA5">
              <w:rPr>
                <w:bCs/>
                <w:color w:val="auto"/>
                <w:sz w:val="20"/>
                <w:szCs w:val="20"/>
              </w:rPr>
              <w:t xml:space="preserve"> of the priority collaborative activities of the Environmental Water Protection Strategy, where relevant to the jurisdiction</w:t>
            </w:r>
            <w:r w:rsidR="00C35DA5" w:rsidRPr="002911F1">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8EFB0D" w14:textId="346BB5A1" w:rsidR="00C35DA5" w:rsidRPr="004C4B9D" w:rsidRDefault="00C35DA5" w:rsidP="00C35DA5">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420EAB" w14:textId="125B8131" w:rsidR="00C35DA5" w:rsidRPr="004C4B9D" w:rsidRDefault="00C35DA5" w:rsidP="000F31D2">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524FFEEF" w14:textId="77777777" w:rsidTr="006F3A9B">
        <w:tc>
          <w:tcPr>
            <w:tcW w:w="1579" w:type="dxa"/>
            <w:vMerge/>
            <w:tcBorders>
              <w:left w:val="single" w:sz="8" w:space="0" w:color="4F81BD"/>
              <w:right w:val="single" w:sz="8" w:space="0" w:color="4F81BD"/>
            </w:tcBorders>
            <w:shd w:val="clear" w:color="auto" w:fill="F2F2F2" w:themeFill="background1" w:themeFillShade="F2"/>
          </w:tcPr>
          <w:p w14:paraId="77F59ACB" w14:textId="77777777" w:rsidR="00F52889" w:rsidRPr="004C4B9D" w:rsidRDefault="00F52889" w:rsidP="00F52889">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24405D0D" w14:textId="5B77E7C0" w:rsidR="00F52889" w:rsidRPr="004C4B9D" w:rsidRDefault="008D6564" w:rsidP="00F52889">
            <w:pPr>
              <w:pStyle w:val="Tableformat"/>
              <w:rPr>
                <w:bCs/>
                <w:color w:val="auto"/>
                <w:sz w:val="20"/>
                <w:szCs w:val="20"/>
              </w:rPr>
            </w:pPr>
            <w:r>
              <w:rPr>
                <w:bCs/>
                <w:color w:val="auto"/>
                <w:sz w:val="20"/>
                <w:szCs w:val="20"/>
              </w:rPr>
              <w:t>3</w:t>
            </w:r>
            <w:r w:rsidR="00F52889" w:rsidRPr="00C35DA5">
              <w:rPr>
                <w:bCs/>
                <w:color w:val="auto"/>
                <w:sz w:val="20"/>
                <w:szCs w:val="20"/>
              </w:rPr>
              <w:t>. Improve environmental watering plans and strategies, including by updating Long-Term Watering Plans (LTWPs) within agreed timeframes</w:t>
            </w:r>
            <w:r w:rsidR="00F52889" w:rsidRPr="004C4B9D">
              <w:rPr>
                <w:bCs/>
                <w:color w:val="auto"/>
                <w:sz w:val="20"/>
                <w:szCs w:val="20"/>
              </w:rPr>
              <w:t xml:space="preserve">.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3E8693" w14:textId="59827262" w:rsidR="00F52889" w:rsidRPr="004C4B9D" w:rsidRDefault="008D6564" w:rsidP="00F52889">
            <w:pPr>
              <w:pStyle w:val="Tableformat"/>
              <w:rPr>
                <w:bCs/>
                <w:color w:val="auto"/>
                <w:sz w:val="20"/>
                <w:szCs w:val="20"/>
              </w:rPr>
            </w:pPr>
            <w:r>
              <w:rPr>
                <w:bCs/>
                <w:color w:val="auto"/>
                <w:sz w:val="20"/>
                <w:szCs w:val="20"/>
              </w:rPr>
              <w:t>3</w:t>
            </w:r>
            <w:r w:rsidR="00F52889" w:rsidRPr="00C35DA5">
              <w:rPr>
                <w:bCs/>
                <w:color w:val="auto"/>
                <w:sz w:val="20"/>
                <w:szCs w:val="20"/>
              </w:rPr>
              <w:t xml:space="preserve">.a Engage with </w:t>
            </w:r>
            <w:r w:rsidR="00795920">
              <w:rPr>
                <w:bCs/>
                <w:color w:val="auto"/>
                <w:sz w:val="20"/>
                <w:szCs w:val="20"/>
              </w:rPr>
              <w:t>all stakeholders</w:t>
            </w:r>
            <w:r w:rsidR="00F52889" w:rsidRPr="00C35DA5">
              <w:rPr>
                <w:bCs/>
                <w:color w:val="auto"/>
                <w:sz w:val="20"/>
                <w:szCs w:val="20"/>
              </w:rPr>
              <w:t>, in the development of annual environmental water plans or priorities; and in the implementation, review and update of LTWPs, where relevant to the jurisdiction</w:t>
            </w:r>
            <w:r w:rsidR="00F52889" w:rsidRPr="002911F1">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BDA0D9" w14:textId="29723E3F"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D090CD" w14:textId="7C6B0B90"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6273DFB5" w14:textId="77777777" w:rsidTr="006F3A9B">
        <w:tc>
          <w:tcPr>
            <w:tcW w:w="1579" w:type="dxa"/>
            <w:vMerge/>
            <w:tcBorders>
              <w:left w:val="single" w:sz="8" w:space="0" w:color="4F81BD"/>
              <w:right w:val="single" w:sz="8" w:space="0" w:color="4F81BD"/>
            </w:tcBorders>
            <w:shd w:val="clear" w:color="auto" w:fill="F2F2F2" w:themeFill="background1" w:themeFillShade="F2"/>
          </w:tcPr>
          <w:p w14:paraId="61F3F768" w14:textId="77777777" w:rsidR="00F52889" w:rsidRPr="004C4B9D" w:rsidRDefault="00F52889" w:rsidP="00F52889">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67672FCA" w14:textId="77777777" w:rsidR="00F52889" w:rsidRPr="004C4B9D"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A13E82" w14:textId="31A79E15" w:rsidR="00F52889" w:rsidRPr="004C4B9D" w:rsidRDefault="008D6564" w:rsidP="00F52889">
            <w:pPr>
              <w:pStyle w:val="Tableformat"/>
              <w:rPr>
                <w:bCs/>
                <w:color w:val="auto"/>
                <w:sz w:val="20"/>
                <w:szCs w:val="20"/>
              </w:rPr>
            </w:pPr>
            <w:r>
              <w:rPr>
                <w:bCs/>
                <w:color w:val="auto"/>
                <w:sz w:val="20"/>
                <w:szCs w:val="20"/>
              </w:rPr>
              <w:t>3</w:t>
            </w:r>
            <w:r w:rsidR="00F52889" w:rsidRPr="00C35DA5">
              <w:rPr>
                <w:bCs/>
                <w:color w:val="auto"/>
                <w:sz w:val="20"/>
                <w:szCs w:val="20"/>
              </w:rPr>
              <w:t>.b Provide input to third edition of the Basin-wide Environmental Watering Strategy, including input on climate adaptation approaches and techniques</w:t>
            </w:r>
            <w:r w:rsidR="00F52889" w:rsidRPr="004C4B9D">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E7F12B" w14:textId="626EE701"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1BE6D8" w14:textId="06684E65"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62939022" w14:textId="77777777" w:rsidTr="006F3A9B">
        <w:tc>
          <w:tcPr>
            <w:tcW w:w="1579" w:type="dxa"/>
            <w:vMerge/>
            <w:tcBorders>
              <w:left w:val="single" w:sz="8" w:space="0" w:color="4F81BD"/>
              <w:bottom w:val="single" w:sz="8" w:space="0" w:color="4F81BD"/>
              <w:right w:val="single" w:sz="8" w:space="0" w:color="4F81BD"/>
            </w:tcBorders>
            <w:shd w:val="clear" w:color="auto" w:fill="F2F2F2" w:themeFill="background1" w:themeFillShade="F2"/>
          </w:tcPr>
          <w:p w14:paraId="125A0AAF" w14:textId="77777777" w:rsidR="00F52889" w:rsidRPr="004C4B9D" w:rsidRDefault="00F52889" w:rsidP="00F52889">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23588C94" w14:textId="77777777" w:rsidR="00F52889" w:rsidRPr="004C4B9D"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15DBAA" w14:textId="6A942618" w:rsidR="00F52889" w:rsidRPr="004C4B9D" w:rsidRDefault="008D6564" w:rsidP="00F52889">
            <w:pPr>
              <w:pStyle w:val="Tableformat"/>
              <w:rPr>
                <w:bCs/>
                <w:color w:val="auto"/>
                <w:sz w:val="20"/>
                <w:szCs w:val="20"/>
              </w:rPr>
            </w:pPr>
            <w:r>
              <w:rPr>
                <w:bCs/>
                <w:color w:val="auto"/>
                <w:sz w:val="20"/>
                <w:szCs w:val="20"/>
              </w:rPr>
              <w:t>3</w:t>
            </w:r>
            <w:r w:rsidR="00F52889" w:rsidRPr="00C35DA5">
              <w:rPr>
                <w:bCs/>
                <w:color w:val="auto"/>
                <w:sz w:val="20"/>
                <w:szCs w:val="20"/>
              </w:rPr>
              <w:t>.c Update LTWPs (or alternatively agreed tool) in line with the third edition of the Basin-wide environmental watering strategy within agreed timeframes</w:t>
            </w:r>
            <w:r w:rsidR="00F52889" w:rsidRPr="004C4B9D">
              <w:rPr>
                <w:bCs/>
                <w:color w:val="auto"/>
                <w:sz w:val="20"/>
                <w:szCs w:val="20"/>
              </w:rPr>
              <w:t xml:space="preserve">. </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98D0B1" w14:textId="61772406"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8AD82A" w14:textId="508669C5"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57930AC1" w14:textId="77777777" w:rsidTr="006F3A9B">
        <w:tc>
          <w:tcPr>
            <w:tcW w:w="1579" w:type="dxa"/>
            <w:vMerge w:val="restart"/>
            <w:tcBorders>
              <w:left w:val="single" w:sz="8" w:space="0" w:color="4F81BD"/>
              <w:right w:val="single" w:sz="8" w:space="0" w:color="4F81BD"/>
            </w:tcBorders>
            <w:shd w:val="clear" w:color="auto" w:fill="F2F2F2" w:themeFill="background1" w:themeFillShade="F2"/>
          </w:tcPr>
          <w:p w14:paraId="54E1080B" w14:textId="2D32DD4F" w:rsidR="00F52889" w:rsidRPr="004C4B9D" w:rsidRDefault="00F52889" w:rsidP="00F52889">
            <w:pPr>
              <w:pStyle w:val="Tableformat"/>
              <w:rPr>
                <w:bCs/>
                <w:color w:val="auto"/>
                <w:sz w:val="20"/>
                <w:szCs w:val="20"/>
              </w:rPr>
            </w:pPr>
            <w:r w:rsidRPr="004C4B9D">
              <w:rPr>
                <w:bCs/>
                <w:color w:val="auto"/>
                <w:sz w:val="20"/>
                <w:szCs w:val="20"/>
              </w:rPr>
              <w:t>Implementation of the Basin Plan</w:t>
            </w:r>
          </w:p>
        </w:tc>
        <w:tc>
          <w:tcPr>
            <w:tcW w:w="2581" w:type="dxa"/>
            <w:vMerge w:val="restart"/>
            <w:tcBorders>
              <w:left w:val="single" w:sz="8" w:space="0" w:color="4F81BD"/>
              <w:right w:val="single" w:sz="8" w:space="0" w:color="4F81BD"/>
            </w:tcBorders>
            <w:shd w:val="clear" w:color="auto" w:fill="F2F2F2" w:themeFill="background1" w:themeFillShade="F2"/>
          </w:tcPr>
          <w:p w14:paraId="57FE795E" w14:textId="4F94787E" w:rsidR="00F52889" w:rsidRPr="004C4B9D" w:rsidRDefault="008D6564" w:rsidP="00F52889">
            <w:pPr>
              <w:pStyle w:val="Tableformat"/>
              <w:rPr>
                <w:bCs/>
                <w:color w:val="auto"/>
                <w:sz w:val="20"/>
                <w:szCs w:val="20"/>
              </w:rPr>
            </w:pPr>
            <w:r>
              <w:rPr>
                <w:bCs/>
                <w:color w:val="auto"/>
                <w:sz w:val="20"/>
                <w:szCs w:val="20"/>
              </w:rPr>
              <w:t>4</w:t>
            </w:r>
            <w:r w:rsidR="00F52889">
              <w:rPr>
                <w:bCs/>
                <w:color w:val="auto"/>
                <w:sz w:val="20"/>
                <w:szCs w:val="20"/>
              </w:rPr>
              <w:t xml:space="preserve">. </w:t>
            </w:r>
            <w:r w:rsidR="00F52889" w:rsidRPr="004C4B9D">
              <w:rPr>
                <w:bCs/>
                <w:color w:val="auto"/>
                <w:sz w:val="20"/>
                <w:szCs w:val="20"/>
              </w:rPr>
              <w:t>Implement the SDLAM program, where not funded under other agreements.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15DF4B" w14:textId="0DDF5005" w:rsidR="00F52889" w:rsidRPr="00C35DA5" w:rsidRDefault="008D6564" w:rsidP="00F52889">
            <w:pPr>
              <w:pStyle w:val="Tableformat"/>
              <w:rPr>
                <w:bCs/>
                <w:color w:val="auto"/>
                <w:sz w:val="20"/>
                <w:szCs w:val="20"/>
              </w:rPr>
            </w:pPr>
            <w:r>
              <w:rPr>
                <w:bCs/>
                <w:color w:val="auto"/>
                <w:sz w:val="20"/>
                <w:szCs w:val="20"/>
              </w:rPr>
              <w:t>4</w:t>
            </w:r>
            <w:r w:rsidR="00F52889" w:rsidRPr="00C35DA5">
              <w:rPr>
                <w:bCs/>
                <w:color w:val="auto"/>
                <w:sz w:val="20"/>
                <w:szCs w:val="20"/>
              </w:rPr>
              <w:t>.a Actively work with the Commonwealth to optimise and address risks to SDLAM program outcomes, including:</w:t>
            </w:r>
          </w:p>
          <w:p w14:paraId="25240076" w14:textId="77777777" w:rsidR="00F52889" w:rsidRPr="00C35DA5" w:rsidRDefault="00F52889" w:rsidP="00F52889">
            <w:pPr>
              <w:pStyle w:val="Tableformat"/>
              <w:rPr>
                <w:bCs/>
                <w:color w:val="auto"/>
                <w:sz w:val="20"/>
                <w:szCs w:val="20"/>
              </w:rPr>
            </w:pPr>
            <w:r w:rsidRPr="00C35DA5">
              <w:rPr>
                <w:bCs/>
                <w:color w:val="auto"/>
                <w:sz w:val="20"/>
                <w:szCs w:val="20"/>
              </w:rPr>
              <w:t>- the establishment of a process to formally amend project scope</w:t>
            </w:r>
          </w:p>
          <w:p w14:paraId="71327BE4" w14:textId="77777777" w:rsidR="00F52889" w:rsidRPr="00C35DA5" w:rsidRDefault="00F52889" w:rsidP="00F52889">
            <w:pPr>
              <w:pStyle w:val="Tableformat"/>
              <w:rPr>
                <w:bCs/>
                <w:color w:val="auto"/>
                <w:sz w:val="20"/>
                <w:szCs w:val="20"/>
              </w:rPr>
            </w:pPr>
            <w:r w:rsidRPr="00C35DA5">
              <w:rPr>
                <w:bCs/>
                <w:color w:val="auto"/>
                <w:sz w:val="20"/>
                <w:szCs w:val="20"/>
              </w:rPr>
              <w:t>- resolution of critical policy issues to enable agreement to Stage 2 funding arrangements</w:t>
            </w:r>
          </w:p>
          <w:p w14:paraId="38C7CF8B" w14:textId="77777777" w:rsidR="00F52889" w:rsidRPr="00C35DA5" w:rsidRDefault="00F52889" w:rsidP="00F52889">
            <w:pPr>
              <w:pStyle w:val="Tableformat"/>
              <w:rPr>
                <w:bCs/>
                <w:color w:val="auto"/>
                <w:sz w:val="20"/>
                <w:szCs w:val="20"/>
              </w:rPr>
            </w:pPr>
            <w:r w:rsidRPr="00C35DA5">
              <w:rPr>
                <w:bCs/>
                <w:color w:val="auto"/>
                <w:sz w:val="20"/>
                <w:szCs w:val="20"/>
              </w:rPr>
              <w:t>- fast-tracking relevant projects</w:t>
            </w:r>
          </w:p>
          <w:p w14:paraId="5882F027" w14:textId="6471C8C2" w:rsidR="00F52889" w:rsidRPr="004C4B9D" w:rsidRDefault="00F52889" w:rsidP="00F52889">
            <w:pPr>
              <w:pStyle w:val="Tableformat"/>
              <w:rPr>
                <w:bCs/>
                <w:color w:val="auto"/>
                <w:sz w:val="20"/>
                <w:szCs w:val="20"/>
              </w:rPr>
            </w:pPr>
            <w:r w:rsidRPr="00C35DA5">
              <w:rPr>
                <w:bCs/>
                <w:color w:val="auto"/>
                <w:sz w:val="20"/>
                <w:szCs w:val="20"/>
              </w:rPr>
              <w:t>- investigating the potential for existing, enhanced projects to contribute to Basin Plan outcomes</w:t>
            </w:r>
            <w:r w:rsidRPr="002911F1">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43DC50" w14:textId="001B751F"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67C239" w14:textId="4B0D85EA"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1D380BD9" w14:textId="77777777" w:rsidTr="006F3A9B">
        <w:tc>
          <w:tcPr>
            <w:tcW w:w="1579" w:type="dxa"/>
            <w:vMerge/>
            <w:tcBorders>
              <w:left w:val="single" w:sz="8" w:space="0" w:color="4F81BD"/>
              <w:right w:val="single" w:sz="8" w:space="0" w:color="4F81BD"/>
            </w:tcBorders>
            <w:shd w:val="clear" w:color="auto" w:fill="F2F2F2" w:themeFill="background1" w:themeFillShade="F2"/>
          </w:tcPr>
          <w:p w14:paraId="3F10664E" w14:textId="77777777" w:rsidR="00F52889" w:rsidRPr="004C4B9D" w:rsidRDefault="00F52889" w:rsidP="00F52889">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73319028" w14:textId="77777777" w:rsidR="00F52889" w:rsidRPr="004C4B9D"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7435DB" w14:textId="60D74164" w:rsidR="00F52889" w:rsidRPr="004C4B9D" w:rsidRDefault="008D6564" w:rsidP="00F52889">
            <w:pPr>
              <w:pStyle w:val="Tableformat"/>
              <w:rPr>
                <w:bCs/>
                <w:color w:val="auto"/>
                <w:sz w:val="20"/>
                <w:szCs w:val="20"/>
              </w:rPr>
            </w:pPr>
            <w:r>
              <w:rPr>
                <w:bCs/>
                <w:color w:val="auto"/>
                <w:sz w:val="20"/>
                <w:szCs w:val="20"/>
              </w:rPr>
              <w:t>4</w:t>
            </w:r>
            <w:r w:rsidR="00F52889" w:rsidRPr="00C35DA5">
              <w:rPr>
                <w:bCs/>
                <w:color w:val="auto"/>
                <w:sz w:val="20"/>
                <w:szCs w:val="20"/>
              </w:rPr>
              <w:t>.b Identify, develop and progress required changes to the River Murray Operations Framework and Murray-Darling Basin Agreement. Any changes are to be agreed by all jurisdictions</w:t>
            </w:r>
            <w:r w:rsidR="00F52889" w:rsidRPr="004C4B9D">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42FEFB" w14:textId="29DD74AE"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3CB6A6" w14:textId="3CF47BEF"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33726157" w14:textId="77777777" w:rsidTr="006F3A9B">
        <w:tc>
          <w:tcPr>
            <w:tcW w:w="1579" w:type="dxa"/>
            <w:vMerge/>
            <w:tcBorders>
              <w:left w:val="single" w:sz="8" w:space="0" w:color="4F81BD"/>
              <w:right w:val="single" w:sz="8" w:space="0" w:color="4F81BD"/>
            </w:tcBorders>
            <w:shd w:val="clear" w:color="auto" w:fill="F2F2F2" w:themeFill="background1" w:themeFillShade="F2"/>
          </w:tcPr>
          <w:p w14:paraId="0A2B3BF5" w14:textId="77777777" w:rsidR="00F52889" w:rsidRPr="004C4B9D" w:rsidRDefault="00F52889" w:rsidP="00F52889">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37A7DB5B" w14:textId="77777777" w:rsidR="00F52889" w:rsidRPr="004C4B9D"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96F21F" w14:textId="1280EE66" w:rsidR="00F52889" w:rsidRPr="004C4B9D" w:rsidRDefault="008D6564" w:rsidP="00763FE0">
            <w:pPr>
              <w:pStyle w:val="Tableformat"/>
              <w:rPr>
                <w:bCs/>
                <w:color w:val="auto"/>
                <w:sz w:val="20"/>
                <w:szCs w:val="20"/>
              </w:rPr>
            </w:pPr>
            <w:r>
              <w:rPr>
                <w:bCs/>
                <w:color w:val="auto"/>
                <w:sz w:val="20"/>
                <w:szCs w:val="20"/>
              </w:rPr>
              <w:t>4</w:t>
            </w:r>
            <w:r w:rsidR="00F52889" w:rsidRPr="00C35DA5">
              <w:rPr>
                <w:bCs/>
                <w:color w:val="auto"/>
                <w:sz w:val="20"/>
                <w:szCs w:val="20"/>
              </w:rPr>
              <w:t>.</w:t>
            </w:r>
            <w:r w:rsidR="00763FE0">
              <w:rPr>
                <w:bCs/>
                <w:color w:val="auto"/>
                <w:sz w:val="20"/>
                <w:szCs w:val="20"/>
              </w:rPr>
              <w:t>c</w:t>
            </w:r>
            <w:r w:rsidR="00F52889" w:rsidRPr="00C35DA5">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F52889" w:rsidRPr="002911F1">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D374B6" w14:textId="25FF52C3"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316812" w14:textId="550D1DD8"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4D13767E" w14:textId="77777777" w:rsidTr="006F3A9B">
        <w:tc>
          <w:tcPr>
            <w:tcW w:w="1579" w:type="dxa"/>
            <w:vMerge/>
            <w:tcBorders>
              <w:left w:val="single" w:sz="8" w:space="0" w:color="4F81BD"/>
              <w:right w:val="single" w:sz="8" w:space="0" w:color="4F81BD"/>
            </w:tcBorders>
            <w:shd w:val="clear" w:color="auto" w:fill="F2F2F2" w:themeFill="background1" w:themeFillShade="F2"/>
          </w:tcPr>
          <w:p w14:paraId="1DA6E999" w14:textId="77777777" w:rsidR="00F52889" w:rsidRPr="004C4B9D" w:rsidRDefault="00F52889" w:rsidP="00F52889">
            <w:pPr>
              <w:pStyle w:val="Tableformat"/>
              <w:rPr>
                <w:bCs/>
                <w:color w:val="auto"/>
                <w:sz w:val="20"/>
                <w:szCs w:val="20"/>
              </w:rPr>
            </w:pPr>
          </w:p>
        </w:tc>
        <w:tc>
          <w:tcPr>
            <w:tcW w:w="2581" w:type="dxa"/>
            <w:tcBorders>
              <w:top w:val="single" w:sz="8" w:space="0" w:color="4F81BD"/>
              <w:left w:val="single" w:sz="8" w:space="0" w:color="4F81BD"/>
              <w:right w:val="single" w:sz="8" w:space="0" w:color="4F81BD"/>
            </w:tcBorders>
            <w:shd w:val="clear" w:color="auto" w:fill="F2F2F2" w:themeFill="background1" w:themeFillShade="F2"/>
          </w:tcPr>
          <w:p w14:paraId="275C569E" w14:textId="1934BBDF" w:rsidR="00F52889" w:rsidRPr="004C4B9D" w:rsidRDefault="008D6564" w:rsidP="00743869">
            <w:pPr>
              <w:pStyle w:val="Tableformat"/>
              <w:rPr>
                <w:bCs/>
                <w:color w:val="auto"/>
                <w:sz w:val="20"/>
                <w:szCs w:val="20"/>
              </w:rPr>
            </w:pPr>
            <w:r>
              <w:rPr>
                <w:bCs/>
                <w:color w:val="auto"/>
                <w:sz w:val="20"/>
                <w:szCs w:val="20"/>
              </w:rPr>
              <w:t>5</w:t>
            </w:r>
            <w:r w:rsidR="00F52889" w:rsidRPr="00C35DA5">
              <w:rPr>
                <w:bCs/>
                <w:color w:val="auto"/>
                <w:sz w:val="20"/>
                <w:szCs w:val="20"/>
              </w:rPr>
              <w:t xml:space="preserve">. Contribute to delivery of the MDBA-led SDL Accounting Framework Improvement Strategy 2020-25 </w:t>
            </w:r>
            <w:r w:rsidR="007C3B81" w:rsidRPr="00C35DA5">
              <w:rPr>
                <w:bCs/>
                <w:color w:val="auto"/>
                <w:sz w:val="20"/>
                <w:szCs w:val="20"/>
              </w:rPr>
              <w:t>work plan</w:t>
            </w:r>
            <w:r w:rsidR="00F52889" w:rsidRPr="00C35DA5">
              <w:rPr>
                <w:bCs/>
                <w:color w:val="auto"/>
                <w:sz w:val="20"/>
                <w:szCs w:val="20"/>
              </w:rPr>
              <w:t>, including supplying data and quality assurance documentation</w:t>
            </w:r>
            <w:r w:rsidR="00F52889">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73C28B" w14:textId="665B80D0" w:rsidR="00F52889" w:rsidRPr="004C4B9D" w:rsidRDefault="008D6564" w:rsidP="00B80DE6">
            <w:pPr>
              <w:pStyle w:val="Tableformat"/>
              <w:rPr>
                <w:bCs/>
                <w:color w:val="auto"/>
                <w:sz w:val="20"/>
                <w:szCs w:val="20"/>
              </w:rPr>
            </w:pPr>
            <w:r>
              <w:rPr>
                <w:bCs/>
                <w:color w:val="auto"/>
                <w:sz w:val="20"/>
                <w:szCs w:val="20"/>
              </w:rPr>
              <w:t>5</w:t>
            </w:r>
            <w:r w:rsidR="00F52889" w:rsidRPr="00C35DA5">
              <w:rPr>
                <w:bCs/>
                <w:color w:val="auto"/>
                <w:sz w:val="20"/>
                <w:szCs w:val="20"/>
              </w:rPr>
              <w:t>.</w:t>
            </w:r>
            <w:r>
              <w:rPr>
                <w:bCs/>
                <w:color w:val="auto"/>
                <w:sz w:val="20"/>
                <w:szCs w:val="20"/>
              </w:rPr>
              <w:t>a</w:t>
            </w:r>
            <w:r w:rsidRPr="00C35DA5">
              <w:rPr>
                <w:bCs/>
                <w:color w:val="auto"/>
                <w:sz w:val="20"/>
                <w:szCs w:val="20"/>
              </w:rPr>
              <w:t xml:space="preserve"> </w:t>
            </w:r>
            <w:r w:rsidR="00F52889" w:rsidRPr="00C35DA5">
              <w:rPr>
                <w:bCs/>
                <w:color w:val="auto"/>
                <w:sz w:val="20"/>
                <w:szCs w:val="20"/>
              </w:rPr>
              <w:t xml:space="preserve">Implement the SDL Accounting Framework Improvement Strategy </w:t>
            </w:r>
            <w:r w:rsidR="007C3B81" w:rsidRPr="00C35DA5">
              <w:rPr>
                <w:bCs/>
                <w:color w:val="auto"/>
                <w:sz w:val="20"/>
                <w:szCs w:val="20"/>
              </w:rPr>
              <w:t>work plan</w:t>
            </w:r>
            <w:r w:rsidR="00F52889" w:rsidRPr="00C35DA5">
              <w:rPr>
                <w:bCs/>
                <w:color w:val="auto"/>
                <w:sz w:val="20"/>
                <w:szCs w:val="20"/>
              </w:rPr>
              <w:t xml:space="preserve"> led by the MDBA, as relevant to the jurisdiction</w:t>
            </w:r>
            <w:r w:rsidR="00F52889" w:rsidRPr="004C4B9D">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FB0B7D" w14:textId="0F225051"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F48EB3" w14:textId="5F698C4B"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67FCB6BB" w14:textId="77777777" w:rsidTr="006F3A9B">
        <w:tc>
          <w:tcPr>
            <w:tcW w:w="1579" w:type="dxa"/>
            <w:vMerge/>
            <w:tcBorders>
              <w:left w:val="single" w:sz="8" w:space="0" w:color="4F81BD"/>
              <w:right w:val="single" w:sz="8" w:space="0" w:color="4F81BD"/>
            </w:tcBorders>
            <w:shd w:val="clear" w:color="auto" w:fill="F2F2F2" w:themeFill="background1" w:themeFillShade="F2"/>
          </w:tcPr>
          <w:p w14:paraId="2D994260" w14:textId="77777777" w:rsidR="00F52889" w:rsidRPr="004C4B9D" w:rsidRDefault="00F52889" w:rsidP="00F52889">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94228E" w14:textId="535263AF" w:rsidR="00F52889" w:rsidRPr="004C4B9D" w:rsidRDefault="008D6564" w:rsidP="00743869">
            <w:pPr>
              <w:pStyle w:val="Tableformat"/>
              <w:rPr>
                <w:bCs/>
                <w:color w:val="auto"/>
                <w:sz w:val="20"/>
                <w:szCs w:val="20"/>
              </w:rPr>
            </w:pPr>
            <w:r>
              <w:rPr>
                <w:bCs/>
                <w:color w:val="auto"/>
                <w:sz w:val="20"/>
                <w:szCs w:val="20"/>
              </w:rPr>
              <w:t>6</w:t>
            </w:r>
            <w:r w:rsidR="00F52889">
              <w:rPr>
                <w:bCs/>
                <w:color w:val="auto"/>
                <w:sz w:val="20"/>
                <w:szCs w:val="20"/>
              </w:rPr>
              <w:t xml:space="preserve">. </w:t>
            </w:r>
            <w:r w:rsidR="00F52889" w:rsidRPr="004C4B9D">
              <w:rPr>
                <w:bCs/>
                <w:color w:val="auto"/>
                <w:sz w:val="20"/>
                <w:szCs w:val="20"/>
              </w:rPr>
              <w:t>Ensure State water planning frameworks that are included in Water Resource Plans remain consistent with the Basin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CFE9EF1" w14:textId="1AC72158" w:rsidR="00F52889" w:rsidRPr="004C4B9D" w:rsidRDefault="008D6564" w:rsidP="00F52889">
            <w:pPr>
              <w:pStyle w:val="Tableformat"/>
              <w:rPr>
                <w:bCs/>
                <w:color w:val="auto"/>
                <w:sz w:val="20"/>
                <w:szCs w:val="20"/>
              </w:rPr>
            </w:pPr>
            <w:r>
              <w:rPr>
                <w:bCs/>
                <w:color w:val="auto"/>
                <w:sz w:val="20"/>
                <w:szCs w:val="20"/>
              </w:rPr>
              <w:t>6</w:t>
            </w:r>
            <w:r w:rsidR="00F52889" w:rsidRPr="00C35DA5">
              <w:rPr>
                <w:bCs/>
                <w:color w:val="auto"/>
                <w:sz w:val="20"/>
                <w:szCs w:val="20"/>
              </w:rPr>
              <w:t>.a Submit amendments to WRPs to the Commonwealth for approval where state water planning frameworks in WRPs become inconsistent with the Basin Plan</w:t>
            </w:r>
            <w:r w:rsidR="00F52889" w:rsidRPr="004C4B9D">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24590B" w14:textId="50C7FD60"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78DE80" w14:textId="6456EE9B"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29D412F3" w14:textId="77777777" w:rsidTr="006F3A9B">
        <w:tc>
          <w:tcPr>
            <w:tcW w:w="1579" w:type="dxa"/>
            <w:vMerge/>
            <w:tcBorders>
              <w:left w:val="single" w:sz="8" w:space="0" w:color="4F81BD"/>
              <w:right w:val="single" w:sz="8" w:space="0" w:color="4F81BD"/>
            </w:tcBorders>
            <w:shd w:val="clear" w:color="auto" w:fill="F2F2F2" w:themeFill="background1" w:themeFillShade="F2"/>
          </w:tcPr>
          <w:p w14:paraId="64FB02DE" w14:textId="77777777" w:rsidR="00F52889" w:rsidRPr="004C4B9D" w:rsidRDefault="00F52889" w:rsidP="00F52889">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0CA9DDD0" w14:textId="5AC91DB7" w:rsidR="00F52889" w:rsidRPr="004C4B9D" w:rsidRDefault="008D6564" w:rsidP="00743869">
            <w:pPr>
              <w:pStyle w:val="Tableformat"/>
              <w:rPr>
                <w:bCs/>
                <w:color w:val="auto"/>
                <w:sz w:val="20"/>
                <w:szCs w:val="20"/>
              </w:rPr>
            </w:pPr>
            <w:r>
              <w:rPr>
                <w:bCs/>
                <w:color w:val="auto"/>
                <w:sz w:val="20"/>
                <w:szCs w:val="20"/>
              </w:rPr>
              <w:t>7</w:t>
            </w:r>
            <w:r w:rsidR="00F52889">
              <w:rPr>
                <w:bCs/>
                <w:color w:val="auto"/>
                <w:sz w:val="20"/>
                <w:szCs w:val="20"/>
              </w:rPr>
              <w:t xml:space="preserve">. </w:t>
            </w:r>
            <w:r w:rsidR="00F52889" w:rsidRPr="004C4B9D">
              <w:rPr>
                <w:bCs/>
                <w:color w:val="auto"/>
                <w:sz w:val="20"/>
                <w:szCs w:val="20"/>
              </w:rPr>
              <w:t>Deliver required Basin Plan monitoring, evaluation, science and reporting.</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AF1BE6" w14:textId="5B942A40" w:rsidR="00F52889" w:rsidRPr="004C4B9D" w:rsidRDefault="008D6564" w:rsidP="00F52889">
            <w:pPr>
              <w:pStyle w:val="Tableformat"/>
              <w:rPr>
                <w:bCs/>
                <w:color w:val="auto"/>
                <w:sz w:val="20"/>
                <w:szCs w:val="20"/>
              </w:rPr>
            </w:pPr>
            <w:r>
              <w:rPr>
                <w:bCs/>
                <w:color w:val="auto"/>
                <w:sz w:val="20"/>
                <w:szCs w:val="20"/>
              </w:rPr>
              <w:t>7</w:t>
            </w:r>
            <w:r w:rsidR="00F52889">
              <w:rPr>
                <w:bCs/>
                <w:color w:val="auto"/>
                <w:sz w:val="20"/>
                <w:szCs w:val="20"/>
              </w:rPr>
              <w:t xml:space="preserve">.a </w:t>
            </w:r>
            <w:r w:rsidR="00F52889" w:rsidRPr="004C4B9D">
              <w:rPr>
                <w:bCs/>
                <w:color w:val="auto"/>
                <w:sz w:val="20"/>
                <w:szCs w:val="20"/>
              </w:rPr>
              <w:t>Deliver Basin Plan reporting under Schedule 12, including reporting under Matters 8, 12, 18 and 19</w:t>
            </w:r>
            <w:r w:rsidR="00DF5E63">
              <w:rPr>
                <w:bCs/>
                <w:color w:val="auto"/>
                <w:sz w:val="20"/>
                <w:szCs w:val="20"/>
              </w:rPr>
              <w:t xml:space="preserve"> and 21 (compliance with water resource plans, such as but not limited to Part</w:t>
            </w:r>
            <w:r w:rsidR="00DD072F">
              <w:rPr>
                <w:bCs/>
                <w:color w:val="auto"/>
                <w:sz w:val="20"/>
                <w:szCs w:val="20"/>
              </w:rPr>
              <w:t>s</w:t>
            </w:r>
            <w:r w:rsidR="00DF5E63">
              <w:rPr>
                <w:bCs/>
                <w:color w:val="auto"/>
                <w:sz w:val="20"/>
                <w:szCs w:val="20"/>
              </w:rPr>
              <w:t xml:space="preserve"> 4, 6, 14)</w:t>
            </w:r>
            <w:r w:rsidR="00F52889" w:rsidRPr="004C4B9D">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CE2E42" w14:textId="53CC7A46"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D15C6F" w14:textId="66D5D0B7" w:rsidR="00F52889" w:rsidRPr="004C4B9D" w:rsidRDefault="00F52889">
            <w:pPr>
              <w:pStyle w:val="Tableformat"/>
              <w:rPr>
                <w:bCs/>
                <w:color w:val="auto"/>
                <w:sz w:val="20"/>
                <w:szCs w:val="20"/>
              </w:rPr>
            </w:pPr>
            <w:r>
              <w:rPr>
                <w:bCs/>
                <w:color w:val="auto"/>
                <w:sz w:val="20"/>
                <w:szCs w:val="20"/>
              </w:rPr>
              <w:t>$</w:t>
            </w:r>
            <w:r w:rsidR="00F70D89">
              <w:rPr>
                <w:bCs/>
                <w:color w:val="auto"/>
                <w:sz w:val="20"/>
                <w:szCs w:val="20"/>
              </w:rPr>
              <w:t>541,296</w:t>
            </w:r>
          </w:p>
        </w:tc>
      </w:tr>
      <w:tr w:rsidR="00F52889" w:rsidRPr="004C4B9D" w14:paraId="1C0DF25C" w14:textId="77777777" w:rsidTr="006F3A9B">
        <w:tc>
          <w:tcPr>
            <w:tcW w:w="1579" w:type="dxa"/>
            <w:vMerge/>
            <w:tcBorders>
              <w:left w:val="single" w:sz="8" w:space="0" w:color="4F81BD"/>
              <w:right w:val="single" w:sz="8" w:space="0" w:color="4F81BD"/>
            </w:tcBorders>
            <w:shd w:val="clear" w:color="auto" w:fill="F2F2F2" w:themeFill="background1" w:themeFillShade="F2"/>
          </w:tcPr>
          <w:p w14:paraId="47E7BB3C" w14:textId="77777777" w:rsidR="00F52889" w:rsidRPr="004C4B9D" w:rsidRDefault="00F52889" w:rsidP="00F52889">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2006C72A" w14:textId="77777777" w:rsidR="00F52889" w:rsidRPr="004C4B9D"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134BFB" w14:textId="3FAAEA21" w:rsidR="00F52889" w:rsidRPr="004C4B9D" w:rsidRDefault="008D6564" w:rsidP="00F52889">
            <w:pPr>
              <w:pStyle w:val="Tableformat"/>
              <w:rPr>
                <w:bCs/>
                <w:color w:val="auto"/>
                <w:sz w:val="20"/>
                <w:szCs w:val="20"/>
              </w:rPr>
            </w:pPr>
            <w:r>
              <w:rPr>
                <w:bCs/>
                <w:color w:val="auto"/>
                <w:sz w:val="20"/>
                <w:szCs w:val="20"/>
              </w:rPr>
              <w:t>7</w:t>
            </w:r>
            <w:r w:rsidR="00F52889">
              <w:rPr>
                <w:bCs/>
                <w:color w:val="auto"/>
                <w:sz w:val="20"/>
                <w:szCs w:val="20"/>
              </w:rPr>
              <w:t xml:space="preserve">.b </w:t>
            </w:r>
            <w:r w:rsidR="00F52889" w:rsidRPr="004C4B9D">
              <w:rPr>
                <w:bCs/>
                <w:color w:val="auto"/>
                <w:sz w:val="20"/>
                <w:szCs w:val="20"/>
              </w:rPr>
              <w:t xml:space="preserve">Deliver on </w:t>
            </w:r>
            <w:r w:rsidR="00F52889">
              <w:rPr>
                <w:bCs/>
                <w:color w:val="auto"/>
                <w:sz w:val="20"/>
                <w:szCs w:val="20"/>
              </w:rPr>
              <w:t xml:space="preserve">agreed </w:t>
            </w:r>
            <w:r w:rsidR="00F52889"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F52889" w:rsidRPr="004C4B9D">
              <w:rPr>
                <w:bCs/>
                <w:color w:val="auto"/>
                <w:sz w:val="20"/>
                <w:szCs w:val="20"/>
              </w:rPr>
              <w:t xml:space="preserve"> as endorsed by BOCA.</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56BF16" w14:textId="3266FEBD"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EDA634" w14:textId="54D6256A" w:rsidR="00F52889" w:rsidRPr="004C4B9D" w:rsidRDefault="00F52889">
            <w:pPr>
              <w:pStyle w:val="Tableformat"/>
              <w:rPr>
                <w:bCs/>
                <w:color w:val="auto"/>
                <w:sz w:val="20"/>
                <w:szCs w:val="20"/>
              </w:rPr>
            </w:pPr>
            <w:r>
              <w:rPr>
                <w:bCs/>
                <w:color w:val="auto"/>
                <w:sz w:val="20"/>
                <w:szCs w:val="20"/>
              </w:rPr>
              <w:t>$</w:t>
            </w:r>
            <w:r w:rsidR="00F70D89">
              <w:rPr>
                <w:bCs/>
                <w:color w:val="auto"/>
                <w:sz w:val="20"/>
                <w:szCs w:val="20"/>
              </w:rPr>
              <w:t>541,296</w:t>
            </w:r>
          </w:p>
        </w:tc>
      </w:tr>
      <w:tr w:rsidR="00F52889" w:rsidRPr="004C4B9D" w14:paraId="31381AC9" w14:textId="77777777" w:rsidTr="006F3A9B">
        <w:tc>
          <w:tcPr>
            <w:tcW w:w="1579" w:type="dxa"/>
            <w:vMerge w:val="restart"/>
            <w:tcBorders>
              <w:top w:val="single" w:sz="8" w:space="0" w:color="4F81BD"/>
              <w:left w:val="single" w:sz="8" w:space="0" w:color="4F81BD"/>
              <w:right w:val="single" w:sz="8" w:space="0" w:color="4F81BD"/>
            </w:tcBorders>
            <w:shd w:val="clear" w:color="auto" w:fill="F2F2F2" w:themeFill="background1" w:themeFillShade="F2"/>
          </w:tcPr>
          <w:p w14:paraId="65FD1819" w14:textId="502CC1EF" w:rsidR="00F52889" w:rsidRPr="004C4B9D" w:rsidRDefault="00F52889" w:rsidP="00F52889">
            <w:pPr>
              <w:pStyle w:val="Tableformat"/>
              <w:rPr>
                <w:bCs/>
                <w:color w:val="auto"/>
                <w:sz w:val="20"/>
                <w:szCs w:val="20"/>
              </w:rPr>
            </w:pPr>
            <w:r w:rsidRPr="004C4B9D">
              <w:rPr>
                <w:bCs/>
                <w:color w:val="auto"/>
                <w:sz w:val="20"/>
                <w:szCs w:val="20"/>
              </w:rPr>
              <w:t>Water market improvement</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9256B1" w14:textId="4EE34EC9" w:rsidR="00F52889" w:rsidRPr="004C4B9D" w:rsidRDefault="004F7924" w:rsidP="00743869">
            <w:pPr>
              <w:pStyle w:val="Tableformat"/>
              <w:rPr>
                <w:bCs/>
                <w:color w:val="auto"/>
                <w:sz w:val="20"/>
                <w:szCs w:val="20"/>
              </w:rPr>
            </w:pPr>
            <w:r>
              <w:rPr>
                <w:bCs/>
                <w:color w:val="auto"/>
                <w:sz w:val="20"/>
                <w:szCs w:val="20"/>
              </w:rPr>
              <w:t>8</w:t>
            </w:r>
            <w:r w:rsidR="00F52889">
              <w:rPr>
                <w:bCs/>
                <w:color w:val="auto"/>
                <w:sz w:val="20"/>
                <w:szCs w:val="20"/>
              </w:rPr>
              <w:t xml:space="preserve">. </w:t>
            </w:r>
            <w:r w:rsidR="00F52889" w:rsidRPr="004C4B9D">
              <w:rPr>
                <w:bCs/>
                <w:color w:val="auto"/>
                <w:sz w:val="20"/>
                <w:szCs w:val="20"/>
              </w:rPr>
              <w:t>Improve water market trading arrangements across the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149573" w14:textId="6F441E69" w:rsidR="00F52889" w:rsidRPr="004C4B9D" w:rsidRDefault="004F7924" w:rsidP="00763FE0">
            <w:pPr>
              <w:pStyle w:val="Tableformat"/>
              <w:rPr>
                <w:bCs/>
                <w:color w:val="auto"/>
                <w:sz w:val="20"/>
                <w:szCs w:val="20"/>
              </w:rPr>
            </w:pPr>
            <w:r>
              <w:rPr>
                <w:bCs/>
                <w:color w:val="auto"/>
                <w:sz w:val="20"/>
                <w:szCs w:val="20"/>
              </w:rPr>
              <w:t>8</w:t>
            </w:r>
            <w:r w:rsidR="00F52889" w:rsidRPr="00C35DA5">
              <w:rPr>
                <w:bCs/>
                <w:color w:val="auto"/>
                <w:sz w:val="20"/>
                <w:szCs w:val="20"/>
              </w:rPr>
              <w:t>.</w:t>
            </w:r>
            <w:r w:rsidR="00763FE0">
              <w:rPr>
                <w:bCs/>
                <w:color w:val="auto"/>
                <w:sz w:val="20"/>
                <w:szCs w:val="20"/>
              </w:rPr>
              <w:t>a</w:t>
            </w:r>
            <w:r w:rsidR="00F52889" w:rsidRPr="00C35DA5">
              <w:rPr>
                <w:bCs/>
                <w:color w:val="auto"/>
                <w:sz w:val="20"/>
                <w:szCs w:val="20"/>
              </w:rPr>
              <w:t xml:space="preserve"> Implement agreed projects and programs arising from a finalised road map for Murray-Darling Basin water market reform</w:t>
            </w:r>
            <w:r w:rsidR="00F52889" w:rsidRPr="002911F1">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B62BC1" w14:textId="69970467"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B94FD4" w14:textId="45F000B7"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3C905E49" w14:textId="77777777" w:rsidTr="006F3A9B">
        <w:tc>
          <w:tcPr>
            <w:tcW w:w="1579" w:type="dxa"/>
            <w:vMerge/>
            <w:tcBorders>
              <w:left w:val="single" w:sz="8" w:space="0" w:color="4F81BD"/>
              <w:bottom w:val="single" w:sz="8" w:space="0" w:color="4F81BD"/>
              <w:right w:val="single" w:sz="8" w:space="0" w:color="4F81BD"/>
            </w:tcBorders>
            <w:shd w:val="clear" w:color="auto" w:fill="F2F2F2" w:themeFill="background1" w:themeFillShade="F2"/>
          </w:tcPr>
          <w:p w14:paraId="434FFEE4" w14:textId="77777777" w:rsidR="00F52889" w:rsidRPr="004C4B9D" w:rsidRDefault="00F52889" w:rsidP="00F52889">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F241C0" w14:textId="041ED309" w:rsidR="00F52889" w:rsidRPr="004C4B9D" w:rsidRDefault="004F7924">
            <w:pPr>
              <w:pStyle w:val="Tableformat"/>
              <w:rPr>
                <w:bCs/>
                <w:color w:val="auto"/>
                <w:sz w:val="20"/>
                <w:szCs w:val="20"/>
              </w:rPr>
            </w:pPr>
            <w:r>
              <w:rPr>
                <w:bCs/>
                <w:color w:val="auto"/>
                <w:sz w:val="20"/>
                <w:szCs w:val="20"/>
              </w:rPr>
              <w:t>9</w:t>
            </w:r>
            <w:r w:rsidR="00F52889">
              <w:rPr>
                <w:bCs/>
                <w:color w:val="auto"/>
                <w:sz w:val="20"/>
                <w:szCs w:val="20"/>
              </w:rPr>
              <w:t xml:space="preserve">. </w:t>
            </w:r>
            <w:r w:rsidR="00F52889" w:rsidRPr="004C4B9D">
              <w:rPr>
                <w:bCs/>
                <w:color w:val="auto"/>
                <w:sz w:val="20"/>
                <w:szCs w:val="20"/>
              </w:rPr>
              <w:t>Establish two-way entitlement and allocation trade between the ACT and NSW, to ensure protection of future environmental water downstream from the ACT.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D1432E" w14:textId="595BA09C" w:rsidR="00F52889" w:rsidRPr="004C4B9D" w:rsidRDefault="004F7924">
            <w:pPr>
              <w:pStyle w:val="Tableformat"/>
              <w:rPr>
                <w:bCs/>
                <w:color w:val="auto"/>
                <w:sz w:val="20"/>
                <w:szCs w:val="20"/>
              </w:rPr>
            </w:pPr>
            <w:r>
              <w:rPr>
                <w:bCs/>
                <w:color w:val="auto"/>
                <w:sz w:val="20"/>
                <w:szCs w:val="20"/>
              </w:rPr>
              <w:t>9</w:t>
            </w:r>
            <w:r w:rsidR="00F52889">
              <w:rPr>
                <w:bCs/>
                <w:color w:val="auto"/>
                <w:sz w:val="20"/>
                <w:szCs w:val="20"/>
              </w:rPr>
              <w:t>.</w:t>
            </w:r>
            <w:r w:rsidR="00844388">
              <w:rPr>
                <w:bCs/>
                <w:color w:val="auto"/>
                <w:sz w:val="20"/>
                <w:szCs w:val="20"/>
              </w:rPr>
              <w:t xml:space="preserve">a </w:t>
            </w:r>
            <w:r w:rsidR="00F523C4">
              <w:rPr>
                <w:bCs/>
                <w:color w:val="auto"/>
                <w:sz w:val="20"/>
                <w:szCs w:val="20"/>
              </w:rPr>
              <w:t>Trial, test and e</w:t>
            </w:r>
            <w:r w:rsidR="00F52889" w:rsidRPr="004C4B9D">
              <w:rPr>
                <w:bCs/>
                <w:color w:val="auto"/>
                <w:sz w:val="20"/>
                <w:szCs w:val="20"/>
              </w:rPr>
              <w:t>stablish the transfer and trade mechanism with the ACT developed in accordance with the principles agreed on 01/09/2021.</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0B3339" w14:textId="3613916E"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B8E0AE" w14:textId="2B2D62E8"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02FCE5EE" w14:textId="77777777" w:rsidTr="006F3A9B">
        <w:tc>
          <w:tcPr>
            <w:tcW w:w="1579" w:type="dxa"/>
            <w:vMerge w:val="restart"/>
            <w:tcBorders>
              <w:top w:val="single" w:sz="8" w:space="0" w:color="4F81BD"/>
              <w:left w:val="single" w:sz="8" w:space="0" w:color="4F81BD"/>
              <w:right w:val="single" w:sz="8" w:space="0" w:color="4F81BD"/>
            </w:tcBorders>
            <w:shd w:val="clear" w:color="auto" w:fill="F2F2F2" w:themeFill="background1" w:themeFillShade="F2"/>
          </w:tcPr>
          <w:p w14:paraId="3B2C1621" w14:textId="226279C9" w:rsidR="00F52889" w:rsidRPr="004C4B9D" w:rsidRDefault="00F52889" w:rsidP="00F52889">
            <w:pPr>
              <w:pStyle w:val="Tableformat"/>
              <w:rPr>
                <w:bCs/>
                <w:color w:val="auto"/>
                <w:sz w:val="20"/>
                <w:szCs w:val="20"/>
              </w:rPr>
            </w:pPr>
            <w:r w:rsidRPr="004C4B9D">
              <w:rPr>
                <w:bCs/>
                <w:color w:val="auto"/>
                <w:sz w:val="20"/>
                <w:szCs w:val="20"/>
              </w:rPr>
              <w:t>Improved compliance and reporting</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59B081" w14:textId="4C226EDE" w:rsidR="00F52889" w:rsidRPr="004C4B9D" w:rsidRDefault="004F7924">
            <w:pPr>
              <w:pStyle w:val="Tableformat"/>
              <w:rPr>
                <w:bCs/>
                <w:color w:val="auto"/>
                <w:sz w:val="20"/>
                <w:szCs w:val="20"/>
              </w:rPr>
            </w:pPr>
            <w:r>
              <w:rPr>
                <w:bCs/>
                <w:color w:val="auto"/>
                <w:sz w:val="20"/>
                <w:szCs w:val="20"/>
              </w:rPr>
              <w:t>10</w:t>
            </w:r>
            <w:r w:rsidR="00F52889">
              <w:rPr>
                <w:bCs/>
                <w:color w:val="auto"/>
                <w:sz w:val="20"/>
                <w:szCs w:val="20"/>
              </w:rPr>
              <w:t xml:space="preserve">. </w:t>
            </w:r>
            <w:r w:rsidR="00F52889" w:rsidRPr="004C4B9D">
              <w:rPr>
                <w:bCs/>
                <w:color w:val="auto"/>
                <w:sz w:val="20"/>
                <w:szCs w:val="20"/>
              </w:rPr>
              <w:t xml:space="preserve">Implement revised Metrological Assurance Framework (MAF2)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D50765" w14:textId="7FEE6056" w:rsidR="00F52889" w:rsidRPr="004C4B9D" w:rsidRDefault="004F7924">
            <w:pPr>
              <w:pStyle w:val="Tableformat"/>
              <w:rPr>
                <w:bCs/>
                <w:color w:val="auto"/>
                <w:sz w:val="20"/>
                <w:szCs w:val="20"/>
              </w:rPr>
            </w:pPr>
            <w:r>
              <w:rPr>
                <w:bCs/>
                <w:color w:val="auto"/>
                <w:sz w:val="20"/>
                <w:szCs w:val="20"/>
              </w:rPr>
              <w:t>10</w:t>
            </w:r>
            <w:r w:rsidR="00F52889">
              <w:rPr>
                <w:bCs/>
                <w:color w:val="auto"/>
                <w:sz w:val="20"/>
                <w:szCs w:val="20"/>
              </w:rPr>
              <w:t>.</w:t>
            </w:r>
            <w:r w:rsidR="00844388">
              <w:rPr>
                <w:bCs/>
                <w:color w:val="auto"/>
                <w:sz w:val="20"/>
                <w:szCs w:val="20"/>
              </w:rPr>
              <w:t xml:space="preserve">a </w:t>
            </w:r>
            <w:r w:rsidR="00F52889" w:rsidRPr="002911F1">
              <w:rPr>
                <w:bCs/>
                <w:color w:val="auto"/>
                <w:sz w:val="20"/>
                <w:szCs w:val="20"/>
              </w:rPr>
              <w:t>Complete implementation of MAF2 requirements.</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89B949" w14:textId="3D3D01C6"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95E848" w14:textId="76F2AE89"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7D79F3EA" w14:textId="77777777" w:rsidTr="006F3A9B">
        <w:tc>
          <w:tcPr>
            <w:tcW w:w="1579" w:type="dxa"/>
            <w:vMerge/>
            <w:tcBorders>
              <w:left w:val="single" w:sz="8" w:space="0" w:color="4F81BD"/>
              <w:right w:val="single" w:sz="8" w:space="0" w:color="4F81BD"/>
            </w:tcBorders>
            <w:shd w:val="clear" w:color="auto" w:fill="F2F2F2" w:themeFill="background1" w:themeFillShade="F2"/>
          </w:tcPr>
          <w:p w14:paraId="2EEFC9D6" w14:textId="77777777" w:rsidR="00F52889" w:rsidRPr="004C4B9D" w:rsidRDefault="00F52889" w:rsidP="00F52889">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401EDE73" w14:textId="28699421" w:rsidR="00F52889" w:rsidRPr="004C4B9D" w:rsidRDefault="004F7924">
            <w:pPr>
              <w:pStyle w:val="Tableformat"/>
              <w:rPr>
                <w:bCs/>
                <w:color w:val="auto"/>
                <w:sz w:val="20"/>
                <w:szCs w:val="20"/>
              </w:rPr>
            </w:pPr>
            <w:r>
              <w:rPr>
                <w:bCs/>
                <w:color w:val="auto"/>
                <w:sz w:val="20"/>
                <w:szCs w:val="20"/>
              </w:rPr>
              <w:t>11</w:t>
            </w:r>
            <w:r w:rsidR="00F52889">
              <w:rPr>
                <w:bCs/>
                <w:color w:val="auto"/>
                <w:sz w:val="20"/>
                <w:szCs w:val="20"/>
              </w:rPr>
              <w:t xml:space="preserve">. </w:t>
            </w:r>
            <w:r w:rsidR="00F52889" w:rsidRPr="004649CE">
              <w:rPr>
                <w:bCs/>
                <w:color w:val="auto"/>
                <w:sz w:val="20"/>
                <w:szCs w:val="20"/>
              </w:rPr>
              <w:t>Work with the Inspector General of Water Compliance (IGWC) to provide clear compliance arrangements and reporting in the Murray-Darling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48B518" w14:textId="4D922AA7" w:rsidR="00F52889" w:rsidRPr="004C4B9D" w:rsidRDefault="004F7924">
            <w:pPr>
              <w:pStyle w:val="Tableformat"/>
              <w:rPr>
                <w:bCs/>
                <w:color w:val="auto"/>
                <w:sz w:val="20"/>
                <w:szCs w:val="20"/>
              </w:rPr>
            </w:pPr>
            <w:r>
              <w:rPr>
                <w:bCs/>
                <w:color w:val="auto"/>
                <w:sz w:val="20"/>
                <w:szCs w:val="20"/>
              </w:rPr>
              <w:t>11</w:t>
            </w:r>
            <w:r w:rsidR="00F52889" w:rsidRPr="00A4556C">
              <w:rPr>
                <w:bCs/>
                <w:color w:val="auto"/>
                <w:sz w:val="20"/>
                <w:szCs w:val="20"/>
              </w:rPr>
              <w:t>.</w:t>
            </w:r>
            <w:r w:rsidR="00844388">
              <w:rPr>
                <w:bCs/>
                <w:color w:val="auto"/>
                <w:sz w:val="20"/>
                <w:szCs w:val="20"/>
              </w:rPr>
              <w:t>a</w:t>
            </w:r>
            <w:r w:rsidR="00844388" w:rsidRPr="00A4556C">
              <w:rPr>
                <w:bCs/>
                <w:color w:val="auto"/>
                <w:sz w:val="20"/>
                <w:szCs w:val="20"/>
              </w:rPr>
              <w:t xml:space="preserve"> </w:t>
            </w:r>
            <w:r w:rsidR="00F52889" w:rsidRPr="00A4556C">
              <w:rPr>
                <w:bCs/>
                <w:color w:val="auto"/>
                <w:sz w:val="20"/>
                <w:szCs w:val="20"/>
              </w:rPr>
              <w:t>Provide input to the IGWC on the development of standards and guidelines</w:t>
            </w:r>
            <w:r w:rsidR="00F52889">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F585953" w14:textId="6B2EBD22"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678583" w14:textId="7B7B311D" w:rsidR="00F52889" w:rsidRPr="004C4B9D"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6F810A8B" w14:textId="77777777" w:rsidTr="006F3A9B">
        <w:tc>
          <w:tcPr>
            <w:tcW w:w="1579" w:type="dxa"/>
            <w:vMerge/>
            <w:tcBorders>
              <w:left w:val="single" w:sz="8" w:space="0" w:color="4F81BD"/>
              <w:right w:val="single" w:sz="8" w:space="0" w:color="4F81BD"/>
            </w:tcBorders>
            <w:shd w:val="clear" w:color="auto" w:fill="F2F2F2" w:themeFill="background1" w:themeFillShade="F2"/>
          </w:tcPr>
          <w:p w14:paraId="3CF577C2" w14:textId="77777777" w:rsidR="00F52889" w:rsidRPr="004C4B9D" w:rsidRDefault="00F52889" w:rsidP="00F52889">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30001E53" w14:textId="77777777" w:rsidR="00F52889" w:rsidRPr="004649CE"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F982F9F" w14:textId="7ED46F8C" w:rsidR="00F52889" w:rsidRPr="004C4B9D" w:rsidRDefault="004F7924">
            <w:pPr>
              <w:pStyle w:val="Tableformat"/>
              <w:rPr>
                <w:bCs/>
                <w:color w:val="auto"/>
                <w:sz w:val="20"/>
                <w:szCs w:val="20"/>
              </w:rPr>
            </w:pPr>
            <w:r>
              <w:rPr>
                <w:bCs/>
                <w:color w:val="auto"/>
                <w:sz w:val="20"/>
                <w:szCs w:val="20"/>
              </w:rPr>
              <w:t>11</w:t>
            </w:r>
            <w:r w:rsidR="00F52889" w:rsidRPr="00A4556C">
              <w:rPr>
                <w:bCs/>
                <w:color w:val="auto"/>
                <w:sz w:val="20"/>
                <w:szCs w:val="20"/>
              </w:rPr>
              <w:t>.</w:t>
            </w:r>
            <w:r w:rsidR="00844388">
              <w:rPr>
                <w:bCs/>
                <w:color w:val="auto"/>
                <w:sz w:val="20"/>
                <w:szCs w:val="20"/>
              </w:rPr>
              <w:t>b</w:t>
            </w:r>
            <w:r w:rsidR="00844388" w:rsidRPr="00A4556C">
              <w:rPr>
                <w:bCs/>
                <w:color w:val="auto"/>
                <w:sz w:val="20"/>
                <w:szCs w:val="20"/>
              </w:rPr>
              <w:t xml:space="preserve"> </w:t>
            </w:r>
            <w:r w:rsidR="00F52889" w:rsidRPr="00A4556C">
              <w:rPr>
                <w:bCs/>
                <w:color w:val="auto"/>
                <w:sz w:val="20"/>
                <w:szCs w:val="20"/>
              </w:rPr>
              <w:t>Report to the IGWC against MAF2 Chapter 15 at least annually or in accordance with IGWC guidelines</w:t>
            </w:r>
            <w:r w:rsidR="00F52889" w:rsidRPr="004649CE">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679597" w14:textId="32EB4A89" w:rsidR="00F52889"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CE2AFDB" w14:textId="36C83FAD" w:rsidR="00F52889"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0941E51B" w14:textId="77777777" w:rsidTr="006F3A9B">
        <w:tc>
          <w:tcPr>
            <w:tcW w:w="1579" w:type="dxa"/>
            <w:vMerge/>
            <w:tcBorders>
              <w:left w:val="single" w:sz="8" w:space="0" w:color="4F81BD"/>
              <w:right w:val="single" w:sz="8" w:space="0" w:color="4F81BD"/>
            </w:tcBorders>
            <w:shd w:val="clear" w:color="auto" w:fill="F2F2F2" w:themeFill="background1" w:themeFillShade="F2"/>
          </w:tcPr>
          <w:p w14:paraId="71CE482A" w14:textId="77777777" w:rsidR="00F52889" w:rsidRPr="004C4B9D" w:rsidRDefault="00F52889" w:rsidP="00F52889">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11B36DB2" w14:textId="77777777" w:rsidR="00F52889" w:rsidRPr="004649CE" w:rsidRDefault="00F52889" w:rsidP="00F52889">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83F1A6" w14:textId="714D84DF" w:rsidR="00F52889" w:rsidRPr="00A4556C" w:rsidRDefault="004F7924">
            <w:pPr>
              <w:pStyle w:val="Tableformat"/>
              <w:rPr>
                <w:bCs/>
                <w:color w:val="auto"/>
                <w:sz w:val="20"/>
                <w:szCs w:val="20"/>
              </w:rPr>
            </w:pPr>
            <w:r>
              <w:rPr>
                <w:bCs/>
                <w:color w:val="auto"/>
                <w:sz w:val="20"/>
                <w:szCs w:val="20"/>
              </w:rPr>
              <w:t>11</w:t>
            </w:r>
            <w:r w:rsidR="00F52889" w:rsidRPr="00A4556C">
              <w:rPr>
                <w:bCs/>
                <w:color w:val="auto"/>
                <w:sz w:val="20"/>
                <w:szCs w:val="20"/>
              </w:rPr>
              <w:t>.</w:t>
            </w:r>
            <w:r w:rsidR="00844388">
              <w:rPr>
                <w:bCs/>
                <w:color w:val="auto"/>
                <w:sz w:val="20"/>
                <w:szCs w:val="20"/>
              </w:rPr>
              <w:t>c</w:t>
            </w:r>
            <w:r w:rsidR="00844388" w:rsidRPr="00A4556C">
              <w:rPr>
                <w:bCs/>
                <w:color w:val="auto"/>
                <w:sz w:val="20"/>
                <w:szCs w:val="20"/>
              </w:rPr>
              <w:t xml:space="preserve"> </w:t>
            </w:r>
            <w:r w:rsidR="00F52889" w:rsidRPr="00A4556C">
              <w:rPr>
                <w:bCs/>
                <w:color w:val="auto"/>
                <w:sz w:val="20"/>
                <w:szCs w:val="20"/>
              </w:rPr>
              <w:t>Provide performance data to the IGWC subject to agreed reporting guidelines (annually).</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DA38AE" w14:textId="2B2B4645" w:rsidR="00F52889"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BD6112" w14:textId="45EF431E" w:rsidR="00F52889"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403F3D7F" w14:textId="77777777" w:rsidTr="006F3A9B">
        <w:tc>
          <w:tcPr>
            <w:tcW w:w="1579" w:type="dxa"/>
            <w:vMerge/>
            <w:tcBorders>
              <w:left w:val="single" w:sz="8" w:space="0" w:color="4F81BD"/>
              <w:bottom w:val="single" w:sz="8" w:space="0" w:color="4F81BD"/>
              <w:right w:val="single" w:sz="8" w:space="0" w:color="4F81BD"/>
            </w:tcBorders>
            <w:shd w:val="clear" w:color="auto" w:fill="F2F2F2" w:themeFill="background1" w:themeFillShade="F2"/>
          </w:tcPr>
          <w:p w14:paraId="251779A4" w14:textId="77777777" w:rsidR="00F52889" w:rsidRPr="004C4B9D" w:rsidRDefault="00F52889" w:rsidP="00F52889">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A2402E" w14:textId="6FC893A2" w:rsidR="00F52889" w:rsidRPr="004C4B9D" w:rsidRDefault="004F7924">
            <w:pPr>
              <w:pStyle w:val="Tableformat"/>
              <w:rPr>
                <w:bCs/>
                <w:color w:val="auto"/>
                <w:sz w:val="20"/>
                <w:szCs w:val="20"/>
              </w:rPr>
            </w:pPr>
            <w:r>
              <w:rPr>
                <w:bCs/>
                <w:color w:val="auto"/>
                <w:sz w:val="20"/>
                <w:szCs w:val="20"/>
              </w:rPr>
              <w:t>12</w:t>
            </w:r>
            <w:r w:rsidR="00F52889">
              <w:rPr>
                <w:bCs/>
                <w:color w:val="auto"/>
                <w:sz w:val="20"/>
                <w:szCs w:val="20"/>
              </w:rPr>
              <w:t>. Compliance Compact oversight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84CFA5" w14:textId="06797D03" w:rsidR="00F52889" w:rsidRPr="004C4B9D" w:rsidRDefault="004F7924">
            <w:pPr>
              <w:pStyle w:val="Tableformat"/>
              <w:rPr>
                <w:bCs/>
                <w:color w:val="auto"/>
                <w:sz w:val="20"/>
                <w:szCs w:val="20"/>
              </w:rPr>
            </w:pPr>
            <w:r>
              <w:rPr>
                <w:bCs/>
                <w:color w:val="auto"/>
                <w:sz w:val="20"/>
                <w:szCs w:val="20"/>
              </w:rPr>
              <w:t>12</w:t>
            </w:r>
            <w:r w:rsidR="00F52889" w:rsidRPr="00A4556C">
              <w:rPr>
                <w:bCs/>
                <w:color w:val="auto"/>
                <w:sz w:val="20"/>
                <w:szCs w:val="20"/>
              </w:rPr>
              <w:t>.a Provide information to the IGWC as requested and in accordance with agreed MOU/guidelines to enable oversight of Compliance Compact commitments</w:t>
            </w:r>
            <w:r w:rsidR="00F52889" w:rsidRPr="00BE1502">
              <w:rPr>
                <w:bCs/>
                <w:color w:val="auto"/>
                <w:sz w:val="20"/>
                <w:szCs w:val="20"/>
              </w:rPr>
              <w:t>.</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1EC9DA" w14:textId="52486592" w:rsidR="00F52889"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329307" w14:textId="7DBD8AC4" w:rsidR="00F52889" w:rsidRDefault="00F52889" w:rsidP="00F52889">
            <w:pPr>
              <w:pStyle w:val="Tableformat"/>
              <w:rPr>
                <w:bCs/>
                <w:color w:val="auto"/>
                <w:sz w:val="20"/>
                <w:szCs w:val="20"/>
              </w:rPr>
            </w:pPr>
            <w:r>
              <w:rPr>
                <w:bCs/>
                <w:color w:val="auto"/>
                <w:sz w:val="20"/>
                <w:szCs w:val="20"/>
              </w:rPr>
              <w:t>$</w:t>
            </w:r>
            <w:r w:rsidR="000F31D2">
              <w:rPr>
                <w:bCs/>
                <w:color w:val="auto"/>
                <w:sz w:val="20"/>
                <w:szCs w:val="20"/>
              </w:rPr>
              <w:t>360,864</w:t>
            </w:r>
          </w:p>
        </w:tc>
      </w:tr>
      <w:tr w:rsidR="00F52889" w:rsidRPr="004C4B9D" w14:paraId="6C1D8D0E" w14:textId="77777777" w:rsidTr="0061607D">
        <w:tc>
          <w:tcPr>
            <w:tcW w:w="157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9EEC1A" w14:textId="77777777" w:rsidR="00F52889" w:rsidRPr="004C4B9D" w:rsidRDefault="00F52889" w:rsidP="00F52889">
            <w:pPr>
              <w:pStyle w:val="Tableformat"/>
              <w:rPr>
                <w:bCs/>
                <w:color w:val="auto"/>
                <w:sz w:val="20"/>
                <w:szCs w:val="20"/>
              </w:rPr>
            </w:pPr>
            <w:r w:rsidRPr="004C4B9D">
              <w:rPr>
                <w:bCs/>
                <w:color w:val="auto"/>
                <w:sz w:val="20"/>
                <w:szCs w:val="20"/>
              </w:rPr>
              <w:t>Enhanced and coordinated consultation and engagement with all Basin communities</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D48D45" w14:textId="307F0446" w:rsidR="00F52889" w:rsidRPr="004C4B9D" w:rsidRDefault="004F7924">
            <w:pPr>
              <w:pStyle w:val="Tableformat"/>
              <w:rPr>
                <w:bCs/>
                <w:color w:val="auto"/>
                <w:sz w:val="20"/>
                <w:szCs w:val="20"/>
              </w:rPr>
            </w:pPr>
            <w:r>
              <w:rPr>
                <w:bCs/>
                <w:color w:val="auto"/>
                <w:sz w:val="20"/>
                <w:szCs w:val="20"/>
              </w:rPr>
              <w:t>13</w:t>
            </w:r>
            <w:r w:rsidR="00F52889">
              <w:rPr>
                <w:bCs/>
                <w:color w:val="auto"/>
                <w:sz w:val="20"/>
                <w:szCs w:val="20"/>
              </w:rPr>
              <w:t xml:space="preserve">. </w:t>
            </w:r>
            <w:r w:rsidR="00F52889" w:rsidRPr="004C4B9D">
              <w:rPr>
                <w:bCs/>
                <w:color w:val="auto"/>
                <w:sz w:val="20"/>
                <w:szCs w:val="20"/>
              </w:rPr>
              <w:t>Improve consultation and strategic engagement in collaboration with the Commonwealth and other Basin governments.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23C523A" w14:textId="3C24AA87" w:rsidR="00F52889" w:rsidRPr="004C4B9D" w:rsidRDefault="004F7924">
            <w:pPr>
              <w:pStyle w:val="Tableformat"/>
              <w:rPr>
                <w:bCs/>
                <w:color w:val="auto"/>
                <w:sz w:val="20"/>
                <w:szCs w:val="20"/>
              </w:rPr>
            </w:pPr>
            <w:r>
              <w:rPr>
                <w:bCs/>
                <w:color w:val="auto"/>
                <w:sz w:val="20"/>
                <w:szCs w:val="20"/>
              </w:rPr>
              <w:t>13</w:t>
            </w:r>
            <w:r w:rsidR="00F52889">
              <w:rPr>
                <w:bCs/>
                <w:color w:val="auto"/>
                <w:sz w:val="20"/>
                <w:szCs w:val="20"/>
              </w:rPr>
              <w:t xml:space="preserve">.a </w:t>
            </w:r>
            <w:r w:rsidR="00F52889" w:rsidRPr="004C4B9D">
              <w:rPr>
                <w:bCs/>
                <w:color w:val="auto"/>
                <w:sz w:val="20"/>
                <w:szCs w:val="20"/>
              </w:rPr>
              <w:t xml:space="preserve">Report on improvements made on strategic consultation, engagement and coordination with Basin communities, in collaboration with the Commonwealth and other Basin governments. </w:t>
            </w:r>
          </w:p>
        </w:tc>
        <w:tc>
          <w:tcPr>
            <w:tcW w:w="118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2B63D3" w14:textId="1285CA6E" w:rsidR="00F52889" w:rsidRPr="004C4B9D" w:rsidRDefault="00F52889" w:rsidP="00F52889">
            <w:pPr>
              <w:pStyle w:val="Tableformat"/>
              <w:rPr>
                <w:bCs/>
                <w:color w:val="auto"/>
                <w:sz w:val="20"/>
                <w:szCs w:val="20"/>
              </w:rPr>
            </w:pPr>
            <w:r>
              <w:rPr>
                <w:bCs/>
                <w:color w:val="auto"/>
                <w:sz w:val="20"/>
                <w:szCs w:val="20"/>
              </w:rPr>
              <w:t>31 March 2024</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A14694" w14:textId="65AED276" w:rsidR="00F52889" w:rsidRPr="004C4B9D" w:rsidRDefault="00F52889">
            <w:pPr>
              <w:pStyle w:val="Tableformat"/>
              <w:rPr>
                <w:bCs/>
                <w:color w:val="auto"/>
                <w:sz w:val="20"/>
                <w:szCs w:val="20"/>
              </w:rPr>
            </w:pPr>
            <w:r>
              <w:rPr>
                <w:bCs/>
                <w:color w:val="auto"/>
                <w:sz w:val="20"/>
                <w:szCs w:val="20"/>
              </w:rPr>
              <w:t>$</w:t>
            </w:r>
            <w:r w:rsidR="00F70D89">
              <w:rPr>
                <w:bCs/>
                <w:color w:val="auto"/>
                <w:sz w:val="20"/>
                <w:szCs w:val="20"/>
              </w:rPr>
              <w:t>360,864</w:t>
            </w:r>
          </w:p>
        </w:tc>
      </w:tr>
      <w:tr w:rsidR="00A4556C" w:rsidRPr="00DD56FE" w14:paraId="43863801" w14:textId="77777777" w:rsidTr="0061607D">
        <w:tc>
          <w:tcPr>
            <w:tcW w:w="8931" w:type="dxa"/>
            <w:gridSpan w:val="4"/>
            <w:tcBorders>
              <w:left w:val="single" w:sz="8" w:space="0" w:color="4F81BD"/>
              <w:bottom w:val="single" w:sz="8" w:space="0" w:color="4F81BD"/>
              <w:right w:val="single" w:sz="8" w:space="0" w:color="4F81BD"/>
            </w:tcBorders>
            <w:shd w:val="clear" w:color="auto" w:fill="F2F2F2" w:themeFill="background1" w:themeFillShade="F2"/>
          </w:tcPr>
          <w:p w14:paraId="68CEE865" w14:textId="05274D53" w:rsidR="00A4556C" w:rsidRPr="00DD56FE" w:rsidRDefault="00A4556C" w:rsidP="00A4556C">
            <w:pPr>
              <w:pStyle w:val="Tableformat"/>
              <w:jc w:val="right"/>
              <w:rPr>
                <w:bCs/>
                <w:i/>
                <w:iCs w:val="0"/>
                <w:color w:val="auto"/>
                <w:sz w:val="20"/>
                <w:szCs w:val="20"/>
              </w:rPr>
            </w:pPr>
            <w:r w:rsidRPr="00DD56FE">
              <w:rPr>
                <w:bCs/>
                <w:i/>
                <w:iCs w:val="0"/>
                <w:color w:val="auto"/>
                <w:sz w:val="20"/>
                <w:szCs w:val="20"/>
              </w:rPr>
              <w:t>Total payment for New South Wales</w:t>
            </w:r>
            <w:r>
              <w:rPr>
                <w:bCs/>
                <w:i/>
                <w:iCs w:val="0"/>
                <w:color w:val="auto"/>
                <w:sz w:val="20"/>
                <w:szCs w:val="20"/>
              </w:rPr>
              <w:t xml:space="preserve"> for Year 3</w:t>
            </w:r>
            <w:r w:rsidRPr="00DD56FE">
              <w:rPr>
                <w:bCs/>
                <w:i/>
                <w:iCs w:val="0"/>
                <w:color w:val="auto"/>
                <w:sz w:val="20"/>
                <w:szCs w:val="20"/>
              </w:rPr>
              <w:t xml:space="preserve"> if all KPIs are met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vAlign w:val="center"/>
          </w:tcPr>
          <w:p w14:paraId="64B65FCD" w14:textId="77777777" w:rsidR="00A4556C" w:rsidRPr="00F90314" w:rsidRDefault="00A4556C" w:rsidP="00A4556C">
            <w:pPr>
              <w:widowControl/>
              <w:rPr>
                <w:rFonts w:ascii="Corbel" w:hAnsi="Corbel" w:cs="Calibri"/>
                <w:color w:val="000000"/>
                <w:sz w:val="20"/>
                <w:szCs w:val="20"/>
                <w:lang w:val="en-AU"/>
              </w:rPr>
            </w:pPr>
            <w:r w:rsidRPr="00F90314">
              <w:rPr>
                <w:rFonts w:ascii="Corbel" w:hAnsi="Corbel" w:cs="Calibri"/>
                <w:color w:val="000000"/>
                <w:sz w:val="20"/>
                <w:szCs w:val="20"/>
              </w:rPr>
              <w:t>$</w:t>
            </w:r>
            <w:r w:rsidRPr="00256D20">
              <w:rPr>
                <w:rFonts w:ascii="Corbel" w:hAnsi="Corbel" w:cs="Calibri"/>
                <w:color w:val="000000"/>
                <w:sz w:val="20"/>
                <w:szCs w:val="20"/>
              </w:rPr>
              <w:t>8,592,000</w:t>
            </w:r>
          </w:p>
        </w:tc>
      </w:tr>
    </w:tbl>
    <w:p w14:paraId="6B6BC1A4" w14:textId="77777777" w:rsidR="00DA6A97" w:rsidRDefault="00DA6A97" w:rsidP="00931AA8">
      <w:pPr>
        <w:rPr>
          <w:lang w:val="en-GB"/>
        </w:rPr>
      </w:pPr>
    </w:p>
    <w:p w14:paraId="1AC143BC" w14:textId="77777777" w:rsidR="00195187" w:rsidRDefault="00195187" w:rsidP="00931AA8">
      <w:pPr>
        <w:rPr>
          <w:lang w:val="en-GB"/>
        </w:rPr>
      </w:pPr>
    </w:p>
    <w:p w14:paraId="2FE45CC3" w14:textId="104DFBCB" w:rsidR="00931AA8" w:rsidRDefault="00931AA8" w:rsidP="00931AA8">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66C778AF" w14:textId="77777777" w:rsidR="00931AA8" w:rsidRDefault="00931AA8" w:rsidP="00931AA8">
      <w:pPr>
        <w:rPr>
          <w:lang w:val="en-GB"/>
        </w:rPr>
      </w:pPr>
    </w:p>
    <w:tbl>
      <w:tblPr>
        <w:tblpPr w:leftFromText="180" w:rightFromText="180" w:vertAnchor="text" w:tblpX="142" w:tblpY="1"/>
        <w:tblOverlap w:val="never"/>
        <w:tblW w:w="9498" w:type="dxa"/>
        <w:tblLayout w:type="fixed"/>
        <w:tblLook w:val="01E0" w:firstRow="1" w:lastRow="1" w:firstColumn="1" w:lastColumn="1" w:noHBand="0" w:noVBand="0"/>
      </w:tblPr>
      <w:tblGrid>
        <w:gridCol w:w="3827"/>
        <w:gridCol w:w="1418"/>
        <w:gridCol w:w="4253"/>
      </w:tblGrid>
      <w:tr w:rsidR="00931AA8" w:rsidRPr="00A50751" w14:paraId="2A6C343C" w14:textId="77777777" w:rsidTr="00EB2C4D">
        <w:trPr>
          <w:cantSplit/>
        </w:trPr>
        <w:tc>
          <w:tcPr>
            <w:tcW w:w="3827" w:type="dxa"/>
          </w:tcPr>
          <w:p w14:paraId="0D6DB53B" w14:textId="77777777" w:rsidR="00931AA8" w:rsidRPr="004A0AE7" w:rsidRDefault="00931AA8" w:rsidP="00EB2C4D">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44CE623D" w14:textId="77777777" w:rsidR="00931AA8" w:rsidRPr="00A50751" w:rsidRDefault="00931AA8" w:rsidP="00EB2C4D">
            <w:pPr>
              <w:pStyle w:val="LineForSignature"/>
            </w:pPr>
            <w:r>
              <w:br/>
            </w:r>
            <w:r>
              <w:tab/>
            </w:r>
          </w:p>
          <w:p w14:paraId="3C9B94C7" w14:textId="77777777" w:rsidR="00931AA8" w:rsidRPr="00E061F4" w:rsidRDefault="00931AA8" w:rsidP="00EB2C4D">
            <w:pPr>
              <w:pStyle w:val="SingleParagraph"/>
              <w:rPr>
                <w:rStyle w:val="Bold"/>
                <w:rFonts w:ascii="Book Antiqua" w:hAnsi="Book Antiqua"/>
                <w:color w:val="C0C0C0"/>
                <w:lang w:val="en-GB"/>
              </w:rPr>
            </w:pPr>
            <w:r w:rsidRPr="00E061F4">
              <w:rPr>
                <w:rStyle w:val="Bold"/>
              </w:rPr>
              <w:t>The Honourable Keith Pitt MP</w:t>
            </w:r>
          </w:p>
          <w:p w14:paraId="37A76F3C" w14:textId="5D8EC640" w:rsidR="00931AA8" w:rsidRDefault="00931AA8" w:rsidP="00EB2C4D">
            <w:pPr>
              <w:pStyle w:val="Position"/>
              <w:rPr>
                <w:lang w:val="en-GB"/>
              </w:rPr>
            </w:pPr>
            <w:r w:rsidRPr="00E061F4">
              <w:rPr>
                <w:lang w:val="en-GB"/>
              </w:rPr>
              <w:t>Minister for Resources</w:t>
            </w:r>
            <w:r w:rsidR="00EB2C4D">
              <w:rPr>
                <w:lang w:val="en-GB"/>
              </w:rPr>
              <w:t xml:space="preserve"> and</w:t>
            </w:r>
            <w:r w:rsidRPr="00E061F4">
              <w:rPr>
                <w:lang w:val="en-GB"/>
              </w:rPr>
              <w:t xml:space="preserve"> Water</w:t>
            </w:r>
          </w:p>
          <w:p w14:paraId="2D631B94" w14:textId="77777777" w:rsidR="00931AA8" w:rsidRDefault="00931AA8" w:rsidP="00EB2C4D">
            <w:pPr>
              <w:pStyle w:val="SingleParagraph"/>
              <w:tabs>
                <w:tab w:val="num" w:pos="1134"/>
              </w:tabs>
              <w:spacing w:after="240"/>
              <w:rPr>
                <w:b/>
                <w:lang w:val="en-GB"/>
              </w:rPr>
            </w:pPr>
            <w:r>
              <w:rPr>
                <w:lang w:val="en-GB"/>
              </w:rPr>
              <w:t>[Day]  [Month]  [Year]</w:t>
            </w:r>
          </w:p>
        </w:tc>
        <w:tc>
          <w:tcPr>
            <w:tcW w:w="1418" w:type="dxa"/>
            <w:tcMar>
              <w:left w:w="0" w:type="dxa"/>
              <w:right w:w="0" w:type="dxa"/>
            </w:tcMar>
          </w:tcPr>
          <w:p w14:paraId="4E25BAE1" w14:textId="77777777" w:rsidR="00931AA8" w:rsidRPr="00A50751" w:rsidRDefault="00931AA8" w:rsidP="00EB2C4D">
            <w:pPr>
              <w:rPr>
                <w:rFonts w:ascii="Book Antiqua" w:hAnsi="Book Antiqua"/>
                <w:lang w:val="en-GB"/>
              </w:rPr>
            </w:pPr>
          </w:p>
        </w:tc>
        <w:tc>
          <w:tcPr>
            <w:tcW w:w="4253" w:type="dxa"/>
          </w:tcPr>
          <w:p w14:paraId="187F39D5" w14:textId="77777777" w:rsidR="00931AA8" w:rsidRPr="004A0AE7" w:rsidRDefault="00931AA8" w:rsidP="00EB2C4D">
            <w:pPr>
              <w:pStyle w:val="Signed"/>
              <w:ind w:right="461"/>
            </w:pPr>
            <w:r>
              <w:rPr>
                <w:rStyle w:val="SignedBold"/>
              </w:rPr>
              <w:t>Signed</w:t>
            </w:r>
            <w:r w:rsidRPr="004A0AE7">
              <w:t xml:space="preserve"> for and on behalf of the</w:t>
            </w:r>
            <w:r>
              <w:t xml:space="preserve"> </w:t>
            </w:r>
            <w:r w:rsidRPr="004A0AE7">
              <w:br/>
              <w:t>State of New South Wales by</w:t>
            </w:r>
          </w:p>
          <w:p w14:paraId="63DA7007" w14:textId="77777777" w:rsidR="00931AA8" w:rsidRPr="00A50751" w:rsidRDefault="00931AA8" w:rsidP="00EB2C4D">
            <w:pPr>
              <w:pStyle w:val="LineForSignature"/>
              <w:jc w:val="left"/>
            </w:pPr>
            <w:r>
              <w:br/>
            </w:r>
            <w:r w:rsidRPr="00A50751">
              <w:tab/>
            </w:r>
          </w:p>
          <w:p w14:paraId="4E08999A" w14:textId="5CEC06C0" w:rsidR="00931AA8" w:rsidRPr="00E061F4" w:rsidRDefault="00931AA8" w:rsidP="00EB2C4D">
            <w:pPr>
              <w:pStyle w:val="SingleParagraph"/>
              <w:rPr>
                <w:rStyle w:val="Bold"/>
                <w:rFonts w:ascii="Book Antiqua" w:hAnsi="Book Antiqua"/>
                <w:color w:val="C0C0C0"/>
                <w:lang w:val="en-GB"/>
              </w:rPr>
            </w:pPr>
            <w:r w:rsidRPr="00E061F4">
              <w:rPr>
                <w:rStyle w:val="Bold"/>
              </w:rPr>
              <w:t xml:space="preserve">The Honourable </w:t>
            </w:r>
            <w:r w:rsidR="0007332A">
              <w:rPr>
                <w:rStyle w:val="Bold"/>
              </w:rPr>
              <w:t>Kevin Anderson</w:t>
            </w:r>
            <w:r w:rsidRPr="00E061F4">
              <w:rPr>
                <w:rStyle w:val="Bold"/>
              </w:rPr>
              <w:t xml:space="preserve"> MP</w:t>
            </w:r>
          </w:p>
          <w:p w14:paraId="22D8A488" w14:textId="77777777" w:rsidR="00730C20" w:rsidRPr="00730C20" w:rsidRDefault="00730C20" w:rsidP="00730C20">
            <w:pPr>
              <w:rPr>
                <w:rFonts w:ascii="Corbel" w:eastAsia="Times New Roman" w:hAnsi="Corbel" w:cs="Times New Roman"/>
                <w:bCs/>
                <w:color w:val="000000"/>
                <w:sz w:val="20"/>
                <w:szCs w:val="20"/>
                <w:lang w:val="en-GB" w:eastAsia="en-AU"/>
              </w:rPr>
            </w:pPr>
            <w:r w:rsidRPr="00730C20">
              <w:rPr>
                <w:rFonts w:ascii="Corbel" w:eastAsia="Times New Roman" w:hAnsi="Corbel" w:cs="Times New Roman"/>
                <w:bCs/>
                <w:color w:val="000000"/>
                <w:sz w:val="20"/>
                <w:szCs w:val="20"/>
                <w:lang w:val="en-GB" w:eastAsia="en-AU"/>
              </w:rPr>
              <w:t>Minister for Lands and Water</w:t>
            </w:r>
          </w:p>
          <w:p w14:paraId="6C2CC654" w14:textId="77777777" w:rsidR="00730C20" w:rsidRPr="00730C20" w:rsidRDefault="00730C20" w:rsidP="00730C20">
            <w:pPr>
              <w:rPr>
                <w:rFonts w:ascii="Corbel" w:eastAsia="Times New Roman" w:hAnsi="Corbel" w:cs="Times New Roman"/>
                <w:bCs/>
                <w:color w:val="000000"/>
                <w:sz w:val="20"/>
                <w:szCs w:val="20"/>
                <w:lang w:val="en-GB" w:eastAsia="en-AU"/>
              </w:rPr>
            </w:pPr>
            <w:r w:rsidRPr="00730C20">
              <w:rPr>
                <w:rFonts w:ascii="Corbel" w:eastAsia="Times New Roman" w:hAnsi="Corbel" w:cs="Times New Roman"/>
                <w:bCs/>
                <w:color w:val="000000"/>
                <w:sz w:val="20"/>
                <w:szCs w:val="20"/>
                <w:lang w:val="en-GB" w:eastAsia="en-AU"/>
              </w:rPr>
              <w:t>Minister for Hospitality and Racing</w:t>
            </w:r>
          </w:p>
          <w:p w14:paraId="148AC31F" w14:textId="77777777" w:rsidR="00931AA8" w:rsidRPr="00A50751" w:rsidRDefault="00931AA8" w:rsidP="00EB2C4D">
            <w:pPr>
              <w:rPr>
                <w:rFonts w:ascii="Book Antiqua" w:hAnsi="Book Antiqua"/>
                <w:lang w:val="en-GB"/>
              </w:rPr>
            </w:pPr>
            <w:r>
              <w:rPr>
                <w:lang w:val="en-GB"/>
              </w:rPr>
              <w:t>[Day]  [Month]  [Year]</w:t>
            </w:r>
          </w:p>
        </w:tc>
      </w:tr>
    </w:tbl>
    <w:p w14:paraId="141CAF93" w14:textId="77777777" w:rsidR="00931AA8" w:rsidRDefault="00931AA8" w:rsidP="00931AA8">
      <w:pPr>
        <w:rPr>
          <w:lang w:val="en-GB"/>
        </w:rPr>
      </w:pPr>
      <w:r>
        <w:rPr>
          <w:lang w:val="en-GB"/>
        </w:rPr>
        <w:br w:type="textWrapping" w:clear="all"/>
        <w:t xml:space="preserve"> </w:t>
      </w:r>
    </w:p>
    <w:p w14:paraId="2B8862B6" w14:textId="77777777" w:rsidR="00931AA8" w:rsidRDefault="00931AA8" w:rsidP="00931AA8">
      <w:pPr>
        <w:rPr>
          <w:lang w:val="en-GB"/>
        </w:rPr>
      </w:pPr>
      <w:r>
        <w:rPr>
          <w:lang w:val="en-GB"/>
        </w:rPr>
        <w:br w:type="page"/>
      </w:r>
    </w:p>
    <w:p w14:paraId="3CA5FCAF" w14:textId="04F5F072" w:rsidR="00C91B5F" w:rsidRDefault="00C91B5F" w:rsidP="00C91B5F"/>
    <w:tbl>
      <w:tblPr>
        <w:tblW w:w="5273"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686"/>
        <w:gridCol w:w="1276"/>
        <w:gridCol w:w="1190"/>
      </w:tblGrid>
      <w:tr w:rsidR="00931AA8" w:rsidRPr="00B85A53" w14:paraId="38FBCAEC" w14:textId="77777777" w:rsidTr="003D1F45">
        <w:tc>
          <w:tcPr>
            <w:tcW w:w="10263" w:type="dxa"/>
            <w:gridSpan w:val="5"/>
            <w:shd w:val="clear" w:color="auto" w:fill="DEEAF6" w:themeFill="accent1" w:themeFillTint="33"/>
          </w:tcPr>
          <w:p w14:paraId="54F0E7DC" w14:textId="635D969F" w:rsidR="00931AA8" w:rsidRPr="00B85A53" w:rsidRDefault="00931AA8" w:rsidP="00931AA8">
            <w:pPr>
              <w:pStyle w:val="Tableformat"/>
              <w:tabs>
                <w:tab w:val="left" w:pos="6043"/>
              </w:tabs>
              <w:rPr>
                <w:b/>
                <w:color w:val="auto"/>
              </w:rPr>
            </w:pPr>
            <w:r w:rsidRPr="00B85A53">
              <w:rPr>
                <w:b/>
                <w:color w:val="auto"/>
              </w:rPr>
              <w:t>Table 2B: Victoria – Performance requirements, reporting and payment summary</w:t>
            </w:r>
          </w:p>
        </w:tc>
      </w:tr>
      <w:tr w:rsidR="00736457" w:rsidRPr="00F00A18" w14:paraId="7DB1D6AC" w14:textId="77777777" w:rsidTr="003D1F45">
        <w:tc>
          <w:tcPr>
            <w:tcW w:w="10263" w:type="dxa"/>
            <w:gridSpan w:val="5"/>
            <w:shd w:val="clear" w:color="auto" w:fill="DEEAF6" w:themeFill="accent1" w:themeFillTint="33"/>
          </w:tcPr>
          <w:p w14:paraId="41B2A6B2" w14:textId="77777777" w:rsidR="00736457" w:rsidRDefault="00736457" w:rsidP="006F3A9B">
            <w:pPr>
              <w:pStyle w:val="Tableformat"/>
              <w:tabs>
                <w:tab w:val="left" w:pos="6043"/>
              </w:tabs>
              <w:rPr>
                <w:b/>
                <w:color w:val="auto"/>
              </w:rPr>
            </w:pPr>
            <w:r>
              <w:rPr>
                <w:b/>
                <w:color w:val="auto"/>
              </w:rPr>
              <w:t>Year 1: 2021-2022</w:t>
            </w:r>
          </w:p>
        </w:tc>
      </w:tr>
      <w:tr w:rsidR="00931AA8" w:rsidRPr="00B85A53" w14:paraId="07AE2E60" w14:textId="77777777" w:rsidTr="00E03FE2">
        <w:tc>
          <w:tcPr>
            <w:tcW w:w="1560" w:type="dxa"/>
            <w:shd w:val="clear" w:color="auto" w:fill="F2F2F2" w:themeFill="background1" w:themeFillShade="F2"/>
          </w:tcPr>
          <w:p w14:paraId="2EA49E12" w14:textId="77777777" w:rsidR="00931AA8" w:rsidRPr="00B85A53" w:rsidRDefault="00931AA8" w:rsidP="00931AA8">
            <w:pPr>
              <w:pStyle w:val="Tableformat"/>
              <w:rPr>
                <w:b/>
                <w:color w:val="auto"/>
                <w:sz w:val="22"/>
                <w:szCs w:val="22"/>
              </w:rPr>
            </w:pPr>
            <w:r w:rsidRPr="00B85A53">
              <w:rPr>
                <w:b/>
                <w:color w:val="auto"/>
                <w:sz w:val="22"/>
                <w:szCs w:val="22"/>
              </w:rPr>
              <w:t>Output</w:t>
            </w:r>
            <w:r w:rsidRPr="00B85A53">
              <w:rPr>
                <w:b/>
                <w:color w:val="auto"/>
                <w:sz w:val="22"/>
                <w:szCs w:val="22"/>
              </w:rPr>
              <w:br/>
            </w:r>
          </w:p>
        </w:tc>
        <w:tc>
          <w:tcPr>
            <w:tcW w:w="2551" w:type="dxa"/>
            <w:shd w:val="clear" w:color="auto" w:fill="F2F2F2" w:themeFill="background1" w:themeFillShade="F2"/>
          </w:tcPr>
          <w:p w14:paraId="7C50E650" w14:textId="77777777" w:rsidR="00931AA8" w:rsidRPr="00B85A53" w:rsidRDefault="00931AA8" w:rsidP="00931AA8">
            <w:pPr>
              <w:pStyle w:val="Tableformat"/>
              <w:rPr>
                <w:b/>
                <w:color w:val="auto"/>
                <w:sz w:val="22"/>
                <w:szCs w:val="22"/>
              </w:rPr>
            </w:pPr>
            <w:r w:rsidRPr="00B85A53">
              <w:rPr>
                <w:b/>
                <w:color w:val="auto"/>
                <w:sz w:val="22"/>
                <w:szCs w:val="22"/>
              </w:rPr>
              <w:t>Performance milestones</w:t>
            </w:r>
          </w:p>
        </w:tc>
        <w:tc>
          <w:tcPr>
            <w:tcW w:w="3686" w:type="dxa"/>
            <w:shd w:val="clear" w:color="auto" w:fill="F2F2F2" w:themeFill="background1" w:themeFillShade="F2"/>
          </w:tcPr>
          <w:p w14:paraId="46A079BB" w14:textId="77777777" w:rsidR="00931AA8" w:rsidRPr="00B85A53" w:rsidRDefault="00931AA8" w:rsidP="00931AA8">
            <w:pPr>
              <w:pStyle w:val="Tableformat"/>
              <w:rPr>
                <w:b/>
                <w:color w:val="auto"/>
                <w:sz w:val="22"/>
                <w:szCs w:val="22"/>
              </w:rPr>
            </w:pPr>
            <w:r w:rsidRPr="00B85A53">
              <w:rPr>
                <w:b/>
                <w:color w:val="auto"/>
                <w:sz w:val="22"/>
                <w:szCs w:val="22"/>
              </w:rPr>
              <w:t>Key Performance Indicators</w:t>
            </w:r>
          </w:p>
        </w:tc>
        <w:tc>
          <w:tcPr>
            <w:tcW w:w="1276" w:type="dxa"/>
            <w:shd w:val="clear" w:color="auto" w:fill="F2F2F2" w:themeFill="background1" w:themeFillShade="F2"/>
          </w:tcPr>
          <w:p w14:paraId="156ADFB7" w14:textId="77777777" w:rsidR="00931AA8" w:rsidRPr="00B85A53" w:rsidRDefault="00931AA8" w:rsidP="00931AA8">
            <w:pPr>
              <w:pStyle w:val="Tableformat"/>
              <w:rPr>
                <w:b/>
                <w:color w:val="auto"/>
                <w:sz w:val="22"/>
                <w:szCs w:val="22"/>
              </w:rPr>
            </w:pPr>
            <w:r w:rsidRPr="00B85A53">
              <w:rPr>
                <w:b/>
                <w:color w:val="auto"/>
                <w:sz w:val="22"/>
                <w:szCs w:val="22"/>
              </w:rPr>
              <w:t>Milestone due</w:t>
            </w:r>
          </w:p>
        </w:tc>
        <w:tc>
          <w:tcPr>
            <w:tcW w:w="1190" w:type="dxa"/>
            <w:tcBorders>
              <w:bottom w:val="single" w:sz="8" w:space="0" w:color="4F81BD"/>
            </w:tcBorders>
            <w:shd w:val="clear" w:color="auto" w:fill="F2F2F2" w:themeFill="background1" w:themeFillShade="F2"/>
          </w:tcPr>
          <w:p w14:paraId="40152EB8" w14:textId="77777777" w:rsidR="00931AA8" w:rsidRPr="00B85A53" w:rsidRDefault="00931AA8" w:rsidP="00931AA8">
            <w:pPr>
              <w:pStyle w:val="Tableformat"/>
              <w:rPr>
                <w:b/>
                <w:color w:val="auto"/>
                <w:sz w:val="22"/>
                <w:szCs w:val="22"/>
              </w:rPr>
            </w:pPr>
            <w:r w:rsidRPr="00B85A53">
              <w:rPr>
                <w:b/>
                <w:color w:val="auto"/>
                <w:sz w:val="22"/>
                <w:szCs w:val="22"/>
              </w:rPr>
              <w:t>Payment</w:t>
            </w:r>
          </w:p>
        </w:tc>
      </w:tr>
      <w:tr w:rsidR="00E03FE2" w:rsidRPr="0091710A" w14:paraId="34ECD11F" w14:textId="77777777" w:rsidTr="00E03FE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352011FB" w14:textId="77777777" w:rsidR="00E03FE2" w:rsidRPr="00DA6A97" w:rsidRDefault="00E03FE2" w:rsidP="006F3A9B">
            <w:pPr>
              <w:pStyle w:val="Tableformat"/>
              <w:rPr>
                <w:bCs/>
                <w:color w:val="auto"/>
                <w:sz w:val="20"/>
                <w:szCs w:val="20"/>
              </w:rPr>
            </w:pPr>
            <w:r w:rsidRPr="00DA6A97">
              <w:rPr>
                <w:bCs/>
                <w:color w:val="auto"/>
                <w:sz w:val="20"/>
                <w:szCs w:val="20"/>
              </w:rPr>
              <w:t xml:space="preserve">Water </w:t>
            </w:r>
            <w:r>
              <w:rPr>
                <w:bCs/>
                <w:color w:val="auto"/>
                <w:sz w:val="20"/>
                <w:szCs w:val="20"/>
              </w:rPr>
              <w:t>r</w:t>
            </w:r>
            <w:r w:rsidRPr="00DA6A97">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A5E8980" w14:textId="77777777" w:rsidR="00E03FE2" w:rsidRPr="00DA6A97" w:rsidRDefault="00E03FE2" w:rsidP="006F3A9B">
            <w:pPr>
              <w:pStyle w:val="Tableformat"/>
              <w:rPr>
                <w:bCs/>
                <w:color w:val="auto"/>
                <w:sz w:val="20"/>
                <w:szCs w:val="20"/>
              </w:rPr>
            </w:pPr>
            <w:r>
              <w:rPr>
                <w:bCs/>
                <w:color w:val="auto"/>
                <w:sz w:val="20"/>
                <w:szCs w:val="20"/>
              </w:rPr>
              <w:t xml:space="preserve">1. </w:t>
            </w:r>
            <w:r w:rsidRPr="00AC6E08">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CDB9A3" w14:textId="77777777" w:rsidR="00E03FE2" w:rsidRPr="00DA6A97" w:rsidRDefault="00E03FE2" w:rsidP="006F3A9B">
            <w:pPr>
              <w:pStyle w:val="Tableformat"/>
              <w:rPr>
                <w:bCs/>
                <w:color w:val="auto"/>
                <w:sz w:val="20"/>
                <w:szCs w:val="20"/>
              </w:rPr>
            </w:pPr>
            <w:r>
              <w:rPr>
                <w:bCs/>
                <w:color w:val="auto"/>
                <w:sz w:val="20"/>
                <w:szCs w:val="20"/>
              </w:rPr>
              <w:t xml:space="preserve">1.a </w:t>
            </w:r>
            <w:r w:rsidRPr="00AC6E08">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575649" w14:textId="77777777" w:rsidR="00E03FE2" w:rsidRPr="00DA6A97" w:rsidRDefault="00E03FE2"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9637F1" w14:textId="026A2975" w:rsidR="00E03FE2" w:rsidRPr="00DA6A97" w:rsidRDefault="00E03FE2" w:rsidP="006F3A9B">
            <w:pPr>
              <w:pStyle w:val="Tableformat"/>
              <w:rPr>
                <w:bCs/>
                <w:color w:val="auto"/>
                <w:sz w:val="20"/>
                <w:szCs w:val="20"/>
              </w:rPr>
            </w:pPr>
            <w:r>
              <w:rPr>
                <w:bCs/>
                <w:color w:val="auto"/>
                <w:sz w:val="20"/>
                <w:szCs w:val="20"/>
              </w:rPr>
              <w:t>$5</w:t>
            </w:r>
            <w:r w:rsidR="000802A2">
              <w:rPr>
                <w:bCs/>
                <w:color w:val="auto"/>
                <w:sz w:val="20"/>
                <w:szCs w:val="20"/>
              </w:rPr>
              <w:t>10,4</w:t>
            </w:r>
            <w:r>
              <w:rPr>
                <w:bCs/>
                <w:color w:val="auto"/>
                <w:sz w:val="20"/>
                <w:szCs w:val="20"/>
              </w:rPr>
              <w:t>00</w:t>
            </w:r>
          </w:p>
        </w:tc>
      </w:tr>
      <w:tr w:rsidR="000802A2" w:rsidRPr="0091710A" w14:paraId="052AFFA4" w14:textId="77777777" w:rsidTr="00E03FE2">
        <w:tc>
          <w:tcPr>
            <w:tcW w:w="1560" w:type="dxa"/>
            <w:vMerge/>
            <w:tcBorders>
              <w:left w:val="single" w:sz="8" w:space="0" w:color="4F81BD"/>
              <w:right w:val="single" w:sz="8" w:space="0" w:color="4F81BD"/>
            </w:tcBorders>
            <w:shd w:val="clear" w:color="auto" w:fill="F2F2F2" w:themeFill="background1" w:themeFillShade="F2"/>
          </w:tcPr>
          <w:p w14:paraId="7C1F716B" w14:textId="77777777" w:rsidR="000802A2" w:rsidRPr="00DA6A97" w:rsidRDefault="000802A2" w:rsidP="000802A2">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5D4F09EF"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3CFD9A" w14:textId="6CD8FA08" w:rsidR="000802A2" w:rsidRPr="00DA6A97" w:rsidRDefault="000802A2" w:rsidP="000802A2">
            <w:pPr>
              <w:pStyle w:val="Tableformat"/>
              <w:rPr>
                <w:bCs/>
                <w:color w:val="auto"/>
                <w:sz w:val="20"/>
                <w:szCs w:val="20"/>
              </w:rPr>
            </w:pPr>
            <w:r w:rsidRPr="00C26E8B">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26E8B">
              <w:rPr>
                <w:bCs/>
                <w:color w:val="auto"/>
                <w:sz w:val="20"/>
                <w:szCs w:val="20"/>
              </w:rPr>
              <w:t xml:space="preserve"> using the Ministerial Council stocktake as a starting point. Business case applications will include socio-economic analysis and proposals for transfer of water entitlements</w:t>
            </w:r>
            <w:r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D9C661"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9C2B03" w14:textId="21283E2E" w:rsidR="000802A2" w:rsidRPr="00DA6A97" w:rsidRDefault="000802A2" w:rsidP="000802A2">
            <w:pPr>
              <w:pStyle w:val="Tableformat"/>
              <w:rPr>
                <w:bCs/>
                <w:color w:val="auto"/>
                <w:sz w:val="20"/>
                <w:szCs w:val="20"/>
              </w:rPr>
            </w:pPr>
            <w:r>
              <w:rPr>
                <w:bCs/>
                <w:color w:val="auto"/>
                <w:sz w:val="20"/>
                <w:szCs w:val="20"/>
              </w:rPr>
              <w:t>$510,400</w:t>
            </w:r>
          </w:p>
        </w:tc>
      </w:tr>
      <w:tr w:rsidR="00E03FE2" w:rsidRPr="0091710A" w14:paraId="27BCD5DE" w14:textId="77777777" w:rsidTr="00E03FE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197472E0" w14:textId="77777777" w:rsidR="00E03FE2" w:rsidRPr="00DA6A97" w:rsidRDefault="00E03FE2" w:rsidP="006F3A9B">
            <w:pPr>
              <w:pStyle w:val="Tableformat"/>
              <w:rPr>
                <w:bCs/>
                <w:color w:val="auto"/>
                <w:sz w:val="20"/>
                <w:szCs w:val="20"/>
              </w:rPr>
            </w:pPr>
            <w:r w:rsidRPr="00DA6A97">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367C0C3" w14:textId="7ECCD566" w:rsidR="00E03FE2" w:rsidRPr="00DA6A97" w:rsidRDefault="00F04340" w:rsidP="006F3A9B">
            <w:pPr>
              <w:pStyle w:val="Tableformat"/>
              <w:rPr>
                <w:bCs/>
                <w:color w:val="auto"/>
                <w:sz w:val="20"/>
                <w:szCs w:val="20"/>
              </w:rPr>
            </w:pPr>
            <w:r>
              <w:rPr>
                <w:bCs/>
                <w:color w:val="auto"/>
                <w:sz w:val="20"/>
                <w:szCs w:val="20"/>
              </w:rPr>
              <w:t>2</w:t>
            </w:r>
            <w:r w:rsidR="00E03FE2">
              <w:rPr>
                <w:bCs/>
                <w:color w:val="auto"/>
                <w:sz w:val="20"/>
                <w:szCs w:val="20"/>
              </w:rPr>
              <w:t xml:space="preserve">. </w:t>
            </w:r>
            <w:r w:rsidR="00E03FE2" w:rsidRPr="00DA6A97">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5AB3F5" w14:textId="5C278233" w:rsidR="00E03FE2" w:rsidRPr="00DA6A97" w:rsidRDefault="00F04340" w:rsidP="006F3A9B">
            <w:pPr>
              <w:pStyle w:val="Tableformat"/>
              <w:rPr>
                <w:bCs/>
                <w:color w:val="auto"/>
                <w:sz w:val="20"/>
                <w:szCs w:val="20"/>
              </w:rPr>
            </w:pPr>
            <w:r>
              <w:rPr>
                <w:bCs/>
                <w:color w:val="auto"/>
                <w:sz w:val="20"/>
                <w:szCs w:val="20"/>
              </w:rPr>
              <w:t>2</w:t>
            </w:r>
            <w:r w:rsidR="00E03FE2" w:rsidRPr="00C26E8B">
              <w:rPr>
                <w:bCs/>
                <w:color w:val="auto"/>
                <w:sz w:val="20"/>
                <w:szCs w:val="20"/>
              </w:rPr>
              <w:t xml:space="preserve">.a Through the Environmental Water Committee, define and agree a </w:t>
            </w:r>
            <w:r w:rsidR="007C3B81" w:rsidRPr="00C26E8B">
              <w:rPr>
                <w:bCs/>
                <w:color w:val="auto"/>
                <w:sz w:val="20"/>
                <w:szCs w:val="20"/>
              </w:rPr>
              <w:t>work plan</w:t>
            </w:r>
            <w:r w:rsidR="00E03FE2" w:rsidRPr="00C26E8B">
              <w:rPr>
                <w:bCs/>
                <w:color w:val="auto"/>
                <w:sz w:val="20"/>
                <w:szCs w:val="20"/>
              </w:rPr>
              <w:t xml:space="preserve"> of priority collaborative activities to deliver the Environmental Water Protection Strategy, where relevant to the jurisdiction</w:t>
            </w:r>
            <w:r w:rsidR="00E03FE2"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B6A3E8" w14:textId="77777777" w:rsidR="00E03FE2" w:rsidRPr="00DA6A97" w:rsidRDefault="00E03FE2"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BAD651" w14:textId="5A8AA92E" w:rsidR="00E03FE2" w:rsidRPr="00DA6A97" w:rsidRDefault="00E03FE2" w:rsidP="006F3A9B">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1E4F8E89" w14:textId="77777777" w:rsidTr="00E03FE2">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1265639E" w14:textId="77777777" w:rsidR="000802A2" w:rsidRPr="00DA6A97" w:rsidRDefault="000802A2" w:rsidP="000802A2">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AB6031" w14:textId="14893DCE" w:rsidR="000802A2" w:rsidRPr="00DA6A97" w:rsidRDefault="00F04340" w:rsidP="000802A2">
            <w:pPr>
              <w:pStyle w:val="Tableformat"/>
              <w:rPr>
                <w:bCs/>
                <w:color w:val="auto"/>
                <w:sz w:val="20"/>
                <w:szCs w:val="20"/>
              </w:rPr>
            </w:pPr>
            <w:r>
              <w:rPr>
                <w:bCs/>
                <w:color w:val="auto"/>
                <w:sz w:val="20"/>
                <w:szCs w:val="20"/>
              </w:rPr>
              <w:t>3</w:t>
            </w:r>
            <w:r w:rsidR="000802A2">
              <w:rPr>
                <w:bCs/>
                <w:color w:val="auto"/>
                <w:sz w:val="20"/>
                <w:szCs w:val="20"/>
              </w:rPr>
              <w:t xml:space="preserve">. </w:t>
            </w:r>
            <w:r w:rsidR="000802A2" w:rsidRPr="00DA6A97">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960FB2" w14:textId="69931901" w:rsidR="000802A2" w:rsidRPr="00DA6A97" w:rsidRDefault="00F04340" w:rsidP="000802A2">
            <w:pPr>
              <w:pStyle w:val="Tableformat"/>
              <w:rPr>
                <w:bCs/>
                <w:color w:val="auto"/>
                <w:sz w:val="20"/>
                <w:szCs w:val="20"/>
              </w:rPr>
            </w:pPr>
            <w:r>
              <w:rPr>
                <w:bCs/>
                <w:color w:val="auto"/>
                <w:sz w:val="20"/>
                <w:szCs w:val="20"/>
              </w:rPr>
              <w:t>3</w:t>
            </w:r>
            <w:r w:rsidR="000802A2" w:rsidRPr="00C26E8B">
              <w:rPr>
                <w:bCs/>
                <w:color w:val="auto"/>
                <w:sz w:val="20"/>
                <w:szCs w:val="20"/>
              </w:rPr>
              <w:t xml:space="preserve">.a Engage with </w:t>
            </w:r>
            <w:r w:rsidR="00795920">
              <w:rPr>
                <w:bCs/>
                <w:color w:val="auto"/>
                <w:sz w:val="20"/>
                <w:szCs w:val="20"/>
              </w:rPr>
              <w:t>all stakeholders</w:t>
            </w:r>
            <w:r w:rsidR="000802A2" w:rsidRPr="00C26E8B">
              <w:rPr>
                <w:bCs/>
                <w:color w:val="auto"/>
                <w:sz w:val="20"/>
                <w:szCs w:val="20"/>
              </w:rPr>
              <w:t>, in the development of annual environmental water plans or priorities; and in the implementation, review and update of LTWPs, where relevant to the jurisdiction</w:t>
            </w:r>
            <w:r w:rsidR="000802A2"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E4D59D"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E3B97C" w14:textId="4B3327C9"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537BE531" w14:textId="77777777" w:rsidTr="00E03FE2">
        <w:tc>
          <w:tcPr>
            <w:tcW w:w="1560" w:type="dxa"/>
            <w:vMerge w:val="restart"/>
            <w:tcBorders>
              <w:left w:val="single" w:sz="8" w:space="0" w:color="4F81BD"/>
              <w:right w:val="single" w:sz="8" w:space="0" w:color="4F81BD"/>
            </w:tcBorders>
            <w:shd w:val="clear" w:color="auto" w:fill="F2F2F2" w:themeFill="background1" w:themeFillShade="F2"/>
          </w:tcPr>
          <w:p w14:paraId="6D1BD1FE" w14:textId="77777777" w:rsidR="000802A2" w:rsidRPr="00DA6A97" w:rsidRDefault="000802A2" w:rsidP="000802A2">
            <w:pPr>
              <w:pStyle w:val="Tableformat"/>
              <w:rPr>
                <w:bCs/>
                <w:color w:val="auto"/>
                <w:sz w:val="20"/>
                <w:szCs w:val="20"/>
              </w:rPr>
            </w:pPr>
            <w:r w:rsidRPr="00DA6A97">
              <w:rPr>
                <w:bCs/>
                <w:color w:val="auto"/>
                <w:sz w:val="20"/>
                <w:szCs w:val="20"/>
              </w:rPr>
              <w:t>Implementation of the Basin Plan</w:t>
            </w:r>
          </w:p>
        </w:tc>
        <w:tc>
          <w:tcPr>
            <w:tcW w:w="2551" w:type="dxa"/>
            <w:vMerge w:val="restart"/>
            <w:tcBorders>
              <w:left w:val="single" w:sz="8" w:space="0" w:color="4F81BD"/>
              <w:right w:val="single" w:sz="8" w:space="0" w:color="4F81BD"/>
            </w:tcBorders>
            <w:shd w:val="clear" w:color="auto" w:fill="F2F2F2" w:themeFill="background1" w:themeFillShade="F2"/>
          </w:tcPr>
          <w:p w14:paraId="5F53EE44" w14:textId="048A1D7E" w:rsidR="000802A2" w:rsidRPr="00DA6A97" w:rsidRDefault="00F04340" w:rsidP="000802A2">
            <w:pPr>
              <w:pStyle w:val="Tableformat"/>
              <w:rPr>
                <w:bCs/>
                <w:color w:val="auto"/>
                <w:sz w:val="20"/>
                <w:szCs w:val="20"/>
              </w:rPr>
            </w:pPr>
            <w:r>
              <w:rPr>
                <w:bCs/>
                <w:color w:val="auto"/>
                <w:sz w:val="20"/>
                <w:szCs w:val="20"/>
              </w:rPr>
              <w:t>4</w:t>
            </w:r>
            <w:r w:rsidR="000802A2">
              <w:rPr>
                <w:bCs/>
                <w:color w:val="auto"/>
                <w:sz w:val="20"/>
                <w:szCs w:val="20"/>
              </w:rPr>
              <w:t xml:space="preserve">. </w:t>
            </w:r>
            <w:r w:rsidR="000802A2" w:rsidRPr="00DA6A97">
              <w:rPr>
                <w:bCs/>
                <w:color w:val="auto"/>
                <w:sz w:val="20"/>
                <w:szCs w:val="20"/>
              </w:rPr>
              <w:t>Implement the SDLAM program, where not funded under other agreements.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E87D3F" w14:textId="419A2B96" w:rsidR="000802A2" w:rsidRPr="008773F1" w:rsidRDefault="00F04340" w:rsidP="000802A2">
            <w:pPr>
              <w:pStyle w:val="Tableformat"/>
              <w:rPr>
                <w:bCs/>
                <w:color w:val="auto"/>
                <w:sz w:val="20"/>
                <w:szCs w:val="20"/>
              </w:rPr>
            </w:pPr>
            <w:r>
              <w:rPr>
                <w:bCs/>
                <w:color w:val="auto"/>
                <w:sz w:val="20"/>
                <w:szCs w:val="20"/>
              </w:rPr>
              <w:t>4</w:t>
            </w:r>
            <w:r w:rsidR="000802A2" w:rsidRPr="008773F1">
              <w:rPr>
                <w:bCs/>
                <w:color w:val="auto"/>
                <w:sz w:val="20"/>
                <w:szCs w:val="20"/>
              </w:rPr>
              <w:t>.a Actively work with the Commonwealth to optimise and address risks to SDLAM program outcomes, including:</w:t>
            </w:r>
          </w:p>
          <w:p w14:paraId="3F19ABDC" w14:textId="77777777" w:rsidR="000802A2" w:rsidRPr="008773F1" w:rsidRDefault="000802A2" w:rsidP="000802A2">
            <w:pPr>
              <w:pStyle w:val="Tableformat"/>
              <w:rPr>
                <w:bCs/>
                <w:color w:val="auto"/>
                <w:sz w:val="20"/>
                <w:szCs w:val="20"/>
              </w:rPr>
            </w:pPr>
            <w:r w:rsidRPr="008773F1">
              <w:rPr>
                <w:bCs/>
                <w:color w:val="auto"/>
                <w:sz w:val="20"/>
                <w:szCs w:val="20"/>
              </w:rPr>
              <w:t>- the establishment of a process to formally amend project scope</w:t>
            </w:r>
          </w:p>
          <w:p w14:paraId="56E2E5D2" w14:textId="77777777" w:rsidR="000802A2" w:rsidRPr="008773F1" w:rsidRDefault="000802A2" w:rsidP="000802A2">
            <w:pPr>
              <w:pStyle w:val="Tableformat"/>
              <w:rPr>
                <w:bCs/>
                <w:color w:val="auto"/>
                <w:sz w:val="20"/>
                <w:szCs w:val="20"/>
              </w:rPr>
            </w:pPr>
            <w:r w:rsidRPr="008773F1">
              <w:rPr>
                <w:bCs/>
                <w:color w:val="auto"/>
                <w:sz w:val="20"/>
                <w:szCs w:val="20"/>
              </w:rPr>
              <w:t>- resolution of critical policy issues to enable agreement to Stage 2 funding arrangements</w:t>
            </w:r>
          </w:p>
          <w:p w14:paraId="59978D64" w14:textId="77777777" w:rsidR="000802A2" w:rsidRPr="008773F1" w:rsidRDefault="000802A2" w:rsidP="000802A2">
            <w:pPr>
              <w:pStyle w:val="Tableformat"/>
              <w:rPr>
                <w:bCs/>
                <w:color w:val="auto"/>
                <w:sz w:val="20"/>
                <w:szCs w:val="20"/>
              </w:rPr>
            </w:pPr>
            <w:r w:rsidRPr="008773F1">
              <w:rPr>
                <w:bCs/>
                <w:color w:val="auto"/>
                <w:sz w:val="20"/>
                <w:szCs w:val="20"/>
              </w:rPr>
              <w:t>- fast-tracking relevant projects</w:t>
            </w:r>
          </w:p>
          <w:p w14:paraId="261828F2" w14:textId="77777777" w:rsidR="000802A2" w:rsidRPr="00DA6A97" w:rsidRDefault="000802A2" w:rsidP="000802A2">
            <w:pPr>
              <w:pStyle w:val="Tableformat"/>
              <w:rPr>
                <w:bCs/>
                <w:color w:val="auto"/>
                <w:sz w:val="20"/>
                <w:szCs w:val="20"/>
              </w:rPr>
            </w:pPr>
            <w:r w:rsidRPr="008773F1">
              <w:rPr>
                <w:bCs/>
                <w:color w:val="auto"/>
                <w:sz w:val="20"/>
                <w:szCs w:val="20"/>
              </w:rPr>
              <w:t>- investigating the potential for existing, enhanced projects to contribute to Basin Plan outcomes.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E789CF"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9E7F06" w14:textId="5286F7E7"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5A530836" w14:textId="77777777" w:rsidTr="00E03FE2">
        <w:tc>
          <w:tcPr>
            <w:tcW w:w="1560" w:type="dxa"/>
            <w:vMerge/>
            <w:tcBorders>
              <w:left w:val="single" w:sz="8" w:space="0" w:color="4F81BD"/>
              <w:right w:val="single" w:sz="8" w:space="0" w:color="4F81BD"/>
            </w:tcBorders>
            <w:shd w:val="clear" w:color="auto" w:fill="F2F2F2" w:themeFill="background1" w:themeFillShade="F2"/>
          </w:tcPr>
          <w:p w14:paraId="531464BD" w14:textId="77777777" w:rsidR="000802A2" w:rsidRPr="00DA6A97" w:rsidRDefault="000802A2" w:rsidP="000802A2">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50697BA1"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B8A893" w14:textId="1EE12DAA" w:rsidR="000802A2" w:rsidRPr="00DA6A97" w:rsidRDefault="00F04340" w:rsidP="000802A2">
            <w:pPr>
              <w:pStyle w:val="Tableformat"/>
              <w:rPr>
                <w:bCs/>
                <w:color w:val="auto"/>
                <w:sz w:val="20"/>
                <w:szCs w:val="20"/>
              </w:rPr>
            </w:pPr>
            <w:r>
              <w:rPr>
                <w:bCs/>
                <w:color w:val="auto"/>
                <w:sz w:val="20"/>
                <w:szCs w:val="20"/>
              </w:rPr>
              <w:t>4</w:t>
            </w:r>
            <w:r w:rsidR="000802A2" w:rsidRPr="008773F1">
              <w:rPr>
                <w:bCs/>
                <w:color w:val="auto"/>
                <w:sz w:val="20"/>
                <w:szCs w:val="20"/>
              </w:rPr>
              <w:t>.b Identify, develop and progress required changes to the River Murray Operations Framework and Murray-Darling Basin Agreement. Any changes are to be agreed by all jurisdictions</w:t>
            </w:r>
            <w:r w:rsidR="000802A2"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280E7B"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C060EB" w14:textId="3FA196F1"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54D8E5F0" w14:textId="77777777" w:rsidTr="00E03FE2">
        <w:tc>
          <w:tcPr>
            <w:tcW w:w="1560" w:type="dxa"/>
            <w:vMerge/>
            <w:tcBorders>
              <w:left w:val="single" w:sz="8" w:space="0" w:color="4F81BD"/>
              <w:right w:val="single" w:sz="8" w:space="0" w:color="4F81BD"/>
            </w:tcBorders>
            <w:shd w:val="clear" w:color="auto" w:fill="F2F2F2" w:themeFill="background1" w:themeFillShade="F2"/>
          </w:tcPr>
          <w:p w14:paraId="3E6EEE96" w14:textId="77777777" w:rsidR="000802A2" w:rsidRPr="00DA6A97" w:rsidRDefault="000802A2" w:rsidP="000802A2">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40C3CAB5"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444FE8" w14:textId="57D477DF" w:rsidR="000802A2" w:rsidRPr="00DA6A97" w:rsidRDefault="00F04340" w:rsidP="008608A9">
            <w:pPr>
              <w:pStyle w:val="Tableformat"/>
              <w:rPr>
                <w:bCs/>
                <w:color w:val="auto"/>
                <w:sz w:val="20"/>
                <w:szCs w:val="20"/>
              </w:rPr>
            </w:pPr>
            <w:r>
              <w:rPr>
                <w:bCs/>
                <w:color w:val="auto"/>
                <w:sz w:val="20"/>
                <w:szCs w:val="20"/>
              </w:rPr>
              <w:t>4</w:t>
            </w:r>
            <w:r w:rsidR="000802A2" w:rsidRPr="008773F1">
              <w:rPr>
                <w:bCs/>
                <w:color w:val="auto"/>
                <w:sz w:val="20"/>
                <w:szCs w:val="20"/>
              </w:rPr>
              <w:t>.</w:t>
            </w:r>
            <w:r w:rsidR="008608A9">
              <w:rPr>
                <w:bCs/>
                <w:color w:val="auto"/>
                <w:sz w:val="20"/>
                <w:szCs w:val="20"/>
              </w:rPr>
              <w:t>c</w:t>
            </w:r>
            <w:r w:rsidR="000802A2" w:rsidRPr="008773F1">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0802A2" w:rsidRPr="00D57F7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BA3C12"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9F2846" w14:textId="6DDB7B99"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5E9D3854" w14:textId="77777777" w:rsidTr="00E03FE2">
        <w:tc>
          <w:tcPr>
            <w:tcW w:w="1560" w:type="dxa"/>
            <w:vMerge/>
            <w:tcBorders>
              <w:left w:val="single" w:sz="8" w:space="0" w:color="4F81BD"/>
              <w:right w:val="single" w:sz="8" w:space="0" w:color="4F81BD"/>
            </w:tcBorders>
            <w:shd w:val="clear" w:color="auto" w:fill="F2F2F2" w:themeFill="background1" w:themeFillShade="F2"/>
          </w:tcPr>
          <w:p w14:paraId="1E7C1662" w14:textId="77777777" w:rsidR="000802A2" w:rsidRPr="00DA6A97" w:rsidRDefault="000802A2" w:rsidP="000802A2">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19737E01" w14:textId="6E58728E" w:rsidR="000802A2" w:rsidRPr="00DA6A97" w:rsidRDefault="00F04340" w:rsidP="00743869">
            <w:pPr>
              <w:pStyle w:val="Tableformat"/>
              <w:rPr>
                <w:bCs/>
                <w:color w:val="auto"/>
                <w:sz w:val="20"/>
                <w:szCs w:val="20"/>
              </w:rPr>
            </w:pPr>
            <w:r>
              <w:rPr>
                <w:bCs/>
                <w:color w:val="auto"/>
                <w:sz w:val="20"/>
                <w:szCs w:val="20"/>
              </w:rPr>
              <w:t>5</w:t>
            </w:r>
            <w:r w:rsidR="000802A2">
              <w:rPr>
                <w:bCs/>
                <w:color w:val="auto"/>
                <w:sz w:val="20"/>
                <w:szCs w:val="20"/>
              </w:rPr>
              <w:t>. Contribute to delivery of</w:t>
            </w:r>
            <w:r w:rsidR="000802A2" w:rsidRPr="00DA6A97">
              <w:rPr>
                <w:bCs/>
                <w:color w:val="auto"/>
                <w:sz w:val="20"/>
                <w:szCs w:val="20"/>
              </w:rPr>
              <w:t xml:space="preserve"> the MDBA-led SDL Accounting Framework Improvement Strategy 2020-25 </w:t>
            </w:r>
            <w:r w:rsidR="007C3B81" w:rsidRPr="00DA6A97">
              <w:rPr>
                <w:bCs/>
                <w:color w:val="auto"/>
                <w:sz w:val="20"/>
                <w:szCs w:val="20"/>
              </w:rPr>
              <w:t>work plan</w:t>
            </w:r>
            <w:r w:rsidR="000802A2" w:rsidRPr="00DA6A97">
              <w:rPr>
                <w:bCs/>
                <w:color w:val="auto"/>
                <w:sz w:val="20"/>
                <w:szCs w:val="20"/>
              </w:rPr>
              <w:t>, including supplying data and quality assurance documentation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B59C04" w14:textId="0A90A676" w:rsidR="000802A2" w:rsidRPr="00DA6A97" w:rsidRDefault="00F04340" w:rsidP="000802A2">
            <w:pPr>
              <w:pStyle w:val="Tableformat"/>
              <w:rPr>
                <w:bCs/>
                <w:color w:val="auto"/>
                <w:sz w:val="20"/>
                <w:szCs w:val="20"/>
              </w:rPr>
            </w:pPr>
            <w:r>
              <w:rPr>
                <w:bCs/>
                <w:color w:val="auto"/>
                <w:sz w:val="20"/>
                <w:szCs w:val="20"/>
              </w:rPr>
              <w:t>5</w:t>
            </w:r>
            <w:r w:rsidR="000802A2" w:rsidRPr="008773F1">
              <w:rPr>
                <w:bCs/>
                <w:color w:val="auto"/>
                <w:sz w:val="20"/>
                <w:szCs w:val="20"/>
              </w:rPr>
              <w:t xml:space="preserve">.a Contribute to developing a </w:t>
            </w:r>
            <w:r w:rsidR="007C3B81" w:rsidRPr="008773F1">
              <w:rPr>
                <w:bCs/>
                <w:color w:val="auto"/>
                <w:sz w:val="20"/>
                <w:szCs w:val="20"/>
              </w:rPr>
              <w:t>work plan</w:t>
            </w:r>
            <w:r w:rsidR="000802A2" w:rsidRPr="008773F1">
              <w:rPr>
                <w:bCs/>
                <w:color w:val="auto"/>
                <w:sz w:val="20"/>
                <w:szCs w:val="20"/>
              </w:rPr>
              <w:t xml:space="preserve"> to implement the SDL Accounting Framework Improvement Strategy 2020-25, led by the MDBA and agreed by BOC Alternates</w:t>
            </w:r>
            <w:r w:rsidR="000802A2"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2F3360"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D2AF55" w14:textId="6A4EB450"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287DB927" w14:textId="77777777" w:rsidTr="00E03FE2">
        <w:tc>
          <w:tcPr>
            <w:tcW w:w="1560" w:type="dxa"/>
            <w:vMerge/>
            <w:tcBorders>
              <w:left w:val="single" w:sz="8" w:space="0" w:color="4F81BD"/>
              <w:right w:val="single" w:sz="8" w:space="0" w:color="4F81BD"/>
            </w:tcBorders>
            <w:shd w:val="clear" w:color="auto" w:fill="F2F2F2" w:themeFill="background1" w:themeFillShade="F2"/>
          </w:tcPr>
          <w:p w14:paraId="5086D04C" w14:textId="77777777" w:rsidR="000802A2" w:rsidRPr="00DA6A97" w:rsidRDefault="000802A2" w:rsidP="000802A2">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5EF1CF05"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9FE3BB" w14:textId="0409E62D" w:rsidR="000802A2" w:rsidRPr="00DA6A97" w:rsidRDefault="00F04340" w:rsidP="000802A2">
            <w:pPr>
              <w:pStyle w:val="Tableformat"/>
              <w:rPr>
                <w:bCs/>
                <w:color w:val="auto"/>
                <w:sz w:val="20"/>
                <w:szCs w:val="20"/>
              </w:rPr>
            </w:pPr>
            <w:r>
              <w:rPr>
                <w:bCs/>
                <w:color w:val="auto"/>
                <w:sz w:val="20"/>
                <w:szCs w:val="20"/>
              </w:rPr>
              <w:t>5</w:t>
            </w:r>
            <w:r w:rsidR="000802A2" w:rsidRPr="008773F1">
              <w:rPr>
                <w:bCs/>
                <w:color w:val="auto"/>
                <w:sz w:val="20"/>
                <w:szCs w:val="20"/>
              </w:rPr>
              <w:t xml:space="preserve">.b Implement the SDL Accounting Framework Improvement Strategy </w:t>
            </w:r>
            <w:r w:rsidR="007C3B81" w:rsidRPr="008773F1">
              <w:rPr>
                <w:bCs/>
                <w:color w:val="auto"/>
                <w:sz w:val="20"/>
                <w:szCs w:val="20"/>
              </w:rPr>
              <w:t>work plan</w:t>
            </w:r>
            <w:r w:rsidR="000802A2" w:rsidRPr="008773F1">
              <w:rPr>
                <w:bCs/>
                <w:color w:val="auto"/>
                <w:sz w:val="20"/>
                <w:szCs w:val="20"/>
              </w:rPr>
              <w:t xml:space="preserve"> led by the MDBA, as relevant to the jurisdictio</w:t>
            </w:r>
            <w:r w:rsidR="000802A2">
              <w:rPr>
                <w:bCs/>
                <w:color w:val="auto"/>
                <w:sz w:val="20"/>
                <w:szCs w:val="20"/>
              </w:rPr>
              <w:t>n</w:t>
            </w:r>
            <w:r w:rsidR="000802A2"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F072DE"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73AB42" w14:textId="0AD00812"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50D36F56" w14:textId="77777777" w:rsidTr="00E03FE2">
        <w:tc>
          <w:tcPr>
            <w:tcW w:w="1560" w:type="dxa"/>
            <w:vMerge/>
            <w:tcBorders>
              <w:left w:val="single" w:sz="8" w:space="0" w:color="4F81BD"/>
              <w:right w:val="single" w:sz="8" w:space="0" w:color="4F81BD"/>
            </w:tcBorders>
            <w:shd w:val="clear" w:color="auto" w:fill="F2F2F2" w:themeFill="background1" w:themeFillShade="F2"/>
          </w:tcPr>
          <w:p w14:paraId="7A34CD27" w14:textId="77777777" w:rsidR="000802A2" w:rsidRPr="00DA6A97" w:rsidRDefault="000802A2" w:rsidP="000802A2">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AF5604" w14:textId="42B1B084" w:rsidR="000802A2" w:rsidRPr="00DA6A97" w:rsidRDefault="00F04340" w:rsidP="00743869">
            <w:pPr>
              <w:pStyle w:val="Tableformat"/>
              <w:rPr>
                <w:bCs/>
                <w:color w:val="auto"/>
                <w:sz w:val="20"/>
                <w:szCs w:val="20"/>
              </w:rPr>
            </w:pPr>
            <w:r>
              <w:rPr>
                <w:bCs/>
                <w:color w:val="auto"/>
                <w:sz w:val="20"/>
                <w:szCs w:val="20"/>
              </w:rPr>
              <w:t>6</w:t>
            </w:r>
            <w:r w:rsidR="000802A2">
              <w:rPr>
                <w:bCs/>
                <w:color w:val="auto"/>
                <w:sz w:val="20"/>
                <w:szCs w:val="20"/>
              </w:rPr>
              <w:t xml:space="preserve">. </w:t>
            </w:r>
            <w:r w:rsidR="000802A2" w:rsidRPr="00DA6A97">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83B33E" w14:textId="35CD8907" w:rsidR="000802A2" w:rsidRPr="00DA6A97" w:rsidRDefault="00F04340" w:rsidP="000802A2">
            <w:pPr>
              <w:pStyle w:val="Tableformat"/>
              <w:rPr>
                <w:bCs/>
                <w:color w:val="auto"/>
                <w:sz w:val="20"/>
                <w:szCs w:val="20"/>
              </w:rPr>
            </w:pPr>
            <w:r>
              <w:rPr>
                <w:bCs/>
                <w:color w:val="auto"/>
                <w:sz w:val="20"/>
                <w:szCs w:val="20"/>
              </w:rPr>
              <w:t>6</w:t>
            </w:r>
            <w:r w:rsidR="000802A2" w:rsidRPr="008773F1">
              <w:rPr>
                <w:bCs/>
                <w:color w:val="auto"/>
                <w:sz w:val="20"/>
                <w:szCs w:val="20"/>
              </w:rPr>
              <w:t>.a Submit amendments to WRPs to the Commonwealth for approval where state water planning frameworks in WRPs become inconsistent with the Basin Plan</w:t>
            </w:r>
            <w:r w:rsidR="000802A2"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80188F"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3AE0EB" w14:textId="290E998D"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307C32A9" w14:textId="77777777" w:rsidTr="00E03FE2">
        <w:tc>
          <w:tcPr>
            <w:tcW w:w="1560" w:type="dxa"/>
            <w:vMerge/>
            <w:tcBorders>
              <w:left w:val="single" w:sz="8" w:space="0" w:color="4F81BD"/>
              <w:right w:val="single" w:sz="8" w:space="0" w:color="4F81BD"/>
            </w:tcBorders>
            <w:shd w:val="clear" w:color="auto" w:fill="F2F2F2" w:themeFill="background1" w:themeFillShade="F2"/>
          </w:tcPr>
          <w:p w14:paraId="5A631985" w14:textId="77777777" w:rsidR="000802A2" w:rsidRPr="00DA6A97" w:rsidRDefault="000802A2" w:rsidP="000802A2">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6D6F702" w14:textId="298804D8" w:rsidR="000802A2" w:rsidRPr="00DA6A97" w:rsidRDefault="00F04340" w:rsidP="00743869">
            <w:pPr>
              <w:pStyle w:val="Tableformat"/>
              <w:rPr>
                <w:bCs/>
                <w:color w:val="auto"/>
                <w:sz w:val="20"/>
                <w:szCs w:val="20"/>
              </w:rPr>
            </w:pPr>
            <w:r>
              <w:rPr>
                <w:bCs/>
                <w:color w:val="auto"/>
                <w:sz w:val="20"/>
                <w:szCs w:val="20"/>
              </w:rPr>
              <w:t>7</w:t>
            </w:r>
            <w:r w:rsidR="000802A2">
              <w:rPr>
                <w:bCs/>
                <w:color w:val="auto"/>
                <w:sz w:val="20"/>
                <w:szCs w:val="20"/>
              </w:rPr>
              <w:t xml:space="preserve">. </w:t>
            </w:r>
            <w:r w:rsidR="000802A2" w:rsidRPr="00DA6A97">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CECC97" w14:textId="2FFA6DE3" w:rsidR="000802A2" w:rsidRPr="00DA6A97" w:rsidRDefault="00F04340" w:rsidP="000802A2">
            <w:pPr>
              <w:pStyle w:val="Tableformat"/>
              <w:rPr>
                <w:bCs/>
                <w:color w:val="auto"/>
                <w:sz w:val="20"/>
                <w:szCs w:val="20"/>
              </w:rPr>
            </w:pPr>
            <w:r>
              <w:rPr>
                <w:bCs/>
                <w:color w:val="auto"/>
                <w:sz w:val="20"/>
                <w:szCs w:val="20"/>
              </w:rPr>
              <w:t>7</w:t>
            </w:r>
            <w:r w:rsidR="000802A2">
              <w:rPr>
                <w:bCs/>
                <w:color w:val="auto"/>
                <w:sz w:val="20"/>
                <w:szCs w:val="20"/>
              </w:rPr>
              <w:t xml:space="preserve">.a </w:t>
            </w:r>
            <w:r w:rsidR="000802A2" w:rsidRPr="00DA6A97">
              <w:rPr>
                <w:bCs/>
                <w:color w:val="auto"/>
                <w:sz w:val="20"/>
                <w:szCs w:val="20"/>
              </w:rPr>
              <w:t>Deliver Basin Plan reporting under Schedule 12, including reporting under Matters 8, 12, 18 and 19</w:t>
            </w:r>
            <w:r w:rsidR="00743869">
              <w:rPr>
                <w:bCs/>
                <w:color w:val="auto"/>
                <w:sz w:val="20"/>
                <w:szCs w:val="20"/>
              </w:rPr>
              <w:t xml:space="preserve"> and 21 (compliance with water resource plans, such as but not limited to Parts 4, 6, 14)</w:t>
            </w:r>
            <w:r w:rsidR="000802A2"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8B6D8F"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F6E357" w14:textId="4E20C00E" w:rsidR="000802A2" w:rsidRPr="00DA6A97" w:rsidRDefault="000802A2">
            <w:pPr>
              <w:pStyle w:val="Tableformat"/>
              <w:rPr>
                <w:bCs/>
                <w:color w:val="auto"/>
                <w:sz w:val="20"/>
                <w:szCs w:val="20"/>
              </w:rPr>
            </w:pPr>
            <w:r>
              <w:rPr>
                <w:bCs/>
                <w:color w:val="auto"/>
                <w:sz w:val="20"/>
                <w:szCs w:val="20"/>
              </w:rPr>
              <w:t>$</w:t>
            </w:r>
            <w:r w:rsidR="00B62EA4">
              <w:rPr>
                <w:bCs/>
                <w:color w:val="auto"/>
                <w:sz w:val="20"/>
                <w:szCs w:val="20"/>
              </w:rPr>
              <w:t>393,000</w:t>
            </w:r>
          </w:p>
        </w:tc>
      </w:tr>
      <w:tr w:rsidR="000802A2" w:rsidRPr="0091710A" w14:paraId="7AA3EB5C" w14:textId="77777777" w:rsidTr="00E03FE2">
        <w:tc>
          <w:tcPr>
            <w:tcW w:w="1560" w:type="dxa"/>
            <w:vMerge/>
            <w:tcBorders>
              <w:left w:val="single" w:sz="8" w:space="0" w:color="4F81BD"/>
              <w:right w:val="single" w:sz="8" w:space="0" w:color="4F81BD"/>
            </w:tcBorders>
            <w:shd w:val="clear" w:color="auto" w:fill="F2F2F2" w:themeFill="background1" w:themeFillShade="F2"/>
          </w:tcPr>
          <w:p w14:paraId="27B03DC2" w14:textId="77777777" w:rsidR="000802A2" w:rsidRPr="00DA6A97" w:rsidRDefault="000802A2" w:rsidP="000802A2">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F3E1671"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EFB428" w14:textId="6D93992C" w:rsidR="000802A2" w:rsidRPr="00DA6A97" w:rsidRDefault="00F04340" w:rsidP="000802A2">
            <w:pPr>
              <w:pStyle w:val="Tableformat"/>
              <w:rPr>
                <w:bCs/>
                <w:color w:val="auto"/>
                <w:sz w:val="20"/>
                <w:szCs w:val="20"/>
              </w:rPr>
            </w:pPr>
            <w:r>
              <w:rPr>
                <w:bCs/>
                <w:color w:val="auto"/>
                <w:sz w:val="20"/>
                <w:szCs w:val="20"/>
              </w:rPr>
              <w:t>7</w:t>
            </w:r>
            <w:r w:rsidR="000802A2">
              <w:rPr>
                <w:bCs/>
                <w:color w:val="auto"/>
                <w:sz w:val="20"/>
                <w:szCs w:val="20"/>
              </w:rPr>
              <w:t xml:space="preserve">.b </w:t>
            </w:r>
            <w:r w:rsidR="000802A2" w:rsidRPr="00DA6A97">
              <w:rPr>
                <w:bCs/>
                <w:color w:val="auto"/>
                <w:sz w:val="20"/>
                <w:szCs w:val="20"/>
              </w:rPr>
              <w:t>Deliver on</w:t>
            </w:r>
            <w:r w:rsidR="000802A2">
              <w:rPr>
                <w:bCs/>
                <w:color w:val="auto"/>
                <w:sz w:val="20"/>
                <w:szCs w:val="20"/>
              </w:rPr>
              <w:t xml:space="preserve"> agreed</w:t>
            </w:r>
            <w:r w:rsidR="000802A2" w:rsidRPr="00DA6A97">
              <w:rPr>
                <w:bCs/>
                <w:color w:val="auto"/>
                <w:sz w:val="20"/>
                <w:szCs w:val="20"/>
              </w:rPr>
              <w:t xml:space="preserve"> strategic activities under the Basin Monitoring Evaluation and Reporting Working Group annual </w:t>
            </w:r>
            <w:r w:rsidR="007C3B81" w:rsidRPr="00DA6A97">
              <w:rPr>
                <w:bCs/>
                <w:color w:val="auto"/>
                <w:sz w:val="20"/>
                <w:szCs w:val="20"/>
              </w:rPr>
              <w:t>work plan</w:t>
            </w:r>
            <w:r w:rsidR="000802A2" w:rsidRPr="00DA6A97">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DF4AD5"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46A139" w14:textId="7EC8DC91" w:rsidR="000802A2" w:rsidRPr="00DA6A97" w:rsidRDefault="000802A2">
            <w:pPr>
              <w:pStyle w:val="Tableformat"/>
              <w:rPr>
                <w:bCs/>
                <w:color w:val="auto"/>
                <w:sz w:val="20"/>
                <w:szCs w:val="20"/>
              </w:rPr>
            </w:pPr>
            <w:r>
              <w:rPr>
                <w:bCs/>
                <w:color w:val="auto"/>
                <w:sz w:val="20"/>
                <w:szCs w:val="20"/>
              </w:rPr>
              <w:t>$</w:t>
            </w:r>
            <w:r w:rsidR="00B62EA4">
              <w:rPr>
                <w:bCs/>
                <w:color w:val="auto"/>
                <w:sz w:val="20"/>
                <w:szCs w:val="20"/>
              </w:rPr>
              <w:t>393,000</w:t>
            </w:r>
          </w:p>
        </w:tc>
      </w:tr>
      <w:tr w:rsidR="000802A2" w:rsidRPr="0091710A" w14:paraId="5725A7F4" w14:textId="77777777" w:rsidTr="00E03FE2">
        <w:tc>
          <w:tcPr>
            <w:tcW w:w="1560" w:type="dxa"/>
            <w:tcBorders>
              <w:top w:val="single" w:sz="8" w:space="0" w:color="4F81BD"/>
              <w:left w:val="single" w:sz="8" w:space="0" w:color="4F81BD"/>
              <w:right w:val="single" w:sz="8" w:space="0" w:color="4F81BD"/>
            </w:tcBorders>
            <w:shd w:val="clear" w:color="auto" w:fill="F2F2F2" w:themeFill="background1" w:themeFillShade="F2"/>
          </w:tcPr>
          <w:p w14:paraId="66087917" w14:textId="77777777" w:rsidR="000802A2" w:rsidRPr="00DA6A97" w:rsidRDefault="000802A2" w:rsidP="000802A2">
            <w:pPr>
              <w:pStyle w:val="Tableformat"/>
              <w:rPr>
                <w:bCs/>
                <w:color w:val="auto"/>
                <w:sz w:val="20"/>
                <w:szCs w:val="20"/>
              </w:rPr>
            </w:pPr>
            <w:r w:rsidRPr="00DA6A97">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1A580C" w14:textId="0FE21916" w:rsidR="000802A2" w:rsidRPr="00DA6A97" w:rsidRDefault="00B62EA4">
            <w:pPr>
              <w:pStyle w:val="Tableformat"/>
              <w:rPr>
                <w:bCs/>
                <w:color w:val="auto"/>
                <w:sz w:val="20"/>
                <w:szCs w:val="20"/>
              </w:rPr>
            </w:pPr>
            <w:r>
              <w:rPr>
                <w:bCs/>
                <w:color w:val="auto"/>
                <w:sz w:val="20"/>
                <w:szCs w:val="20"/>
              </w:rPr>
              <w:t>8</w:t>
            </w:r>
            <w:r w:rsidR="000802A2">
              <w:rPr>
                <w:bCs/>
                <w:color w:val="auto"/>
                <w:sz w:val="20"/>
                <w:szCs w:val="20"/>
              </w:rPr>
              <w:t xml:space="preserve">. </w:t>
            </w:r>
            <w:r w:rsidR="000802A2" w:rsidRPr="00DA6A97">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B0A565" w14:textId="5E2D1576" w:rsidR="000802A2" w:rsidRPr="00DA6A97" w:rsidRDefault="00B62EA4">
            <w:pPr>
              <w:pStyle w:val="Tableformat"/>
              <w:rPr>
                <w:bCs/>
                <w:color w:val="auto"/>
                <w:sz w:val="20"/>
                <w:szCs w:val="20"/>
              </w:rPr>
            </w:pPr>
            <w:r>
              <w:rPr>
                <w:bCs/>
                <w:color w:val="auto"/>
                <w:sz w:val="20"/>
                <w:szCs w:val="20"/>
              </w:rPr>
              <w:t>8</w:t>
            </w:r>
            <w:r w:rsidR="000802A2" w:rsidRPr="008773F1">
              <w:rPr>
                <w:bCs/>
                <w:color w:val="auto"/>
                <w:sz w:val="20"/>
                <w:szCs w:val="20"/>
              </w:rPr>
              <w:t>.a Contribute to the development of a road map for Murray-Darling Basin water market reform in response to the ACCC repor</w:t>
            </w:r>
            <w:r w:rsidR="000802A2">
              <w:rPr>
                <w:bCs/>
                <w:color w:val="auto"/>
                <w:sz w:val="20"/>
                <w:szCs w:val="20"/>
              </w:rPr>
              <w:t>t</w:t>
            </w:r>
            <w:r w:rsidR="000802A2"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C5CFDC"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C3FF4C" w14:textId="029D25AA"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683F234D" w14:textId="77777777" w:rsidTr="00E03FE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1346001A" w14:textId="77777777" w:rsidR="000802A2" w:rsidRPr="00DA6A97" w:rsidRDefault="000802A2" w:rsidP="000802A2">
            <w:pPr>
              <w:pStyle w:val="Tableformat"/>
              <w:rPr>
                <w:bCs/>
                <w:color w:val="auto"/>
                <w:sz w:val="20"/>
                <w:szCs w:val="20"/>
              </w:rPr>
            </w:pPr>
            <w:r w:rsidRPr="00DA6A97">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7E909A" w14:textId="55EAA030" w:rsidR="000802A2" w:rsidRPr="00DA6A97" w:rsidRDefault="00B62EA4">
            <w:pPr>
              <w:pStyle w:val="Tableformat"/>
              <w:rPr>
                <w:bCs/>
                <w:color w:val="auto"/>
                <w:sz w:val="20"/>
                <w:szCs w:val="20"/>
              </w:rPr>
            </w:pPr>
            <w:r>
              <w:rPr>
                <w:bCs/>
                <w:color w:val="auto"/>
                <w:sz w:val="20"/>
                <w:szCs w:val="20"/>
              </w:rPr>
              <w:t>9</w:t>
            </w:r>
            <w:r w:rsidR="000802A2">
              <w:rPr>
                <w:bCs/>
                <w:color w:val="auto"/>
                <w:sz w:val="20"/>
                <w:szCs w:val="20"/>
              </w:rPr>
              <w:t xml:space="preserve">. </w:t>
            </w:r>
            <w:r w:rsidR="000802A2" w:rsidRPr="00DA6A97">
              <w:rPr>
                <w:bCs/>
                <w:color w:val="auto"/>
                <w:sz w:val="20"/>
                <w:szCs w:val="20"/>
              </w:rPr>
              <w:t xml:space="preserve">Implement revised Metrological Assurance Framework (MAF2)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7E55C3" w14:textId="7A615D0E" w:rsidR="000802A2" w:rsidRPr="00DA6A97" w:rsidRDefault="00B62EA4">
            <w:pPr>
              <w:pStyle w:val="Tableformat"/>
              <w:rPr>
                <w:bCs/>
                <w:color w:val="auto"/>
                <w:sz w:val="20"/>
                <w:szCs w:val="20"/>
              </w:rPr>
            </w:pPr>
            <w:r>
              <w:rPr>
                <w:bCs/>
                <w:color w:val="auto"/>
                <w:sz w:val="20"/>
                <w:szCs w:val="20"/>
              </w:rPr>
              <w:t>9</w:t>
            </w:r>
            <w:r w:rsidR="000802A2" w:rsidRPr="008773F1">
              <w:rPr>
                <w:bCs/>
                <w:color w:val="auto"/>
                <w:sz w:val="20"/>
                <w:szCs w:val="20"/>
              </w:rPr>
              <w:t>.a Develop an implementation plan that integrates MAF2 requirements into the state’s metering compliance plan/policy</w:t>
            </w:r>
            <w:r w:rsidR="000802A2"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ACF062"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8EB192" w14:textId="043BD0D5"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6BF155BF" w14:textId="77777777" w:rsidTr="00E03FE2">
        <w:tc>
          <w:tcPr>
            <w:tcW w:w="1560" w:type="dxa"/>
            <w:vMerge/>
            <w:tcBorders>
              <w:left w:val="single" w:sz="8" w:space="0" w:color="4F81BD"/>
              <w:right w:val="single" w:sz="8" w:space="0" w:color="4F81BD"/>
            </w:tcBorders>
            <w:shd w:val="clear" w:color="auto" w:fill="F2F2F2" w:themeFill="background1" w:themeFillShade="F2"/>
          </w:tcPr>
          <w:p w14:paraId="593A2513" w14:textId="77777777" w:rsidR="000802A2" w:rsidRPr="00DA6A97" w:rsidRDefault="000802A2" w:rsidP="000802A2">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6AD3D85" w14:textId="0B384B96" w:rsidR="000802A2" w:rsidRPr="00DA6A97" w:rsidRDefault="00B62EA4">
            <w:pPr>
              <w:pStyle w:val="Tableformat"/>
              <w:rPr>
                <w:bCs/>
                <w:color w:val="auto"/>
                <w:sz w:val="20"/>
                <w:szCs w:val="20"/>
              </w:rPr>
            </w:pPr>
            <w:r>
              <w:rPr>
                <w:bCs/>
                <w:color w:val="auto"/>
                <w:sz w:val="20"/>
                <w:szCs w:val="20"/>
              </w:rPr>
              <w:t>10</w:t>
            </w:r>
            <w:r w:rsidR="000802A2">
              <w:rPr>
                <w:bCs/>
                <w:color w:val="auto"/>
                <w:sz w:val="20"/>
                <w:szCs w:val="20"/>
              </w:rPr>
              <w:t xml:space="preserve">. </w:t>
            </w:r>
            <w:r w:rsidR="000802A2" w:rsidRPr="004D3DF8">
              <w:rPr>
                <w:bCs/>
                <w:color w:val="auto"/>
                <w:sz w:val="20"/>
                <w:szCs w:val="20"/>
              </w:rPr>
              <w:t>Work with the Inspector General of Water Compliance (IGWC) to provide clear compliance arrangements and reporting in the Murray</w:t>
            </w:r>
            <w:r w:rsidR="000802A2">
              <w:rPr>
                <w:bCs/>
                <w:color w:val="auto"/>
                <w:sz w:val="20"/>
                <w:szCs w:val="20"/>
              </w:rPr>
              <w:t>–</w:t>
            </w:r>
            <w:r w:rsidR="000802A2" w:rsidRPr="004D3DF8">
              <w:rPr>
                <w:bCs/>
                <w:color w:val="auto"/>
                <w:sz w:val="20"/>
                <w:szCs w:val="20"/>
              </w:rPr>
              <w:t>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1DD535" w14:textId="0375950E" w:rsidR="000802A2" w:rsidRPr="00DA6A97" w:rsidRDefault="00B62EA4">
            <w:pPr>
              <w:pStyle w:val="Tableformat"/>
              <w:rPr>
                <w:bCs/>
                <w:color w:val="auto"/>
                <w:sz w:val="20"/>
                <w:szCs w:val="20"/>
              </w:rPr>
            </w:pPr>
            <w:r>
              <w:rPr>
                <w:bCs/>
                <w:color w:val="auto"/>
                <w:sz w:val="20"/>
                <w:szCs w:val="20"/>
              </w:rPr>
              <w:t>10</w:t>
            </w:r>
            <w:r w:rsidR="000802A2" w:rsidRPr="008773F1">
              <w:rPr>
                <w:bCs/>
                <w:color w:val="auto"/>
                <w:sz w:val="20"/>
                <w:szCs w:val="20"/>
              </w:rPr>
              <w:t>.a Contribute to the establishment of MoUs and/or protocols with the IGWC where relevant to the jurisdiction</w:t>
            </w:r>
            <w:r w:rsidR="000802A2"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6892D72"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A12411" w14:textId="50E3E34C"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34326A66" w14:textId="77777777" w:rsidTr="00E03FE2">
        <w:tc>
          <w:tcPr>
            <w:tcW w:w="1560" w:type="dxa"/>
            <w:vMerge/>
            <w:tcBorders>
              <w:left w:val="single" w:sz="8" w:space="0" w:color="4F81BD"/>
              <w:right w:val="single" w:sz="8" w:space="0" w:color="4F81BD"/>
            </w:tcBorders>
            <w:shd w:val="clear" w:color="auto" w:fill="F2F2F2" w:themeFill="background1" w:themeFillShade="F2"/>
          </w:tcPr>
          <w:p w14:paraId="24737BB9" w14:textId="77777777" w:rsidR="000802A2" w:rsidRPr="00DA6A97" w:rsidRDefault="000802A2" w:rsidP="000802A2">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7D5E1B14"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41DB48" w14:textId="29EEB7EB" w:rsidR="000802A2" w:rsidRPr="00DA6A97" w:rsidRDefault="00B62EA4">
            <w:pPr>
              <w:pStyle w:val="Tableformat"/>
              <w:rPr>
                <w:bCs/>
                <w:color w:val="auto"/>
                <w:sz w:val="20"/>
                <w:szCs w:val="20"/>
              </w:rPr>
            </w:pPr>
            <w:r>
              <w:rPr>
                <w:bCs/>
                <w:color w:val="auto"/>
                <w:sz w:val="20"/>
                <w:szCs w:val="20"/>
              </w:rPr>
              <w:t>10</w:t>
            </w:r>
            <w:r w:rsidR="000802A2" w:rsidRPr="008773F1">
              <w:rPr>
                <w:bCs/>
                <w:color w:val="auto"/>
                <w:sz w:val="20"/>
                <w:szCs w:val="20"/>
              </w:rPr>
              <w:t>.b Provide input to the IGWC on the development of standards and guidelines</w:t>
            </w:r>
            <w:r w:rsidR="000802A2"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862D4D"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84BC23" w14:textId="461273A2"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791799F0" w14:textId="77777777" w:rsidTr="00E03FE2">
        <w:tc>
          <w:tcPr>
            <w:tcW w:w="1560" w:type="dxa"/>
            <w:vMerge/>
            <w:tcBorders>
              <w:left w:val="single" w:sz="8" w:space="0" w:color="4F81BD"/>
              <w:right w:val="single" w:sz="8" w:space="0" w:color="4F81BD"/>
            </w:tcBorders>
            <w:shd w:val="clear" w:color="auto" w:fill="F2F2F2" w:themeFill="background1" w:themeFillShade="F2"/>
          </w:tcPr>
          <w:p w14:paraId="0D28A32C" w14:textId="77777777" w:rsidR="000802A2" w:rsidRPr="00DA6A97" w:rsidRDefault="000802A2" w:rsidP="000802A2">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6B0899D6"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029230" w14:textId="6BFAD522" w:rsidR="000802A2" w:rsidRPr="00DA6A97" w:rsidRDefault="00B62EA4">
            <w:pPr>
              <w:pStyle w:val="Tableformat"/>
              <w:rPr>
                <w:bCs/>
                <w:color w:val="auto"/>
                <w:sz w:val="20"/>
                <w:szCs w:val="20"/>
              </w:rPr>
            </w:pPr>
            <w:r>
              <w:rPr>
                <w:bCs/>
                <w:color w:val="auto"/>
                <w:sz w:val="20"/>
                <w:szCs w:val="20"/>
              </w:rPr>
              <w:t>10</w:t>
            </w:r>
            <w:r w:rsidR="000802A2" w:rsidRPr="008773F1">
              <w:rPr>
                <w:bCs/>
                <w:color w:val="auto"/>
                <w:sz w:val="20"/>
                <w:szCs w:val="20"/>
              </w:rPr>
              <w:t>.c Report to the IGWC against MAF2 Chapter 15 at least annually or in accordance with IGWC guidelines</w:t>
            </w:r>
            <w:r w:rsidR="000802A2"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AF278F" w14:textId="77777777" w:rsidR="000802A2"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8D76E9" w14:textId="10CF6627" w:rsidR="000802A2" w:rsidRDefault="000802A2" w:rsidP="00B732DE">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1E57F49F" w14:textId="77777777" w:rsidTr="00E03FE2">
        <w:tc>
          <w:tcPr>
            <w:tcW w:w="1560" w:type="dxa"/>
            <w:vMerge/>
            <w:tcBorders>
              <w:left w:val="single" w:sz="8" w:space="0" w:color="4F81BD"/>
              <w:right w:val="single" w:sz="8" w:space="0" w:color="4F81BD"/>
            </w:tcBorders>
            <w:shd w:val="clear" w:color="auto" w:fill="F2F2F2" w:themeFill="background1" w:themeFillShade="F2"/>
          </w:tcPr>
          <w:p w14:paraId="19798F77" w14:textId="77777777" w:rsidR="000802A2" w:rsidRPr="00DA6A97" w:rsidRDefault="000802A2" w:rsidP="000802A2">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678184B2" w14:textId="77777777" w:rsidR="000802A2" w:rsidRPr="00DA6A97" w:rsidRDefault="000802A2" w:rsidP="000802A2">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CC90E7" w14:textId="1B2DB1B0" w:rsidR="000802A2" w:rsidRPr="008773F1" w:rsidRDefault="00B62EA4">
            <w:pPr>
              <w:pStyle w:val="Tableformat"/>
              <w:rPr>
                <w:bCs/>
                <w:color w:val="auto"/>
                <w:sz w:val="20"/>
                <w:szCs w:val="20"/>
              </w:rPr>
            </w:pPr>
            <w:r>
              <w:rPr>
                <w:bCs/>
                <w:color w:val="auto"/>
                <w:sz w:val="20"/>
                <w:szCs w:val="20"/>
              </w:rPr>
              <w:t>10</w:t>
            </w:r>
            <w:r w:rsidR="000802A2" w:rsidRPr="008773F1">
              <w:rPr>
                <w:bCs/>
                <w:color w:val="auto"/>
                <w:sz w:val="20"/>
                <w:szCs w:val="20"/>
              </w:rPr>
              <w:t>.d 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DFF1DE" w14:textId="77777777" w:rsidR="000802A2"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4EA68C" w14:textId="43066702" w:rsidR="000802A2" w:rsidRDefault="000802A2" w:rsidP="00B732DE">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2DA78305" w14:textId="77777777" w:rsidTr="00E03FE2">
        <w:tc>
          <w:tcPr>
            <w:tcW w:w="1560" w:type="dxa"/>
            <w:vMerge/>
            <w:tcBorders>
              <w:left w:val="single" w:sz="8" w:space="0" w:color="4F81BD"/>
              <w:right w:val="single" w:sz="8" w:space="0" w:color="4F81BD"/>
            </w:tcBorders>
            <w:shd w:val="clear" w:color="auto" w:fill="F2F2F2" w:themeFill="background1" w:themeFillShade="F2"/>
          </w:tcPr>
          <w:p w14:paraId="2F502E3D" w14:textId="77777777" w:rsidR="000802A2" w:rsidRPr="00DA6A97" w:rsidRDefault="000802A2" w:rsidP="000802A2">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320AA6AA" w14:textId="32397F84" w:rsidR="000802A2" w:rsidRPr="00DA6A97" w:rsidRDefault="00B62EA4">
            <w:pPr>
              <w:pStyle w:val="Tableformat"/>
              <w:rPr>
                <w:bCs/>
                <w:color w:val="auto"/>
                <w:sz w:val="20"/>
                <w:szCs w:val="20"/>
              </w:rPr>
            </w:pPr>
            <w:r>
              <w:rPr>
                <w:bCs/>
                <w:color w:val="auto"/>
                <w:sz w:val="20"/>
                <w:szCs w:val="20"/>
              </w:rPr>
              <w:t>11</w:t>
            </w:r>
            <w:r w:rsidR="000802A2">
              <w:rPr>
                <w:bCs/>
                <w:color w:val="auto"/>
                <w:sz w:val="20"/>
                <w:szCs w:val="20"/>
              </w:rPr>
              <w:t xml:space="preserve">. </w:t>
            </w:r>
            <w:r w:rsidR="000802A2" w:rsidRPr="00DA6A97">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A88CB1" w14:textId="6E440EE7" w:rsidR="000802A2" w:rsidRPr="00DA6A97" w:rsidRDefault="00B62EA4">
            <w:pPr>
              <w:pStyle w:val="Tableformat"/>
              <w:rPr>
                <w:bCs/>
                <w:color w:val="auto"/>
                <w:sz w:val="20"/>
                <w:szCs w:val="20"/>
              </w:rPr>
            </w:pPr>
            <w:r>
              <w:rPr>
                <w:bCs/>
                <w:color w:val="auto"/>
                <w:sz w:val="20"/>
                <w:szCs w:val="20"/>
              </w:rPr>
              <w:t>11</w:t>
            </w:r>
            <w:r w:rsidR="000802A2" w:rsidRPr="0085140F">
              <w:rPr>
                <w:bCs/>
                <w:color w:val="auto"/>
                <w:sz w:val="20"/>
                <w:szCs w:val="20"/>
              </w:rPr>
              <w:t>.a Develop a set of metrics to be used to communicate and report on water compliance performance and effort across the Basin</w:t>
            </w:r>
            <w:r w:rsidR="000802A2" w:rsidRPr="007F24D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2A4056"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F2FB82" w14:textId="43FCA030" w:rsidR="000802A2" w:rsidRPr="00DA6A97" w:rsidRDefault="000802A2" w:rsidP="000802A2">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2A2F3BBF" w14:textId="77777777" w:rsidTr="00E03FE2">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0E5A13A9" w14:textId="77777777" w:rsidR="000802A2" w:rsidRPr="00DA6A97" w:rsidRDefault="000802A2" w:rsidP="000802A2">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B100C1" w14:textId="015D0C2A" w:rsidR="000802A2" w:rsidRPr="00DA6A97" w:rsidRDefault="00B62EA4">
            <w:pPr>
              <w:pStyle w:val="Tableformat"/>
              <w:rPr>
                <w:bCs/>
                <w:color w:val="auto"/>
                <w:sz w:val="20"/>
                <w:szCs w:val="20"/>
              </w:rPr>
            </w:pPr>
            <w:r>
              <w:rPr>
                <w:bCs/>
                <w:color w:val="auto"/>
                <w:sz w:val="20"/>
                <w:szCs w:val="20"/>
              </w:rPr>
              <w:t>12</w:t>
            </w:r>
            <w:r w:rsidR="000802A2">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176B519" w14:textId="7B06CBF5" w:rsidR="000802A2" w:rsidRPr="00DA6A97" w:rsidRDefault="00B62EA4">
            <w:pPr>
              <w:pStyle w:val="Tableformat"/>
              <w:rPr>
                <w:bCs/>
                <w:color w:val="auto"/>
                <w:sz w:val="20"/>
                <w:szCs w:val="20"/>
              </w:rPr>
            </w:pPr>
            <w:r>
              <w:rPr>
                <w:bCs/>
                <w:color w:val="auto"/>
                <w:sz w:val="20"/>
                <w:szCs w:val="20"/>
              </w:rPr>
              <w:t>12</w:t>
            </w:r>
            <w:r w:rsidR="000802A2" w:rsidRPr="0085140F">
              <w:rPr>
                <w:bCs/>
                <w:color w:val="auto"/>
                <w:sz w:val="20"/>
                <w:szCs w:val="20"/>
              </w:rPr>
              <w:t>.a Provide information to the IGWC as requested and in accordance with agreed MOU/guidelines to enable oversight of Compliance Compact commitments.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20E306A" w14:textId="77777777" w:rsidR="000802A2"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640C0E" w14:textId="4ECB748F" w:rsidR="000802A2" w:rsidRDefault="000802A2" w:rsidP="0039753C">
            <w:pPr>
              <w:pStyle w:val="Tableformat"/>
              <w:rPr>
                <w:bCs/>
                <w:color w:val="auto"/>
                <w:sz w:val="20"/>
                <w:szCs w:val="20"/>
              </w:rPr>
            </w:pPr>
            <w:r>
              <w:rPr>
                <w:bCs/>
                <w:color w:val="auto"/>
                <w:sz w:val="20"/>
                <w:szCs w:val="20"/>
              </w:rPr>
              <w:t>$</w:t>
            </w:r>
            <w:r w:rsidR="0039753C">
              <w:rPr>
                <w:bCs/>
                <w:color w:val="auto"/>
                <w:sz w:val="20"/>
                <w:szCs w:val="20"/>
              </w:rPr>
              <w:t>262,000</w:t>
            </w:r>
          </w:p>
        </w:tc>
      </w:tr>
      <w:tr w:rsidR="000802A2" w:rsidRPr="0091710A" w14:paraId="063F760E" w14:textId="77777777" w:rsidTr="00E03FE2">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13CCE0" w14:textId="77777777" w:rsidR="000802A2" w:rsidRPr="00DA6A97" w:rsidRDefault="000802A2" w:rsidP="000802A2">
            <w:pPr>
              <w:pStyle w:val="Tableformat"/>
              <w:rPr>
                <w:bCs/>
                <w:color w:val="auto"/>
                <w:sz w:val="20"/>
                <w:szCs w:val="20"/>
              </w:rPr>
            </w:pPr>
            <w:r w:rsidRPr="00DA6A97">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A799F3" w14:textId="63E67810" w:rsidR="000802A2" w:rsidRPr="00DA6A97" w:rsidRDefault="00B62EA4">
            <w:pPr>
              <w:pStyle w:val="Tableformat"/>
              <w:rPr>
                <w:bCs/>
                <w:color w:val="auto"/>
                <w:sz w:val="20"/>
                <w:szCs w:val="20"/>
              </w:rPr>
            </w:pPr>
            <w:r>
              <w:rPr>
                <w:bCs/>
                <w:color w:val="auto"/>
                <w:sz w:val="20"/>
                <w:szCs w:val="20"/>
              </w:rPr>
              <w:t>13</w:t>
            </w:r>
            <w:r w:rsidR="000802A2">
              <w:rPr>
                <w:bCs/>
                <w:color w:val="auto"/>
                <w:sz w:val="20"/>
                <w:szCs w:val="20"/>
              </w:rPr>
              <w:t xml:space="preserve">. </w:t>
            </w:r>
            <w:r w:rsidR="000802A2" w:rsidRPr="00DA6A97">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C9BA64" w14:textId="5564677F" w:rsidR="000802A2" w:rsidRPr="00DA6A97" w:rsidRDefault="00B62EA4">
            <w:pPr>
              <w:pStyle w:val="Tableformat"/>
              <w:rPr>
                <w:bCs/>
                <w:color w:val="auto"/>
                <w:sz w:val="20"/>
                <w:szCs w:val="20"/>
              </w:rPr>
            </w:pPr>
            <w:r>
              <w:rPr>
                <w:bCs/>
                <w:color w:val="auto"/>
                <w:sz w:val="20"/>
                <w:szCs w:val="20"/>
              </w:rPr>
              <w:t>13</w:t>
            </w:r>
            <w:r w:rsidR="000802A2">
              <w:rPr>
                <w:bCs/>
                <w:color w:val="auto"/>
                <w:sz w:val="20"/>
                <w:szCs w:val="20"/>
              </w:rPr>
              <w:t xml:space="preserve">.a </w:t>
            </w:r>
            <w:r w:rsidR="000802A2" w:rsidRPr="00DA6A97">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009A99" w14:textId="77777777" w:rsidR="000802A2" w:rsidRPr="00DA6A97" w:rsidRDefault="000802A2" w:rsidP="000802A2">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379443" w14:textId="07E362EF" w:rsidR="000802A2" w:rsidRPr="00DA6A97" w:rsidRDefault="000802A2" w:rsidP="0039753C">
            <w:pPr>
              <w:pStyle w:val="Tableformat"/>
              <w:rPr>
                <w:bCs/>
                <w:color w:val="auto"/>
                <w:sz w:val="20"/>
                <w:szCs w:val="20"/>
              </w:rPr>
            </w:pPr>
            <w:r>
              <w:rPr>
                <w:bCs/>
                <w:color w:val="auto"/>
                <w:sz w:val="20"/>
                <w:szCs w:val="20"/>
              </w:rPr>
              <w:t>$</w:t>
            </w:r>
            <w:r w:rsidR="0039753C">
              <w:rPr>
                <w:bCs/>
                <w:color w:val="auto"/>
                <w:sz w:val="20"/>
                <w:szCs w:val="20"/>
              </w:rPr>
              <w:t>381,200</w:t>
            </w:r>
          </w:p>
        </w:tc>
      </w:tr>
      <w:tr w:rsidR="00D55B4F" w:rsidRPr="00DD56FE" w14:paraId="699936F2" w14:textId="77777777" w:rsidTr="00E03FE2">
        <w:tc>
          <w:tcPr>
            <w:tcW w:w="9073" w:type="dxa"/>
            <w:gridSpan w:val="4"/>
            <w:tcBorders>
              <w:left w:val="single" w:sz="8" w:space="0" w:color="4F81BD"/>
              <w:right w:val="single" w:sz="8" w:space="0" w:color="4F81BD"/>
            </w:tcBorders>
            <w:shd w:val="clear" w:color="auto" w:fill="F2F2F2" w:themeFill="background1" w:themeFillShade="F2"/>
          </w:tcPr>
          <w:p w14:paraId="646EBDF2" w14:textId="4C389422" w:rsidR="00D55B4F" w:rsidRPr="00DD56FE" w:rsidRDefault="00D55B4F" w:rsidP="00D55B4F">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Victoria for Year 1</w:t>
            </w:r>
            <w:r w:rsidRPr="00DD56FE">
              <w:rPr>
                <w:bCs/>
                <w:i/>
                <w:iCs w:val="0"/>
                <w:color w:val="auto"/>
                <w:sz w:val="20"/>
                <w:szCs w:val="20"/>
              </w:rPr>
              <w:t xml:space="preserve"> if all KPIs are met</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79E029" w14:textId="507BEC21" w:rsidR="00D55B4F" w:rsidRPr="00DD56FE" w:rsidRDefault="00D55B4F" w:rsidP="00D55B4F">
            <w:pPr>
              <w:pStyle w:val="Tableformat"/>
              <w:rPr>
                <w:bCs/>
                <w:color w:val="auto"/>
                <w:sz w:val="20"/>
                <w:szCs w:val="20"/>
              </w:rPr>
            </w:pPr>
            <w:r w:rsidRPr="00DD56FE">
              <w:rPr>
                <w:bCs/>
                <w:color w:val="auto"/>
                <w:sz w:val="20"/>
                <w:szCs w:val="20"/>
              </w:rPr>
              <w:t>$</w:t>
            </w:r>
            <w:r>
              <w:rPr>
                <w:bCs/>
                <w:color w:val="auto"/>
                <w:sz w:val="20"/>
                <w:szCs w:val="20"/>
              </w:rPr>
              <w:t>6,380,000</w:t>
            </w:r>
          </w:p>
        </w:tc>
      </w:tr>
    </w:tbl>
    <w:p w14:paraId="132514C2" w14:textId="77777777" w:rsidR="00110BF6" w:rsidRPr="00B85A53" w:rsidRDefault="00110BF6" w:rsidP="006F3A9B">
      <w:pPr>
        <w:pStyle w:val="Tableformat"/>
        <w:tabs>
          <w:tab w:val="left" w:pos="6043"/>
        </w:tabs>
        <w:rPr>
          <w:b/>
          <w:color w:val="auto"/>
        </w:rPr>
      </w:pPr>
    </w:p>
    <w:p w14:paraId="017611E5" w14:textId="77777777" w:rsidR="003D57EA" w:rsidRDefault="003D57EA">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544"/>
        <w:gridCol w:w="1418"/>
        <w:gridCol w:w="1134"/>
      </w:tblGrid>
      <w:tr w:rsidR="00110BF6" w:rsidRPr="00B85A53" w14:paraId="65969014" w14:textId="77777777" w:rsidTr="000802A2">
        <w:tc>
          <w:tcPr>
            <w:tcW w:w="10207" w:type="dxa"/>
            <w:gridSpan w:val="5"/>
            <w:shd w:val="clear" w:color="auto" w:fill="DEEAF6" w:themeFill="accent1" w:themeFillTint="33"/>
          </w:tcPr>
          <w:p w14:paraId="3409588B" w14:textId="323DA1D4" w:rsidR="00110BF6" w:rsidRPr="00B85A53" w:rsidRDefault="00110BF6" w:rsidP="006F3A9B">
            <w:pPr>
              <w:pStyle w:val="Tableformat"/>
              <w:tabs>
                <w:tab w:val="left" w:pos="6043"/>
              </w:tabs>
              <w:rPr>
                <w:b/>
                <w:color w:val="auto"/>
              </w:rPr>
            </w:pPr>
            <w:r w:rsidRPr="00B85A53">
              <w:rPr>
                <w:b/>
                <w:color w:val="auto"/>
              </w:rPr>
              <w:t>Table 2B: Victoria – Performance requirements, reporting and payment summary</w:t>
            </w:r>
          </w:p>
        </w:tc>
      </w:tr>
      <w:tr w:rsidR="00EB7EC2" w:rsidRPr="00F00A18" w14:paraId="04BD9D53" w14:textId="77777777" w:rsidTr="000802A2">
        <w:tc>
          <w:tcPr>
            <w:tcW w:w="10207" w:type="dxa"/>
            <w:gridSpan w:val="5"/>
            <w:shd w:val="clear" w:color="auto" w:fill="DEEAF6" w:themeFill="accent1" w:themeFillTint="33"/>
          </w:tcPr>
          <w:p w14:paraId="6544354C" w14:textId="1359C1DE" w:rsidR="00EB7EC2" w:rsidRDefault="00EB7EC2" w:rsidP="00EB7EC2">
            <w:pPr>
              <w:pStyle w:val="Tableformat"/>
              <w:tabs>
                <w:tab w:val="left" w:pos="6043"/>
              </w:tabs>
              <w:rPr>
                <w:b/>
                <w:color w:val="auto"/>
              </w:rPr>
            </w:pPr>
            <w:r>
              <w:rPr>
                <w:b/>
                <w:color w:val="auto"/>
              </w:rPr>
              <w:t>Year 2: 2022-2023</w:t>
            </w:r>
          </w:p>
        </w:tc>
      </w:tr>
      <w:tr w:rsidR="00EB7EC2" w:rsidRPr="00B85A53" w14:paraId="07826152" w14:textId="77777777" w:rsidTr="000802A2">
        <w:tc>
          <w:tcPr>
            <w:tcW w:w="1560" w:type="dxa"/>
            <w:shd w:val="clear" w:color="auto" w:fill="F2F2F2" w:themeFill="background1" w:themeFillShade="F2"/>
          </w:tcPr>
          <w:p w14:paraId="79491E2A" w14:textId="77777777" w:rsidR="00EB7EC2" w:rsidRPr="00B85A53" w:rsidRDefault="00EB7EC2" w:rsidP="00EB7EC2">
            <w:pPr>
              <w:pStyle w:val="Tableformat"/>
              <w:rPr>
                <w:b/>
                <w:color w:val="auto"/>
                <w:sz w:val="22"/>
                <w:szCs w:val="22"/>
              </w:rPr>
            </w:pPr>
            <w:r w:rsidRPr="00B85A53">
              <w:rPr>
                <w:b/>
                <w:color w:val="auto"/>
                <w:sz w:val="22"/>
                <w:szCs w:val="22"/>
              </w:rPr>
              <w:t>Output</w:t>
            </w:r>
            <w:r w:rsidRPr="00B85A53">
              <w:rPr>
                <w:b/>
                <w:color w:val="auto"/>
                <w:sz w:val="22"/>
                <w:szCs w:val="22"/>
              </w:rPr>
              <w:br/>
            </w:r>
          </w:p>
        </w:tc>
        <w:tc>
          <w:tcPr>
            <w:tcW w:w="2551" w:type="dxa"/>
            <w:shd w:val="clear" w:color="auto" w:fill="F2F2F2" w:themeFill="background1" w:themeFillShade="F2"/>
          </w:tcPr>
          <w:p w14:paraId="05172720" w14:textId="77777777" w:rsidR="00EB7EC2" w:rsidRPr="00B85A53" w:rsidRDefault="00EB7EC2" w:rsidP="00EB7EC2">
            <w:pPr>
              <w:pStyle w:val="Tableformat"/>
              <w:rPr>
                <w:b/>
                <w:color w:val="auto"/>
                <w:sz w:val="22"/>
                <w:szCs w:val="22"/>
              </w:rPr>
            </w:pPr>
            <w:r w:rsidRPr="00B85A53">
              <w:rPr>
                <w:b/>
                <w:color w:val="auto"/>
                <w:sz w:val="22"/>
                <w:szCs w:val="22"/>
              </w:rPr>
              <w:t>Performance milestones</w:t>
            </w:r>
          </w:p>
        </w:tc>
        <w:tc>
          <w:tcPr>
            <w:tcW w:w="3544" w:type="dxa"/>
            <w:shd w:val="clear" w:color="auto" w:fill="F2F2F2" w:themeFill="background1" w:themeFillShade="F2"/>
          </w:tcPr>
          <w:p w14:paraId="64449F76" w14:textId="77777777" w:rsidR="00EB7EC2" w:rsidRPr="00B85A53" w:rsidRDefault="00EB7EC2" w:rsidP="00EB7EC2">
            <w:pPr>
              <w:pStyle w:val="Tableformat"/>
              <w:rPr>
                <w:b/>
                <w:color w:val="auto"/>
                <w:sz w:val="22"/>
                <w:szCs w:val="22"/>
              </w:rPr>
            </w:pPr>
            <w:r w:rsidRPr="00B85A53">
              <w:rPr>
                <w:b/>
                <w:color w:val="auto"/>
                <w:sz w:val="22"/>
                <w:szCs w:val="22"/>
              </w:rPr>
              <w:t>Key Performance Indicators</w:t>
            </w:r>
          </w:p>
        </w:tc>
        <w:tc>
          <w:tcPr>
            <w:tcW w:w="1418" w:type="dxa"/>
            <w:shd w:val="clear" w:color="auto" w:fill="F2F2F2" w:themeFill="background1" w:themeFillShade="F2"/>
          </w:tcPr>
          <w:p w14:paraId="37A64B7B" w14:textId="77777777" w:rsidR="00EB7EC2" w:rsidRPr="00B85A53" w:rsidRDefault="00EB7EC2" w:rsidP="00EB7EC2">
            <w:pPr>
              <w:pStyle w:val="Tableformat"/>
              <w:rPr>
                <w:b/>
                <w:color w:val="auto"/>
                <w:sz w:val="22"/>
                <w:szCs w:val="22"/>
              </w:rPr>
            </w:pPr>
            <w:r w:rsidRPr="00B85A53">
              <w:rPr>
                <w:b/>
                <w:color w:val="auto"/>
                <w:sz w:val="22"/>
                <w:szCs w:val="22"/>
              </w:rPr>
              <w:t>Milestone due</w:t>
            </w:r>
          </w:p>
        </w:tc>
        <w:tc>
          <w:tcPr>
            <w:tcW w:w="1134" w:type="dxa"/>
            <w:tcBorders>
              <w:bottom w:val="single" w:sz="8" w:space="0" w:color="4F81BD"/>
            </w:tcBorders>
            <w:shd w:val="clear" w:color="auto" w:fill="F2F2F2" w:themeFill="background1" w:themeFillShade="F2"/>
          </w:tcPr>
          <w:p w14:paraId="01AA90D1" w14:textId="77777777" w:rsidR="00EB7EC2" w:rsidRPr="00B85A53" w:rsidRDefault="00EB7EC2" w:rsidP="00EB7EC2">
            <w:pPr>
              <w:pStyle w:val="Tableformat"/>
              <w:rPr>
                <w:b/>
                <w:color w:val="auto"/>
                <w:sz w:val="22"/>
                <w:szCs w:val="22"/>
              </w:rPr>
            </w:pPr>
            <w:r w:rsidRPr="00B85A53">
              <w:rPr>
                <w:b/>
                <w:color w:val="auto"/>
                <w:sz w:val="22"/>
                <w:szCs w:val="22"/>
              </w:rPr>
              <w:t>Payment</w:t>
            </w:r>
          </w:p>
        </w:tc>
      </w:tr>
      <w:tr w:rsidR="000802A2" w:rsidRPr="004C4B9D" w14:paraId="685F52AE" w14:textId="77777777" w:rsidTr="000802A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7A203F8F" w14:textId="77777777" w:rsidR="000802A2" w:rsidRPr="004C4B9D" w:rsidRDefault="000802A2" w:rsidP="006F3A9B">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42333C06" w14:textId="77777777" w:rsidR="000802A2" w:rsidRPr="004C4B9D" w:rsidRDefault="000802A2" w:rsidP="006F3A9B">
            <w:pPr>
              <w:pStyle w:val="Tableformat"/>
              <w:rPr>
                <w:bCs/>
                <w:color w:val="auto"/>
                <w:sz w:val="20"/>
                <w:szCs w:val="20"/>
              </w:rPr>
            </w:pPr>
            <w:r>
              <w:rPr>
                <w:bCs/>
                <w:color w:val="auto"/>
                <w:sz w:val="20"/>
                <w:szCs w:val="20"/>
              </w:rPr>
              <w:t xml:space="preserve">1. </w:t>
            </w:r>
            <w:r w:rsidRPr="001D7426">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4C4B9D">
              <w:rPr>
                <w:bCs/>
                <w:color w:val="auto"/>
                <w:sz w:val="20"/>
                <w:szCs w:val="20"/>
              </w:rPr>
              <w:t>.</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2927B63" w14:textId="77777777" w:rsidR="000802A2" w:rsidRPr="004C4B9D" w:rsidRDefault="000802A2" w:rsidP="006F3A9B">
            <w:pPr>
              <w:pStyle w:val="Tableformat"/>
              <w:rPr>
                <w:bCs/>
                <w:color w:val="auto"/>
                <w:sz w:val="20"/>
                <w:szCs w:val="20"/>
              </w:rPr>
            </w:pPr>
            <w:r>
              <w:rPr>
                <w:bCs/>
                <w:color w:val="auto"/>
                <w:sz w:val="20"/>
                <w:szCs w:val="20"/>
              </w:rPr>
              <w:t xml:space="preserve">1.a </w:t>
            </w:r>
            <w:r w:rsidRPr="004C4B9D">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8944A34" w14:textId="77777777" w:rsidR="000802A2" w:rsidRPr="004C4B9D" w:rsidRDefault="000802A2"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EF5A13" w14:textId="301ABDC8" w:rsidR="000802A2" w:rsidRPr="004C4B9D" w:rsidRDefault="00647965" w:rsidP="006F3A9B">
            <w:pPr>
              <w:pStyle w:val="Tableformat"/>
              <w:rPr>
                <w:bCs/>
                <w:color w:val="auto"/>
                <w:sz w:val="20"/>
                <w:szCs w:val="20"/>
              </w:rPr>
            </w:pPr>
            <w:r>
              <w:rPr>
                <w:bCs/>
                <w:color w:val="auto"/>
                <w:sz w:val="20"/>
                <w:szCs w:val="20"/>
              </w:rPr>
              <w:t>$368,080</w:t>
            </w:r>
          </w:p>
        </w:tc>
      </w:tr>
      <w:tr w:rsidR="000802A2" w:rsidRPr="004C4B9D" w14:paraId="3F2B5994" w14:textId="77777777" w:rsidTr="000802A2">
        <w:tc>
          <w:tcPr>
            <w:tcW w:w="1560" w:type="dxa"/>
            <w:vMerge/>
            <w:tcBorders>
              <w:left w:val="single" w:sz="8" w:space="0" w:color="4F81BD"/>
              <w:right w:val="single" w:sz="8" w:space="0" w:color="4F81BD"/>
            </w:tcBorders>
            <w:shd w:val="clear" w:color="auto" w:fill="F2F2F2" w:themeFill="background1" w:themeFillShade="F2"/>
          </w:tcPr>
          <w:p w14:paraId="2BF3DDDD" w14:textId="77777777" w:rsidR="000802A2" w:rsidRPr="004C4B9D" w:rsidRDefault="000802A2" w:rsidP="006F3A9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45933C67" w14:textId="77777777" w:rsidR="000802A2" w:rsidRPr="004C4B9D" w:rsidRDefault="000802A2" w:rsidP="006F3A9B">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812272" w14:textId="72406AAB" w:rsidR="000802A2" w:rsidRPr="004C4B9D" w:rsidRDefault="000802A2" w:rsidP="006F3A9B">
            <w:pPr>
              <w:pStyle w:val="Tableformat"/>
              <w:rPr>
                <w:bCs/>
                <w:color w:val="auto"/>
                <w:sz w:val="20"/>
                <w:szCs w:val="20"/>
              </w:rPr>
            </w:pPr>
            <w:r w:rsidRPr="00627469">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627469">
              <w:rPr>
                <w:bCs/>
                <w:color w:val="auto"/>
                <w:sz w:val="20"/>
                <w:szCs w:val="20"/>
              </w:rPr>
              <w:t xml:space="preserve"> using the Ministerial Council stocktake as a starting point. Business case applications will include socio-economic analysis and proposals for transfer of water entitlements</w:t>
            </w:r>
            <w:r w:rsidRPr="001D7426">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133FE3" w14:textId="77777777" w:rsidR="000802A2" w:rsidRPr="004C4B9D" w:rsidRDefault="000802A2"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86C474" w14:textId="0C6EE6D9" w:rsidR="000802A2" w:rsidRPr="004C4B9D" w:rsidRDefault="000802A2" w:rsidP="006F3A9B">
            <w:pPr>
              <w:pStyle w:val="Tableformat"/>
              <w:rPr>
                <w:bCs/>
                <w:color w:val="auto"/>
                <w:sz w:val="20"/>
                <w:szCs w:val="20"/>
              </w:rPr>
            </w:pPr>
            <w:r>
              <w:rPr>
                <w:bCs/>
                <w:color w:val="auto"/>
                <w:sz w:val="20"/>
                <w:szCs w:val="20"/>
              </w:rPr>
              <w:t>$</w:t>
            </w:r>
            <w:r w:rsidR="00647965">
              <w:rPr>
                <w:bCs/>
                <w:color w:val="auto"/>
                <w:sz w:val="20"/>
                <w:szCs w:val="20"/>
              </w:rPr>
              <w:t>368,080</w:t>
            </w:r>
          </w:p>
        </w:tc>
      </w:tr>
      <w:tr w:rsidR="000802A2" w:rsidRPr="004C4B9D" w14:paraId="4C253B43" w14:textId="77777777" w:rsidTr="000802A2">
        <w:tc>
          <w:tcPr>
            <w:tcW w:w="1560" w:type="dxa"/>
            <w:vMerge/>
            <w:tcBorders>
              <w:left w:val="single" w:sz="8" w:space="0" w:color="4F81BD"/>
              <w:right w:val="single" w:sz="8" w:space="0" w:color="4F81BD"/>
            </w:tcBorders>
            <w:shd w:val="clear" w:color="auto" w:fill="F2F2F2" w:themeFill="background1" w:themeFillShade="F2"/>
          </w:tcPr>
          <w:p w14:paraId="0284689A" w14:textId="77777777" w:rsidR="000802A2" w:rsidRPr="004C4B9D" w:rsidRDefault="000802A2" w:rsidP="006F3A9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CAD836F" w14:textId="77777777" w:rsidR="000802A2" w:rsidRPr="004C4B9D" w:rsidRDefault="000802A2" w:rsidP="006F3A9B">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98089A" w14:textId="39571E9A" w:rsidR="000802A2" w:rsidRPr="004C4B9D" w:rsidRDefault="000802A2" w:rsidP="00C55BC1">
            <w:pPr>
              <w:pStyle w:val="Tableformat"/>
              <w:rPr>
                <w:bCs/>
                <w:color w:val="auto"/>
                <w:sz w:val="20"/>
                <w:szCs w:val="20"/>
              </w:rPr>
            </w:pPr>
            <w:r w:rsidRPr="00627469">
              <w:rPr>
                <w:bCs/>
                <w:color w:val="auto"/>
                <w:sz w:val="20"/>
                <w:szCs w:val="20"/>
              </w:rPr>
              <w:t>1.</w:t>
            </w:r>
            <w:r w:rsidR="00C3010B">
              <w:rPr>
                <w:bCs/>
                <w:color w:val="auto"/>
                <w:sz w:val="20"/>
                <w:szCs w:val="20"/>
              </w:rPr>
              <w:t>c</w:t>
            </w:r>
            <w:r w:rsidR="00C3010B" w:rsidRPr="00627469">
              <w:rPr>
                <w:bCs/>
                <w:color w:val="auto"/>
                <w:sz w:val="20"/>
                <w:szCs w:val="20"/>
              </w:rPr>
              <w:t xml:space="preserve"> </w:t>
            </w:r>
            <w:r w:rsidRPr="00627469">
              <w:rPr>
                <w:bCs/>
                <w:color w:val="auto"/>
                <w:sz w:val="20"/>
                <w:szCs w:val="20"/>
              </w:rPr>
              <w:t>Report to the Commonwealth on progress towards bridging-the-gap by June 2022</w:t>
            </w:r>
            <w:r w:rsidRPr="004C4B9D">
              <w:rPr>
                <w:bCs/>
                <w:color w:val="auto"/>
                <w:sz w:val="20"/>
                <w:szCs w:val="20"/>
              </w:rPr>
              <w:t xml:space="preserv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8ECD2B" w14:textId="77777777" w:rsidR="000802A2" w:rsidRPr="004C4B9D" w:rsidRDefault="000802A2"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61C091" w14:textId="560BFABA" w:rsidR="000802A2" w:rsidRPr="004C4B9D" w:rsidRDefault="00647965" w:rsidP="006F3A9B">
            <w:pPr>
              <w:pStyle w:val="Tableformat"/>
              <w:rPr>
                <w:bCs/>
                <w:color w:val="auto"/>
                <w:sz w:val="20"/>
                <w:szCs w:val="20"/>
              </w:rPr>
            </w:pPr>
            <w:r>
              <w:rPr>
                <w:bCs/>
                <w:color w:val="auto"/>
                <w:sz w:val="20"/>
                <w:szCs w:val="20"/>
              </w:rPr>
              <w:t>$368,080</w:t>
            </w:r>
          </w:p>
        </w:tc>
      </w:tr>
      <w:tr w:rsidR="000802A2" w:rsidRPr="004C4B9D" w14:paraId="026C54D4" w14:textId="77777777" w:rsidTr="000802A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4B5F6935" w14:textId="77777777" w:rsidR="000802A2" w:rsidRPr="004C4B9D" w:rsidRDefault="000802A2" w:rsidP="006F3A9B">
            <w:pPr>
              <w:pStyle w:val="Tableformat"/>
              <w:rPr>
                <w:bCs/>
                <w:color w:val="auto"/>
                <w:sz w:val="20"/>
                <w:szCs w:val="20"/>
              </w:rPr>
            </w:pPr>
            <w:r w:rsidRPr="004C4B9D">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53F75D" w14:textId="5E3DC120" w:rsidR="000802A2" w:rsidRPr="004C4B9D" w:rsidRDefault="00C3010B" w:rsidP="006F3A9B">
            <w:pPr>
              <w:pStyle w:val="Tableformat"/>
              <w:rPr>
                <w:bCs/>
                <w:color w:val="auto"/>
                <w:sz w:val="20"/>
                <w:szCs w:val="20"/>
              </w:rPr>
            </w:pPr>
            <w:r>
              <w:rPr>
                <w:bCs/>
                <w:color w:val="auto"/>
                <w:sz w:val="20"/>
                <w:szCs w:val="20"/>
              </w:rPr>
              <w:t>2</w:t>
            </w:r>
            <w:r w:rsidR="000802A2">
              <w:rPr>
                <w:bCs/>
                <w:color w:val="auto"/>
                <w:sz w:val="20"/>
                <w:szCs w:val="20"/>
              </w:rPr>
              <w:t xml:space="preserve">. </w:t>
            </w:r>
            <w:r w:rsidR="000802A2" w:rsidRPr="004C4B9D">
              <w:rPr>
                <w:bCs/>
                <w:color w:val="auto"/>
                <w:sz w:val="20"/>
                <w:szCs w:val="20"/>
              </w:rPr>
              <w:t>Deliver an agreed Basin-wide Environmental Water Protection Strategy and Implementation Plan.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456DD8" w14:textId="4048640A" w:rsidR="000802A2" w:rsidRPr="004C4B9D" w:rsidRDefault="00C3010B" w:rsidP="00C55BC1">
            <w:pPr>
              <w:pStyle w:val="Tableformat"/>
              <w:rPr>
                <w:bCs/>
                <w:color w:val="auto"/>
                <w:sz w:val="20"/>
                <w:szCs w:val="20"/>
              </w:rPr>
            </w:pPr>
            <w:r>
              <w:rPr>
                <w:bCs/>
                <w:color w:val="auto"/>
                <w:sz w:val="20"/>
                <w:szCs w:val="20"/>
              </w:rPr>
              <w:t>2</w:t>
            </w:r>
            <w:r w:rsidR="000802A2" w:rsidRPr="00627469">
              <w:rPr>
                <w:bCs/>
                <w:color w:val="auto"/>
                <w:sz w:val="20"/>
                <w:szCs w:val="20"/>
              </w:rPr>
              <w:t>.</w:t>
            </w:r>
            <w:r>
              <w:rPr>
                <w:bCs/>
                <w:color w:val="auto"/>
                <w:sz w:val="20"/>
                <w:szCs w:val="20"/>
              </w:rPr>
              <w:t>a</w:t>
            </w:r>
            <w:r w:rsidRPr="00627469">
              <w:rPr>
                <w:bCs/>
                <w:color w:val="auto"/>
                <w:sz w:val="20"/>
                <w:szCs w:val="20"/>
              </w:rPr>
              <w:t xml:space="preserve"> </w:t>
            </w:r>
            <w:r w:rsidR="000802A2" w:rsidRPr="00627469">
              <w:rPr>
                <w:bCs/>
                <w:color w:val="auto"/>
                <w:sz w:val="20"/>
                <w:szCs w:val="20"/>
              </w:rPr>
              <w:t xml:space="preserve">Deliver and implement the agreed </w:t>
            </w:r>
            <w:r w:rsidR="007C3B81" w:rsidRPr="00627469">
              <w:rPr>
                <w:bCs/>
                <w:color w:val="auto"/>
                <w:sz w:val="20"/>
                <w:szCs w:val="20"/>
              </w:rPr>
              <w:t>work plan</w:t>
            </w:r>
            <w:r w:rsidR="000802A2" w:rsidRPr="00627469">
              <w:rPr>
                <w:bCs/>
                <w:color w:val="auto"/>
                <w:sz w:val="20"/>
                <w:szCs w:val="20"/>
              </w:rPr>
              <w:t xml:space="preserve"> of the priority collaborative activities of the Environmental Water Protection Strategy, where relevant to the jurisdiction</w:t>
            </w:r>
            <w:r w:rsidR="000802A2"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93E71D" w14:textId="77777777" w:rsidR="000802A2" w:rsidRPr="004C4B9D" w:rsidRDefault="000802A2"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160FE2" w14:textId="3432B0EB" w:rsidR="000802A2" w:rsidRPr="004C4B9D" w:rsidRDefault="000802A2" w:rsidP="00B157D2">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6E1C542F" w14:textId="77777777" w:rsidTr="000802A2">
        <w:tc>
          <w:tcPr>
            <w:tcW w:w="1560" w:type="dxa"/>
            <w:vMerge/>
            <w:tcBorders>
              <w:left w:val="single" w:sz="8" w:space="0" w:color="4F81BD"/>
              <w:right w:val="single" w:sz="8" w:space="0" w:color="4F81BD"/>
            </w:tcBorders>
            <w:shd w:val="clear" w:color="auto" w:fill="F2F2F2" w:themeFill="background1" w:themeFillShade="F2"/>
          </w:tcPr>
          <w:p w14:paraId="10FF0915" w14:textId="77777777" w:rsidR="00647965" w:rsidRPr="004C4B9D" w:rsidRDefault="00647965" w:rsidP="00647965">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30C29B9" w14:textId="17BA06AF" w:rsidR="00647965" w:rsidRPr="004C4B9D" w:rsidRDefault="00C3010B" w:rsidP="00647965">
            <w:pPr>
              <w:pStyle w:val="Tableformat"/>
              <w:rPr>
                <w:bCs/>
                <w:color w:val="auto"/>
                <w:sz w:val="20"/>
                <w:szCs w:val="20"/>
              </w:rPr>
            </w:pPr>
            <w:r>
              <w:rPr>
                <w:bCs/>
                <w:color w:val="auto"/>
                <w:sz w:val="20"/>
                <w:szCs w:val="20"/>
              </w:rPr>
              <w:t>3</w:t>
            </w:r>
            <w:r w:rsidR="00647965">
              <w:rPr>
                <w:bCs/>
                <w:color w:val="auto"/>
                <w:sz w:val="20"/>
                <w:szCs w:val="20"/>
              </w:rPr>
              <w:t xml:space="preserve">. </w:t>
            </w:r>
            <w:r w:rsidR="00647965" w:rsidRPr="004C4B9D">
              <w:rPr>
                <w:bCs/>
                <w:color w:val="auto"/>
                <w:sz w:val="20"/>
                <w:szCs w:val="20"/>
              </w:rPr>
              <w:t xml:space="preserve">Improve environmental watering plans and strategies, including by updating Long-Term Watering Plans (LTWPs) within agreed timeframes.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4A96671" w14:textId="3122904B" w:rsidR="00647965" w:rsidRPr="004C4B9D" w:rsidRDefault="00C3010B" w:rsidP="00647965">
            <w:pPr>
              <w:pStyle w:val="Tableformat"/>
              <w:rPr>
                <w:bCs/>
                <w:color w:val="auto"/>
                <w:sz w:val="20"/>
                <w:szCs w:val="20"/>
              </w:rPr>
            </w:pPr>
            <w:r>
              <w:rPr>
                <w:bCs/>
                <w:color w:val="auto"/>
                <w:sz w:val="20"/>
                <w:szCs w:val="20"/>
              </w:rPr>
              <w:t>3</w:t>
            </w:r>
            <w:r w:rsidR="00647965" w:rsidRPr="008224F9">
              <w:rPr>
                <w:bCs/>
                <w:color w:val="auto"/>
                <w:sz w:val="20"/>
                <w:szCs w:val="20"/>
              </w:rPr>
              <w:t xml:space="preserve">.a Engage with </w:t>
            </w:r>
            <w:r w:rsidR="00795920">
              <w:rPr>
                <w:bCs/>
                <w:color w:val="auto"/>
                <w:sz w:val="20"/>
                <w:szCs w:val="20"/>
              </w:rPr>
              <w:t>all stakeholders</w:t>
            </w:r>
            <w:r w:rsidR="00647965" w:rsidRPr="008224F9">
              <w:rPr>
                <w:bCs/>
                <w:color w:val="auto"/>
                <w:sz w:val="20"/>
                <w:szCs w:val="20"/>
              </w:rPr>
              <w:t>, in the development of annual environmental water plans or priorities; and in the implementation, review and update of LTWPs, where relevant to the jurisdiction</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1CBB46D"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D575FD" w14:textId="16065076"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03713299" w14:textId="77777777" w:rsidTr="000802A2">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4FD670C8" w14:textId="77777777" w:rsidR="00647965" w:rsidRPr="004C4B9D" w:rsidRDefault="00647965" w:rsidP="00647965">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70B17D19" w14:textId="77777777" w:rsidR="00647965" w:rsidRPr="004C4B9D"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4191D1E" w14:textId="0B496FB9" w:rsidR="00647965" w:rsidRPr="004C4B9D" w:rsidRDefault="00C3010B" w:rsidP="00647965">
            <w:pPr>
              <w:pStyle w:val="Tableformat"/>
              <w:rPr>
                <w:bCs/>
                <w:color w:val="auto"/>
                <w:sz w:val="20"/>
                <w:szCs w:val="20"/>
              </w:rPr>
            </w:pPr>
            <w:r>
              <w:rPr>
                <w:bCs/>
                <w:color w:val="auto"/>
                <w:sz w:val="20"/>
                <w:szCs w:val="20"/>
              </w:rPr>
              <w:t>3</w:t>
            </w:r>
            <w:r w:rsidR="00647965" w:rsidRPr="008224F9">
              <w:rPr>
                <w:bCs/>
                <w:color w:val="auto"/>
                <w:sz w:val="20"/>
                <w:szCs w:val="20"/>
              </w:rPr>
              <w:t>.b Provide input to third edition of the Basin-wide Environmental Watering Strategy, including input on climate adaptation approaches and techniques</w:t>
            </w:r>
            <w:r w:rsidR="00647965" w:rsidRPr="004C4B9D">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7EFD9D"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D43139" w14:textId="1B4FD02B"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5F79D7A4" w14:textId="77777777" w:rsidTr="000802A2">
        <w:tc>
          <w:tcPr>
            <w:tcW w:w="1560" w:type="dxa"/>
            <w:vMerge w:val="restart"/>
            <w:tcBorders>
              <w:left w:val="single" w:sz="8" w:space="0" w:color="4F81BD"/>
              <w:right w:val="single" w:sz="8" w:space="0" w:color="4F81BD"/>
            </w:tcBorders>
            <w:shd w:val="clear" w:color="auto" w:fill="F2F2F2" w:themeFill="background1" w:themeFillShade="F2"/>
          </w:tcPr>
          <w:p w14:paraId="28AED7B9" w14:textId="77777777" w:rsidR="00647965" w:rsidRPr="004C4B9D" w:rsidRDefault="00647965" w:rsidP="00647965">
            <w:pPr>
              <w:pStyle w:val="Tableformat"/>
              <w:rPr>
                <w:bCs/>
                <w:color w:val="auto"/>
                <w:sz w:val="20"/>
                <w:szCs w:val="20"/>
              </w:rPr>
            </w:pPr>
            <w:r w:rsidRPr="004C4B9D">
              <w:rPr>
                <w:bCs/>
                <w:color w:val="auto"/>
                <w:sz w:val="20"/>
                <w:szCs w:val="20"/>
              </w:rPr>
              <w:t>Implementation of the Basin Plan</w:t>
            </w:r>
          </w:p>
        </w:tc>
        <w:tc>
          <w:tcPr>
            <w:tcW w:w="2551" w:type="dxa"/>
            <w:vMerge w:val="restart"/>
            <w:tcBorders>
              <w:left w:val="single" w:sz="8" w:space="0" w:color="4F81BD"/>
              <w:right w:val="single" w:sz="8" w:space="0" w:color="4F81BD"/>
            </w:tcBorders>
            <w:shd w:val="clear" w:color="auto" w:fill="F2F2F2" w:themeFill="background1" w:themeFillShade="F2"/>
          </w:tcPr>
          <w:p w14:paraId="56969A44" w14:textId="5FF1D1CB" w:rsidR="00647965" w:rsidRPr="004C4B9D" w:rsidRDefault="00C3010B" w:rsidP="00647965">
            <w:pPr>
              <w:pStyle w:val="Tableformat"/>
              <w:rPr>
                <w:bCs/>
                <w:color w:val="auto"/>
                <w:sz w:val="20"/>
                <w:szCs w:val="20"/>
              </w:rPr>
            </w:pPr>
            <w:r>
              <w:rPr>
                <w:bCs/>
                <w:color w:val="auto"/>
                <w:sz w:val="20"/>
                <w:szCs w:val="20"/>
              </w:rPr>
              <w:t>4</w:t>
            </w:r>
            <w:r w:rsidR="00647965">
              <w:rPr>
                <w:bCs/>
                <w:color w:val="auto"/>
                <w:sz w:val="20"/>
                <w:szCs w:val="20"/>
              </w:rPr>
              <w:t xml:space="preserve">. </w:t>
            </w:r>
            <w:r w:rsidR="00647965" w:rsidRPr="004C4B9D">
              <w:rPr>
                <w:bCs/>
                <w:color w:val="auto"/>
                <w:sz w:val="20"/>
                <w:szCs w:val="20"/>
              </w:rPr>
              <w:t>Implement the SDLAM program, where not funded under other agreements</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A8F62C" w14:textId="5B0A4039" w:rsidR="00647965" w:rsidRPr="008224F9" w:rsidRDefault="00C3010B" w:rsidP="00647965">
            <w:pPr>
              <w:pStyle w:val="Tableformat"/>
              <w:rPr>
                <w:bCs/>
                <w:color w:val="auto"/>
                <w:sz w:val="20"/>
                <w:szCs w:val="20"/>
              </w:rPr>
            </w:pPr>
            <w:r>
              <w:rPr>
                <w:bCs/>
                <w:color w:val="auto"/>
                <w:sz w:val="20"/>
                <w:szCs w:val="20"/>
              </w:rPr>
              <w:t>4</w:t>
            </w:r>
            <w:r w:rsidR="00647965" w:rsidRPr="008224F9">
              <w:rPr>
                <w:bCs/>
                <w:color w:val="auto"/>
                <w:sz w:val="20"/>
                <w:szCs w:val="20"/>
              </w:rPr>
              <w:t>.a Actively work with the Commonwealth to optimise and address risks to SDLAM program outcomes, including:</w:t>
            </w:r>
          </w:p>
          <w:p w14:paraId="6EF8DD28" w14:textId="77777777" w:rsidR="00647965" w:rsidRPr="008224F9" w:rsidRDefault="00647965" w:rsidP="00647965">
            <w:pPr>
              <w:pStyle w:val="Tableformat"/>
              <w:rPr>
                <w:bCs/>
                <w:color w:val="auto"/>
                <w:sz w:val="20"/>
                <w:szCs w:val="20"/>
              </w:rPr>
            </w:pPr>
            <w:r w:rsidRPr="008224F9">
              <w:rPr>
                <w:bCs/>
                <w:color w:val="auto"/>
                <w:sz w:val="20"/>
                <w:szCs w:val="20"/>
              </w:rPr>
              <w:t>- the establishment of a process to formally amend project scope</w:t>
            </w:r>
          </w:p>
          <w:p w14:paraId="5C494C4E" w14:textId="77777777" w:rsidR="00647965" w:rsidRPr="008224F9" w:rsidRDefault="00647965" w:rsidP="00647965">
            <w:pPr>
              <w:pStyle w:val="Tableformat"/>
              <w:rPr>
                <w:bCs/>
                <w:color w:val="auto"/>
                <w:sz w:val="20"/>
                <w:szCs w:val="20"/>
              </w:rPr>
            </w:pPr>
            <w:r w:rsidRPr="008224F9">
              <w:rPr>
                <w:bCs/>
                <w:color w:val="auto"/>
                <w:sz w:val="20"/>
                <w:szCs w:val="20"/>
              </w:rPr>
              <w:t>- resolution of critical policy issues to enable agreement to Stage 2 funding arrangements</w:t>
            </w:r>
          </w:p>
          <w:p w14:paraId="03012115" w14:textId="77777777" w:rsidR="00647965" w:rsidRPr="008224F9" w:rsidRDefault="00647965" w:rsidP="00647965">
            <w:pPr>
              <w:pStyle w:val="Tableformat"/>
              <w:rPr>
                <w:bCs/>
                <w:color w:val="auto"/>
                <w:sz w:val="20"/>
                <w:szCs w:val="20"/>
              </w:rPr>
            </w:pPr>
            <w:r w:rsidRPr="008224F9">
              <w:rPr>
                <w:bCs/>
                <w:color w:val="auto"/>
                <w:sz w:val="20"/>
                <w:szCs w:val="20"/>
              </w:rPr>
              <w:t>- fast-tracking relevant projects</w:t>
            </w:r>
          </w:p>
          <w:p w14:paraId="5D5EE6D0" w14:textId="77777777" w:rsidR="00647965" w:rsidRPr="004C4B9D" w:rsidRDefault="00647965" w:rsidP="00647965">
            <w:pPr>
              <w:pStyle w:val="Tableformat"/>
              <w:rPr>
                <w:bCs/>
                <w:color w:val="auto"/>
                <w:sz w:val="20"/>
                <w:szCs w:val="20"/>
              </w:rPr>
            </w:pPr>
            <w:r w:rsidRPr="008224F9">
              <w:rPr>
                <w:bCs/>
                <w:color w:val="auto"/>
                <w:sz w:val="20"/>
                <w:szCs w:val="20"/>
              </w:rPr>
              <w:t>- investigating the potential for existing, enhanced projects to contribute to Basin Plan outcomes</w:t>
            </w:r>
            <w:r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C99EA5"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D7EBB1" w14:textId="334E9EA1"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3005EB15" w14:textId="77777777" w:rsidTr="000802A2">
        <w:tc>
          <w:tcPr>
            <w:tcW w:w="1560" w:type="dxa"/>
            <w:vMerge/>
            <w:tcBorders>
              <w:left w:val="single" w:sz="8" w:space="0" w:color="4F81BD"/>
              <w:right w:val="single" w:sz="8" w:space="0" w:color="4F81BD"/>
            </w:tcBorders>
            <w:shd w:val="clear" w:color="auto" w:fill="F2F2F2" w:themeFill="background1" w:themeFillShade="F2"/>
          </w:tcPr>
          <w:p w14:paraId="60528F9C" w14:textId="77777777" w:rsidR="00647965" w:rsidRPr="004C4B9D" w:rsidRDefault="00647965" w:rsidP="00647965">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5A5C3620" w14:textId="77777777" w:rsidR="00647965" w:rsidRPr="004C4B9D"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955D64" w14:textId="6A284ABF" w:rsidR="00647965" w:rsidRPr="004C4B9D" w:rsidRDefault="00C3010B" w:rsidP="00647965">
            <w:pPr>
              <w:pStyle w:val="Tableformat"/>
              <w:rPr>
                <w:bCs/>
                <w:color w:val="auto"/>
                <w:sz w:val="20"/>
                <w:szCs w:val="20"/>
              </w:rPr>
            </w:pPr>
            <w:r>
              <w:rPr>
                <w:bCs/>
                <w:color w:val="auto"/>
                <w:sz w:val="20"/>
                <w:szCs w:val="20"/>
              </w:rPr>
              <w:t>4</w:t>
            </w:r>
            <w:r w:rsidR="00647965" w:rsidRPr="008224F9">
              <w:rPr>
                <w:bCs/>
                <w:color w:val="auto"/>
                <w:sz w:val="20"/>
                <w:szCs w:val="20"/>
              </w:rPr>
              <w:t>.b Identify, develop and progress required changes to the River Murray Operations Framework and Murray-Darling Basin Agreement. Any changes are to be agreed by all jurisdictions</w:t>
            </w:r>
            <w:r w:rsidR="00647965" w:rsidRPr="004C4B9D">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2C9127"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C97E7A" w14:textId="26C86D6F"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327E4A46" w14:textId="77777777" w:rsidTr="000802A2">
        <w:tc>
          <w:tcPr>
            <w:tcW w:w="1560" w:type="dxa"/>
            <w:vMerge/>
            <w:tcBorders>
              <w:left w:val="single" w:sz="8" w:space="0" w:color="4F81BD"/>
              <w:right w:val="single" w:sz="8" w:space="0" w:color="4F81BD"/>
            </w:tcBorders>
            <w:shd w:val="clear" w:color="auto" w:fill="F2F2F2" w:themeFill="background1" w:themeFillShade="F2"/>
          </w:tcPr>
          <w:p w14:paraId="6E185985" w14:textId="77777777" w:rsidR="00647965" w:rsidRPr="004C4B9D" w:rsidRDefault="00647965" w:rsidP="00647965">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372F3BCD" w14:textId="77777777" w:rsidR="00647965" w:rsidRPr="004C4B9D"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16044F" w14:textId="5BD3DF67" w:rsidR="00647965" w:rsidRPr="004C4B9D" w:rsidRDefault="00C3010B" w:rsidP="00CE09D3">
            <w:pPr>
              <w:pStyle w:val="Tableformat"/>
              <w:rPr>
                <w:bCs/>
                <w:color w:val="auto"/>
                <w:sz w:val="20"/>
                <w:szCs w:val="20"/>
              </w:rPr>
            </w:pPr>
            <w:r>
              <w:rPr>
                <w:bCs/>
                <w:color w:val="auto"/>
                <w:sz w:val="20"/>
                <w:szCs w:val="20"/>
              </w:rPr>
              <w:t>4</w:t>
            </w:r>
            <w:r w:rsidR="00647965" w:rsidRPr="008224F9">
              <w:rPr>
                <w:bCs/>
                <w:color w:val="auto"/>
                <w:sz w:val="20"/>
                <w:szCs w:val="20"/>
              </w:rPr>
              <w:t>.</w:t>
            </w:r>
            <w:r w:rsidR="00CE09D3">
              <w:rPr>
                <w:bCs/>
                <w:color w:val="auto"/>
                <w:sz w:val="20"/>
                <w:szCs w:val="20"/>
              </w:rPr>
              <w:t>c</w:t>
            </w:r>
            <w:r w:rsidR="00647965" w:rsidRPr="008224F9">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B02690"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C43050" w14:textId="139A82D9"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3DECE4A6" w14:textId="77777777" w:rsidTr="000802A2">
        <w:tc>
          <w:tcPr>
            <w:tcW w:w="1560" w:type="dxa"/>
            <w:vMerge/>
            <w:tcBorders>
              <w:left w:val="single" w:sz="8" w:space="0" w:color="4F81BD"/>
              <w:right w:val="single" w:sz="8" w:space="0" w:color="4F81BD"/>
            </w:tcBorders>
            <w:shd w:val="clear" w:color="auto" w:fill="F2F2F2" w:themeFill="background1" w:themeFillShade="F2"/>
          </w:tcPr>
          <w:p w14:paraId="0283F62C" w14:textId="77777777" w:rsidR="00647965" w:rsidRPr="004C4B9D" w:rsidRDefault="00647965" w:rsidP="00647965">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1B8797A1" w14:textId="25878DB8" w:rsidR="00647965" w:rsidRPr="004C4B9D" w:rsidRDefault="00C3010B" w:rsidP="00647965">
            <w:pPr>
              <w:pStyle w:val="Tableformat"/>
              <w:rPr>
                <w:bCs/>
                <w:color w:val="auto"/>
                <w:sz w:val="20"/>
                <w:szCs w:val="20"/>
              </w:rPr>
            </w:pPr>
            <w:r>
              <w:rPr>
                <w:bCs/>
                <w:color w:val="auto"/>
                <w:sz w:val="20"/>
                <w:szCs w:val="20"/>
              </w:rPr>
              <w:t>5</w:t>
            </w:r>
            <w:r w:rsidR="00647965" w:rsidRPr="008224F9">
              <w:rPr>
                <w:bCs/>
                <w:color w:val="auto"/>
                <w:sz w:val="20"/>
                <w:szCs w:val="20"/>
              </w:rPr>
              <w:t xml:space="preserve">. Contribute to delivery of the MDBA-led SDL Accounting Framework Improvement Strategy 2020-25 </w:t>
            </w:r>
            <w:r w:rsidR="007C3B81" w:rsidRPr="008224F9">
              <w:rPr>
                <w:bCs/>
                <w:color w:val="auto"/>
                <w:sz w:val="20"/>
                <w:szCs w:val="20"/>
              </w:rPr>
              <w:t>work plan</w:t>
            </w:r>
            <w:r w:rsidR="00647965" w:rsidRPr="008224F9">
              <w:rPr>
                <w:bCs/>
                <w:color w:val="auto"/>
                <w:sz w:val="20"/>
                <w:szCs w:val="20"/>
              </w:rPr>
              <w:t>, including supplying data and quality assurance documentation.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D0C452" w14:textId="7DC9902F" w:rsidR="00647965" w:rsidRPr="004C4B9D" w:rsidRDefault="00C3010B" w:rsidP="00CE09D3">
            <w:pPr>
              <w:pStyle w:val="Tableformat"/>
              <w:rPr>
                <w:bCs/>
                <w:color w:val="auto"/>
                <w:sz w:val="20"/>
                <w:szCs w:val="20"/>
              </w:rPr>
            </w:pPr>
            <w:r>
              <w:rPr>
                <w:bCs/>
                <w:color w:val="auto"/>
                <w:sz w:val="20"/>
                <w:szCs w:val="20"/>
              </w:rPr>
              <w:t>5</w:t>
            </w:r>
            <w:r w:rsidR="00647965" w:rsidRPr="008224F9">
              <w:rPr>
                <w:bCs/>
                <w:color w:val="auto"/>
                <w:sz w:val="20"/>
                <w:szCs w:val="20"/>
              </w:rPr>
              <w:t>.</w:t>
            </w:r>
            <w:r w:rsidR="00CE09D3">
              <w:rPr>
                <w:bCs/>
                <w:color w:val="auto"/>
                <w:sz w:val="20"/>
                <w:szCs w:val="20"/>
              </w:rPr>
              <w:t>a</w:t>
            </w:r>
            <w:r w:rsidR="00647965" w:rsidRPr="008224F9">
              <w:rPr>
                <w:bCs/>
                <w:color w:val="auto"/>
                <w:sz w:val="20"/>
                <w:szCs w:val="20"/>
              </w:rPr>
              <w:t xml:space="preserve"> Implement the SDL Accounting Framework Improvement Strategy </w:t>
            </w:r>
            <w:r w:rsidR="007C3B81" w:rsidRPr="008224F9">
              <w:rPr>
                <w:bCs/>
                <w:color w:val="auto"/>
                <w:sz w:val="20"/>
                <w:szCs w:val="20"/>
              </w:rPr>
              <w:t>work plan</w:t>
            </w:r>
            <w:r w:rsidR="00647965" w:rsidRPr="008224F9">
              <w:rPr>
                <w:bCs/>
                <w:color w:val="auto"/>
                <w:sz w:val="20"/>
                <w:szCs w:val="20"/>
              </w:rPr>
              <w:t xml:space="preserve"> led by the MDBA, as relevant to the jurisdiction</w:t>
            </w:r>
            <w:r w:rsidR="00647965" w:rsidRPr="004C4B9D">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085D8C"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F9A2F3" w14:textId="0367B37B"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1DBFE8FE" w14:textId="77777777" w:rsidTr="000802A2">
        <w:tc>
          <w:tcPr>
            <w:tcW w:w="1560" w:type="dxa"/>
            <w:vMerge/>
            <w:tcBorders>
              <w:left w:val="single" w:sz="8" w:space="0" w:color="4F81BD"/>
              <w:right w:val="single" w:sz="8" w:space="0" w:color="4F81BD"/>
            </w:tcBorders>
            <w:shd w:val="clear" w:color="auto" w:fill="F2F2F2" w:themeFill="background1" w:themeFillShade="F2"/>
          </w:tcPr>
          <w:p w14:paraId="440C79C4" w14:textId="77777777" w:rsidR="00647965" w:rsidRPr="004C4B9D" w:rsidRDefault="00647965" w:rsidP="00647965">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A82D4B" w14:textId="3C5D34C6" w:rsidR="00647965" w:rsidRPr="004C4B9D" w:rsidRDefault="00C3010B" w:rsidP="00647965">
            <w:pPr>
              <w:pStyle w:val="Tableformat"/>
              <w:rPr>
                <w:bCs/>
                <w:color w:val="auto"/>
                <w:sz w:val="20"/>
                <w:szCs w:val="20"/>
              </w:rPr>
            </w:pPr>
            <w:r>
              <w:rPr>
                <w:bCs/>
                <w:color w:val="auto"/>
                <w:sz w:val="20"/>
                <w:szCs w:val="20"/>
              </w:rPr>
              <w:t>6</w:t>
            </w:r>
            <w:r w:rsidR="00647965">
              <w:rPr>
                <w:bCs/>
                <w:color w:val="auto"/>
                <w:sz w:val="20"/>
                <w:szCs w:val="20"/>
              </w:rPr>
              <w:t xml:space="preserve">. </w:t>
            </w:r>
            <w:r w:rsidR="00647965" w:rsidRPr="004C4B9D">
              <w:rPr>
                <w:bCs/>
                <w:color w:val="auto"/>
                <w:sz w:val="20"/>
                <w:szCs w:val="20"/>
              </w:rPr>
              <w:t>Ensure State water planning frameworks that are included in Water Resource Plans remain consistent with the Basin Plan.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DE6EF7" w14:textId="5EBE6785" w:rsidR="00647965" w:rsidRPr="004C4B9D" w:rsidRDefault="00C3010B" w:rsidP="00647965">
            <w:pPr>
              <w:pStyle w:val="Tableformat"/>
              <w:rPr>
                <w:bCs/>
                <w:color w:val="auto"/>
                <w:sz w:val="20"/>
                <w:szCs w:val="20"/>
              </w:rPr>
            </w:pPr>
            <w:r>
              <w:rPr>
                <w:bCs/>
                <w:color w:val="auto"/>
                <w:sz w:val="20"/>
                <w:szCs w:val="20"/>
              </w:rPr>
              <w:t>6</w:t>
            </w:r>
            <w:r w:rsidR="00647965" w:rsidRPr="008224F9">
              <w:rPr>
                <w:bCs/>
                <w:color w:val="auto"/>
                <w:sz w:val="20"/>
                <w:szCs w:val="20"/>
              </w:rPr>
              <w:t>.a Submit amendments to WRPs to the Commonwealth for approval where state water planning frameworks in WRPs become inconsistent with the Basin Plan</w:t>
            </w:r>
            <w:r w:rsidR="00647965" w:rsidRPr="004C4B9D">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53AF9B"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8497C9" w14:textId="4996401E"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2E3F6745" w14:textId="77777777" w:rsidTr="000802A2">
        <w:tc>
          <w:tcPr>
            <w:tcW w:w="1560" w:type="dxa"/>
            <w:vMerge/>
            <w:tcBorders>
              <w:left w:val="single" w:sz="8" w:space="0" w:color="4F81BD"/>
              <w:right w:val="single" w:sz="8" w:space="0" w:color="4F81BD"/>
            </w:tcBorders>
            <w:shd w:val="clear" w:color="auto" w:fill="F2F2F2" w:themeFill="background1" w:themeFillShade="F2"/>
          </w:tcPr>
          <w:p w14:paraId="665A0C32" w14:textId="77777777" w:rsidR="00647965" w:rsidRPr="004C4B9D" w:rsidRDefault="00647965" w:rsidP="00647965">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792D5A6" w14:textId="2426A0D5" w:rsidR="00647965" w:rsidRPr="004C4B9D" w:rsidRDefault="00C3010B" w:rsidP="00647965">
            <w:pPr>
              <w:pStyle w:val="Tableformat"/>
              <w:rPr>
                <w:bCs/>
                <w:color w:val="auto"/>
                <w:sz w:val="20"/>
                <w:szCs w:val="20"/>
              </w:rPr>
            </w:pPr>
            <w:r>
              <w:rPr>
                <w:bCs/>
                <w:color w:val="auto"/>
                <w:sz w:val="20"/>
                <w:szCs w:val="20"/>
              </w:rPr>
              <w:t>7</w:t>
            </w:r>
            <w:r w:rsidR="00647965">
              <w:rPr>
                <w:bCs/>
                <w:color w:val="auto"/>
                <w:sz w:val="20"/>
                <w:szCs w:val="20"/>
              </w:rPr>
              <w:t xml:space="preserve">. </w:t>
            </w:r>
            <w:r w:rsidR="00647965" w:rsidRPr="004C4B9D">
              <w:rPr>
                <w:bCs/>
                <w:color w:val="auto"/>
                <w:sz w:val="20"/>
                <w:szCs w:val="20"/>
              </w:rPr>
              <w:t>Deliver required Basin Plan monitoring, evaluation, science and reporting.</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1B01F8" w14:textId="78F4CE5D" w:rsidR="00647965" w:rsidRPr="004C4B9D" w:rsidRDefault="00C3010B" w:rsidP="00647965">
            <w:pPr>
              <w:pStyle w:val="Tableformat"/>
              <w:rPr>
                <w:bCs/>
                <w:color w:val="auto"/>
                <w:sz w:val="20"/>
                <w:szCs w:val="20"/>
              </w:rPr>
            </w:pPr>
            <w:r>
              <w:rPr>
                <w:bCs/>
                <w:color w:val="auto"/>
                <w:sz w:val="20"/>
                <w:szCs w:val="20"/>
              </w:rPr>
              <w:t>7</w:t>
            </w:r>
            <w:r w:rsidR="00647965">
              <w:rPr>
                <w:bCs/>
                <w:color w:val="auto"/>
                <w:sz w:val="20"/>
                <w:szCs w:val="20"/>
              </w:rPr>
              <w:t xml:space="preserve">.a </w:t>
            </w:r>
            <w:r w:rsidR="00647965" w:rsidRPr="004C4B9D">
              <w:rPr>
                <w:bCs/>
                <w:color w:val="auto"/>
                <w:sz w:val="20"/>
                <w:szCs w:val="20"/>
              </w:rPr>
              <w:t>Deliver Basin Plan reporting under Schedule 12, including reporting under Matters 8, 12, 18 and 19</w:t>
            </w:r>
            <w:r w:rsidR="00B23924">
              <w:rPr>
                <w:bCs/>
                <w:color w:val="auto"/>
                <w:sz w:val="20"/>
                <w:szCs w:val="20"/>
              </w:rPr>
              <w:t xml:space="preserve"> and 21 (compliance with water resource plans, such as but not limited to Parts 4, 6, 14)</w:t>
            </w:r>
            <w:r w:rsidR="00647965" w:rsidRPr="004C4B9D">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2275790"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5732A9" w14:textId="563AB544" w:rsidR="00647965" w:rsidRPr="004C4B9D" w:rsidRDefault="00647965">
            <w:pPr>
              <w:pStyle w:val="Tableformat"/>
              <w:rPr>
                <w:bCs/>
                <w:color w:val="auto"/>
                <w:sz w:val="20"/>
                <w:szCs w:val="20"/>
              </w:rPr>
            </w:pPr>
            <w:r>
              <w:rPr>
                <w:bCs/>
                <w:color w:val="auto"/>
                <w:sz w:val="20"/>
                <w:szCs w:val="20"/>
              </w:rPr>
              <w:t>$</w:t>
            </w:r>
            <w:r w:rsidR="00CB56F8">
              <w:rPr>
                <w:bCs/>
                <w:color w:val="auto"/>
                <w:sz w:val="20"/>
                <w:szCs w:val="20"/>
              </w:rPr>
              <w:t>291,396</w:t>
            </w:r>
          </w:p>
        </w:tc>
      </w:tr>
      <w:tr w:rsidR="00647965" w:rsidRPr="004C4B9D" w14:paraId="2C67EE29" w14:textId="77777777" w:rsidTr="000802A2">
        <w:tc>
          <w:tcPr>
            <w:tcW w:w="1560" w:type="dxa"/>
            <w:vMerge/>
            <w:tcBorders>
              <w:left w:val="single" w:sz="8" w:space="0" w:color="4F81BD"/>
              <w:right w:val="single" w:sz="8" w:space="0" w:color="4F81BD"/>
            </w:tcBorders>
            <w:shd w:val="clear" w:color="auto" w:fill="F2F2F2" w:themeFill="background1" w:themeFillShade="F2"/>
          </w:tcPr>
          <w:p w14:paraId="51698ECB" w14:textId="77777777" w:rsidR="00647965" w:rsidRPr="004C4B9D" w:rsidRDefault="00647965" w:rsidP="00647965">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5997DB95" w14:textId="77777777" w:rsidR="00647965" w:rsidRPr="004C4B9D"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CFDB2A" w14:textId="7422CBC3" w:rsidR="00647965" w:rsidRPr="004C4B9D" w:rsidRDefault="00C3010B" w:rsidP="00647965">
            <w:pPr>
              <w:pStyle w:val="Tableformat"/>
              <w:rPr>
                <w:bCs/>
                <w:color w:val="auto"/>
                <w:sz w:val="20"/>
                <w:szCs w:val="20"/>
              </w:rPr>
            </w:pPr>
            <w:r>
              <w:rPr>
                <w:bCs/>
                <w:color w:val="auto"/>
                <w:sz w:val="20"/>
                <w:szCs w:val="20"/>
              </w:rPr>
              <w:t>7</w:t>
            </w:r>
            <w:r w:rsidR="00647965">
              <w:rPr>
                <w:bCs/>
                <w:color w:val="auto"/>
                <w:sz w:val="20"/>
                <w:szCs w:val="20"/>
              </w:rPr>
              <w:t xml:space="preserve">.b </w:t>
            </w:r>
            <w:r w:rsidR="00647965" w:rsidRPr="004C4B9D">
              <w:rPr>
                <w:bCs/>
                <w:color w:val="auto"/>
                <w:sz w:val="20"/>
                <w:szCs w:val="20"/>
              </w:rPr>
              <w:t xml:space="preserve">Deliver on </w:t>
            </w:r>
            <w:r w:rsidR="00647965">
              <w:rPr>
                <w:bCs/>
                <w:color w:val="auto"/>
                <w:sz w:val="20"/>
                <w:szCs w:val="20"/>
              </w:rPr>
              <w:t xml:space="preserve">agreed </w:t>
            </w:r>
            <w:r w:rsidR="00647965"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647965" w:rsidRPr="004C4B9D">
              <w:rPr>
                <w:bCs/>
                <w:color w:val="auto"/>
                <w:sz w:val="20"/>
                <w:szCs w:val="20"/>
              </w:rPr>
              <w:t xml:space="preserve"> as endorsed by BOCA.</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17B3A7"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53B588" w14:textId="0EFAD321" w:rsidR="00647965" w:rsidRPr="004C4B9D" w:rsidRDefault="00647965">
            <w:pPr>
              <w:pStyle w:val="Tableformat"/>
              <w:rPr>
                <w:bCs/>
                <w:color w:val="auto"/>
                <w:sz w:val="20"/>
                <w:szCs w:val="20"/>
              </w:rPr>
            </w:pPr>
            <w:r>
              <w:rPr>
                <w:bCs/>
                <w:color w:val="auto"/>
                <w:sz w:val="20"/>
                <w:szCs w:val="20"/>
              </w:rPr>
              <w:t>$</w:t>
            </w:r>
            <w:r w:rsidR="00CB56F8">
              <w:rPr>
                <w:bCs/>
                <w:color w:val="auto"/>
                <w:sz w:val="20"/>
                <w:szCs w:val="20"/>
              </w:rPr>
              <w:t>291,396</w:t>
            </w:r>
          </w:p>
        </w:tc>
      </w:tr>
      <w:tr w:rsidR="00647965" w:rsidRPr="004C4B9D" w14:paraId="074BE2D5" w14:textId="77777777" w:rsidTr="000802A2">
        <w:tc>
          <w:tcPr>
            <w:tcW w:w="1560" w:type="dxa"/>
            <w:tcBorders>
              <w:top w:val="single" w:sz="8" w:space="0" w:color="4F81BD"/>
              <w:left w:val="single" w:sz="8" w:space="0" w:color="4F81BD"/>
              <w:right w:val="single" w:sz="8" w:space="0" w:color="4F81BD"/>
            </w:tcBorders>
            <w:shd w:val="clear" w:color="auto" w:fill="F2F2F2" w:themeFill="background1" w:themeFillShade="F2"/>
          </w:tcPr>
          <w:p w14:paraId="2C4C5208" w14:textId="77777777" w:rsidR="00647965" w:rsidRPr="004C4B9D" w:rsidRDefault="00647965" w:rsidP="00647965">
            <w:pPr>
              <w:pStyle w:val="Tableformat"/>
              <w:rPr>
                <w:bCs/>
                <w:color w:val="auto"/>
                <w:sz w:val="20"/>
                <w:szCs w:val="20"/>
              </w:rPr>
            </w:pPr>
            <w:r w:rsidRPr="004C4B9D">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F3CE0F" w14:textId="6AE4D81C" w:rsidR="00647965" w:rsidRPr="004C4B9D" w:rsidRDefault="00F14B5B" w:rsidP="00647965">
            <w:pPr>
              <w:pStyle w:val="Tableformat"/>
              <w:rPr>
                <w:bCs/>
                <w:color w:val="auto"/>
                <w:sz w:val="20"/>
                <w:szCs w:val="20"/>
              </w:rPr>
            </w:pPr>
            <w:r>
              <w:rPr>
                <w:bCs/>
                <w:color w:val="auto"/>
                <w:sz w:val="20"/>
                <w:szCs w:val="20"/>
              </w:rPr>
              <w:t>8</w:t>
            </w:r>
            <w:r w:rsidR="00647965">
              <w:rPr>
                <w:bCs/>
                <w:color w:val="auto"/>
                <w:sz w:val="20"/>
                <w:szCs w:val="20"/>
              </w:rPr>
              <w:t xml:space="preserve">. </w:t>
            </w:r>
            <w:r w:rsidR="00647965" w:rsidRPr="004C4B9D">
              <w:rPr>
                <w:bCs/>
                <w:color w:val="auto"/>
                <w:sz w:val="20"/>
                <w:szCs w:val="20"/>
              </w:rPr>
              <w:t>Improve water market trading arrangements across the Basin.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34BE0F" w14:textId="513F94FF" w:rsidR="00647965" w:rsidRPr="004C4B9D" w:rsidRDefault="00F14B5B" w:rsidP="00CE09D3">
            <w:pPr>
              <w:pStyle w:val="Tableformat"/>
              <w:rPr>
                <w:bCs/>
                <w:color w:val="auto"/>
                <w:sz w:val="20"/>
                <w:szCs w:val="20"/>
              </w:rPr>
            </w:pPr>
            <w:r>
              <w:rPr>
                <w:bCs/>
                <w:color w:val="auto"/>
                <w:sz w:val="20"/>
                <w:szCs w:val="20"/>
              </w:rPr>
              <w:t>8</w:t>
            </w:r>
            <w:r w:rsidR="00647965" w:rsidRPr="008224F9">
              <w:rPr>
                <w:bCs/>
                <w:color w:val="auto"/>
                <w:sz w:val="20"/>
                <w:szCs w:val="20"/>
              </w:rPr>
              <w:t>.</w:t>
            </w:r>
            <w:r w:rsidR="00CE09D3">
              <w:rPr>
                <w:bCs/>
                <w:color w:val="auto"/>
                <w:sz w:val="20"/>
                <w:szCs w:val="20"/>
              </w:rPr>
              <w:t>a</w:t>
            </w:r>
            <w:r w:rsidR="00647965" w:rsidRPr="008224F9">
              <w:rPr>
                <w:bCs/>
                <w:color w:val="auto"/>
                <w:sz w:val="20"/>
                <w:szCs w:val="20"/>
              </w:rPr>
              <w:t xml:space="preserve"> Implement agreed projects and programs arising from a finalised road map for Murray-Darling Basin water market reform</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6C3085"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8E4DCF" w14:textId="21D18435"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5B57C81A" w14:textId="77777777" w:rsidTr="000802A2">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45DDD704" w14:textId="77777777" w:rsidR="00647965" w:rsidRPr="004C4B9D" w:rsidRDefault="00647965" w:rsidP="00647965">
            <w:pPr>
              <w:pStyle w:val="Tableformat"/>
              <w:rPr>
                <w:bCs/>
                <w:color w:val="auto"/>
                <w:sz w:val="20"/>
                <w:szCs w:val="20"/>
              </w:rPr>
            </w:pPr>
            <w:r w:rsidRPr="004C4B9D">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8E93D6" w14:textId="3D8166BD" w:rsidR="00647965" w:rsidRPr="004C4B9D" w:rsidRDefault="00F14B5B">
            <w:pPr>
              <w:pStyle w:val="Tableformat"/>
              <w:rPr>
                <w:bCs/>
                <w:color w:val="auto"/>
                <w:sz w:val="20"/>
                <w:szCs w:val="20"/>
              </w:rPr>
            </w:pPr>
            <w:r>
              <w:rPr>
                <w:bCs/>
                <w:color w:val="auto"/>
                <w:sz w:val="20"/>
                <w:szCs w:val="20"/>
              </w:rPr>
              <w:t>9</w:t>
            </w:r>
            <w:r w:rsidR="00647965">
              <w:rPr>
                <w:bCs/>
                <w:color w:val="auto"/>
                <w:sz w:val="20"/>
                <w:szCs w:val="20"/>
              </w:rPr>
              <w:t xml:space="preserve">. </w:t>
            </w:r>
            <w:r w:rsidR="00647965" w:rsidRPr="004C4B9D">
              <w:rPr>
                <w:bCs/>
                <w:color w:val="auto"/>
                <w:sz w:val="20"/>
                <w:szCs w:val="20"/>
              </w:rPr>
              <w:t xml:space="preserve">Implement revised Metrological Assurance Framework (MAF2)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CA5B58" w14:textId="7653E8BF" w:rsidR="00647965" w:rsidRPr="004C4B9D" w:rsidRDefault="00F14B5B">
            <w:pPr>
              <w:pStyle w:val="Tableformat"/>
              <w:rPr>
                <w:bCs/>
                <w:color w:val="auto"/>
                <w:sz w:val="20"/>
                <w:szCs w:val="20"/>
              </w:rPr>
            </w:pPr>
            <w:r>
              <w:rPr>
                <w:bCs/>
                <w:color w:val="auto"/>
                <w:sz w:val="20"/>
                <w:szCs w:val="20"/>
              </w:rPr>
              <w:t>9</w:t>
            </w:r>
            <w:r w:rsidR="00647965" w:rsidRPr="008224F9">
              <w:rPr>
                <w:bCs/>
                <w:color w:val="auto"/>
                <w:sz w:val="20"/>
                <w:szCs w:val="20"/>
              </w:rPr>
              <w:t>.</w:t>
            </w:r>
            <w:r w:rsidR="00C3010B">
              <w:rPr>
                <w:bCs/>
                <w:color w:val="auto"/>
                <w:sz w:val="20"/>
                <w:szCs w:val="20"/>
              </w:rPr>
              <w:t>a</w:t>
            </w:r>
            <w:r w:rsidR="00C3010B" w:rsidRPr="008224F9">
              <w:rPr>
                <w:bCs/>
                <w:color w:val="auto"/>
                <w:sz w:val="20"/>
                <w:szCs w:val="20"/>
              </w:rPr>
              <w:t xml:space="preserve"> </w:t>
            </w:r>
            <w:r w:rsidR="00647965" w:rsidRPr="008224F9">
              <w:rPr>
                <w:bCs/>
                <w:color w:val="auto"/>
                <w:sz w:val="20"/>
                <w:szCs w:val="20"/>
              </w:rPr>
              <w:t>Progress the integration of MAF2 requirements into the state’s metering compliance plan/policy in accordance with the implementation pla</w:t>
            </w:r>
            <w:r w:rsidR="00647965">
              <w:rPr>
                <w:bCs/>
                <w:color w:val="auto"/>
                <w:sz w:val="20"/>
                <w:szCs w:val="20"/>
              </w:rPr>
              <w:t>n</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1F40AC"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00CA26" w14:textId="0C14E4F9"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1BA1FFB8" w14:textId="77777777" w:rsidTr="000802A2">
        <w:tc>
          <w:tcPr>
            <w:tcW w:w="1560" w:type="dxa"/>
            <w:vMerge/>
            <w:tcBorders>
              <w:left w:val="single" w:sz="8" w:space="0" w:color="4F81BD"/>
              <w:right w:val="single" w:sz="8" w:space="0" w:color="4F81BD"/>
            </w:tcBorders>
            <w:shd w:val="clear" w:color="auto" w:fill="F2F2F2" w:themeFill="background1" w:themeFillShade="F2"/>
          </w:tcPr>
          <w:p w14:paraId="51A48568" w14:textId="77777777" w:rsidR="00647965" w:rsidRPr="004C4B9D" w:rsidRDefault="00647965" w:rsidP="00647965">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F9EB934" w14:textId="6DB6BB6D" w:rsidR="00647965" w:rsidRPr="004C4B9D" w:rsidRDefault="00F14B5B">
            <w:pPr>
              <w:pStyle w:val="Tableformat"/>
              <w:rPr>
                <w:bCs/>
                <w:color w:val="auto"/>
                <w:sz w:val="20"/>
                <w:szCs w:val="20"/>
              </w:rPr>
            </w:pPr>
            <w:r>
              <w:rPr>
                <w:bCs/>
                <w:color w:val="auto"/>
                <w:sz w:val="20"/>
                <w:szCs w:val="20"/>
              </w:rPr>
              <w:t>10</w:t>
            </w:r>
            <w:r w:rsidR="00647965">
              <w:rPr>
                <w:bCs/>
                <w:color w:val="auto"/>
                <w:sz w:val="20"/>
                <w:szCs w:val="20"/>
              </w:rPr>
              <w:t xml:space="preserve">. </w:t>
            </w:r>
            <w:r w:rsidR="00647965" w:rsidRPr="001920CF">
              <w:rPr>
                <w:bCs/>
                <w:color w:val="auto"/>
                <w:sz w:val="20"/>
                <w:szCs w:val="20"/>
              </w:rPr>
              <w:t>Work with the Inspector General of Water Compliance (IGWC) to provide clear compliance arrangements and reporting in the Murray-Darling Basin.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33D23C" w14:textId="39F61798" w:rsidR="00647965" w:rsidRPr="004C4B9D" w:rsidRDefault="00F14B5B">
            <w:pPr>
              <w:pStyle w:val="Tableformat"/>
              <w:rPr>
                <w:bCs/>
                <w:color w:val="auto"/>
                <w:sz w:val="20"/>
                <w:szCs w:val="20"/>
              </w:rPr>
            </w:pPr>
            <w:r>
              <w:rPr>
                <w:bCs/>
                <w:color w:val="auto"/>
                <w:sz w:val="20"/>
                <w:szCs w:val="20"/>
              </w:rPr>
              <w:t>10</w:t>
            </w:r>
            <w:r w:rsidR="00647965" w:rsidRPr="008224F9">
              <w:rPr>
                <w:bCs/>
                <w:color w:val="auto"/>
                <w:sz w:val="20"/>
                <w:szCs w:val="20"/>
              </w:rPr>
              <w:t>.</w:t>
            </w:r>
            <w:r w:rsidR="00C3010B">
              <w:rPr>
                <w:bCs/>
                <w:color w:val="auto"/>
                <w:sz w:val="20"/>
                <w:szCs w:val="20"/>
              </w:rPr>
              <w:t>a</w:t>
            </w:r>
            <w:r w:rsidR="00C3010B" w:rsidRPr="008224F9">
              <w:rPr>
                <w:bCs/>
                <w:color w:val="auto"/>
                <w:sz w:val="20"/>
                <w:szCs w:val="20"/>
              </w:rPr>
              <w:t xml:space="preserve"> </w:t>
            </w:r>
            <w:r w:rsidR="00647965" w:rsidRPr="008224F9">
              <w:rPr>
                <w:bCs/>
                <w:color w:val="auto"/>
                <w:sz w:val="20"/>
                <w:szCs w:val="20"/>
              </w:rPr>
              <w:t>Provide input to the IGWC on the development of standards and guidelines</w:t>
            </w:r>
            <w:r w:rsidR="00647965" w:rsidRPr="004C4B9D">
              <w:rPr>
                <w:bCs/>
                <w:color w:val="auto"/>
                <w:sz w:val="20"/>
                <w:szCs w:val="20"/>
              </w:rPr>
              <w:t xml:space="preserv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15398A"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4D32C8" w14:textId="30F3F9A9"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0DB5439E" w14:textId="77777777" w:rsidTr="000802A2">
        <w:tc>
          <w:tcPr>
            <w:tcW w:w="1560" w:type="dxa"/>
            <w:vMerge/>
            <w:tcBorders>
              <w:left w:val="single" w:sz="8" w:space="0" w:color="4F81BD"/>
              <w:right w:val="single" w:sz="8" w:space="0" w:color="4F81BD"/>
            </w:tcBorders>
            <w:shd w:val="clear" w:color="auto" w:fill="F2F2F2" w:themeFill="background1" w:themeFillShade="F2"/>
          </w:tcPr>
          <w:p w14:paraId="30DC0040" w14:textId="77777777" w:rsidR="00647965" w:rsidRPr="004C4B9D" w:rsidRDefault="00647965" w:rsidP="00647965">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030258E4" w14:textId="77777777" w:rsidR="00647965" w:rsidRPr="001920CF"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C18DACE" w14:textId="72AFD967" w:rsidR="00647965" w:rsidRPr="004C4B9D" w:rsidRDefault="00F14B5B">
            <w:pPr>
              <w:pStyle w:val="Tableformat"/>
              <w:rPr>
                <w:bCs/>
                <w:color w:val="auto"/>
                <w:sz w:val="20"/>
                <w:szCs w:val="20"/>
              </w:rPr>
            </w:pPr>
            <w:r>
              <w:rPr>
                <w:bCs/>
                <w:color w:val="auto"/>
                <w:sz w:val="20"/>
                <w:szCs w:val="20"/>
              </w:rPr>
              <w:t>10</w:t>
            </w:r>
            <w:r w:rsidR="00647965" w:rsidRPr="008224F9">
              <w:rPr>
                <w:bCs/>
                <w:color w:val="auto"/>
                <w:sz w:val="20"/>
                <w:szCs w:val="20"/>
              </w:rPr>
              <w:t>.</w:t>
            </w:r>
            <w:r w:rsidR="00C3010B">
              <w:rPr>
                <w:bCs/>
                <w:color w:val="auto"/>
                <w:sz w:val="20"/>
                <w:szCs w:val="20"/>
              </w:rPr>
              <w:t>b</w:t>
            </w:r>
            <w:r w:rsidR="00C3010B" w:rsidRPr="008224F9">
              <w:rPr>
                <w:bCs/>
                <w:color w:val="auto"/>
                <w:sz w:val="20"/>
                <w:szCs w:val="20"/>
              </w:rPr>
              <w:t xml:space="preserve"> </w:t>
            </w:r>
            <w:r w:rsidR="00647965" w:rsidRPr="008224F9">
              <w:rPr>
                <w:bCs/>
                <w:color w:val="auto"/>
                <w:sz w:val="20"/>
                <w:szCs w:val="20"/>
              </w:rPr>
              <w:t>Report to the IGWC against MAF2 Chapter 15 at least annually or in accordance with IGWC guidelines</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8EB840" w14:textId="77777777" w:rsidR="00647965"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3F4E8C" w14:textId="5F343422" w:rsidR="00647965"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7724A24B" w14:textId="77777777" w:rsidTr="000802A2">
        <w:tc>
          <w:tcPr>
            <w:tcW w:w="1560" w:type="dxa"/>
            <w:vMerge/>
            <w:tcBorders>
              <w:left w:val="single" w:sz="8" w:space="0" w:color="4F81BD"/>
              <w:right w:val="single" w:sz="8" w:space="0" w:color="4F81BD"/>
            </w:tcBorders>
            <w:shd w:val="clear" w:color="auto" w:fill="F2F2F2" w:themeFill="background1" w:themeFillShade="F2"/>
          </w:tcPr>
          <w:p w14:paraId="7DEFABBB" w14:textId="77777777" w:rsidR="00647965" w:rsidRPr="004C4B9D" w:rsidRDefault="00647965" w:rsidP="00647965">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6E9C32FF" w14:textId="77777777" w:rsidR="00647965" w:rsidRPr="001920CF" w:rsidRDefault="00647965" w:rsidP="00647965">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5D4975" w14:textId="238D4824" w:rsidR="00647965" w:rsidRPr="008224F9" w:rsidRDefault="00F14B5B">
            <w:pPr>
              <w:pStyle w:val="Tableformat"/>
              <w:rPr>
                <w:bCs/>
                <w:color w:val="auto"/>
                <w:sz w:val="20"/>
                <w:szCs w:val="20"/>
              </w:rPr>
            </w:pPr>
            <w:r>
              <w:rPr>
                <w:bCs/>
                <w:color w:val="auto"/>
                <w:sz w:val="20"/>
                <w:szCs w:val="20"/>
              </w:rPr>
              <w:t>10</w:t>
            </w:r>
            <w:r w:rsidR="00647965" w:rsidRPr="004D079A">
              <w:rPr>
                <w:bCs/>
                <w:color w:val="auto"/>
                <w:sz w:val="20"/>
                <w:szCs w:val="20"/>
              </w:rPr>
              <w:t>.</w:t>
            </w:r>
            <w:r w:rsidR="00C3010B">
              <w:rPr>
                <w:bCs/>
                <w:color w:val="auto"/>
                <w:sz w:val="20"/>
                <w:szCs w:val="20"/>
              </w:rPr>
              <w:t>c</w:t>
            </w:r>
            <w:r w:rsidR="00C3010B" w:rsidRPr="004D079A">
              <w:rPr>
                <w:bCs/>
                <w:color w:val="auto"/>
                <w:sz w:val="20"/>
                <w:szCs w:val="20"/>
              </w:rPr>
              <w:t xml:space="preserve"> </w:t>
            </w:r>
            <w:r w:rsidR="00647965" w:rsidRPr="004D079A">
              <w:rPr>
                <w:bCs/>
                <w:color w:val="auto"/>
                <w:sz w:val="20"/>
                <w:szCs w:val="20"/>
              </w:rPr>
              <w:t>Provide performance data to the IGWC subject to agreed reporting guidelines (annually)</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D81235" w14:textId="77777777" w:rsidR="00647965"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3F22BE" w14:textId="7E154845" w:rsidR="00647965"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4551F3B7" w14:textId="77777777" w:rsidTr="000802A2">
        <w:tc>
          <w:tcPr>
            <w:tcW w:w="1560" w:type="dxa"/>
            <w:vMerge/>
            <w:tcBorders>
              <w:left w:val="single" w:sz="8" w:space="0" w:color="4F81BD"/>
              <w:right w:val="single" w:sz="8" w:space="0" w:color="4F81BD"/>
            </w:tcBorders>
            <w:shd w:val="clear" w:color="auto" w:fill="F2F2F2" w:themeFill="background1" w:themeFillShade="F2"/>
          </w:tcPr>
          <w:p w14:paraId="53731E31" w14:textId="77777777" w:rsidR="00647965" w:rsidRPr="004C4B9D" w:rsidRDefault="00647965" w:rsidP="00647965">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025A1CE4" w14:textId="5373AD2E" w:rsidR="00647965" w:rsidRPr="004C4B9D" w:rsidRDefault="00F14B5B">
            <w:pPr>
              <w:pStyle w:val="Tableformat"/>
              <w:rPr>
                <w:bCs/>
                <w:color w:val="auto"/>
                <w:sz w:val="20"/>
                <w:szCs w:val="20"/>
              </w:rPr>
            </w:pPr>
            <w:r>
              <w:rPr>
                <w:bCs/>
                <w:color w:val="auto"/>
                <w:sz w:val="20"/>
                <w:szCs w:val="20"/>
              </w:rPr>
              <w:t>11</w:t>
            </w:r>
            <w:r w:rsidR="00647965">
              <w:rPr>
                <w:bCs/>
                <w:color w:val="auto"/>
                <w:sz w:val="20"/>
                <w:szCs w:val="20"/>
              </w:rPr>
              <w:t xml:space="preserve">. </w:t>
            </w:r>
            <w:r w:rsidR="00647965" w:rsidRPr="004C4B9D">
              <w:rPr>
                <w:bCs/>
                <w:color w:val="auto"/>
                <w:sz w:val="20"/>
                <w:szCs w:val="20"/>
              </w:rPr>
              <w:t xml:space="preserve">Response to the Compliance Compact Review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12F732" w14:textId="1992176F" w:rsidR="00647965" w:rsidRPr="004C4B9D" w:rsidRDefault="00F14B5B" w:rsidP="006C5A3C">
            <w:pPr>
              <w:pStyle w:val="Tableformat"/>
              <w:rPr>
                <w:bCs/>
                <w:color w:val="auto"/>
                <w:sz w:val="20"/>
                <w:szCs w:val="20"/>
              </w:rPr>
            </w:pPr>
            <w:r>
              <w:rPr>
                <w:bCs/>
                <w:color w:val="auto"/>
                <w:sz w:val="20"/>
                <w:szCs w:val="20"/>
              </w:rPr>
              <w:t>11</w:t>
            </w:r>
            <w:r w:rsidR="00647965" w:rsidRPr="004D079A">
              <w:rPr>
                <w:bCs/>
                <w:color w:val="auto"/>
                <w:sz w:val="20"/>
                <w:szCs w:val="20"/>
              </w:rPr>
              <w:t>.</w:t>
            </w:r>
            <w:r w:rsidR="006C5A3C">
              <w:rPr>
                <w:bCs/>
                <w:color w:val="auto"/>
                <w:sz w:val="20"/>
                <w:szCs w:val="20"/>
              </w:rPr>
              <w:t>a</w:t>
            </w:r>
            <w:r w:rsidR="00647965" w:rsidRPr="004D079A">
              <w:rPr>
                <w:bCs/>
                <w:color w:val="auto"/>
                <w:sz w:val="20"/>
                <w:szCs w:val="20"/>
              </w:rPr>
              <w:t xml:space="preserve"> Provide information on metering and telemetry thresholds to an independent analysis lead by the IGWC, including participation in the identification of Basin-wide minimum standards, and communicate on thresholds and standards</w:t>
            </w:r>
            <w:r w:rsidR="00647965" w:rsidRPr="001920CF">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A224FD"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71D700" w14:textId="45663C08" w:rsidR="00647965" w:rsidRPr="004C4B9D"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5FD6FF67" w14:textId="77777777" w:rsidTr="000802A2">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73FF8FB7" w14:textId="77777777" w:rsidR="00647965" w:rsidRPr="004C4B9D" w:rsidRDefault="00647965" w:rsidP="00647965">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395053" w14:textId="414F210A" w:rsidR="00647965" w:rsidRPr="004C4B9D" w:rsidRDefault="00F14B5B">
            <w:pPr>
              <w:pStyle w:val="Tableformat"/>
              <w:rPr>
                <w:bCs/>
                <w:color w:val="auto"/>
                <w:sz w:val="20"/>
                <w:szCs w:val="20"/>
              </w:rPr>
            </w:pPr>
            <w:r>
              <w:rPr>
                <w:bCs/>
                <w:color w:val="auto"/>
                <w:sz w:val="20"/>
                <w:szCs w:val="20"/>
              </w:rPr>
              <w:t>12</w:t>
            </w:r>
            <w:r w:rsidR="00647965">
              <w:rPr>
                <w:bCs/>
                <w:color w:val="auto"/>
                <w:sz w:val="20"/>
                <w:szCs w:val="20"/>
              </w:rPr>
              <w:t>. Compliance Compact oversight</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CB48E8" w14:textId="63EC1BE6" w:rsidR="00647965" w:rsidRPr="004C4B9D" w:rsidRDefault="00F14B5B">
            <w:pPr>
              <w:pStyle w:val="Tableformat"/>
              <w:rPr>
                <w:bCs/>
                <w:color w:val="auto"/>
                <w:sz w:val="20"/>
                <w:szCs w:val="20"/>
              </w:rPr>
            </w:pPr>
            <w:r>
              <w:rPr>
                <w:bCs/>
                <w:color w:val="auto"/>
                <w:sz w:val="20"/>
                <w:szCs w:val="20"/>
              </w:rPr>
              <w:t>12</w:t>
            </w:r>
            <w:r w:rsidR="00647965" w:rsidRPr="004D079A">
              <w:rPr>
                <w:bCs/>
                <w:color w:val="auto"/>
                <w:sz w:val="20"/>
                <w:szCs w:val="20"/>
              </w:rPr>
              <w:t>.a Provide information to the IGWC as requested and in accordance with agreed MOU/guidelines to enable oversight of Compliance Compact commitments</w:t>
            </w:r>
            <w:r w:rsidR="00647965" w:rsidRPr="00165E29">
              <w:rPr>
                <w:bCs/>
                <w:color w:val="auto"/>
                <w:sz w:val="20"/>
                <w:szCs w:val="20"/>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B8D46E" w14:textId="77777777" w:rsidR="00647965"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BA6C3B" w14:textId="73F74482" w:rsidR="00647965" w:rsidRDefault="00647965" w:rsidP="00647965">
            <w:pPr>
              <w:pStyle w:val="Tableformat"/>
              <w:rPr>
                <w:bCs/>
                <w:color w:val="auto"/>
                <w:sz w:val="20"/>
                <w:szCs w:val="20"/>
              </w:rPr>
            </w:pPr>
            <w:r>
              <w:rPr>
                <w:bCs/>
                <w:color w:val="auto"/>
                <w:sz w:val="20"/>
                <w:szCs w:val="20"/>
              </w:rPr>
              <w:t>$</w:t>
            </w:r>
            <w:r w:rsidR="00B157D2">
              <w:rPr>
                <w:bCs/>
                <w:color w:val="auto"/>
                <w:sz w:val="20"/>
                <w:szCs w:val="20"/>
              </w:rPr>
              <w:t>194,264</w:t>
            </w:r>
          </w:p>
        </w:tc>
      </w:tr>
      <w:tr w:rsidR="00647965" w:rsidRPr="004C4B9D" w14:paraId="0F94B977" w14:textId="77777777" w:rsidTr="000802A2">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1108CE" w14:textId="77777777" w:rsidR="00647965" w:rsidRPr="004C4B9D" w:rsidRDefault="00647965" w:rsidP="00647965">
            <w:pPr>
              <w:pStyle w:val="Tableformat"/>
              <w:rPr>
                <w:bCs/>
                <w:color w:val="auto"/>
                <w:sz w:val="20"/>
                <w:szCs w:val="20"/>
              </w:rPr>
            </w:pPr>
            <w:r w:rsidRPr="004C4B9D">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8BA060" w14:textId="1AB5EC7A" w:rsidR="00647965" w:rsidRPr="004C4B9D" w:rsidRDefault="00F14B5B">
            <w:pPr>
              <w:pStyle w:val="Tableformat"/>
              <w:rPr>
                <w:bCs/>
                <w:color w:val="auto"/>
                <w:sz w:val="20"/>
                <w:szCs w:val="20"/>
              </w:rPr>
            </w:pPr>
            <w:r>
              <w:rPr>
                <w:bCs/>
                <w:color w:val="auto"/>
                <w:sz w:val="20"/>
                <w:szCs w:val="20"/>
              </w:rPr>
              <w:t>13</w:t>
            </w:r>
            <w:r w:rsidR="00647965">
              <w:rPr>
                <w:bCs/>
                <w:color w:val="auto"/>
                <w:sz w:val="20"/>
                <w:szCs w:val="20"/>
              </w:rPr>
              <w:t xml:space="preserve">. </w:t>
            </w:r>
            <w:r w:rsidR="00647965" w:rsidRPr="004C4B9D">
              <w:rPr>
                <w:bCs/>
                <w:color w:val="auto"/>
                <w:sz w:val="20"/>
                <w:szCs w:val="20"/>
              </w:rPr>
              <w:t>Improve consultation and strategic engagement in collaboration with the Commonwealth and other Basin governments.</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945F0A" w14:textId="6D16C3E1" w:rsidR="00647965" w:rsidRPr="004C4B9D" w:rsidRDefault="00F14B5B">
            <w:pPr>
              <w:pStyle w:val="Tableformat"/>
              <w:rPr>
                <w:bCs/>
                <w:color w:val="auto"/>
                <w:sz w:val="20"/>
                <w:szCs w:val="20"/>
              </w:rPr>
            </w:pPr>
            <w:r>
              <w:rPr>
                <w:bCs/>
                <w:color w:val="auto"/>
                <w:sz w:val="20"/>
                <w:szCs w:val="20"/>
              </w:rPr>
              <w:t>13</w:t>
            </w:r>
            <w:r w:rsidR="00647965" w:rsidRPr="004D079A">
              <w:rPr>
                <w:bCs/>
                <w:color w:val="auto"/>
                <w:sz w:val="20"/>
                <w:szCs w:val="20"/>
              </w:rPr>
              <w:t>.a Report on improvements made on strategic consultation, engagement and coordination with Basin communities, in collaboration with the Commonwealth and other Basin governments</w:t>
            </w:r>
            <w:r w:rsidR="00647965" w:rsidRPr="004C4B9D">
              <w:rPr>
                <w:bCs/>
                <w:color w:val="auto"/>
                <w:sz w:val="20"/>
                <w:szCs w:val="20"/>
              </w:rPr>
              <w:t xml:space="preserv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0EC624" w14:textId="77777777" w:rsidR="00647965" w:rsidRPr="004C4B9D" w:rsidRDefault="00647965" w:rsidP="00647965">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D4462A" w14:textId="1D65814E" w:rsidR="00647965" w:rsidRPr="004C4B9D" w:rsidRDefault="00647965" w:rsidP="00B157D2">
            <w:pPr>
              <w:pStyle w:val="Tableformat"/>
              <w:rPr>
                <w:bCs/>
                <w:color w:val="auto"/>
                <w:sz w:val="20"/>
                <w:szCs w:val="20"/>
              </w:rPr>
            </w:pPr>
            <w:r>
              <w:rPr>
                <w:bCs/>
                <w:color w:val="auto"/>
                <w:sz w:val="20"/>
                <w:szCs w:val="20"/>
              </w:rPr>
              <w:t>$184,</w:t>
            </w:r>
            <w:r w:rsidR="00B157D2">
              <w:rPr>
                <w:bCs/>
                <w:color w:val="auto"/>
                <w:sz w:val="20"/>
                <w:szCs w:val="20"/>
              </w:rPr>
              <w:t>008</w:t>
            </w:r>
          </w:p>
        </w:tc>
      </w:tr>
      <w:tr w:rsidR="00926A54" w:rsidRPr="00DD56FE" w14:paraId="5C1E69EA" w14:textId="77777777" w:rsidTr="000802A2">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2DA10A95" w14:textId="44110133" w:rsidR="00926A54" w:rsidRPr="00DD56FE" w:rsidRDefault="00926A54" w:rsidP="00926A54">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Victoria for Year 2</w:t>
            </w:r>
            <w:r w:rsidRPr="00DD56FE">
              <w:rPr>
                <w:bCs/>
                <w:i/>
                <w:iCs w:val="0"/>
                <w:color w:val="auto"/>
                <w:sz w:val="20"/>
                <w:szCs w:val="20"/>
              </w:rPr>
              <w:t xml:space="preserve"> if all 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61FC6E8" w14:textId="6D8C867A" w:rsidR="00926A54" w:rsidRPr="00DD56FE" w:rsidRDefault="00926A54" w:rsidP="00926A54">
            <w:pPr>
              <w:pStyle w:val="Tableformat"/>
              <w:rPr>
                <w:bCs/>
                <w:color w:val="auto"/>
                <w:sz w:val="20"/>
                <w:szCs w:val="20"/>
              </w:rPr>
            </w:pPr>
            <w:r w:rsidRPr="00DD56FE">
              <w:rPr>
                <w:bCs/>
                <w:color w:val="auto"/>
                <w:sz w:val="20"/>
                <w:szCs w:val="20"/>
              </w:rPr>
              <w:t>$</w:t>
            </w:r>
            <w:r>
              <w:rPr>
                <w:bCs/>
                <w:color w:val="auto"/>
                <w:sz w:val="20"/>
                <w:szCs w:val="20"/>
              </w:rPr>
              <w:t>4,785,000</w:t>
            </w:r>
          </w:p>
        </w:tc>
      </w:tr>
    </w:tbl>
    <w:p w14:paraId="0E80A564" w14:textId="7855ACCA" w:rsidR="00110BF6" w:rsidRDefault="00110BF6" w:rsidP="00110BF6">
      <w:pPr>
        <w:pStyle w:val="Tableformat"/>
        <w:tabs>
          <w:tab w:val="left" w:pos="9003"/>
        </w:tabs>
        <w:ind w:left="-34"/>
        <w:rPr>
          <w:bCs/>
          <w:i/>
          <w:iCs w:val="0"/>
          <w:color w:val="auto"/>
          <w:sz w:val="20"/>
          <w:szCs w:val="20"/>
        </w:rPr>
      </w:pPr>
      <w:r w:rsidRPr="00DD56FE">
        <w:rPr>
          <w:bCs/>
          <w:i/>
          <w:iCs w:val="0"/>
          <w:color w:val="auto"/>
          <w:sz w:val="20"/>
          <w:szCs w:val="20"/>
        </w:rPr>
        <w:tab/>
      </w:r>
    </w:p>
    <w:p w14:paraId="09D2BBD2" w14:textId="747C1345" w:rsidR="00110BF6" w:rsidRDefault="00110BF6" w:rsidP="00110BF6">
      <w:pPr>
        <w:pStyle w:val="Tableformat"/>
        <w:tabs>
          <w:tab w:val="left" w:pos="9003"/>
        </w:tabs>
        <w:ind w:left="-34"/>
        <w:rPr>
          <w:bCs/>
          <w:i/>
          <w:iCs w:val="0"/>
          <w:color w:val="auto"/>
          <w:sz w:val="20"/>
          <w:szCs w:val="20"/>
        </w:rPr>
      </w:pPr>
    </w:p>
    <w:p w14:paraId="56FC2FCE" w14:textId="23C2E7DA" w:rsidR="00110BF6" w:rsidRDefault="00110BF6" w:rsidP="00110BF6">
      <w:pPr>
        <w:pStyle w:val="Tableformat"/>
        <w:tabs>
          <w:tab w:val="left" w:pos="9003"/>
        </w:tabs>
        <w:ind w:left="-34"/>
        <w:rPr>
          <w:bCs/>
          <w:i/>
          <w:iCs w:val="0"/>
          <w:color w:val="auto"/>
          <w:sz w:val="20"/>
          <w:szCs w:val="20"/>
        </w:rPr>
      </w:pPr>
    </w:p>
    <w:p w14:paraId="07454CE6" w14:textId="77777777" w:rsidR="00110BF6" w:rsidRPr="00DD56FE" w:rsidRDefault="00110BF6" w:rsidP="00110BF6">
      <w:pPr>
        <w:pStyle w:val="Tableformat"/>
        <w:tabs>
          <w:tab w:val="left" w:pos="9003"/>
        </w:tabs>
        <w:ind w:left="-34"/>
        <w:rPr>
          <w:bCs/>
          <w:color w:val="auto"/>
          <w:sz w:val="20"/>
          <w:szCs w:val="20"/>
        </w:rPr>
      </w:pPr>
    </w:p>
    <w:p w14:paraId="22495516" w14:textId="77777777" w:rsidR="003D57EA" w:rsidRDefault="003D57EA">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8"/>
        <w:gridCol w:w="2581"/>
        <w:gridCol w:w="3586"/>
        <w:gridCol w:w="1328"/>
        <w:gridCol w:w="1134"/>
      </w:tblGrid>
      <w:tr w:rsidR="00110BF6" w:rsidRPr="00B85A53" w14:paraId="4C7F6735" w14:textId="77777777" w:rsidTr="00566D75">
        <w:tc>
          <w:tcPr>
            <w:tcW w:w="10207" w:type="dxa"/>
            <w:gridSpan w:val="5"/>
            <w:shd w:val="clear" w:color="auto" w:fill="DEEAF6" w:themeFill="accent1" w:themeFillTint="33"/>
          </w:tcPr>
          <w:p w14:paraId="28547E56" w14:textId="6573B08F" w:rsidR="00110BF6" w:rsidRPr="00B85A53" w:rsidRDefault="00110BF6" w:rsidP="006F3A9B">
            <w:pPr>
              <w:pStyle w:val="Tableformat"/>
              <w:tabs>
                <w:tab w:val="left" w:pos="6043"/>
              </w:tabs>
              <w:rPr>
                <w:b/>
                <w:color w:val="auto"/>
              </w:rPr>
            </w:pPr>
            <w:r w:rsidRPr="00B85A53">
              <w:rPr>
                <w:b/>
                <w:color w:val="auto"/>
              </w:rPr>
              <w:t>Table 2B: Victoria – Performance requirements, reporting and payment summary</w:t>
            </w:r>
          </w:p>
        </w:tc>
      </w:tr>
      <w:tr w:rsidR="00C93D80" w:rsidRPr="00F00A18" w14:paraId="1E88401A" w14:textId="77777777" w:rsidTr="00566D75">
        <w:tc>
          <w:tcPr>
            <w:tcW w:w="10207" w:type="dxa"/>
            <w:gridSpan w:val="5"/>
            <w:shd w:val="clear" w:color="auto" w:fill="DEEAF6" w:themeFill="accent1" w:themeFillTint="33"/>
          </w:tcPr>
          <w:p w14:paraId="7EF1D513" w14:textId="34BF07A3" w:rsidR="00C93D80" w:rsidRDefault="00C93D80" w:rsidP="00C93D80">
            <w:pPr>
              <w:pStyle w:val="Tableformat"/>
              <w:tabs>
                <w:tab w:val="left" w:pos="6043"/>
              </w:tabs>
              <w:rPr>
                <w:b/>
                <w:color w:val="auto"/>
              </w:rPr>
            </w:pPr>
            <w:r>
              <w:rPr>
                <w:b/>
                <w:color w:val="auto"/>
              </w:rPr>
              <w:t>Year 3: 2023-2024</w:t>
            </w:r>
          </w:p>
        </w:tc>
      </w:tr>
      <w:tr w:rsidR="00C93D80" w:rsidRPr="00B85A53" w14:paraId="4FDE544B" w14:textId="77777777" w:rsidTr="00566D75">
        <w:tc>
          <w:tcPr>
            <w:tcW w:w="1578" w:type="dxa"/>
            <w:shd w:val="clear" w:color="auto" w:fill="F2F2F2" w:themeFill="background1" w:themeFillShade="F2"/>
          </w:tcPr>
          <w:p w14:paraId="6C0FE535" w14:textId="77777777" w:rsidR="00C93D80" w:rsidRPr="00B85A53" w:rsidRDefault="00C93D80" w:rsidP="00C93D80">
            <w:pPr>
              <w:pStyle w:val="Tableformat"/>
              <w:rPr>
                <w:b/>
                <w:color w:val="auto"/>
                <w:sz w:val="22"/>
                <w:szCs w:val="22"/>
              </w:rPr>
            </w:pPr>
            <w:r w:rsidRPr="00B85A53">
              <w:rPr>
                <w:b/>
                <w:color w:val="auto"/>
                <w:sz w:val="22"/>
                <w:szCs w:val="22"/>
              </w:rPr>
              <w:t>Output</w:t>
            </w:r>
            <w:r w:rsidRPr="00B85A53">
              <w:rPr>
                <w:b/>
                <w:color w:val="auto"/>
                <w:sz w:val="22"/>
                <w:szCs w:val="22"/>
              </w:rPr>
              <w:br/>
            </w:r>
          </w:p>
        </w:tc>
        <w:tc>
          <w:tcPr>
            <w:tcW w:w="2581" w:type="dxa"/>
            <w:shd w:val="clear" w:color="auto" w:fill="F2F2F2" w:themeFill="background1" w:themeFillShade="F2"/>
          </w:tcPr>
          <w:p w14:paraId="38D91233" w14:textId="77777777" w:rsidR="00C93D80" w:rsidRPr="00B85A53" w:rsidRDefault="00C93D80" w:rsidP="00C93D80">
            <w:pPr>
              <w:pStyle w:val="Tableformat"/>
              <w:rPr>
                <w:b/>
                <w:color w:val="auto"/>
                <w:sz w:val="22"/>
                <w:szCs w:val="22"/>
              </w:rPr>
            </w:pPr>
            <w:r w:rsidRPr="00B85A53">
              <w:rPr>
                <w:b/>
                <w:color w:val="auto"/>
                <w:sz w:val="22"/>
                <w:szCs w:val="22"/>
              </w:rPr>
              <w:t>Performance milestones</w:t>
            </w:r>
          </w:p>
        </w:tc>
        <w:tc>
          <w:tcPr>
            <w:tcW w:w="3586" w:type="dxa"/>
            <w:shd w:val="clear" w:color="auto" w:fill="F2F2F2" w:themeFill="background1" w:themeFillShade="F2"/>
          </w:tcPr>
          <w:p w14:paraId="7A9BF063" w14:textId="77777777" w:rsidR="00C93D80" w:rsidRPr="00B85A53" w:rsidRDefault="00C93D80" w:rsidP="00C93D80">
            <w:pPr>
              <w:pStyle w:val="Tableformat"/>
              <w:rPr>
                <w:b/>
                <w:color w:val="auto"/>
                <w:sz w:val="22"/>
                <w:szCs w:val="22"/>
              </w:rPr>
            </w:pPr>
            <w:r w:rsidRPr="00B85A53">
              <w:rPr>
                <w:b/>
                <w:color w:val="auto"/>
                <w:sz w:val="22"/>
                <w:szCs w:val="22"/>
              </w:rPr>
              <w:t>Key Performance Indicators</w:t>
            </w:r>
          </w:p>
        </w:tc>
        <w:tc>
          <w:tcPr>
            <w:tcW w:w="1328" w:type="dxa"/>
            <w:shd w:val="clear" w:color="auto" w:fill="F2F2F2" w:themeFill="background1" w:themeFillShade="F2"/>
          </w:tcPr>
          <w:p w14:paraId="4B61F934" w14:textId="77777777" w:rsidR="00C93D80" w:rsidRPr="00B85A53" w:rsidRDefault="00C93D80" w:rsidP="00C93D80">
            <w:pPr>
              <w:pStyle w:val="Tableformat"/>
              <w:rPr>
                <w:b/>
                <w:color w:val="auto"/>
                <w:sz w:val="22"/>
                <w:szCs w:val="22"/>
              </w:rPr>
            </w:pPr>
            <w:r w:rsidRPr="00B85A53">
              <w:rPr>
                <w:b/>
                <w:color w:val="auto"/>
                <w:sz w:val="22"/>
                <w:szCs w:val="22"/>
              </w:rPr>
              <w:t>Milestone due</w:t>
            </w:r>
          </w:p>
        </w:tc>
        <w:tc>
          <w:tcPr>
            <w:tcW w:w="1134" w:type="dxa"/>
            <w:tcBorders>
              <w:bottom w:val="single" w:sz="8" w:space="0" w:color="4F81BD"/>
            </w:tcBorders>
            <w:shd w:val="clear" w:color="auto" w:fill="F2F2F2" w:themeFill="background1" w:themeFillShade="F2"/>
          </w:tcPr>
          <w:p w14:paraId="08A227D2" w14:textId="77777777" w:rsidR="00C93D80" w:rsidRPr="00B85A53" w:rsidRDefault="00C93D80" w:rsidP="00C93D80">
            <w:pPr>
              <w:pStyle w:val="Tableformat"/>
              <w:rPr>
                <w:b/>
                <w:color w:val="auto"/>
                <w:sz w:val="22"/>
                <w:szCs w:val="22"/>
              </w:rPr>
            </w:pPr>
            <w:r w:rsidRPr="00B85A53">
              <w:rPr>
                <w:b/>
                <w:color w:val="auto"/>
                <w:sz w:val="22"/>
                <w:szCs w:val="22"/>
              </w:rPr>
              <w:t>Payment</w:t>
            </w:r>
          </w:p>
        </w:tc>
      </w:tr>
      <w:tr w:rsidR="00566D75" w:rsidRPr="004C4B9D" w14:paraId="2CC2C2D7" w14:textId="77777777" w:rsidTr="00566D75">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39B45E1D" w14:textId="77777777" w:rsidR="00566D75" w:rsidRPr="004C4B9D" w:rsidRDefault="00566D75" w:rsidP="006F3A9B">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578B629A" w14:textId="77777777" w:rsidR="00566D75" w:rsidRPr="004C4B9D" w:rsidRDefault="00566D75" w:rsidP="006F3A9B">
            <w:pPr>
              <w:pStyle w:val="Tableformat"/>
              <w:rPr>
                <w:bCs/>
                <w:color w:val="auto"/>
                <w:sz w:val="20"/>
                <w:szCs w:val="20"/>
              </w:rPr>
            </w:pPr>
            <w:r w:rsidRPr="00C35DA5">
              <w:rPr>
                <w:bCs/>
                <w:color w:val="auto"/>
                <w:sz w:val="20"/>
                <w:szCs w:val="20"/>
              </w:rPr>
              <w:t>1. 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524CA9">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9528ADC" w14:textId="13A0B90E" w:rsidR="00566D75" w:rsidRPr="004C4B9D" w:rsidRDefault="00566D75" w:rsidP="006F3A9B">
            <w:pPr>
              <w:pStyle w:val="Tableformat"/>
              <w:rPr>
                <w:bCs/>
                <w:color w:val="auto"/>
                <w:sz w:val="20"/>
                <w:szCs w:val="20"/>
              </w:rPr>
            </w:pPr>
            <w:r w:rsidRPr="00C35DA5">
              <w:rPr>
                <w:bCs/>
                <w:color w:val="auto"/>
                <w:sz w:val="20"/>
                <w:szCs w:val="20"/>
              </w:rPr>
              <w:t>1.a Work with the Commonwealth on water recovery projects, including setting up governance arrangements and schedules as appropriate, conducting outreach and engagement with irrigation networks and transforming entitlements as appropriate.</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A5D664" w14:textId="77777777" w:rsidR="00566D75" w:rsidRPr="004C4B9D" w:rsidRDefault="00566D75" w:rsidP="006F3A9B">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B1E8436" w14:textId="70C0638F" w:rsidR="00566D75" w:rsidRPr="004C4B9D" w:rsidRDefault="008771E5" w:rsidP="006F3A9B">
            <w:pPr>
              <w:pStyle w:val="Tableformat"/>
              <w:rPr>
                <w:bCs/>
                <w:color w:val="auto"/>
                <w:sz w:val="20"/>
                <w:szCs w:val="20"/>
              </w:rPr>
            </w:pPr>
            <w:r>
              <w:rPr>
                <w:bCs/>
                <w:color w:val="auto"/>
                <w:sz w:val="20"/>
                <w:szCs w:val="20"/>
              </w:rPr>
              <w:t>$531,660</w:t>
            </w:r>
          </w:p>
        </w:tc>
      </w:tr>
      <w:tr w:rsidR="00566D75" w14:paraId="37A0B950" w14:textId="77777777" w:rsidTr="00566D75">
        <w:tc>
          <w:tcPr>
            <w:tcW w:w="1578" w:type="dxa"/>
            <w:vMerge/>
            <w:tcBorders>
              <w:left w:val="single" w:sz="8" w:space="0" w:color="4F81BD"/>
              <w:right w:val="single" w:sz="8" w:space="0" w:color="4F81BD"/>
            </w:tcBorders>
            <w:shd w:val="clear" w:color="auto" w:fill="F2F2F2" w:themeFill="background1" w:themeFillShade="F2"/>
          </w:tcPr>
          <w:p w14:paraId="46B986ED" w14:textId="77777777" w:rsidR="00566D75" w:rsidRPr="004C4B9D" w:rsidRDefault="00566D75" w:rsidP="006F3A9B">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5679FD40" w14:textId="77777777" w:rsidR="00566D75" w:rsidRPr="004C4B9D" w:rsidRDefault="00566D75" w:rsidP="006F3A9B">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F56136" w14:textId="5A1E5CD5" w:rsidR="00566D75" w:rsidRPr="002911F1" w:rsidRDefault="00566D75" w:rsidP="006F3A9B">
            <w:pPr>
              <w:pStyle w:val="Tableformat"/>
              <w:rPr>
                <w:bCs/>
                <w:color w:val="auto"/>
                <w:sz w:val="20"/>
                <w:szCs w:val="20"/>
              </w:rPr>
            </w:pPr>
            <w:r w:rsidRPr="00C35DA5">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35DA5">
              <w:rPr>
                <w:bCs/>
                <w:color w:val="auto"/>
                <w:sz w:val="20"/>
                <w:szCs w:val="20"/>
              </w:rPr>
              <w:t xml:space="preserve"> using the Ministerial Council </w:t>
            </w:r>
            <w:r w:rsidR="007C3B81" w:rsidRPr="00C35DA5">
              <w:rPr>
                <w:bCs/>
                <w:color w:val="auto"/>
                <w:sz w:val="20"/>
                <w:szCs w:val="20"/>
              </w:rPr>
              <w:t>stock take</w:t>
            </w:r>
            <w:r w:rsidRPr="00C35DA5">
              <w:rPr>
                <w:bCs/>
                <w:color w:val="auto"/>
                <w:sz w:val="20"/>
                <w:szCs w:val="20"/>
              </w:rPr>
              <w:t xml:space="preserve"> as a starting point. Business case applications will include socio-economic analysis and proposals for transfer of water entitlements</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9F09BF" w14:textId="77777777" w:rsidR="00566D75" w:rsidRDefault="00566D75" w:rsidP="006F3A9B">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458F8B" w14:textId="44A0CC14" w:rsidR="00566D75" w:rsidRDefault="00566D75" w:rsidP="006F3A9B">
            <w:pPr>
              <w:pStyle w:val="Tableformat"/>
              <w:rPr>
                <w:bCs/>
                <w:color w:val="auto"/>
                <w:sz w:val="20"/>
                <w:szCs w:val="20"/>
              </w:rPr>
            </w:pPr>
            <w:r>
              <w:rPr>
                <w:bCs/>
                <w:color w:val="auto"/>
                <w:sz w:val="20"/>
                <w:szCs w:val="20"/>
              </w:rPr>
              <w:t>$</w:t>
            </w:r>
            <w:r w:rsidR="008771E5">
              <w:rPr>
                <w:bCs/>
                <w:color w:val="auto"/>
                <w:sz w:val="20"/>
                <w:szCs w:val="20"/>
              </w:rPr>
              <w:t>531,660</w:t>
            </w:r>
          </w:p>
        </w:tc>
      </w:tr>
      <w:tr w:rsidR="008771E5" w:rsidRPr="004C4B9D" w14:paraId="28D929C9" w14:textId="77777777" w:rsidTr="00566D75">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2BF21425" w14:textId="77777777" w:rsidR="008771E5" w:rsidRPr="004C4B9D" w:rsidRDefault="008771E5" w:rsidP="008771E5">
            <w:pPr>
              <w:pStyle w:val="Tableformat"/>
              <w:rPr>
                <w:bCs/>
                <w:color w:val="auto"/>
                <w:sz w:val="20"/>
                <w:szCs w:val="20"/>
              </w:rPr>
            </w:pPr>
            <w:r w:rsidRPr="004C4B9D">
              <w:rPr>
                <w:bCs/>
                <w:color w:val="auto"/>
                <w:sz w:val="20"/>
                <w:szCs w:val="20"/>
              </w:rPr>
              <w:t>Coordinated environmental water use</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FBA05E" w14:textId="59DC4CDD" w:rsidR="008771E5" w:rsidRPr="004C4B9D" w:rsidRDefault="00C55BC1" w:rsidP="008771E5">
            <w:pPr>
              <w:pStyle w:val="Tableformat"/>
              <w:rPr>
                <w:bCs/>
                <w:color w:val="auto"/>
                <w:sz w:val="20"/>
                <w:szCs w:val="20"/>
              </w:rPr>
            </w:pPr>
            <w:r>
              <w:rPr>
                <w:bCs/>
                <w:color w:val="auto"/>
                <w:sz w:val="20"/>
                <w:szCs w:val="20"/>
              </w:rPr>
              <w:t>2</w:t>
            </w:r>
            <w:r w:rsidR="008771E5">
              <w:rPr>
                <w:bCs/>
                <w:color w:val="auto"/>
                <w:sz w:val="20"/>
                <w:szCs w:val="20"/>
              </w:rPr>
              <w:t xml:space="preserve">. </w:t>
            </w:r>
            <w:r w:rsidR="008771E5" w:rsidRPr="004C4B9D">
              <w:rPr>
                <w:bCs/>
                <w:color w:val="auto"/>
                <w:sz w:val="20"/>
                <w:szCs w:val="20"/>
              </w:rPr>
              <w:t>Deliver an agreed Basin-wide Environmental Water Protection Strategy and Implementation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43F038" w14:textId="10158CAB" w:rsidR="008771E5" w:rsidRPr="004C4B9D" w:rsidRDefault="00C55BC1" w:rsidP="004E1C0D">
            <w:pPr>
              <w:pStyle w:val="Tableformat"/>
              <w:rPr>
                <w:bCs/>
                <w:color w:val="auto"/>
                <w:sz w:val="20"/>
                <w:szCs w:val="20"/>
              </w:rPr>
            </w:pPr>
            <w:r>
              <w:rPr>
                <w:bCs/>
                <w:color w:val="auto"/>
                <w:sz w:val="20"/>
                <w:szCs w:val="20"/>
              </w:rPr>
              <w:t>2</w:t>
            </w:r>
            <w:r w:rsidR="008771E5" w:rsidRPr="00C35DA5">
              <w:rPr>
                <w:bCs/>
                <w:color w:val="auto"/>
                <w:sz w:val="20"/>
                <w:szCs w:val="20"/>
              </w:rPr>
              <w:t>.</w:t>
            </w:r>
            <w:r>
              <w:rPr>
                <w:bCs/>
                <w:color w:val="auto"/>
                <w:sz w:val="20"/>
                <w:szCs w:val="20"/>
              </w:rPr>
              <w:t>a</w:t>
            </w:r>
            <w:r w:rsidRPr="00C35DA5">
              <w:rPr>
                <w:bCs/>
                <w:color w:val="auto"/>
                <w:sz w:val="20"/>
                <w:szCs w:val="20"/>
              </w:rPr>
              <w:t xml:space="preserve"> </w:t>
            </w:r>
            <w:r w:rsidR="008771E5" w:rsidRPr="00C35DA5">
              <w:rPr>
                <w:bCs/>
                <w:color w:val="auto"/>
                <w:sz w:val="20"/>
                <w:szCs w:val="20"/>
              </w:rPr>
              <w:t xml:space="preserve">Deliver and implement the agreed </w:t>
            </w:r>
            <w:r w:rsidR="007C3B81" w:rsidRPr="00C35DA5">
              <w:rPr>
                <w:bCs/>
                <w:color w:val="auto"/>
                <w:sz w:val="20"/>
                <w:szCs w:val="20"/>
              </w:rPr>
              <w:t>work plan</w:t>
            </w:r>
            <w:r w:rsidR="008771E5" w:rsidRPr="00C35DA5">
              <w:rPr>
                <w:bCs/>
                <w:color w:val="auto"/>
                <w:sz w:val="20"/>
                <w:szCs w:val="20"/>
              </w:rPr>
              <w:t xml:space="preserve"> of the priority collaborative activities of the Environmental Water Protection Strategy, where relevant to the jurisdiction</w:t>
            </w:r>
            <w:r w:rsidR="008771E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63656B"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368D57" w14:textId="25C23452"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43CB0ADF" w14:textId="77777777" w:rsidTr="00566D75">
        <w:tc>
          <w:tcPr>
            <w:tcW w:w="1578" w:type="dxa"/>
            <w:vMerge/>
            <w:tcBorders>
              <w:left w:val="single" w:sz="8" w:space="0" w:color="4F81BD"/>
              <w:right w:val="single" w:sz="8" w:space="0" w:color="4F81BD"/>
            </w:tcBorders>
            <w:shd w:val="clear" w:color="auto" w:fill="F2F2F2" w:themeFill="background1" w:themeFillShade="F2"/>
          </w:tcPr>
          <w:p w14:paraId="2E24BC11" w14:textId="77777777" w:rsidR="008771E5" w:rsidRPr="004C4B9D" w:rsidRDefault="008771E5" w:rsidP="008771E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524FACEB" w14:textId="265DEA1C" w:rsidR="008771E5" w:rsidRPr="004C4B9D" w:rsidRDefault="00C55BC1" w:rsidP="008771E5">
            <w:pPr>
              <w:pStyle w:val="Tableformat"/>
              <w:rPr>
                <w:bCs/>
                <w:color w:val="auto"/>
                <w:sz w:val="20"/>
                <w:szCs w:val="20"/>
              </w:rPr>
            </w:pPr>
            <w:r>
              <w:rPr>
                <w:bCs/>
                <w:color w:val="auto"/>
                <w:sz w:val="20"/>
                <w:szCs w:val="20"/>
              </w:rPr>
              <w:t>3</w:t>
            </w:r>
            <w:r w:rsidR="008771E5" w:rsidRPr="00C35DA5">
              <w:rPr>
                <w:bCs/>
                <w:color w:val="auto"/>
                <w:sz w:val="20"/>
                <w:szCs w:val="20"/>
              </w:rPr>
              <w:t>. Improve environmental watering plans and strategies, including by updating Long-Term Watering Plans (LTWPs) within agreed timeframes</w:t>
            </w:r>
            <w:r w:rsidR="008771E5" w:rsidRPr="004C4B9D">
              <w:rPr>
                <w:bCs/>
                <w:color w:val="auto"/>
                <w:sz w:val="20"/>
                <w:szCs w:val="20"/>
              </w:rPr>
              <w:t xml:space="preserve">.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A99DEB" w14:textId="7F0A6E5C" w:rsidR="008771E5" w:rsidRPr="004C4B9D" w:rsidRDefault="00C55BC1" w:rsidP="008771E5">
            <w:pPr>
              <w:pStyle w:val="Tableformat"/>
              <w:rPr>
                <w:bCs/>
                <w:color w:val="auto"/>
                <w:sz w:val="20"/>
                <w:szCs w:val="20"/>
              </w:rPr>
            </w:pPr>
            <w:r>
              <w:rPr>
                <w:bCs/>
                <w:color w:val="auto"/>
                <w:sz w:val="20"/>
                <w:szCs w:val="20"/>
              </w:rPr>
              <w:t>3</w:t>
            </w:r>
            <w:r w:rsidR="008771E5" w:rsidRPr="00C35DA5">
              <w:rPr>
                <w:bCs/>
                <w:color w:val="auto"/>
                <w:sz w:val="20"/>
                <w:szCs w:val="20"/>
              </w:rPr>
              <w:t xml:space="preserve">.a Engage with </w:t>
            </w:r>
            <w:r w:rsidR="00795920">
              <w:rPr>
                <w:bCs/>
                <w:color w:val="auto"/>
                <w:sz w:val="20"/>
                <w:szCs w:val="20"/>
              </w:rPr>
              <w:t>all stakeholders</w:t>
            </w:r>
            <w:r w:rsidR="008771E5" w:rsidRPr="00C35DA5">
              <w:rPr>
                <w:bCs/>
                <w:color w:val="auto"/>
                <w:sz w:val="20"/>
                <w:szCs w:val="20"/>
              </w:rPr>
              <w:t>, in the development of annual environmental water plans or priorities; and in the implementation, review and update of LTWPs, where relevant to the jurisdiction</w:t>
            </w:r>
            <w:r w:rsidR="008771E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1C2573"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D587E4" w14:textId="4E38B9EE"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6A09760F" w14:textId="77777777" w:rsidTr="00566D75">
        <w:tc>
          <w:tcPr>
            <w:tcW w:w="1578" w:type="dxa"/>
            <w:vMerge/>
            <w:tcBorders>
              <w:left w:val="single" w:sz="8" w:space="0" w:color="4F81BD"/>
              <w:right w:val="single" w:sz="8" w:space="0" w:color="4F81BD"/>
            </w:tcBorders>
            <w:shd w:val="clear" w:color="auto" w:fill="F2F2F2" w:themeFill="background1" w:themeFillShade="F2"/>
          </w:tcPr>
          <w:p w14:paraId="5F6CED11" w14:textId="77777777" w:rsidR="008771E5" w:rsidRPr="004C4B9D" w:rsidRDefault="008771E5" w:rsidP="008771E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70CFA021" w14:textId="77777777" w:rsidR="008771E5" w:rsidRPr="004C4B9D"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83F14F6" w14:textId="7141B8B3" w:rsidR="008771E5" w:rsidRPr="004C4B9D" w:rsidRDefault="00C55BC1" w:rsidP="008771E5">
            <w:pPr>
              <w:pStyle w:val="Tableformat"/>
              <w:rPr>
                <w:bCs/>
                <w:color w:val="auto"/>
                <w:sz w:val="20"/>
                <w:szCs w:val="20"/>
              </w:rPr>
            </w:pPr>
            <w:r>
              <w:rPr>
                <w:bCs/>
                <w:color w:val="auto"/>
                <w:sz w:val="20"/>
                <w:szCs w:val="20"/>
              </w:rPr>
              <w:t>3</w:t>
            </w:r>
            <w:r w:rsidR="008771E5" w:rsidRPr="00C35DA5">
              <w:rPr>
                <w:bCs/>
                <w:color w:val="auto"/>
                <w:sz w:val="20"/>
                <w:szCs w:val="20"/>
              </w:rPr>
              <w:t>.b Provide input to third edition of the Basin-wide Environmental Watering Strategy, including input on climate adaptation approaches and techniques</w:t>
            </w:r>
            <w:r w:rsidR="008771E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140EB0"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84504D" w14:textId="015791AF"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68E3AFF9" w14:textId="77777777" w:rsidTr="00566D75">
        <w:tc>
          <w:tcPr>
            <w:tcW w:w="1578" w:type="dxa"/>
            <w:vMerge/>
            <w:tcBorders>
              <w:left w:val="single" w:sz="8" w:space="0" w:color="4F81BD"/>
              <w:bottom w:val="single" w:sz="8" w:space="0" w:color="4F81BD"/>
              <w:right w:val="single" w:sz="8" w:space="0" w:color="4F81BD"/>
            </w:tcBorders>
            <w:shd w:val="clear" w:color="auto" w:fill="F2F2F2" w:themeFill="background1" w:themeFillShade="F2"/>
          </w:tcPr>
          <w:p w14:paraId="0803005C" w14:textId="77777777" w:rsidR="008771E5" w:rsidRPr="004C4B9D" w:rsidRDefault="008771E5" w:rsidP="008771E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763173E7" w14:textId="77777777" w:rsidR="008771E5" w:rsidRPr="004C4B9D"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3864BE" w14:textId="177C945C" w:rsidR="008771E5" w:rsidRPr="004C4B9D" w:rsidRDefault="00C55BC1" w:rsidP="008771E5">
            <w:pPr>
              <w:pStyle w:val="Tableformat"/>
              <w:rPr>
                <w:bCs/>
                <w:color w:val="auto"/>
                <w:sz w:val="20"/>
                <w:szCs w:val="20"/>
              </w:rPr>
            </w:pPr>
            <w:r>
              <w:rPr>
                <w:bCs/>
                <w:color w:val="auto"/>
                <w:sz w:val="20"/>
                <w:szCs w:val="20"/>
              </w:rPr>
              <w:t>3</w:t>
            </w:r>
            <w:r w:rsidR="008771E5" w:rsidRPr="00C35DA5">
              <w:rPr>
                <w:bCs/>
                <w:color w:val="auto"/>
                <w:sz w:val="20"/>
                <w:szCs w:val="20"/>
              </w:rPr>
              <w:t>.c Update LTWPs (or alternatively agreed tool) in line with the third edition of the Basin-wide environmental watering strategy within agreed timeframes</w:t>
            </w:r>
            <w:r w:rsidR="008771E5" w:rsidRPr="004C4B9D">
              <w:rPr>
                <w:bCs/>
                <w:color w:val="auto"/>
                <w:sz w:val="20"/>
                <w:szCs w:val="20"/>
              </w:rPr>
              <w:t xml:space="preserve">. </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7DC8BB"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8A8380" w14:textId="2154403A"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7B2CA5C6" w14:textId="77777777" w:rsidTr="00566D75">
        <w:tc>
          <w:tcPr>
            <w:tcW w:w="1578" w:type="dxa"/>
            <w:vMerge w:val="restart"/>
            <w:tcBorders>
              <w:left w:val="single" w:sz="8" w:space="0" w:color="4F81BD"/>
              <w:right w:val="single" w:sz="8" w:space="0" w:color="4F81BD"/>
            </w:tcBorders>
            <w:shd w:val="clear" w:color="auto" w:fill="F2F2F2" w:themeFill="background1" w:themeFillShade="F2"/>
          </w:tcPr>
          <w:p w14:paraId="01E2C1A5" w14:textId="77777777" w:rsidR="008771E5" w:rsidRPr="004C4B9D" w:rsidRDefault="008771E5" w:rsidP="008771E5">
            <w:pPr>
              <w:pStyle w:val="Tableformat"/>
              <w:rPr>
                <w:bCs/>
                <w:color w:val="auto"/>
                <w:sz w:val="20"/>
                <w:szCs w:val="20"/>
              </w:rPr>
            </w:pPr>
            <w:r w:rsidRPr="004C4B9D">
              <w:rPr>
                <w:bCs/>
                <w:color w:val="auto"/>
                <w:sz w:val="20"/>
                <w:szCs w:val="20"/>
              </w:rPr>
              <w:t>Implementation of the Basin Plan</w:t>
            </w:r>
          </w:p>
        </w:tc>
        <w:tc>
          <w:tcPr>
            <w:tcW w:w="2581" w:type="dxa"/>
            <w:vMerge w:val="restart"/>
            <w:tcBorders>
              <w:left w:val="single" w:sz="8" w:space="0" w:color="4F81BD"/>
              <w:right w:val="single" w:sz="8" w:space="0" w:color="4F81BD"/>
            </w:tcBorders>
            <w:shd w:val="clear" w:color="auto" w:fill="F2F2F2" w:themeFill="background1" w:themeFillShade="F2"/>
          </w:tcPr>
          <w:p w14:paraId="732B96C7" w14:textId="3830B5E5" w:rsidR="008771E5" w:rsidRPr="004C4B9D" w:rsidRDefault="00C55BC1" w:rsidP="008771E5">
            <w:pPr>
              <w:pStyle w:val="Tableformat"/>
              <w:rPr>
                <w:bCs/>
                <w:color w:val="auto"/>
                <w:sz w:val="20"/>
                <w:szCs w:val="20"/>
              </w:rPr>
            </w:pPr>
            <w:r>
              <w:rPr>
                <w:bCs/>
                <w:color w:val="auto"/>
                <w:sz w:val="20"/>
                <w:szCs w:val="20"/>
              </w:rPr>
              <w:t>4</w:t>
            </w:r>
            <w:r w:rsidR="008771E5">
              <w:rPr>
                <w:bCs/>
                <w:color w:val="auto"/>
                <w:sz w:val="20"/>
                <w:szCs w:val="20"/>
              </w:rPr>
              <w:t xml:space="preserve">. </w:t>
            </w:r>
            <w:r w:rsidR="008771E5" w:rsidRPr="004C4B9D">
              <w:rPr>
                <w:bCs/>
                <w:color w:val="auto"/>
                <w:sz w:val="20"/>
                <w:szCs w:val="20"/>
              </w:rPr>
              <w:t>Implement the SDLAM program, where not funded under other agreements.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444734" w14:textId="3FBED298" w:rsidR="008771E5" w:rsidRPr="00C35DA5" w:rsidRDefault="00C55BC1" w:rsidP="008771E5">
            <w:pPr>
              <w:pStyle w:val="Tableformat"/>
              <w:rPr>
                <w:bCs/>
                <w:color w:val="auto"/>
                <w:sz w:val="20"/>
                <w:szCs w:val="20"/>
              </w:rPr>
            </w:pPr>
            <w:r>
              <w:rPr>
                <w:bCs/>
                <w:color w:val="auto"/>
                <w:sz w:val="20"/>
                <w:szCs w:val="20"/>
              </w:rPr>
              <w:t>4</w:t>
            </w:r>
            <w:r w:rsidR="008771E5" w:rsidRPr="00C35DA5">
              <w:rPr>
                <w:bCs/>
                <w:color w:val="auto"/>
                <w:sz w:val="20"/>
                <w:szCs w:val="20"/>
              </w:rPr>
              <w:t>.a Actively work with the Commonwealth to optimise and address risks to SDLAM program outcomes, including:</w:t>
            </w:r>
          </w:p>
          <w:p w14:paraId="586C90D9" w14:textId="77777777" w:rsidR="008771E5" w:rsidRPr="00C35DA5" w:rsidRDefault="008771E5" w:rsidP="008771E5">
            <w:pPr>
              <w:pStyle w:val="Tableformat"/>
              <w:rPr>
                <w:bCs/>
                <w:color w:val="auto"/>
                <w:sz w:val="20"/>
                <w:szCs w:val="20"/>
              </w:rPr>
            </w:pPr>
            <w:r w:rsidRPr="00C35DA5">
              <w:rPr>
                <w:bCs/>
                <w:color w:val="auto"/>
                <w:sz w:val="20"/>
                <w:szCs w:val="20"/>
              </w:rPr>
              <w:t>- the establishment of a process to formally amend project scope</w:t>
            </w:r>
          </w:p>
          <w:p w14:paraId="57FDB171" w14:textId="77777777" w:rsidR="008771E5" w:rsidRPr="00C35DA5" w:rsidRDefault="008771E5" w:rsidP="008771E5">
            <w:pPr>
              <w:pStyle w:val="Tableformat"/>
              <w:rPr>
                <w:bCs/>
                <w:color w:val="auto"/>
                <w:sz w:val="20"/>
                <w:szCs w:val="20"/>
              </w:rPr>
            </w:pPr>
            <w:r w:rsidRPr="00C35DA5">
              <w:rPr>
                <w:bCs/>
                <w:color w:val="auto"/>
                <w:sz w:val="20"/>
                <w:szCs w:val="20"/>
              </w:rPr>
              <w:t>- resolution of critical policy issues to enable agreement to Stage 2 funding arrangements</w:t>
            </w:r>
          </w:p>
          <w:p w14:paraId="3A8D295F" w14:textId="77777777" w:rsidR="008771E5" w:rsidRPr="00C35DA5" w:rsidRDefault="008771E5" w:rsidP="008771E5">
            <w:pPr>
              <w:pStyle w:val="Tableformat"/>
              <w:rPr>
                <w:bCs/>
                <w:color w:val="auto"/>
                <w:sz w:val="20"/>
                <w:szCs w:val="20"/>
              </w:rPr>
            </w:pPr>
            <w:r w:rsidRPr="00C35DA5">
              <w:rPr>
                <w:bCs/>
                <w:color w:val="auto"/>
                <w:sz w:val="20"/>
                <w:szCs w:val="20"/>
              </w:rPr>
              <w:t>- fast-tracking relevant projects</w:t>
            </w:r>
          </w:p>
          <w:p w14:paraId="5478FBE0" w14:textId="77777777" w:rsidR="008771E5" w:rsidRPr="004C4B9D" w:rsidRDefault="008771E5" w:rsidP="008771E5">
            <w:pPr>
              <w:pStyle w:val="Tableformat"/>
              <w:rPr>
                <w:bCs/>
                <w:color w:val="auto"/>
                <w:sz w:val="20"/>
                <w:szCs w:val="20"/>
              </w:rPr>
            </w:pPr>
            <w:r w:rsidRPr="00C35DA5">
              <w:rPr>
                <w:bCs/>
                <w:color w:val="auto"/>
                <w:sz w:val="20"/>
                <w:szCs w:val="20"/>
              </w:rPr>
              <w:t>- investigating the potential for existing, enhanced projects to contribute to Basin Plan outcomes</w:t>
            </w:r>
            <w:r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639C76"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763DC6" w14:textId="16A1DC73"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285D15E4" w14:textId="77777777" w:rsidTr="00566D75">
        <w:tc>
          <w:tcPr>
            <w:tcW w:w="1578" w:type="dxa"/>
            <w:vMerge/>
            <w:tcBorders>
              <w:left w:val="single" w:sz="8" w:space="0" w:color="4F81BD"/>
              <w:right w:val="single" w:sz="8" w:space="0" w:color="4F81BD"/>
            </w:tcBorders>
            <w:shd w:val="clear" w:color="auto" w:fill="F2F2F2" w:themeFill="background1" w:themeFillShade="F2"/>
          </w:tcPr>
          <w:p w14:paraId="7AE09CC1" w14:textId="77777777" w:rsidR="008771E5" w:rsidRPr="004C4B9D" w:rsidRDefault="008771E5" w:rsidP="008771E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15EA93D3" w14:textId="77777777" w:rsidR="008771E5" w:rsidRPr="004C4B9D"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35B4EE" w14:textId="5A92E957" w:rsidR="008771E5" w:rsidRPr="004C4B9D" w:rsidRDefault="00C55BC1" w:rsidP="008771E5">
            <w:pPr>
              <w:pStyle w:val="Tableformat"/>
              <w:rPr>
                <w:bCs/>
                <w:color w:val="auto"/>
                <w:sz w:val="20"/>
                <w:szCs w:val="20"/>
              </w:rPr>
            </w:pPr>
            <w:r>
              <w:rPr>
                <w:bCs/>
                <w:color w:val="auto"/>
                <w:sz w:val="20"/>
                <w:szCs w:val="20"/>
              </w:rPr>
              <w:t>4</w:t>
            </w:r>
            <w:r w:rsidR="008771E5" w:rsidRPr="00C35DA5">
              <w:rPr>
                <w:bCs/>
                <w:color w:val="auto"/>
                <w:sz w:val="20"/>
                <w:szCs w:val="20"/>
              </w:rPr>
              <w:t>.b Identify, develop and progress required changes to the River Murray Operations Framework and Murray-Darling Basin Agreement. Any changes are to be agreed by all jurisdictions</w:t>
            </w:r>
            <w:r w:rsidR="008771E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6AFFE8"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E81AE9" w14:textId="510E85F9"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535B973D" w14:textId="77777777" w:rsidTr="00566D75">
        <w:tc>
          <w:tcPr>
            <w:tcW w:w="1578" w:type="dxa"/>
            <w:vMerge/>
            <w:tcBorders>
              <w:left w:val="single" w:sz="8" w:space="0" w:color="4F81BD"/>
              <w:right w:val="single" w:sz="8" w:space="0" w:color="4F81BD"/>
            </w:tcBorders>
            <w:shd w:val="clear" w:color="auto" w:fill="F2F2F2" w:themeFill="background1" w:themeFillShade="F2"/>
          </w:tcPr>
          <w:p w14:paraId="161D9CFA" w14:textId="77777777" w:rsidR="008771E5" w:rsidRPr="004C4B9D" w:rsidRDefault="008771E5" w:rsidP="008771E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091BF1CC" w14:textId="77777777" w:rsidR="008771E5" w:rsidRPr="004C4B9D"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17E3D2" w14:textId="70E23E83" w:rsidR="008771E5" w:rsidRPr="004C4B9D" w:rsidRDefault="00C55BC1" w:rsidP="004F5E0D">
            <w:pPr>
              <w:pStyle w:val="Tableformat"/>
              <w:rPr>
                <w:bCs/>
                <w:color w:val="auto"/>
                <w:sz w:val="20"/>
                <w:szCs w:val="20"/>
              </w:rPr>
            </w:pPr>
            <w:r>
              <w:rPr>
                <w:bCs/>
                <w:color w:val="auto"/>
                <w:sz w:val="20"/>
                <w:szCs w:val="20"/>
              </w:rPr>
              <w:t>4</w:t>
            </w:r>
            <w:r w:rsidR="008771E5" w:rsidRPr="00C35DA5">
              <w:rPr>
                <w:bCs/>
                <w:color w:val="auto"/>
                <w:sz w:val="20"/>
                <w:szCs w:val="20"/>
              </w:rPr>
              <w:t>.</w:t>
            </w:r>
            <w:r w:rsidR="004F5E0D">
              <w:rPr>
                <w:bCs/>
                <w:color w:val="auto"/>
                <w:sz w:val="20"/>
                <w:szCs w:val="20"/>
              </w:rPr>
              <w:t>c</w:t>
            </w:r>
            <w:r w:rsidR="008771E5" w:rsidRPr="00C35DA5">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8771E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8BB86A"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2EC580" w14:textId="04F431FE"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0D8DAB87" w14:textId="77777777" w:rsidTr="00566D75">
        <w:tc>
          <w:tcPr>
            <w:tcW w:w="1578" w:type="dxa"/>
            <w:vMerge/>
            <w:tcBorders>
              <w:left w:val="single" w:sz="8" w:space="0" w:color="4F81BD"/>
              <w:right w:val="single" w:sz="8" w:space="0" w:color="4F81BD"/>
            </w:tcBorders>
            <w:shd w:val="clear" w:color="auto" w:fill="F2F2F2" w:themeFill="background1" w:themeFillShade="F2"/>
          </w:tcPr>
          <w:p w14:paraId="637BD844" w14:textId="77777777" w:rsidR="008771E5" w:rsidRPr="004C4B9D" w:rsidRDefault="008771E5" w:rsidP="008771E5">
            <w:pPr>
              <w:pStyle w:val="Tableformat"/>
              <w:rPr>
                <w:bCs/>
                <w:color w:val="auto"/>
                <w:sz w:val="20"/>
                <w:szCs w:val="20"/>
              </w:rPr>
            </w:pPr>
          </w:p>
        </w:tc>
        <w:tc>
          <w:tcPr>
            <w:tcW w:w="2581" w:type="dxa"/>
            <w:tcBorders>
              <w:top w:val="single" w:sz="8" w:space="0" w:color="4F81BD"/>
              <w:left w:val="single" w:sz="8" w:space="0" w:color="4F81BD"/>
              <w:right w:val="single" w:sz="8" w:space="0" w:color="4F81BD"/>
            </w:tcBorders>
            <w:shd w:val="clear" w:color="auto" w:fill="F2F2F2" w:themeFill="background1" w:themeFillShade="F2"/>
          </w:tcPr>
          <w:p w14:paraId="21249414" w14:textId="429BCE97" w:rsidR="008771E5" w:rsidRPr="004C4B9D" w:rsidRDefault="00C55BC1" w:rsidP="008771E5">
            <w:pPr>
              <w:pStyle w:val="Tableformat"/>
              <w:rPr>
                <w:bCs/>
                <w:color w:val="auto"/>
                <w:sz w:val="20"/>
                <w:szCs w:val="20"/>
              </w:rPr>
            </w:pPr>
            <w:r>
              <w:rPr>
                <w:bCs/>
                <w:color w:val="auto"/>
                <w:sz w:val="20"/>
                <w:szCs w:val="20"/>
              </w:rPr>
              <w:t>5</w:t>
            </w:r>
            <w:r w:rsidR="008771E5" w:rsidRPr="00C35DA5">
              <w:rPr>
                <w:bCs/>
                <w:color w:val="auto"/>
                <w:sz w:val="20"/>
                <w:szCs w:val="20"/>
              </w:rPr>
              <w:t xml:space="preserve">. Contribute to delivery of the MDBA-led SDL Accounting Framework Improvement Strategy 2020-25 </w:t>
            </w:r>
            <w:r w:rsidR="007C3B81" w:rsidRPr="00C35DA5">
              <w:rPr>
                <w:bCs/>
                <w:color w:val="auto"/>
                <w:sz w:val="20"/>
                <w:szCs w:val="20"/>
              </w:rPr>
              <w:t>work plan</w:t>
            </w:r>
            <w:r w:rsidR="008771E5" w:rsidRPr="00C35DA5">
              <w:rPr>
                <w:bCs/>
                <w:color w:val="auto"/>
                <w:sz w:val="20"/>
                <w:szCs w:val="20"/>
              </w:rPr>
              <w:t>, including supplying data and quality assurance documentation</w:t>
            </w:r>
            <w:r w:rsidR="008771E5">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5181E9" w14:textId="4A37424B" w:rsidR="008771E5" w:rsidRPr="004C4B9D" w:rsidRDefault="00C55BC1" w:rsidP="004E1C0D">
            <w:pPr>
              <w:pStyle w:val="Tableformat"/>
              <w:rPr>
                <w:bCs/>
                <w:color w:val="auto"/>
                <w:sz w:val="20"/>
                <w:szCs w:val="20"/>
              </w:rPr>
            </w:pPr>
            <w:r>
              <w:rPr>
                <w:bCs/>
                <w:color w:val="auto"/>
                <w:sz w:val="20"/>
                <w:szCs w:val="20"/>
              </w:rPr>
              <w:t>5</w:t>
            </w:r>
            <w:r w:rsidR="008771E5" w:rsidRPr="00C35DA5">
              <w:rPr>
                <w:bCs/>
                <w:color w:val="auto"/>
                <w:sz w:val="20"/>
                <w:szCs w:val="20"/>
              </w:rPr>
              <w:t>.</w:t>
            </w:r>
            <w:r>
              <w:rPr>
                <w:bCs/>
                <w:color w:val="auto"/>
                <w:sz w:val="20"/>
                <w:szCs w:val="20"/>
              </w:rPr>
              <w:t>a</w:t>
            </w:r>
            <w:r w:rsidRPr="00C35DA5">
              <w:rPr>
                <w:bCs/>
                <w:color w:val="auto"/>
                <w:sz w:val="20"/>
                <w:szCs w:val="20"/>
              </w:rPr>
              <w:t xml:space="preserve"> </w:t>
            </w:r>
            <w:r w:rsidR="008771E5" w:rsidRPr="00C35DA5">
              <w:rPr>
                <w:bCs/>
                <w:color w:val="auto"/>
                <w:sz w:val="20"/>
                <w:szCs w:val="20"/>
              </w:rPr>
              <w:t xml:space="preserve">Implement the SDL Accounting Framework Improvement Strategy </w:t>
            </w:r>
            <w:r w:rsidR="007C3B81" w:rsidRPr="00C35DA5">
              <w:rPr>
                <w:bCs/>
                <w:color w:val="auto"/>
                <w:sz w:val="20"/>
                <w:szCs w:val="20"/>
              </w:rPr>
              <w:t>work plan</w:t>
            </w:r>
            <w:r w:rsidR="008771E5" w:rsidRPr="00C35DA5">
              <w:rPr>
                <w:bCs/>
                <w:color w:val="auto"/>
                <w:sz w:val="20"/>
                <w:szCs w:val="20"/>
              </w:rPr>
              <w:t xml:space="preserve"> led by the MDBA, as relevant to the jurisdiction</w:t>
            </w:r>
            <w:r w:rsidR="008771E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F1756D"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32AFC4" w14:textId="44F724CB"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51010228" w14:textId="77777777" w:rsidTr="00566D75">
        <w:tc>
          <w:tcPr>
            <w:tcW w:w="1578" w:type="dxa"/>
            <w:vMerge/>
            <w:tcBorders>
              <w:left w:val="single" w:sz="8" w:space="0" w:color="4F81BD"/>
              <w:right w:val="single" w:sz="8" w:space="0" w:color="4F81BD"/>
            </w:tcBorders>
            <w:shd w:val="clear" w:color="auto" w:fill="F2F2F2" w:themeFill="background1" w:themeFillShade="F2"/>
          </w:tcPr>
          <w:p w14:paraId="0EFA0BCC" w14:textId="77777777" w:rsidR="008771E5" w:rsidRPr="004C4B9D" w:rsidRDefault="008771E5" w:rsidP="008771E5">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A35BF7" w14:textId="584B48A6" w:rsidR="008771E5" w:rsidRPr="004C4B9D" w:rsidRDefault="00C55BC1" w:rsidP="008771E5">
            <w:pPr>
              <w:pStyle w:val="Tableformat"/>
              <w:rPr>
                <w:bCs/>
                <w:color w:val="auto"/>
                <w:sz w:val="20"/>
                <w:szCs w:val="20"/>
              </w:rPr>
            </w:pPr>
            <w:r>
              <w:rPr>
                <w:bCs/>
                <w:color w:val="auto"/>
                <w:sz w:val="20"/>
                <w:szCs w:val="20"/>
              </w:rPr>
              <w:t>6</w:t>
            </w:r>
            <w:r w:rsidR="008771E5">
              <w:rPr>
                <w:bCs/>
                <w:color w:val="auto"/>
                <w:sz w:val="20"/>
                <w:szCs w:val="20"/>
              </w:rPr>
              <w:t xml:space="preserve">. </w:t>
            </w:r>
            <w:r w:rsidR="008771E5" w:rsidRPr="004C4B9D">
              <w:rPr>
                <w:bCs/>
                <w:color w:val="auto"/>
                <w:sz w:val="20"/>
                <w:szCs w:val="20"/>
              </w:rPr>
              <w:t>Ensure State water planning frameworks that are included in Water Resource Plans remain consistent with the Basin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0BD7D0" w14:textId="5B2EFE64" w:rsidR="008771E5" w:rsidRPr="004C4B9D" w:rsidRDefault="00C55BC1" w:rsidP="008771E5">
            <w:pPr>
              <w:pStyle w:val="Tableformat"/>
              <w:rPr>
                <w:bCs/>
                <w:color w:val="auto"/>
                <w:sz w:val="20"/>
                <w:szCs w:val="20"/>
              </w:rPr>
            </w:pPr>
            <w:r>
              <w:rPr>
                <w:bCs/>
                <w:color w:val="auto"/>
                <w:sz w:val="20"/>
                <w:szCs w:val="20"/>
              </w:rPr>
              <w:t>6</w:t>
            </w:r>
            <w:r w:rsidR="008771E5" w:rsidRPr="00C35DA5">
              <w:rPr>
                <w:bCs/>
                <w:color w:val="auto"/>
                <w:sz w:val="20"/>
                <w:szCs w:val="20"/>
              </w:rPr>
              <w:t>.a Submit amendments to WRPs to the Commonwealth for approval where state water planning frameworks in WRPs become inconsistent with the Basin Plan</w:t>
            </w:r>
            <w:r w:rsidR="008771E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63328A"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9681DE" w14:textId="34E2265C"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6F68F532" w14:textId="77777777" w:rsidTr="00566D75">
        <w:tc>
          <w:tcPr>
            <w:tcW w:w="1578" w:type="dxa"/>
            <w:vMerge/>
            <w:tcBorders>
              <w:left w:val="single" w:sz="8" w:space="0" w:color="4F81BD"/>
              <w:right w:val="single" w:sz="8" w:space="0" w:color="4F81BD"/>
            </w:tcBorders>
            <w:shd w:val="clear" w:color="auto" w:fill="F2F2F2" w:themeFill="background1" w:themeFillShade="F2"/>
          </w:tcPr>
          <w:p w14:paraId="2EBC9093" w14:textId="77777777" w:rsidR="008771E5" w:rsidRPr="004C4B9D" w:rsidRDefault="008771E5" w:rsidP="008771E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13031B4A" w14:textId="62E65DB4" w:rsidR="008771E5" w:rsidRPr="004C4B9D" w:rsidRDefault="00C55BC1" w:rsidP="008771E5">
            <w:pPr>
              <w:pStyle w:val="Tableformat"/>
              <w:rPr>
                <w:bCs/>
                <w:color w:val="auto"/>
                <w:sz w:val="20"/>
                <w:szCs w:val="20"/>
              </w:rPr>
            </w:pPr>
            <w:r>
              <w:rPr>
                <w:bCs/>
                <w:color w:val="auto"/>
                <w:sz w:val="20"/>
                <w:szCs w:val="20"/>
              </w:rPr>
              <w:t>7</w:t>
            </w:r>
            <w:r w:rsidR="008771E5">
              <w:rPr>
                <w:bCs/>
                <w:color w:val="auto"/>
                <w:sz w:val="20"/>
                <w:szCs w:val="20"/>
              </w:rPr>
              <w:t xml:space="preserve">. </w:t>
            </w:r>
            <w:r w:rsidR="008771E5" w:rsidRPr="004C4B9D">
              <w:rPr>
                <w:bCs/>
                <w:color w:val="auto"/>
                <w:sz w:val="20"/>
                <w:szCs w:val="20"/>
              </w:rPr>
              <w:t>Deliver required Basin Plan monitoring, evaluation, science and reporting.</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3AAF16" w14:textId="3AA5AAC4" w:rsidR="008771E5" w:rsidRPr="004C4B9D" w:rsidRDefault="00C55BC1" w:rsidP="004E1C0D">
            <w:pPr>
              <w:pStyle w:val="Tableformat"/>
              <w:rPr>
                <w:bCs/>
                <w:color w:val="auto"/>
                <w:sz w:val="20"/>
                <w:szCs w:val="20"/>
              </w:rPr>
            </w:pPr>
            <w:r>
              <w:rPr>
                <w:bCs/>
                <w:color w:val="auto"/>
                <w:sz w:val="20"/>
                <w:szCs w:val="20"/>
              </w:rPr>
              <w:t>7</w:t>
            </w:r>
            <w:r w:rsidR="008771E5">
              <w:rPr>
                <w:bCs/>
                <w:color w:val="auto"/>
                <w:sz w:val="20"/>
                <w:szCs w:val="20"/>
              </w:rPr>
              <w:t xml:space="preserve">.a </w:t>
            </w:r>
            <w:r w:rsidR="008771E5" w:rsidRPr="004C4B9D">
              <w:rPr>
                <w:bCs/>
                <w:color w:val="auto"/>
                <w:sz w:val="20"/>
                <w:szCs w:val="20"/>
              </w:rPr>
              <w:t>Deliver Basin Plan reporting under Schedule 12, including reporting under Matters 8, 12, 18 and 19</w:t>
            </w:r>
            <w:r>
              <w:rPr>
                <w:bCs/>
                <w:color w:val="auto"/>
                <w:sz w:val="20"/>
                <w:szCs w:val="20"/>
              </w:rPr>
              <w:t xml:space="preserve"> and 21 (compliance with water resource plans, such as but not limited to Parts 4, 6, 14)</w:t>
            </w:r>
            <w:r w:rsidR="008771E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5BCA96"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77D666" w14:textId="6E9504FC" w:rsidR="008771E5" w:rsidRPr="004C4B9D" w:rsidRDefault="008771E5">
            <w:pPr>
              <w:pStyle w:val="Tableformat"/>
              <w:rPr>
                <w:bCs/>
                <w:color w:val="auto"/>
                <w:sz w:val="20"/>
                <w:szCs w:val="20"/>
              </w:rPr>
            </w:pPr>
            <w:r>
              <w:rPr>
                <w:bCs/>
                <w:color w:val="auto"/>
                <w:sz w:val="20"/>
                <w:szCs w:val="20"/>
              </w:rPr>
              <w:t>$</w:t>
            </w:r>
            <w:r w:rsidR="00320AE6">
              <w:rPr>
                <w:bCs/>
                <w:color w:val="auto"/>
                <w:sz w:val="20"/>
                <w:szCs w:val="20"/>
              </w:rPr>
              <w:t>408,000</w:t>
            </w:r>
          </w:p>
        </w:tc>
      </w:tr>
      <w:tr w:rsidR="008771E5" w:rsidRPr="004C4B9D" w14:paraId="7928D5A5" w14:textId="77777777" w:rsidTr="00566D75">
        <w:tc>
          <w:tcPr>
            <w:tcW w:w="1578" w:type="dxa"/>
            <w:vMerge/>
            <w:tcBorders>
              <w:left w:val="single" w:sz="8" w:space="0" w:color="4F81BD"/>
              <w:right w:val="single" w:sz="8" w:space="0" w:color="4F81BD"/>
            </w:tcBorders>
            <w:shd w:val="clear" w:color="auto" w:fill="F2F2F2" w:themeFill="background1" w:themeFillShade="F2"/>
          </w:tcPr>
          <w:p w14:paraId="28937FF8" w14:textId="77777777" w:rsidR="008771E5" w:rsidRPr="004C4B9D" w:rsidRDefault="008771E5" w:rsidP="008771E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3DA109DC" w14:textId="77777777" w:rsidR="008771E5" w:rsidRPr="004C4B9D"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0422AC" w14:textId="5627D8FD" w:rsidR="008771E5" w:rsidRPr="004C4B9D" w:rsidRDefault="00925461" w:rsidP="008771E5">
            <w:pPr>
              <w:pStyle w:val="Tableformat"/>
              <w:rPr>
                <w:bCs/>
                <w:color w:val="auto"/>
                <w:sz w:val="20"/>
                <w:szCs w:val="20"/>
              </w:rPr>
            </w:pPr>
            <w:r>
              <w:rPr>
                <w:bCs/>
                <w:color w:val="auto"/>
                <w:sz w:val="20"/>
                <w:szCs w:val="20"/>
              </w:rPr>
              <w:t>7</w:t>
            </w:r>
            <w:r w:rsidR="008771E5">
              <w:rPr>
                <w:bCs/>
                <w:color w:val="auto"/>
                <w:sz w:val="20"/>
                <w:szCs w:val="20"/>
              </w:rPr>
              <w:t xml:space="preserve">.b </w:t>
            </w:r>
            <w:r w:rsidR="008771E5" w:rsidRPr="004C4B9D">
              <w:rPr>
                <w:bCs/>
                <w:color w:val="auto"/>
                <w:sz w:val="20"/>
                <w:szCs w:val="20"/>
              </w:rPr>
              <w:t xml:space="preserve">Deliver on </w:t>
            </w:r>
            <w:r w:rsidR="008771E5">
              <w:rPr>
                <w:bCs/>
                <w:color w:val="auto"/>
                <w:sz w:val="20"/>
                <w:szCs w:val="20"/>
              </w:rPr>
              <w:t xml:space="preserve">agreed </w:t>
            </w:r>
            <w:r w:rsidR="008771E5"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8771E5" w:rsidRPr="004C4B9D">
              <w:rPr>
                <w:bCs/>
                <w:color w:val="auto"/>
                <w:sz w:val="20"/>
                <w:szCs w:val="20"/>
              </w:rPr>
              <w:t xml:space="preserve"> as endorsed by BOCA.</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B313F3"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112798" w14:textId="3FAB8B22" w:rsidR="008771E5" w:rsidRPr="004C4B9D" w:rsidRDefault="008771E5">
            <w:pPr>
              <w:pStyle w:val="Tableformat"/>
              <w:rPr>
                <w:bCs/>
                <w:color w:val="auto"/>
                <w:sz w:val="20"/>
                <w:szCs w:val="20"/>
              </w:rPr>
            </w:pPr>
            <w:r>
              <w:rPr>
                <w:bCs/>
                <w:color w:val="auto"/>
                <w:sz w:val="20"/>
                <w:szCs w:val="20"/>
              </w:rPr>
              <w:t>$</w:t>
            </w:r>
            <w:r w:rsidR="00320AE6">
              <w:rPr>
                <w:bCs/>
                <w:color w:val="auto"/>
                <w:sz w:val="20"/>
                <w:szCs w:val="20"/>
              </w:rPr>
              <w:t>408,000</w:t>
            </w:r>
          </w:p>
        </w:tc>
      </w:tr>
      <w:tr w:rsidR="008771E5" w:rsidRPr="004C4B9D" w14:paraId="577FA9E3" w14:textId="77777777" w:rsidTr="00566D75">
        <w:tc>
          <w:tcPr>
            <w:tcW w:w="1578" w:type="dxa"/>
            <w:tcBorders>
              <w:top w:val="single" w:sz="8" w:space="0" w:color="4F81BD"/>
              <w:left w:val="single" w:sz="8" w:space="0" w:color="4F81BD"/>
              <w:right w:val="single" w:sz="8" w:space="0" w:color="4F81BD"/>
            </w:tcBorders>
            <w:shd w:val="clear" w:color="auto" w:fill="F2F2F2" w:themeFill="background1" w:themeFillShade="F2"/>
          </w:tcPr>
          <w:p w14:paraId="6864879B" w14:textId="77777777" w:rsidR="008771E5" w:rsidRPr="004C4B9D" w:rsidRDefault="008771E5" w:rsidP="008771E5">
            <w:pPr>
              <w:pStyle w:val="Tableformat"/>
              <w:rPr>
                <w:bCs/>
                <w:color w:val="auto"/>
                <w:sz w:val="20"/>
                <w:szCs w:val="20"/>
              </w:rPr>
            </w:pPr>
            <w:r w:rsidRPr="004C4B9D">
              <w:rPr>
                <w:bCs/>
                <w:color w:val="auto"/>
                <w:sz w:val="20"/>
                <w:szCs w:val="20"/>
              </w:rPr>
              <w:t>Water market improvement</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B32849" w14:textId="74AE8122" w:rsidR="008771E5" w:rsidRPr="004C4B9D" w:rsidRDefault="00925461">
            <w:pPr>
              <w:pStyle w:val="Tableformat"/>
              <w:rPr>
                <w:bCs/>
                <w:color w:val="auto"/>
                <w:sz w:val="20"/>
                <w:szCs w:val="20"/>
              </w:rPr>
            </w:pPr>
            <w:r>
              <w:rPr>
                <w:bCs/>
                <w:color w:val="auto"/>
                <w:sz w:val="20"/>
                <w:szCs w:val="20"/>
              </w:rPr>
              <w:t>8</w:t>
            </w:r>
            <w:r w:rsidR="008771E5">
              <w:rPr>
                <w:bCs/>
                <w:color w:val="auto"/>
                <w:sz w:val="20"/>
                <w:szCs w:val="20"/>
              </w:rPr>
              <w:t xml:space="preserve">. </w:t>
            </w:r>
            <w:r w:rsidR="008771E5" w:rsidRPr="004C4B9D">
              <w:rPr>
                <w:bCs/>
                <w:color w:val="auto"/>
                <w:sz w:val="20"/>
                <w:szCs w:val="20"/>
              </w:rPr>
              <w:t>Improve water market trading arrangements across the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1D76B3" w14:textId="14A0FE55" w:rsidR="008771E5" w:rsidRPr="004C4B9D" w:rsidRDefault="00925461">
            <w:pPr>
              <w:pStyle w:val="Tableformat"/>
              <w:rPr>
                <w:bCs/>
                <w:color w:val="auto"/>
                <w:sz w:val="20"/>
                <w:szCs w:val="20"/>
              </w:rPr>
            </w:pPr>
            <w:r>
              <w:rPr>
                <w:bCs/>
                <w:color w:val="auto"/>
                <w:sz w:val="20"/>
                <w:szCs w:val="20"/>
              </w:rPr>
              <w:t>8</w:t>
            </w:r>
            <w:r w:rsidR="008771E5" w:rsidRPr="00C35DA5">
              <w:rPr>
                <w:bCs/>
                <w:color w:val="auto"/>
                <w:sz w:val="20"/>
                <w:szCs w:val="20"/>
              </w:rPr>
              <w:t>.</w:t>
            </w:r>
            <w:r w:rsidR="00C55BC1">
              <w:rPr>
                <w:bCs/>
                <w:color w:val="auto"/>
                <w:sz w:val="20"/>
                <w:szCs w:val="20"/>
              </w:rPr>
              <w:t>a</w:t>
            </w:r>
            <w:r w:rsidR="00C55BC1" w:rsidRPr="00C35DA5">
              <w:rPr>
                <w:bCs/>
                <w:color w:val="auto"/>
                <w:sz w:val="20"/>
                <w:szCs w:val="20"/>
              </w:rPr>
              <w:t xml:space="preserve"> </w:t>
            </w:r>
            <w:r w:rsidR="008771E5" w:rsidRPr="00C35DA5">
              <w:rPr>
                <w:bCs/>
                <w:color w:val="auto"/>
                <w:sz w:val="20"/>
                <w:szCs w:val="20"/>
              </w:rPr>
              <w:t>Implement agreed projects and programs arising from a finalised road map for Murray-Darling Basin water market reform</w:t>
            </w:r>
            <w:r w:rsidR="008771E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5F865E"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FB2C015" w14:textId="48C05FEC" w:rsidR="008771E5" w:rsidRPr="004C4B9D" w:rsidRDefault="008771E5">
            <w:pPr>
              <w:pStyle w:val="Tableformat"/>
              <w:rPr>
                <w:bCs/>
                <w:color w:val="auto"/>
                <w:sz w:val="20"/>
                <w:szCs w:val="20"/>
              </w:rPr>
            </w:pPr>
            <w:r>
              <w:rPr>
                <w:bCs/>
                <w:color w:val="auto"/>
                <w:sz w:val="20"/>
                <w:szCs w:val="20"/>
              </w:rPr>
              <w:t>$</w:t>
            </w:r>
            <w:r w:rsidR="00320AE6">
              <w:rPr>
                <w:bCs/>
                <w:color w:val="auto"/>
                <w:sz w:val="20"/>
                <w:szCs w:val="20"/>
              </w:rPr>
              <w:t>408,000</w:t>
            </w:r>
          </w:p>
        </w:tc>
      </w:tr>
      <w:tr w:rsidR="008771E5" w:rsidRPr="004C4B9D" w14:paraId="1A2A384F" w14:textId="77777777" w:rsidTr="00566D75">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75E42022" w14:textId="77777777" w:rsidR="008771E5" w:rsidRPr="004C4B9D" w:rsidRDefault="008771E5" w:rsidP="008771E5">
            <w:pPr>
              <w:pStyle w:val="Tableformat"/>
              <w:rPr>
                <w:bCs/>
                <w:color w:val="auto"/>
                <w:sz w:val="20"/>
                <w:szCs w:val="20"/>
              </w:rPr>
            </w:pPr>
            <w:r w:rsidRPr="004C4B9D">
              <w:rPr>
                <w:bCs/>
                <w:color w:val="auto"/>
                <w:sz w:val="20"/>
                <w:szCs w:val="20"/>
              </w:rPr>
              <w:t>Improved compliance and reporting</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BB1BCE6" w14:textId="29ADEEB2" w:rsidR="008771E5" w:rsidRPr="004C4B9D" w:rsidRDefault="00A3186D">
            <w:pPr>
              <w:pStyle w:val="Tableformat"/>
              <w:rPr>
                <w:bCs/>
                <w:color w:val="auto"/>
                <w:sz w:val="20"/>
                <w:szCs w:val="20"/>
              </w:rPr>
            </w:pPr>
            <w:r>
              <w:rPr>
                <w:bCs/>
                <w:color w:val="auto"/>
                <w:sz w:val="20"/>
                <w:szCs w:val="20"/>
              </w:rPr>
              <w:t>9</w:t>
            </w:r>
            <w:r w:rsidR="008771E5">
              <w:rPr>
                <w:bCs/>
                <w:color w:val="auto"/>
                <w:sz w:val="20"/>
                <w:szCs w:val="20"/>
              </w:rPr>
              <w:t xml:space="preserve">. </w:t>
            </w:r>
            <w:r w:rsidR="008771E5" w:rsidRPr="004C4B9D">
              <w:rPr>
                <w:bCs/>
                <w:color w:val="auto"/>
                <w:sz w:val="20"/>
                <w:szCs w:val="20"/>
              </w:rPr>
              <w:t xml:space="preserve">Implement revised Metrological Assurance Framework (MAF2)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A8A9D4" w14:textId="35323761" w:rsidR="008771E5" w:rsidRPr="004C4B9D" w:rsidRDefault="00A3186D">
            <w:pPr>
              <w:pStyle w:val="Tableformat"/>
              <w:rPr>
                <w:bCs/>
                <w:color w:val="auto"/>
                <w:sz w:val="20"/>
                <w:szCs w:val="20"/>
              </w:rPr>
            </w:pPr>
            <w:r>
              <w:rPr>
                <w:bCs/>
                <w:color w:val="auto"/>
                <w:sz w:val="20"/>
                <w:szCs w:val="20"/>
              </w:rPr>
              <w:t>9</w:t>
            </w:r>
            <w:r w:rsidR="008771E5">
              <w:rPr>
                <w:bCs/>
                <w:color w:val="auto"/>
                <w:sz w:val="20"/>
                <w:szCs w:val="20"/>
              </w:rPr>
              <w:t>.</w:t>
            </w:r>
            <w:r w:rsidR="00C55BC1">
              <w:rPr>
                <w:bCs/>
                <w:color w:val="auto"/>
                <w:sz w:val="20"/>
                <w:szCs w:val="20"/>
              </w:rPr>
              <w:t xml:space="preserve">a </w:t>
            </w:r>
            <w:r w:rsidR="008771E5" w:rsidRPr="002911F1">
              <w:rPr>
                <w:bCs/>
                <w:color w:val="auto"/>
                <w:sz w:val="20"/>
                <w:szCs w:val="20"/>
              </w:rPr>
              <w:t>Complete implementation of MAF2 requirements.</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8827E5"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6F5C07" w14:textId="628351B6"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rsidRPr="004C4B9D" w14:paraId="319C5DF0" w14:textId="77777777" w:rsidTr="00566D75">
        <w:tc>
          <w:tcPr>
            <w:tcW w:w="1578" w:type="dxa"/>
            <w:vMerge/>
            <w:tcBorders>
              <w:left w:val="single" w:sz="8" w:space="0" w:color="4F81BD"/>
              <w:right w:val="single" w:sz="8" w:space="0" w:color="4F81BD"/>
            </w:tcBorders>
            <w:shd w:val="clear" w:color="auto" w:fill="F2F2F2" w:themeFill="background1" w:themeFillShade="F2"/>
          </w:tcPr>
          <w:p w14:paraId="60BEF847" w14:textId="77777777" w:rsidR="008771E5" w:rsidRPr="004C4B9D" w:rsidRDefault="008771E5" w:rsidP="008771E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1947A3DF" w14:textId="62E2AC46" w:rsidR="008771E5" w:rsidRPr="004C4B9D" w:rsidRDefault="00A3186D" w:rsidP="008771E5">
            <w:pPr>
              <w:pStyle w:val="Tableformat"/>
              <w:rPr>
                <w:bCs/>
                <w:color w:val="auto"/>
                <w:sz w:val="20"/>
                <w:szCs w:val="20"/>
              </w:rPr>
            </w:pPr>
            <w:r>
              <w:rPr>
                <w:bCs/>
                <w:color w:val="auto"/>
                <w:sz w:val="20"/>
                <w:szCs w:val="20"/>
              </w:rPr>
              <w:t>10</w:t>
            </w:r>
            <w:r w:rsidR="008771E5">
              <w:rPr>
                <w:bCs/>
                <w:color w:val="auto"/>
                <w:sz w:val="20"/>
                <w:szCs w:val="20"/>
              </w:rPr>
              <w:t xml:space="preserve">. </w:t>
            </w:r>
            <w:r w:rsidR="008771E5" w:rsidRPr="004649CE">
              <w:rPr>
                <w:bCs/>
                <w:color w:val="auto"/>
                <w:sz w:val="20"/>
                <w:szCs w:val="20"/>
              </w:rPr>
              <w:t>Work with the Inspector General of Water Compliance (IGWC) to provide clear compliance arrangements and reporting in the Murray-Darling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6660F3" w14:textId="5BD6F0FD" w:rsidR="008771E5" w:rsidRPr="004C4B9D" w:rsidRDefault="00C55BC1" w:rsidP="004F5E0D">
            <w:pPr>
              <w:pStyle w:val="Tableformat"/>
              <w:rPr>
                <w:bCs/>
                <w:color w:val="auto"/>
                <w:sz w:val="20"/>
                <w:szCs w:val="20"/>
              </w:rPr>
            </w:pPr>
            <w:r>
              <w:rPr>
                <w:bCs/>
                <w:color w:val="auto"/>
                <w:sz w:val="20"/>
                <w:szCs w:val="20"/>
              </w:rPr>
              <w:t>10</w:t>
            </w:r>
            <w:r w:rsidR="008771E5" w:rsidRPr="00A4556C">
              <w:rPr>
                <w:bCs/>
                <w:color w:val="auto"/>
                <w:sz w:val="20"/>
                <w:szCs w:val="20"/>
              </w:rPr>
              <w:t>.</w:t>
            </w:r>
            <w:r w:rsidR="004F5E0D">
              <w:rPr>
                <w:bCs/>
                <w:color w:val="auto"/>
                <w:sz w:val="20"/>
                <w:szCs w:val="20"/>
              </w:rPr>
              <w:t>a</w:t>
            </w:r>
            <w:r w:rsidR="008771E5" w:rsidRPr="00A4556C">
              <w:rPr>
                <w:bCs/>
                <w:color w:val="auto"/>
                <w:sz w:val="20"/>
                <w:szCs w:val="20"/>
              </w:rPr>
              <w:t xml:space="preserve"> Provide input to the IGWC on the development of standards and guidelines</w:t>
            </w:r>
            <w:r w:rsidR="008771E5">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A23A4C"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A33E5E" w14:textId="3E8A0089" w:rsidR="008771E5" w:rsidRPr="004C4B9D"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14:paraId="25AAAD44" w14:textId="77777777" w:rsidTr="00566D75">
        <w:tc>
          <w:tcPr>
            <w:tcW w:w="1578" w:type="dxa"/>
            <w:vMerge/>
            <w:tcBorders>
              <w:left w:val="single" w:sz="8" w:space="0" w:color="4F81BD"/>
              <w:right w:val="single" w:sz="8" w:space="0" w:color="4F81BD"/>
            </w:tcBorders>
            <w:shd w:val="clear" w:color="auto" w:fill="F2F2F2" w:themeFill="background1" w:themeFillShade="F2"/>
          </w:tcPr>
          <w:p w14:paraId="56CC8618" w14:textId="77777777" w:rsidR="008771E5" w:rsidRPr="004C4B9D" w:rsidRDefault="008771E5" w:rsidP="008771E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7F41329D" w14:textId="77777777" w:rsidR="008771E5" w:rsidRPr="004649CE"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3FA075" w14:textId="4F435924" w:rsidR="008771E5" w:rsidRPr="004C4B9D" w:rsidRDefault="00C55BC1" w:rsidP="008771E5">
            <w:pPr>
              <w:pStyle w:val="Tableformat"/>
              <w:rPr>
                <w:bCs/>
                <w:color w:val="auto"/>
                <w:sz w:val="20"/>
                <w:szCs w:val="20"/>
              </w:rPr>
            </w:pPr>
            <w:r>
              <w:rPr>
                <w:bCs/>
                <w:color w:val="auto"/>
                <w:sz w:val="20"/>
                <w:szCs w:val="20"/>
              </w:rPr>
              <w:t>10</w:t>
            </w:r>
            <w:r w:rsidR="008771E5" w:rsidRPr="00A4556C">
              <w:rPr>
                <w:bCs/>
                <w:color w:val="auto"/>
                <w:sz w:val="20"/>
                <w:szCs w:val="20"/>
              </w:rPr>
              <w:t>.c Report to the IGWC against MAF2 Chapter 15 at least annually or in accordance with IGWC guidelines</w:t>
            </w:r>
            <w:r w:rsidR="008771E5" w:rsidRPr="004649CE">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FB5FE0" w14:textId="77777777" w:rsidR="008771E5"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99F722" w14:textId="65BF9DF5" w:rsidR="008771E5"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14:paraId="07BF8230" w14:textId="77777777" w:rsidTr="00566D75">
        <w:tc>
          <w:tcPr>
            <w:tcW w:w="1578" w:type="dxa"/>
            <w:vMerge/>
            <w:tcBorders>
              <w:left w:val="single" w:sz="8" w:space="0" w:color="4F81BD"/>
              <w:right w:val="single" w:sz="8" w:space="0" w:color="4F81BD"/>
            </w:tcBorders>
            <w:shd w:val="clear" w:color="auto" w:fill="F2F2F2" w:themeFill="background1" w:themeFillShade="F2"/>
          </w:tcPr>
          <w:p w14:paraId="1FC5E258" w14:textId="77777777" w:rsidR="008771E5" w:rsidRPr="004C4B9D" w:rsidRDefault="008771E5" w:rsidP="008771E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05891F3E" w14:textId="77777777" w:rsidR="008771E5" w:rsidRPr="004649CE" w:rsidRDefault="008771E5" w:rsidP="008771E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8035C2" w14:textId="031B9EB8" w:rsidR="008771E5" w:rsidRPr="00A4556C" w:rsidRDefault="00C55BC1" w:rsidP="008771E5">
            <w:pPr>
              <w:pStyle w:val="Tableformat"/>
              <w:rPr>
                <w:bCs/>
                <w:color w:val="auto"/>
                <w:sz w:val="20"/>
                <w:szCs w:val="20"/>
              </w:rPr>
            </w:pPr>
            <w:r>
              <w:rPr>
                <w:bCs/>
                <w:color w:val="auto"/>
                <w:sz w:val="20"/>
                <w:szCs w:val="20"/>
              </w:rPr>
              <w:t>10</w:t>
            </w:r>
            <w:r w:rsidR="008771E5" w:rsidRPr="00A4556C">
              <w:rPr>
                <w:bCs/>
                <w:color w:val="auto"/>
                <w:sz w:val="20"/>
                <w:szCs w:val="20"/>
              </w:rPr>
              <w:t>.d Provide performance data to the IGWC subject to agreed reporting guidelines (annually).</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9B4212" w14:textId="77777777" w:rsidR="008771E5"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428A47" w14:textId="55A49CBC" w:rsidR="008771E5" w:rsidRDefault="008771E5" w:rsidP="008771E5">
            <w:pPr>
              <w:pStyle w:val="Tableformat"/>
              <w:rPr>
                <w:bCs/>
                <w:color w:val="auto"/>
                <w:sz w:val="20"/>
                <w:szCs w:val="20"/>
              </w:rPr>
            </w:pPr>
            <w:r>
              <w:rPr>
                <w:bCs/>
                <w:color w:val="auto"/>
                <w:sz w:val="20"/>
                <w:szCs w:val="20"/>
              </w:rPr>
              <w:t>$</w:t>
            </w:r>
            <w:r w:rsidR="00E23421">
              <w:rPr>
                <w:bCs/>
                <w:color w:val="auto"/>
                <w:sz w:val="20"/>
                <w:szCs w:val="20"/>
              </w:rPr>
              <w:t>272,000</w:t>
            </w:r>
          </w:p>
        </w:tc>
      </w:tr>
      <w:tr w:rsidR="008771E5" w14:paraId="338C425E" w14:textId="77777777" w:rsidTr="00566D75">
        <w:tc>
          <w:tcPr>
            <w:tcW w:w="1578" w:type="dxa"/>
            <w:vMerge/>
            <w:tcBorders>
              <w:left w:val="single" w:sz="8" w:space="0" w:color="4F81BD"/>
              <w:bottom w:val="single" w:sz="8" w:space="0" w:color="4F81BD"/>
              <w:right w:val="single" w:sz="8" w:space="0" w:color="4F81BD"/>
            </w:tcBorders>
            <w:shd w:val="clear" w:color="auto" w:fill="F2F2F2" w:themeFill="background1" w:themeFillShade="F2"/>
          </w:tcPr>
          <w:p w14:paraId="58F22E59" w14:textId="77777777" w:rsidR="008771E5" w:rsidRPr="004C4B9D" w:rsidRDefault="008771E5" w:rsidP="008771E5">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E8EE09" w14:textId="271DB25D" w:rsidR="008771E5" w:rsidRPr="004C4B9D" w:rsidRDefault="00C55BC1" w:rsidP="008771E5">
            <w:pPr>
              <w:pStyle w:val="Tableformat"/>
              <w:rPr>
                <w:bCs/>
                <w:color w:val="auto"/>
                <w:sz w:val="20"/>
                <w:szCs w:val="20"/>
              </w:rPr>
            </w:pPr>
            <w:r>
              <w:rPr>
                <w:bCs/>
                <w:color w:val="auto"/>
                <w:sz w:val="20"/>
                <w:szCs w:val="20"/>
              </w:rPr>
              <w:t>11</w:t>
            </w:r>
            <w:r w:rsidR="008771E5">
              <w:rPr>
                <w:bCs/>
                <w:color w:val="auto"/>
                <w:sz w:val="20"/>
                <w:szCs w:val="20"/>
              </w:rPr>
              <w:t>. Compliance Compact oversight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00CA14" w14:textId="39507101" w:rsidR="008771E5" w:rsidRPr="004C4B9D" w:rsidRDefault="00C55BC1" w:rsidP="008771E5">
            <w:pPr>
              <w:pStyle w:val="Tableformat"/>
              <w:rPr>
                <w:bCs/>
                <w:color w:val="auto"/>
                <w:sz w:val="20"/>
                <w:szCs w:val="20"/>
              </w:rPr>
            </w:pPr>
            <w:r>
              <w:rPr>
                <w:bCs/>
                <w:color w:val="auto"/>
                <w:sz w:val="20"/>
                <w:szCs w:val="20"/>
              </w:rPr>
              <w:t>11</w:t>
            </w:r>
            <w:r w:rsidR="008771E5" w:rsidRPr="00A4556C">
              <w:rPr>
                <w:bCs/>
                <w:color w:val="auto"/>
                <w:sz w:val="20"/>
                <w:szCs w:val="20"/>
              </w:rPr>
              <w:t>.a Provide information to the IGWC as requested and in accordance with agreed MOU/guidelines to enable oversight of Compliance Compact commitments</w:t>
            </w:r>
            <w:r w:rsidR="008771E5" w:rsidRPr="00BE1502">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552FF0" w14:textId="77777777" w:rsidR="008771E5"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1CFFC0" w14:textId="5E0BF752" w:rsidR="008771E5" w:rsidRDefault="008771E5" w:rsidP="009F564A">
            <w:pPr>
              <w:pStyle w:val="Tableformat"/>
              <w:rPr>
                <w:bCs/>
                <w:color w:val="auto"/>
                <w:sz w:val="20"/>
                <w:szCs w:val="20"/>
              </w:rPr>
            </w:pPr>
            <w:r>
              <w:rPr>
                <w:bCs/>
                <w:color w:val="auto"/>
                <w:sz w:val="20"/>
                <w:szCs w:val="20"/>
              </w:rPr>
              <w:t>$</w:t>
            </w:r>
            <w:r w:rsidR="009F564A">
              <w:rPr>
                <w:bCs/>
                <w:color w:val="auto"/>
                <w:sz w:val="20"/>
                <w:szCs w:val="20"/>
              </w:rPr>
              <w:t>272,000</w:t>
            </w:r>
          </w:p>
        </w:tc>
      </w:tr>
      <w:tr w:rsidR="008771E5" w:rsidRPr="004C4B9D" w14:paraId="25D4F888" w14:textId="77777777" w:rsidTr="00566D75">
        <w:tc>
          <w:tcPr>
            <w:tcW w:w="157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DACCEB" w14:textId="77777777" w:rsidR="008771E5" w:rsidRPr="004C4B9D" w:rsidRDefault="008771E5" w:rsidP="008771E5">
            <w:pPr>
              <w:pStyle w:val="Tableformat"/>
              <w:rPr>
                <w:bCs/>
                <w:color w:val="auto"/>
                <w:sz w:val="20"/>
                <w:szCs w:val="20"/>
              </w:rPr>
            </w:pPr>
            <w:r w:rsidRPr="004C4B9D">
              <w:rPr>
                <w:bCs/>
                <w:color w:val="auto"/>
                <w:sz w:val="20"/>
                <w:szCs w:val="20"/>
              </w:rPr>
              <w:t>Enhanced and coordinated consultation and engagement with all Basin communities</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F412C3" w14:textId="0C1BFB54" w:rsidR="008771E5" w:rsidRPr="004C4B9D" w:rsidRDefault="00C55BC1" w:rsidP="008771E5">
            <w:pPr>
              <w:pStyle w:val="Tableformat"/>
              <w:rPr>
                <w:bCs/>
                <w:color w:val="auto"/>
                <w:sz w:val="20"/>
                <w:szCs w:val="20"/>
              </w:rPr>
            </w:pPr>
            <w:r>
              <w:rPr>
                <w:bCs/>
                <w:color w:val="auto"/>
                <w:sz w:val="20"/>
                <w:szCs w:val="20"/>
              </w:rPr>
              <w:t>12</w:t>
            </w:r>
            <w:r w:rsidR="008771E5">
              <w:rPr>
                <w:bCs/>
                <w:color w:val="auto"/>
                <w:sz w:val="20"/>
                <w:szCs w:val="20"/>
              </w:rPr>
              <w:t xml:space="preserve">. </w:t>
            </w:r>
            <w:r w:rsidR="008771E5" w:rsidRPr="004C4B9D">
              <w:rPr>
                <w:bCs/>
                <w:color w:val="auto"/>
                <w:sz w:val="20"/>
                <w:szCs w:val="20"/>
              </w:rPr>
              <w:t>Improve consultation and strategic engagement in collaboration with the Commonwealth and other Basin governments.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808FF1" w14:textId="288586A1" w:rsidR="008771E5" w:rsidRPr="004C4B9D" w:rsidRDefault="00C55BC1" w:rsidP="008771E5">
            <w:pPr>
              <w:pStyle w:val="Tableformat"/>
              <w:rPr>
                <w:bCs/>
                <w:color w:val="auto"/>
                <w:sz w:val="20"/>
                <w:szCs w:val="20"/>
              </w:rPr>
            </w:pPr>
            <w:r>
              <w:rPr>
                <w:bCs/>
                <w:color w:val="auto"/>
                <w:sz w:val="20"/>
                <w:szCs w:val="20"/>
              </w:rPr>
              <w:t>12</w:t>
            </w:r>
            <w:r w:rsidR="008771E5">
              <w:rPr>
                <w:bCs/>
                <w:color w:val="auto"/>
                <w:sz w:val="20"/>
                <w:szCs w:val="20"/>
              </w:rPr>
              <w:t xml:space="preserve">.a </w:t>
            </w:r>
            <w:r w:rsidR="008771E5" w:rsidRPr="004C4B9D">
              <w:rPr>
                <w:bCs/>
                <w:color w:val="auto"/>
                <w:sz w:val="20"/>
                <w:szCs w:val="20"/>
              </w:rPr>
              <w:t xml:space="preserve">Report on improvements made on strategic consultation, engagement and coordination with Basin communities, in collaboration with the Commonwealth and other Basin governments. </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1EE6DE" w14:textId="77777777" w:rsidR="008771E5" w:rsidRPr="004C4B9D" w:rsidRDefault="008771E5" w:rsidP="008771E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8BB614" w14:textId="52855A67" w:rsidR="008771E5" w:rsidRPr="004C4B9D" w:rsidRDefault="008771E5">
            <w:pPr>
              <w:pStyle w:val="Tableformat"/>
              <w:rPr>
                <w:bCs/>
                <w:color w:val="auto"/>
                <w:sz w:val="20"/>
                <w:szCs w:val="20"/>
              </w:rPr>
            </w:pPr>
            <w:r>
              <w:rPr>
                <w:bCs/>
                <w:color w:val="auto"/>
                <w:sz w:val="20"/>
                <w:szCs w:val="20"/>
              </w:rPr>
              <w:t>$</w:t>
            </w:r>
            <w:r w:rsidR="00320AE6">
              <w:rPr>
                <w:bCs/>
                <w:color w:val="auto"/>
                <w:sz w:val="20"/>
                <w:szCs w:val="20"/>
              </w:rPr>
              <w:t>284,680</w:t>
            </w:r>
          </w:p>
        </w:tc>
      </w:tr>
      <w:tr w:rsidR="005A3667" w:rsidRPr="00DD56FE" w14:paraId="1D22FEB4" w14:textId="77777777" w:rsidTr="00566D75">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47A7DFA5" w14:textId="29850931" w:rsidR="005A3667" w:rsidRPr="00DD56FE" w:rsidRDefault="005A3667" w:rsidP="005A3667">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Victoria for Year 3</w:t>
            </w:r>
            <w:r w:rsidRPr="00DD56FE">
              <w:rPr>
                <w:bCs/>
                <w:i/>
                <w:iCs w:val="0"/>
                <w:color w:val="auto"/>
                <w:sz w:val="20"/>
                <w:szCs w:val="20"/>
              </w:rPr>
              <w:t xml:space="preserve"> if all 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3B89D2" w14:textId="0CE654DF" w:rsidR="005A3667" w:rsidRPr="00DD56FE" w:rsidRDefault="005A3667" w:rsidP="005A3667">
            <w:pPr>
              <w:pStyle w:val="Tableformat"/>
              <w:rPr>
                <w:bCs/>
                <w:color w:val="auto"/>
                <w:sz w:val="20"/>
                <w:szCs w:val="20"/>
              </w:rPr>
            </w:pPr>
            <w:r w:rsidRPr="00DD56FE">
              <w:rPr>
                <w:bCs/>
                <w:color w:val="auto"/>
                <w:sz w:val="20"/>
                <w:szCs w:val="20"/>
              </w:rPr>
              <w:t>$</w:t>
            </w:r>
            <w:r>
              <w:rPr>
                <w:bCs/>
                <w:color w:val="auto"/>
                <w:sz w:val="20"/>
                <w:szCs w:val="20"/>
              </w:rPr>
              <w:t>6,380,000</w:t>
            </w:r>
          </w:p>
        </w:tc>
      </w:tr>
    </w:tbl>
    <w:p w14:paraId="730BE46B" w14:textId="77777777" w:rsidR="00931AA8" w:rsidRDefault="00931AA8" w:rsidP="00931AA8"/>
    <w:p w14:paraId="582065F4" w14:textId="77777777" w:rsidR="007465E6" w:rsidRDefault="007465E6" w:rsidP="00931AA8">
      <w:pPr>
        <w:rPr>
          <w:lang w:val="en-GB"/>
        </w:rPr>
      </w:pPr>
    </w:p>
    <w:p w14:paraId="2A46CC97" w14:textId="77777777" w:rsidR="00931AA8" w:rsidRDefault="00931AA8" w:rsidP="00931AA8">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79239019" w14:textId="77777777" w:rsidR="00931AA8" w:rsidRPr="00A50751" w:rsidRDefault="00931AA8" w:rsidP="00931AA8">
      <w:pPr>
        <w:rPr>
          <w:lang w:val="en-GB"/>
        </w:rPr>
      </w:pPr>
    </w:p>
    <w:tbl>
      <w:tblPr>
        <w:tblW w:w="9498" w:type="dxa"/>
        <w:jc w:val="center"/>
        <w:tblLayout w:type="fixed"/>
        <w:tblLook w:val="01E0" w:firstRow="1" w:lastRow="1" w:firstColumn="1" w:lastColumn="1" w:noHBand="0" w:noVBand="0"/>
      </w:tblPr>
      <w:tblGrid>
        <w:gridCol w:w="3983"/>
        <w:gridCol w:w="1653"/>
        <w:gridCol w:w="3862"/>
      </w:tblGrid>
      <w:tr w:rsidR="00931AA8" w:rsidRPr="00A50751" w14:paraId="41C4EDCB" w14:textId="77777777" w:rsidTr="00EB2C4D">
        <w:trPr>
          <w:cantSplit/>
          <w:trHeight w:val="2655"/>
          <w:jc w:val="center"/>
        </w:trPr>
        <w:tc>
          <w:tcPr>
            <w:tcW w:w="3983" w:type="dxa"/>
          </w:tcPr>
          <w:p w14:paraId="645C07B7" w14:textId="77777777" w:rsidR="00931AA8" w:rsidRPr="004A0AE7" w:rsidRDefault="00931AA8" w:rsidP="00EB2C4D">
            <w:pPr>
              <w:pStyle w:val="Signed"/>
            </w:pPr>
            <w:r>
              <w:rPr>
                <w:rStyle w:val="SignedBold"/>
              </w:rPr>
              <w:t>Signed</w:t>
            </w:r>
            <w:r w:rsidRPr="004A0AE7">
              <w:t xml:space="preserve"> for and on behalf of the</w:t>
            </w:r>
            <w:r>
              <w:t xml:space="preserve"> </w:t>
            </w:r>
            <w:r w:rsidRPr="004A0AE7">
              <w:t>Commonwealth of Australia by</w:t>
            </w:r>
          </w:p>
          <w:p w14:paraId="39A0E267" w14:textId="77777777" w:rsidR="00931AA8" w:rsidRPr="00A50751" w:rsidRDefault="00931AA8" w:rsidP="00931AA8">
            <w:pPr>
              <w:pStyle w:val="LineForSignature"/>
            </w:pPr>
            <w:r>
              <w:br/>
            </w:r>
            <w:r>
              <w:tab/>
            </w:r>
          </w:p>
          <w:p w14:paraId="6C1A6AF9" w14:textId="77777777" w:rsidR="00931AA8" w:rsidRPr="00E061F4" w:rsidRDefault="00931AA8" w:rsidP="00931AA8">
            <w:pPr>
              <w:pStyle w:val="SingleParagraph"/>
              <w:rPr>
                <w:rStyle w:val="Bold"/>
              </w:rPr>
            </w:pPr>
            <w:r w:rsidRPr="00E061F4">
              <w:rPr>
                <w:rStyle w:val="Bold"/>
              </w:rPr>
              <w:t>The Honourable Keith Pitt MP</w:t>
            </w:r>
          </w:p>
          <w:p w14:paraId="4C86BF54" w14:textId="34468555" w:rsidR="00931AA8" w:rsidRDefault="00931AA8" w:rsidP="00931AA8">
            <w:pPr>
              <w:pStyle w:val="Position"/>
              <w:rPr>
                <w:lang w:val="en-GB"/>
              </w:rPr>
            </w:pPr>
            <w:r w:rsidRPr="00E061F4">
              <w:rPr>
                <w:lang w:val="en-GB"/>
              </w:rPr>
              <w:t>Minister for Resources</w:t>
            </w:r>
            <w:r w:rsidR="00EB2C4D">
              <w:rPr>
                <w:lang w:val="en-GB"/>
              </w:rPr>
              <w:t xml:space="preserve"> and</w:t>
            </w:r>
            <w:r w:rsidRPr="00E061F4">
              <w:rPr>
                <w:lang w:val="en-GB"/>
              </w:rPr>
              <w:t xml:space="preserve"> Water</w:t>
            </w:r>
            <w:r>
              <w:rPr>
                <w:lang w:val="en-GB"/>
              </w:rPr>
              <w:t xml:space="preserve"> </w:t>
            </w:r>
          </w:p>
          <w:p w14:paraId="6866D081" w14:textId="77777777" w:rsidR="00931AA8" w:rsidRDefault="00931AA8" w:rsidP="00931AA8">
            <w:pPr>
              <w:pStyle w:val="SingleParagraph"/>
              <w:tabs>
                <w:tab w:val="num" w:pos="1134"/>
              </w:tabs>
              <w:spacing w:after="240"/>
              <w:rPr>
                <w:b/>
                <w:lang w:val="en-GB"/>
              </w:rPr>
            </w:pPr>
            <w:r>
              <w:rPr>
                <w:lang w:val="en-GB"/>
              </w:rPr>
              <w:t>[Day]  [Month]  [Year]</w:t>
            </w:r>
          </w:p>
        </w:tc>
        <w:tc>
          <w:tcPr>
            <w:tcW w:w="1653" w:type="dxa"/>
            <w:tcMar>
              <w:left w:w="0" w:type="dxa"/>
              <w:right w:w="0" w:type="dxa"/>
            </w:tcMar>
          </w:tcPr>
          <w:p w14:paraId="4B59E0A5" w14:textId="77777777" w:rsidR="00931AA8" w:rsidRPr="00A50751" w:rsidRDefault="00931AA8" w:rsidP="00931AA8">
            <w:pPr>
              <w:rPr>
                <w:rFonts w:ascii="Book Antiqua" w:hAnsi="Book Antiqua"/>
                <w:lang w:val="en-GB"/>
              </w:rPr>
            </w:pPr>
          </w:p>
        </w:tc>
        <w:tc>
          <w:tcPr>
            <w:tcW w:w="3862" w:type="dxa"/>
          </w:tcPr>
          <w:p w14:paraId="520BF67A" w14:textId="77777777" w:rsidR="00931AA8" w:rsidRPr="004A0AE7" w:rsidRDefault="00931AA8" w:rsidP="00931AA8">
            <w:pPr>
              <w:pStyle w:val="Signed"/>
            </w:pPr>
            <w:r>
              <w:rPr>
                <w:rStyle w:val="SignedBold"/>
              </w:rPr>
              <w:t>Signed</w:t>
            </w:r>
            <w:r w:rsidRPr="004A0AE7">
              <w:t xml:space="preserve"> for and on behalf of the</w:t>
            </w:r>
            <w:r>
              <w:t xml:space="preserve"> </w:t>
            </w:r>
            <w:r w:rsidRPr="004A0AE7">
              <w:br/>
              <w:t>State o</w:t>
            </w:r>
            <w:r>
              <w:t>f Victoria</w:t>
            </w:r>
            <w:r w:rsidRPr="004A0AE7">
              <w:t xml:space="preserve"> by</w:t>
            </w:r>
          </w:p>
          <w:p w14:paraId="2FFB8CAC" w14:textId="77777777" w:rsidR="00931AA8" w:rsidRPr="00A50751" w:rsidRDefault="00931AA8" w:rsidP="00931AA8">
            <w:pPr>
              <w:pStyle w:val="LineForSignature"/>
            </w:pPr>
            <w:r>
              <w:br/>
            </w:r>
            <w:r w:rsidRPr="00A50751">
              <w:tab/>
            </w:r>
          </w:p>
          <w:p w14:paraId="605080F8" w14:textId="77777777" w:rsidR="00931AA8" w:rsidRPr="00E061F4" w:rsidRDefault="00931AA8" w:rsidP="00931AA8">
            <w:pPr>
              <w:pStyle w:val="SingleParagraph"/>
              <w:rPr>
                <w:rStyle w:val="Bold"/>
              </w:rPr>
            </w:pPr>
            <w:r w:rsidRPr="00E061F4">
              <w:rPr>
                <w:rStyle w:val="Bold"/>
              </w:rPr>
              <w:t>The Honourable Lisa Neville MP</w:t>
            </w:r>
          </w:p>
          <w:p w14:paraId="0B7085CF" w14:textId="234A76F8" w:rsidR="00931AA8" w:rsidRDefault="00931AA8" w:rsidP="00931AA8">
            <w:pPr>
              <w:pStyle w:val="Position"/>
              <w:rPr>
                <w:lang w:val="en-GB"/>
              </w:rPr>
            </w:pPr>
            <w:r w:rsidRPr="00E061F4">
              <w:rPr>
                <w:lang w:val="en-GB"/>
              </w:rPr>
              <w:t>Minister for Water</w:t>
            </w:r>
            <w:r>
              <w:rPr>
                <w:lang w:val="en-GB"/>
              </w:rPr>
              <w:t xml:space="preserve"> </w:t>
            </w:r>
            <w:r w:rsidR="00251F1D">
              <w:rPr>
                <w:lang w:val="en-GB"/>
              </w:rPr>
              <w:t>and Minister for Police</w:t>
            </w:r>
          </w:p>
          <w:p w14:paraId="76CA1643" w14:textId="77777777" w:rsidR="00931AA8" w:rsidRPr="00A50751" w:rsidRDefault="00931AA8" w:rsidP="00931AA8">
            <w:pPr>
              <w:rPr>
                <w:rFonts w:ascii="Book Antiqua" w:hAnsi="Book Antiqua"/>
                <w:lang w:val="en-GB"/>
              </w:rPr>
            </w:pPr>
            <w:r>
              <w:rPr>
                <w:lang w:val="en-GB"/>
              </w:rPr>
              <w:t>[Day]  [Month]  [Year]</w:t>
            </w:r>
          </w:p>
        </w:tc>
      </w:tr>
    </w:tbl>
    <w:p w14:paraId="3AE35C7D" w14:textId="77777777" w:rsidR="00931AA8" w:rsidRDefault="00931AA8" w:rsidP="00931AA8">
      <w:pPr>
        <w:rPr>
          <w:lang w:val="en-GB"/>
        </w:rPr>
      </w:pPr>
    </w:p>
    <w:p w14:paraId="3F5FF5C9" w14:textId="77777777" w:rsidR="00931AA8" w:rsidRPr="00F00A18" w:rsidRDefault="00931AA8" w:rsidP="00931AA8">
      <w:pPr>
        <w:rPr>
          <w:lang w:val="en-GB"/>
        </w:rPr>
      </w:pPr>
      <w:r>
        <w:rPr>
          <w:lang w:val="en-GB"/>
        </w:rPr>
        <w:br w:type="page"/>
      </w:r>
    </w:p>
    <w:tbl>
      <w:tblPr>
        <w:tblW w:w="5273"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686"/>
        <w:gridCol w:w="1276"/>
        <w:gridCol w:w="1190"/>
      </w:tblGrid>
      <w:tr w:rsidR="00931AA8" w:rsidRPr="00F00A18" w14:paraId="657A2EC6" w14:textId="77777777" w:rsidTr="00BC0B64">
        <w:tc>
          <w:tcPr>
            <w:tcW w:w="10263" w:type="dxa"/>
            <w:gridSpan w:val="5"/>
            <w:shd w:val="clear" w:color="auto" w:fill="DEEAF6" w:themeFill="accent1" w:themeFillTint="33"/>
          </w:tcPr>
          <w:p w14:paraId="12B9302F" w14:textId="0244420E" w:rsidR="00931AA8" w:rsidRPr="00F00A18" w:rsidRDefault="00931AA8" w:rsidP="00931AA8">
            <w:pPr>
              <w:pStyle w:val="Tableformat"/>
              <w:tabs>
                <w:tab w:val="left" w:pos="6043"/>
              </w:tabs>
              <w:rPr>
                <w:b/>
                <w:color w:val="auto"/>
              </w:rPr>
            </w:pPr>
            <w:bookmarkStart w:id="3" w:name="_Hlk84579420"/>
            <w:r>
              <w:rPr>
                <w:b/>
                <w:color w:val="auto"/>
              </w:rPr>
              <w:t>Table 2C</w:t>
            </w:r>
            <w:r w:rsidRPr="00F00A18">
              <w:rPr>
                <w:b/>
                <w:color w:val="auto"/>
              </w:rPr>
              <w:t xml:space="preserve">: </w:t>
            </w:r>
            <w:r>
              <w:rPr>
                <w:b/>
                <w:color w:val="auto"/>
              </w:rPr>
              <w:t xml:space="preserve">Queensland </w:t>
            </w:r>
            <w:r w:rsidRPr="00F00A18">
              <w:rPr>
                <w:b/>
                <w:color w:val="auto"/>
              </w:rPr>
              <w:t>– Performance requirements, reporting and payment summary</w:t>
            </w:r>
          </w:p>
        </w:tc>
      </w:tr>
      <w:tr w:rsidR="00110BF6" w:rsidRPr="00F00A18" w14:paraId="695EF905" w14:textId="77777777" w:rsidTr="006F3A9B">
        <w:tc>
          <w:tcPr>
            <w:tcW w:w="10263" w:type="dxa"/>
            <w:gridSpan w:val="5"/>
            <w:shd w:val="clear" w:color="auto" w:fill="DEEAF6" w:themeFill="accent1" w:themeFillTint="33"/>
          </w:tcPr>
          <w:p w14:paraId="455502F3" w14:textId="77777777" w:rsidR="00110BF6" w:rsidRDefault="00110BF6" w:rsidP="006F3A9B">
            <w:pPr>
              <w:pStyle w:val="Tableformat"/>
              <w:tabs>
                <w:tab w:val="left" w:pos="6043"/>
              </w:tabs>
              <w:rPr>
                <w:b/>
                <w:color w:val="auto"/>
              </w:rPr>
            </w:pPr>
            <w:r>
              <w:rPr>
                <w:b/>
                <w:color w:val="auto"/>
              </w:rPr>
              <w:t>Year 1: 2021-2022</w:t>
            </w:r>
          </w:p>
        </w:tc>
      </w:tr>
      <w:tr w:rsidR="00931AA8" w:rsidRPr="00FD6EB4" w14:paraId="4559CE5E" w14:textId="77777777" w:rsidTr="008D4FA1">
        <w:tc>
          <w:tcPr>
            <w:tcW w:w="1560" w:type="dxa"/>
            <w:shd w:val="clear" w:color="auto" w:fill="F2F2F2" w:themeFill="background1" w:themeFillShade="F2"/>
          </w:tcPr>
          <w:p w14:paraId="1B614882" w14:textId="77777777" w:rsidR="00931AA8" w:rsidRPr="00FD6EB4" w:rsidRDefault="00931AA8" w:rsidP="00931AA8">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shd w:val="clear" w:color="auto" w:fill="F2F2F2" w:themeFill="background1" w:themeFillShade="F2"/>
          </w:tcPr>
          <w:p w14:paraId="7E277040" w14:textId="77777777" w:rsidR="00931AA8" w:rsidRPr="00FD6EB4" w:rsidRDefault="00931AA8" w:rsidP="00931AA8">
            <w:pPr>
              <w:pStyle w:val="Tableformat"/>
              <w:rPr>
                <w:b/>
                <w:color w:val="auto"/>
                <w:sz w:val="22"/>
                <w:szCs w:val="22"/>
              </w:rPr>
            </w:pPr>
            <w:r w:rsidRPr="00FD6EB4">
              <w:rPr>
                <w:b/>
                <w:color w:val="auto"/>
                <w:sz w:val="22"/>
                <w:szCs w:val="22"/>
              </w:rPr>
              <w:t>Performance milestones</w:t>
            </w:r>
          </w:p>
        </w:tc>
        <w:tc>
          <w:tcPr>
            <w:tcW w:w="3686" w:type="dxa"/>
            <w:shd w:val="clear" w:color="auto" w:fill="F2F2F2" w:themeFill="background1" w:themeFillShade="F2"/>
          </w:tcPr>
          <w:p w14:paraId="4A0A3CF6" w14:textId="77777777" w:rsidR="00931AA8" w:rsidRPr="00FD6EB4" w:rsidRDefault="00931AA8" w:rsidP="00931AA8">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05D190FF" w14:textId="77777777" w:rsidR="00931AA8" w:rsidRPr="00FD6EB4" w:rsidRDefault="00931AA8" w:rsidP="00931AA8">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90" w:type="dxa"/>
            <w:tcBorders>
              <w:bottom w:val="single" w:sz="8" w:space="0" w:color="4F81BD"/>
            </w:tcBorders>
            <w:shd w:val="clear" w:color="auto" w:fill="F2F2F2" w:themeFill="background1" w:themeFillShade="F2"/>
          </w:tcPr>
          <w:p w14:paraId="53B44221" w14:textId="77777777" w:rsidR="00931AA8" w:rsidRPr="00FD6EB4" w:rsidRDefault="00931AA8" w:rsidP="00931AA8">
            <w:pPr>
              <w:pStyle w:val="Tableformat"/>
              <w:rPr>
                <w:b/>
                <w:color w:val="auto"/>
                <w:sz w:val="22"/>
                <w:szCs w:val="22"/>
              </w:rPr>
            </w:pPr>
            <w:r w:rsidRPr="00FD6EB4">
              <w:rPr>
                <w:b/>
                <w:color w:val="auto"/>
                <w:sz w:val="22"/>
                <w:szCs w:val="22"/>
              </w:rPr>
              <w:t>Payment</w:t>
            </w:r>
          </w:p>
        </w:tc>
      </w:tr>
      <w:tr w:rsidR="008D4FA1" w:rsidRPr="00DA6A97" w14:paraId="2EBB6F9C" w14:textId="77777777" w:rsidTr="008D4FA1">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733E8563" w14:textId="77777777" w:rsidR="008D4FA1" w:rsidRPr="00DA6A97" w:rsidRDefault="008D4FA1" w:rsidP="006F3A9B">
            <w:pPr>
              <w:pStyle w:val="Tableformat"/>
              <w:rPr>
                <w:bCs/>
                <w:color w:val="auto"/>
                <w:sz w:val="20"/>
                <w:szCs w:val="20"/>
              </w:rPr>
            </w:pPr>
            <w:r w:rsidRPr="00DA6A97">
              <w:rPr>
                <w:bCs/>
                <w:color w:val="auto"/>
                <w:sz w:val="20"/>
                <w:szCs w:val="20"/>
              </w:rPr>
              <w:t xml:space="preserve">Water </w:t>
            </w:r>
            <w:r>
              <w:rPr>
                <w:bCs/>
                <w:color w:val="auto"/>
                <w:sz w:val="20"/>
                <w:szCs w:val="20"/>
              </w:rPr>
              <w:t>r</w:t>
            </w:r>
            <w:r w:rsidRPr="00DA6A97">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40901C87" w14:textId="77777777" w:rsidR="008D4FA1" w:rsidRPr="00DA6A97" w:rsidRDefault="008D4FA1" w:rsidP="006F3A9B">
            <w:pPr>
              <w:pStyle w:val="Tableformat"/>
              <w:rPr>
                <w:bCs/>
                <w:color w:val="auto"/>
                <w:sz w:val="20"/>
                <w:szCs w:val="20"/>
              </w:rPr>
            </w:pPr>
            <w:r>
              <w:rPr>
                <w:bCs/>
                <w:color w:val="auto"/>
                <w:sz w:val="20"/>
                <w:szCs w:val="20"/>
              </w:rPr>
              <w:t xml:space="preserve">1. </w:t>
            </w:r>
            <w:r w:rsidRPr="00AC6E08">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A340BB" w14:textId="77777777" w:rsidR="008D4FA1" w:rsidRPr="00DA6A97" w:rsidRDefault="008D4FA1" w:rsidP="006F3A9B">
            <w:pPr>
              <w:pStyle w:val="Tableformat"/>
              <w:rPr>
                <w:bCs/>
                <w:color w:val="auto"/>
                <w:sz w:val="20"/>
                <w:szCs w:val="20"/>
              </w:rPr>
            </w:pPr>
            <w:r>
              <w:rPr>
                <w:bCs/>
                <w:color w:val="auto"/>
                <w:sz w:val="20"/>
                <w:szCs w:val="20"/>
              </w:rPr>
              <w:t xml:space="preserve">1.a </w:t>
            </w:r>
            <w:r w:rsidRPr="00AC6E08">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F73008" w14:textId="77777777" w:rsidR="008D4FA1" w:rsidRPr="00DA6A97" w:rsidRDefault="008D4FA1"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FA848A" w14:textId="5A1A612E" w:rsidR="008D4FA1" w:rsidRPr="00DA6A97" w:rsidRDefault="008D4FA1" w:rsidP="006F3A9B">
            <w:pPr>
              <w:pStyle w:val="Tableformat"/>
              <w:rPr>
                <w:bCs/>
                <w:color w:val="auto"/>
                <w:sz w:val="20"/>
                <w:szCs w:val="20"/>
              </w:rPr>
            </w:pPr>
            <w:r>
              <w:rPr>
                <w:bCs/>
                <w:color w:val="auto"/>
                <w:sz w:val="20"/>
                <w:szCs w:val="20"/>
              </w:rPr>
              <w:t>$</w:t>
            </w:r>
            <w:r w:rsidR="0059231F">
              <w:rPr>
                <w:bCs/>
                <w:color w:val="auto"/>
                <w:sz w:val="20"/>
                <w:szCs w:val="20"/>
              </w:rPr>
              <w:t>207</w:t>
            </w:r>
            <w:r>
              <w:rPr>
                <w:bCs/>
                <w:color w:val="auto"/>
                <w:sz w:val="20"/>
                <w:szCs w:val="20"/>
              </w:rPr>
              <w:t>,</w:t>
            </w:r>
            <w:r w:rsidR="0059231F">
              <w:rPr>
                <w:bCs/>
                <w:color w:val="auto"/>
                <w:sz w:val="20"/>
                <w:szCs w:val="20"/>
              </w:rPr>
              <w:t>910</w:t>
            </w:r>
          </w:p>
        </w:tc>
      </w:tr>
      <w:tr w:rsidR="008D4FA1" w:rsidRPr="00DA6A97" w14:paraId="10DF59D2" w14:textId="77777777" w:rsidTr="008D4FA1">
        <w:tc>
          <w:tcPr>
            <w:tcW w:w="1560" w:type="dxa"/>
            <w:vMerge/>
            <w:tcBorders>
              <w:left w:val="single" w:sz="8" w:space="0" w:color="4F81BD"/>
              <w:right w:val="single" w:sz="8" w:space="0" w:color="4F81BD"/>
            </w:tcBorders>
            <w:shd w:val="clear" w:color="auto" w:fill="F2F2F2" w:themeFill="background1" w:themeFillShade="F2"/>
          </w:tcPr>
          <w:p w14:paraId="67B58677" w14:textId="77777777" w:rsidR="008D4FA1" w:rsidRPr="00DA6A97" w:rsidRDefault="008D4FA1" w:rsidP="006F3A9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39F4786B" w14:textId="77777777" w:rsidR="008D4FA1" w:rsidRPr="00DA6A97" w:rsidRDefault="008D4FA1" w:rsidP="006F3A9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2BC7E01" w14:textId="6F92E92D" w:rsidR="008D4FA1" w:rsidRPr="00DA6A97" w:rsidRDefault="008D4FA1" w:rsidP="00994719">
            <w:pPr>
              <w:pStyle w:val="Tableformat"/>
              <w:rPr>
                <w:bCs/>
                <w:color w:val="auto"/>
                <w:sz w:val="20"/>
                <w:szCs w:val="20"/>
              </w:rPr>
            </w:pPr>
            <w:r w:rsidRPr="008D4FA1">
              <w:rPr>
                <w:bCs/>
                <w:color w:val="auto"/>
                <w:sz w:val="20"/>
                <w:szCs w:val="20"/>
              </w:rPr>
              <w:t>1.</w:t>
            </w:r>
            <w:r w:rsidR="00994719">
              <w:rPr>
                <w:bCs/>
                <w:color w:val="auto"/>
                <w:sz w:val="20"/>
                <w:szCs w:val="20"/>
              </w:rPr>
              <w:t>b</w:t>
            </w:r>
            <w:r w:rsidRPr="008D4FA1">
              <w:rPr>
                <w:bCs/>
                <w:color w:val="auto"/>
                <w:sz w:val="20"/>
                <w:szCs w:val="20"/>
              </w:rPr>
              <w:t xml:space="preserve"> Proactively provide support and advice on possible approaches and projects to bridge-the-gap under the Off-Farm Efficiency Program arrangements, or other arrangements.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3AE419" w14:textId="77777777" w:rsidR="008D4FA1" w:rsidRPr="00DA6A97" w:rsidRDefault="008D4FA1"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4D771D" w14:textId="7B528142" w:rsidR="008D4FA1" w:rsidRPr="00DA6A97" w:rsidRDefault="0059231F" w:rsidP="006F3A9B">
            <w:pPr>
              <w:pStyle w:val="Tableformat"/>
              <w:rPr>
                <w:bCs/>
                <w:color w:val="auto"/>
                <w:sz w:val="20"/>
                <w:szCs w:val="20"/>
              </w:rPr>
            </w:pPr>
            <w:r>
              <w:rPr>
                <w:bCs/>
                <w:color w:val="auto"/>
                <w:sz w:val="20"/>
                <w:szCs w:val="20"/>
              </w:rPr>
              <w:t>$207,910</w:t>
            </w:r>
          </w:p>
        </w:tc>
      </w:tr>
      <w:tr w:rsidR="008D4FA1" w:rsidRPr="00DA6A97" w14:paraId="313AD9C6" w14:textId="77777777" w:rsidTr="008D4FA1">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63858F4D" w14:textId="77777777" w:rsidR="008D4FA1" w:rsidRPr="00DA6A97" w:rsidRDefault="008D4FA1" w:rsidP="006F3A9B">
            <w:pPr>
              <w:pStyle w:val="Tableformat"/>
              <w:rPr>
                <w:bCs/>
                <w:color w:val="auto"/>
                <w:sz w:val="20"/>
                <w:szCs w:val="20"/>
              </w:rPr>
            </w:pPr>
            <w:r w:rsidRPr="00DA6A97">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D757CA" w14:textId="34CE973A" w:rsidR="008D4FA1" w:rsidRPr="00DA6A97" w:rsidRDefault="00392E54" w:rsidP="006F3A9B">
            <w:pPr>
              <w:pStyle w:val="Tableformat"/>
              <w:rPr>
                <w:bCs/>
                <w:color w:val="auto"/>
                <w:sz w:val="20"/>
                <w:szCs w:val="20"/>
              </w:rPr>
            </w:pPr>
            <w:r>
              <w:rPr>
                <w:bCs/>
                <w:color w:val="auto"/>
                <w:sz w:val="20"/>
                <w:szCs w:val="20"/>
              </w:rPr>
              <w:t>2</w:t>
            </w:r>
            <w:r w:rsidR="008D4FA1">
              <w:rPr>
                <w:bCs/>
                <w:color w:val="auto"/>
                <w:sz w:val="20"/>
                <w:szCs w:val="20"/>
              </w:rPr>
              <w:t xml:space="preserve">. </w:t>
            </w:r>
            <w:r w:rsidR="008D4FA1" w:rsidRPr="00DA6A97">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4F998F" w14:textId="455199CE" w:rsidR="008D4FA1" w:rsidRPr="00DA6A97" w:rsidRDefault="00392E54" w:rsidP="006F3A9B">
            <w:pPr>
              <w:pStyle w:val="Tableformat"/>
              <w:rPr>
                <w:bCs/>
                <w:color w:val="auto"/>
                <w:sz w:val="20"/>
                <w:szCs w:val="20"/>
              </w:rPr>
            </w:pPr>
            <w:r>
              <w:rPr>
                <w:bCs/>
                <w:color w:val="auto"/>
                <w:sz w:val="20"/>
                <w:szCs w:val="20"/>
              </w:rPr>
              <w:t>2</w:t>
            </w:r>
            <w:r w:rsidR="008D4FA1" w:rsidRPr="00C26E8B">
              <w:rPr>
                <w:bCs/>
                <w:color w:val="auto"/>
                <w:sz w:val="20"/>
                <w:szCs w:val="20"/>
              </w:rPr>
              <w:t xml:space="preserve">.a Through the Environmental Water Committee, define and agree a </w:t>
            </w:r>
            <w:r w:rsidR="007C3B81" w:rsidRPr="00C26E8B">
              <w:rPr>
                <w:bCs/>
                <w:color w:val="auto"/>
                <w:sz w:val="20"/>
                <w:szCs w:val="20"/>
              </w:rPr>
              <w:t>work plan</w:t>
            </w:r>
            <w:r w:rsidR="008D4FA1" w:rsidRPr="00C26E8B">
              <w:rPr>
                <w:bCs/>
                <w:color w:val="auto"/>
                <w:sz w:val="20"/>
                <w:szCs w:val="20"/>
              </w:rPr>
              <w:t xml:space="preserve"> of priority collaborative activities to deliver the Environmental Water Protection Strategy, where relevant to the jurisdiction</w:t>
            </w:r>
            <w:r w:rsidR="008D4FA1"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C2A6C3" w14:textId="77777777" w:rsidR="008D4FA1" w:rsidRPr="00DA6A97" w:rsidRDefault="008D4FA1"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84804C" w14:textId="66864B93" w:rsidR="008D4FA1" w:rsidRPr="00DA6A97" w:rsidRDefault="0059231F" w:rsidP="006F3A9B">
            <w:pPr>
              <w:pStyle w:val="Tableformat"/>
              <w:rPr>
                <w:bCs/>
                <w:color w:val="auto"/>
                <w:sz w:val="20"/>
                <w:szCs w:val="20"/>
              </w:rPr>
            </w:pPr>
            <w:r>
              <w:rPr>
                <w:bCs/>
                <w:color w:val="auto"/>
                <w:sz w:val="20"/>
                <w:szCs w:val="20"/>
              </w:rPr>
              <w:t>$</w:t>
            </w:r>
            <w:r w:rsidR="00B80DE6">
              <w:rPr>
                <w:bCs/>
                <w:color w:val="auto"/>
                <w:sz w:val="20"/>
                <w:szCs w:val="20"/>
              </w:rPr>
              <w:t>110,457</w:t>
            </w:r>
          </w:p>
        </w:tc>
      </w:tr>
      <w:tr w:rsidR="0059231F" w:rsidRPr="00DA6A97" w14:paraId="4A45F5D8" w14:textId="77777777" w:rsidTr="008D4FA1">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39C145A4" w14:textId="77777777" w:rsidR="0059231F" w:rsidRPr="00DA6A97" w:rsidRDefault="0059231F" w:rsidP="0059231F">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996DB5" w14:textId="490E3B24" w:rsidR="0059231F" w:rsidRPr="00DA6A97" w:rsidRDefault="00392E54" w:rsidP="0059231F">
            <w:pPr>
              <w:pStyle w:val="Tableformat"/>
              <w:rPr>
                <w:bCs/>
                <w:color w:val="auto"/>
                <w:sz w:val="20"/>
                <w:szCs w:val="20"/>
              </w:rPr>
            </w:pPr>
            <w:r>
              <w:rPr>
                <w:bCs/>
                <w:color w:val="auto"/>
                <w:sz w:val="20"/>
                <w:szCs w:val="20"/>
              </w:rPr>
              <w:t>3</w:t>
            </w:r>
            <w:r w:rsidR="0059231F">
              <w:rPr>
                <w:bCs/>
                <w:color w:val="auto"/>
                <w:sz w:val="20"/>
                <w:szCs w:val="20"/>
              </w:rPr>
              <w:t xml:space="preserve">. </w:t>
            </w:r>
            <w:r w:rsidR="0059231F" w:rsidRPr="00DA6A97">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129D63" w14:textId="08BA224E" w:rsidR="0059231F" w:rsidRPr="00DA6A97" w:rsidRDefault="00392E54" w:rsidP="0059231F">
            <w:pPr>
              <w:pStyle w:val="Tableformat"/>
              <w:rPr>
                <w:bCs/>
                <w:color w:val="auto"/>
                <w:sz w:val="20"/>
                <w:szCs w:val="20"/>
              </w:rPr>
            </w:pPr>
            <w:r>
              <w:rPr>
                <w:bCs/>
                <w:color w:val="auto"/>
                <w:sz w:val="20"/>
                <w:szCs w:val="20"/>
              </w:rPr>
              <w:t>3</w:t>
            </w:r>
            <w:r w:rsidR="0059231F" w:rsidRPr="00C26E8B">
              <w:rPr>
                <w:bCs/>
                <w:color w:val="auto"/>
                <w:sz w:val="20"/>
                <w:szCs w:val="20"/>
              </w:rPr>
              <w:t xml:space="preserve">.a Engage with </w:t>
            </w:r>
            <w:r w:rsidR="00795920">
              <w:rPr>
                <w:bCs/>
                <w:color w:val="auto"/>
                <w:sz w:val="20"/>
                <w:szCs w:val="20"/>
              </w:rPr>
              <w:t>all stakeholders</w:t>
            </w:r>
            <w:r w:rsidR="0059231F" w:rsidRPr="00C26E8B">
              <w:rPr>
                <w:bCs/>
                <w:color w:val="auto"/>
                <w:sz w:val="20"/>
                <w:szCs w:val="20"/>
              </w:rPr>
              <w:t>, in the development of annual environmental water plans or priorities; and in the implementation, review and update of LTWPs, where relevant to the jurisdiction</w:t>
            </w:r>
            <w:r w:rsidR="0059231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2C9044"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A76E78" w14:textId="67C2C59A" w:rsidR="0059231F" w:rsidRPr="00DA6A97" w:rsidRDefault="0059231F" w:rsidP="0059231F">
            <w:pPr>
              <w:pStyle w:val="Tableformat"/>
              <w:rPr>
                <w:bCs/>
                <w:color w:val="auto"/>
                <w:sz w:val="20"/>
                <w:szCs w:val="20"/>
              </w:rPr>
            </w:pPr>
            <w:r w:rsidRPr="00BB3535">
              <w:rPr>
                <w:bCs/>
                <w:color w:val="auto"/>
                <w:sz w:val="20"/>
                <w:szCs w:val="20"/>
              </w:rPr>
              <w:t>$</w:t>
            </w:r>
            <w:r w:rsidR="00B80DE6">
              <w:rPr>
                <w:bCs/>
                <w:color w:val="auto"/>
                <w:sz w:val="20"/>
                <w:szCs w:val="20"/>
              </w:rPr>
              <w:t>110,457</w:t>
            </w:r>
          </w:p>
        </w:tc>
      </w:tr>
      <w:tr w:rsidR="00392E54" w:rsidRPr="00DA6A97" w14:paraId="27C6B7BF" w14:textId="77777777" w:rsidTr="00392E54">
        <w:trPr>
          <w:trHeight w:val="1705"/>
        </w:trPr>
        <w:tc>
          <w:tcPr>
            <w:tcW w:w="1560" w:type="dxa"/>
            <w:vMerge w:val="restart"/>
            <w:tcBorders>
              <w:left w:val="single" w:sz="8" w:space="0" w:color="4F81BD"/>
              <w:right w:val="single" w:sz="8" w:space="0" w:color="4F81BD"/>
            </w:tcBorders>
            <w:shd w:val="clear" w:color="auto" w:fill="F2F2F2" w:themeFill="background1" w:themeFillShade="F2"/>
          </w:tcPr>
          <w:p w14:paraId="35669FC5" w14:textId="5924DE0F" w:rsidR="00392E54" w:rsidRPr="00DA6A97" w:rsidRDefault="00392E54" w:rsidP="0059231F">
            <w:pPr>
              <w:pStyle w:val="Tableformat"/>
              <w:rPr>
                <w:bCs/>
                <w:color w:val="auto"/>
                <w:sz w:val="20"/>
                <w:szCs w:val="20"/>
              </w:rPr>
            </w:pPr>
            <w:r w:rsidRPr="00DA6A97">
              <w:rPr>
                <w:bCs/>
                <w:color w:val="auto"/>
                <w:sz w:val="20"/>
                <w:szCs w:val="20"/>
              </w:rPr>
              <w:t>Implementation of the Basin Plan</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3D0C26E7" w14:textId="2BDB2F79" w:rsidR="00392E54" w:rsidRPr="00DA6A97" w:rsidRDefault="00392E54" w:rsidP="00B80DE6">
            <w:pPr>
              <w:pStyle w:val="Tableformat"/>
              <w:rPr>
                <w:bCs/>
                <w:color w:val="auto"/>
                <w:sz w:val="20"/>
                <w:szCs w:val="20"/>
              </w:rPr>
            </w:pPr>
            <w:r>
              <w:rPr>
                <w:bCs/>
                <w:color w:val="auto"/>
                <w:sz w:val="20"/>
                <w:szCs w:val="20"/>
              </w:rPr>
              <w:t>4. Contribute to delivery of</w:t>
            </w:r>
            <w:r w:rsidRPr="00DA6A97">
              <w:rPr>
                <w:bCs/>
                <w:color w:val="auto"/>
                <w:sz w:val="20"/>
                <w:szCs w:val="20"/>
              </w:rPr>
              <w:t xml:space="preserve"> the MDBA-led SDL Accounting Framework Improvement Strategy 2020-25 </w:t>
            </w:r>
            <w:r w:rsidR="007C3B81" w:rsidRPr="00DA6A97">
              <w:rPr>
                <w:bCs/>
                <w:color w:val="auto"/>
                <w:sz w:val="20"/>
                <w:szCs w:val="20"/>
              </w:rPr>
              <w:t>work plan</w:t>
            </w:r>
            <w:r w:rsidRPr="00DA6A97">
              <w:rPr>
                <w:bCs/>
                <w:color w:val="auto"/>
                <w:sz w:val="20"/>
                <w:szCs w:val="20"/>
              </w:rPr>
              <w:t>, including supplying data and quality assurance documentation</w:t>
            </w:r>
          </w:p>
        </w:tc>
        <w:tc>
          <w:tcPr>
            <w:tcW w:w="3686" w:type="dxa"/>
            <w:tcBorders>
              <w:top w:val="single" w:sz="8" w:space="0" w:color="4F81BD"/>
              <w:left w:val="single" w:sz="8" w:space="0" w:color="4F81BD"/>
              <w:right w:val="single" w:sz="8" w:space="0" w:color="4F81BD"/>
            </w:tcBorders>
            <w:shd w:val="clear" w:color="auto" w:fill="F2F2F2" w:themeFill="background1" w:themeFillShade="F2"/>
          </w:tcPr>
          <w:p w14:paraId="163D39B2" w14:textId="211E1B54" w:rsidR="00392E54" w:rsidRPr="00DA6A97" w:rsidRDefault="00392E54" w:rsidP="00474DFF">
            <w:pPr>
              <w:pStyle w:val="Tableformat"/>
              <w:rPr>
                <w:bCs/>
                <w:color w:val="auto"/>
                <w:sz w:val="20"/>
                <w:szCs w:val="20"/>
              </w:rPr>
            </w:pPr>
            <w:r>
              <w:rPr>
                <w:bCs/>
                <w:color w:val="auto"/>
                <w:sz w:val="20"/>
                <w:szCs w:val="20"/>
              </w:rPr>
              <w:t>4</w:t>
            </w:r>
            <w:r w:rsidRPr="008773F1">
              <w:rPr>
                <w:bCs/>
                <w:color w:val="auto"/>
                <w:sz w:val="20"/>
                <w:szCs w:val="20"/>
              </w:rPr>
              <w:t xml:space="preserve">.a Contribute to developing a </w:t>
            </w:r>
            <w:r w:rsidR="007C3B81" w:rsidRPr="008773F1">
              <w:rPr>
                <w:bCs/>
                <w:color w:val="auto"/>
                <w:sz w:val="20"/>
                <w:szCs w:val="20"/>
              </w:rPr>
              <w:t>work plan</w:t>
            </w:r>
            <w:r w:rsidRPr="008773F1">
              <w:rPr>
                <w:bCs/>
                <w:color w:val="auto"/>
                <w:sz w:val="20"/>
                <w:szCs w:val="20"/>
              </w:rPr>
              <w:t xml:space="preserve"> to implement the SDL Accounting Framework Improvement Strategy 2020-25, led by the MDBA and agreed by BOC Alternates</w:t>
            </w:r>
            <w:r w:rsidRPr="00DA6A97">
              <w:rPr>
                <w:bCs/>
                <w:color w:val="auto"/>
                <w:sz w:val="20"/>
                <w:szCs w:val="20"/>
              </w:rPr>
              <w:t xml:space="preserve">. </w:t>
            </w:r>
          </w:p>
        </w:tc>
        <w:tc>
          <w:tcPr>
            <w:tcW w:w="1276" w:type="dxa"/>
            <w:tcBorders>
              <w:top w:val="single" w:sz="8" w:space="0" w:color="4F81BD"/>
              <w:left w:val="single" w:sz="8" w:space="0" w:color="4F81BD"/>
              <w:right w:val="single" w:sz="8" w:space="0" w:color="4F81BD"/>
            </w:tcBorders>
            <w:shd w:val="clear" w:color="auto" w:fill="F2F2F2" w:themeFill="background1" w:themeFillShade="F2"/>
          </w:tcPr>
          <w:p w14:paraId="45DB29F8" w14:textId="48D1E3F2" w:rsidR="00392E54" w:rsidRPr="00DA6A97" w:rsidRDefault="00392E54">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right w:val="single" w:sz="8" w:space="0" w:color="4F81BD"/>
            </w:tcBorders>
            <w:shd w:val="clear" w:color="auto" w:fill="F2F2F2" w:themeFill="background1" w:themeFillShade="F2"/>
          </w:tcPr>
          <w:p w14:paraId="03E5F3CD" w14:textId="734F5B36" w:rsidR="00392E54" w:rsidRPr="00DA6A97" w:rsidRDefault="00392E54">
            <w:pPr>
              <w:pStyle w:val="Tableformat"/>
              <w:rPr>
                <w:bCs/>
                <w:color w:val="auto"/>
                <w:sz w:val="20"/>
                <w:szCs w:val="20"/>
              </w:rPr>
            </w:pPr>
            <w:r w:rsidRPr="00BB3535">
              <w:rPr>
                <w:bCs/>
                <w:color w:val="auto"/>
                <w:sz w:val="20"/>
                <w:szCs w:val="20"/>
              </w:rPr>
              <w:t>$</w:t>
            </w:r>
            <w:r>
              <w:rPr>
                <w:bCs/>
                <w:color w:val="auto"/>
                <w:sz w:val="20"/>
                <w:szCs w:val="20"/>
              </w:rPr>
              <w:t>110,457</w:t>
            </w:r>
          </w:p>
        </w:tc>
      </w:tr>
      <w:tr w:rsidR="00392E54" w:rsidRPr="00DA6A97" w14:paraId="3B39F13D" w14:textId="77777777" w:rsidTr="008D4FA1">
        <w:tc>
          <w:tcPr>
            <w:tcW w:w="1560" w:type="dxa"/>
            <w:vMerge/>
            <w:tcBorders>
              <w:left w:val="single" w:sz="8" w:space="0" w:color="4F81BD"/>
              <w:right w:val="single" w:sz="8" w:space="0" w:color="4F81BD"/>
            </w:tcBorders>
            <w:shd w:val="clear" w:color="auto" w:fill="F2F2F2" w:themeFill="background1" w:themeFillShade="F2"/>
          </w:tcPr>
          <w:p w14:paraId="16E1136C" w14:textId="77777777" w:rsidR="00392E54" w:rsidRPr="00DA6A97" w:rsidRDefault="00392E54" w:rsidP="0059231F">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53B2CA4F" w14:textId="77777777" w:rsidR="00392E54" w:rsidRPr="00DA6A97" w:rsidRDefault="00392E54" w:rsidP="0059231F">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081BC2" w14:textId="14813D49" w:rsidR="00392E54" w:rsidRPr="00DA6A97" w:rsidRDefault="00392E54" w:rsidP="0059231F">
            <w:pPr>
              <w:pStyle w:val="Tableformat"/>
              <w:rPr>
                <w:bCs/>
                <w:color w:val="auto"/>
                <w:sz w:val="20"/>
                <w:szCs w:val="20"/>
              </w:rPr>
            </w:pPr>
            <w:r>
              <w:rPr>
                <w:bCs/>
                <w:color w:val="auto"/>
                <w:sz w:val="20"/>
                <w:szCs w:val="20"/>
              </w:rPr>
              <w:t>4</w:t>
            </w:r>
            <w:r w:rsidRPr="008773F1">
              <w:rPr>
                <w:bCs/>
                <w:color w:val="auto"/>
                <w:sz w:val="20"/>
                <w:szCs w:val="20"/>
              </w:rPr>
              <w:t xml:space="preserve">.b Implement the SDL Accounting Framework Improvement Strategy </w:t>
            </w:r>
            <w:r w:rsidR="007C3B81" w:rsidRPr="008773F1">
              <w:rPr>
                <w:bCs/>
                <w:color w:val="auto"/>
                <w:sz w:val="20"/>
                <w:szCs w:val="20"/>
              </w:rPr>
              <w:t>work plan</w:t>
            </w:r>
            <w:r w:rsidRPr="008773F1">
              <w:rPr>
                <w:bCs/>
                <w:color w:val="auto"/>
                <w:sz w:val="20"/>
                <w:szCs w:val="20"/>
              </w:rPr>
              <w:t xml:space="preserve"> led by the MDBA, as relevant to the jurisdictio</w:t>
            </w:r>
            <w:r>
              <w:rPr>
                <w:bCs/>
                <w:color w:val="auto"/>
                <w:sz w:val="20"/>
                <w:szCs w:val="20"/>
              </w:rPr>
              <w:t>n</w:t>
            </w:r>
            <w:r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B1D99E7" w14:textId="77777777" w:rsidR="00392E54" w:rsidRPr="00DA6A97" w:rsidRDefault="00392E54"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A5DDC8" w14:textId="3D18D11E" w:rsidR="00392E54" w:rsidRPr="00DA6A97" w:rsidRDefault="00392E54" w:rsidP="0059231F">
            <w:pPr>
              <w:pStyle w:val="Tableformat"/>
              <w:rPr>
                <w:bCs/>
                <w:color w:val="auto"/>
                <w:sz w:val="20"/>
                <w:szCs w:val="20"/>
              </w:rPr>
            </w:pPr>
            <w:r w:rsidRPr="00BB3535">
              <w:rPr>
                <w:bCs/>
                <w:color w:val="auto"/>
                <w:sz w:val="20"/>
                <w:szCs w:val="20"/>
              </w:rPr>
              <w:t>$</w:t>
            </w:r>
            <w:r>
              <w:rPr>
                <w:bCs/>
                <w:color w:val="auto"/>
                <w:sz w:val="20"/>
                <w:szCs w:val="20"/>
              </w:rPr>
              <w:t>110,457</w:t>
            </w:r>
          </w:p>
        </w:tc>
      </w:tr>
      <w:tr w:rsidR="0059231F" w:rsidRPr="00DA6A97" w14:paraId="7E1A9088" w14:textId="77777777" w:rsidTr="008D4FA1">
        <w:tc>
          <w:tcPr>
            <w:tcW w:w="1560" w:type="dxa"/>
            <w:vMerge/>
            <w:tcBorders>
              <w:left w:val="single" w:sz="8" w:space="0" w:color="4F81BD"/>
              <w:right w:val="single" w:sz="8" w:space="0" w:color="4F81BD"/>
            </w:tcBorders>
            <w:shd w:val="clear" w:color="auto" w:fill="F2F2F2" w:themeFill="background1" w:themeFillShade="F2"/>
          </w:tcPr>
          <w:p w14:paraId="38E871C0" w14:textId="77777777" w:rsidR="0059231F" w:rsidRPr="00DA6A97" w:rsidRDefault="0059231F" w:rsidP="0059231F">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609C41" w14:textId="7C1B3D31" w:rsidR="0059231F" w:rsidRPr="00DA6A97" w:rsidRDefault="00392E54" w:rsidP="0059231F">
            <w:pPr>
              <w:pStyle w:val="Tableformat"/>
              <w:rPr>
                <w:bCs/>
                <w:color w:val="auto"/>
                <w:sz w:val="20"/>
                <w:szCs w:val="20"/>
              </w:rPr>
            </w:pPr>
            <w:r>
              <w:rPr>
                <w:bCs/>
                <w:color w:val="auto"/>
                <w:sz w:val="20"/>
                <w:szCs w:val="20"/>
              </w:rPr>
              <w:t>5</w:t>
            </w:r>
            <w:r w:rsidR="0059231F">
              <w:rPr>
                <w:bCs/>
                <w:color w:val="auto"/>
                <w:sz w:val="20"/>
                <w:szCs w:val="20"/>
              </w:rPr>
              <w:t xml:space="preserve">. </w:t>
            </w:r>
            <w:r w:rsidR="0059231F" w:rsidRPr="00DA6A97">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574AB9" w14:textId="3C078413" w:rsidR="0059231F" w:rsidRPr="00DA6A97" w:rsidRDefault="00392E54" w:rsidP="0059231F">
            <w:pPr>
              <w:pStyle w:val="Tableformat"/>
              <w:rPr>
                <w:bCs/>
                <w:color w:val="auto"/>
                <w:sz w:val="20"/>
                <w:szCs w:val="20"/>
              </w:rPr>
            </w:pPr>
            <w:r>
              <w:rPr>
                <w:bCs/>
                <w:color w:val="auto"/>
                <w:sz w:val="20"/>
                <w:szCs w:val="20"/>
              </w:rPr>
              <w:t>5</w:t>
            </w:r>
            <w:r w:rsidR="0059231F" w:rsidRPr="008773F1">
              <w:rPr>
                <w:bCs/>
                <w:color w:val="auto"/>
                <w:sz w:val="20"/>
                <w:szCs w:val="20"/>
              </w:rPr>
              <w:t>.a Submit amendments to WRPs to the Commonwealth for approval where state water planning frameworks in WRPs become inconsistent with the Basin Plan</w:t>
            </w:r>
            <w:r w:rsidR="0059231F"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DA5E44"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5F4659" w14:textId="0762AFBD" w:rsidR="0059231F" w:rsidRPr="00DA6A97" w:rsidRDefault="0059231F" w:rsidP="0059231F">
            <w:pPr>
              <w:pStyle w:val="Tableformat"/>
              <w:rPr>
                <w:bCs/>
                <w:color w:val="auto"/>
                <w:sz w:val="20"/>
                <w:szCs w:val="20"/>
              </w:rPr>
            </w:pPr>
            <w:r w:rsidRPr="00BB3535">
              <w:rPr>
                <w:bCs/>
                <w:color w:val="auto"/>
                <w:sz w:val="20"/>
                <w:szCs w:val="20"/>
              </w:rPr>
              <w:t>$</w:t>
            </w:r>
            <w:r w:rsidR="00392E54">
              <w:rPr>
                <w:bCs/>
                <w:color w:val="auto"/>
                <w:sz w:val="20"/>
                <w:szCs w:val="20"/>
              </w:rPr>
              <w:t>110,457</w:t>
            </w:r>
          </w:p>
        </w:tc>
      </w:tr>
      <w:tr w:rsidR="0059231F" w:rsidRPr="00DA6A97" w14:paraId="35987237" w14:textId="77777777" w:rsidTr="008D4FA1">
        <w:tc>
          <w:tcPr>
            <w:tcW w:w="1560" w:type="dxa"/>
            <w:vMerge/>
            <w:tcBorders>
              <w:left w:val="single" w:sz="8" w:space="0" w:color="4F81BD"/>
              <w:right w:val="single" w:sz="8" w:space="0" w:color="4F81BD"/>
            </w:tcBorders>
            <w:shd w:val="clear" w:color="auto" w:fill="F2F2F2" w:themeFill="background1" w:themeFillShade="F2"/>
          </w:tcPr>
          <w:p w14:paraId="5C27A731" w14:textId="77777777" w:rsidR="0059231F" w:rsidRPr="00DA6A97" w:rsidRDefault="0059231F" w:rsidP="0059231F">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7845F151" w14:textId="6FFC892C" w:rsidR="0059231F" w:rsidRPr="00DA6A97" w:rsidRDefault="00392E54" w:rsidP="0059231F">
            <w:pPr>
              <w:pStyle w:val="Tableformat"/>
              <w:rPr>
                <w:bCs/>
                <w:color w:val="auto"/>
                <w:sz w:val="20"/>
                <w:szCs w:val="20"/>
              </w:rPr>
            </w:pPr>
            <w:r>
              <w:rPr>
                <w:bCs/>
                <w:color w:val="auto"/>
                <w:sz w:val="20"/>
                <w:szCs w:val="20"/>
              </w:rPr>
              <w:t>6</w:t>
            </w:r>
            <w:r w:rsidR="0059231F">
              <w:rPr>
                <w:bCs/>
                <w:color w:val="auto"/>
                <w:sz w:val="20"/>
                <w:szCs w:val="20"/>
              </w:rPr>
              <w:t xml:space="preserve">. </w:t>
            </w:r>
            <w:r w:rsidR="0059231F" w:rsidRPr="00DA6A97">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47AD8F" w14:textId="462760EF" w:rsidR="0059231F" w:rsidRPr="00DA6A97" w:rsidRDefault="00392E54" w:rsidP="0059231F">
            <w:pPr>
              <w:pStyle w:val="Tableformat"/>
              <w:rPr>
                <w:bCs/>
                <w:color w:val="auto"/>
                <w:sz w:val="20"/>
                <w:szCs w:val="20"/>
              </w:rPr>
            </w:pPr>
            <w:r>
              <w:rPr>
                <w:bCs/>
                <w:color w:val="auto"/>
                <w:sz w:val="20"/>
                <w:szCs w:val="20"/>
              </w:rPr>
              <w:t>6</w:t>
            </w:r>
            <w:r w:rsidR="0059231F">
              <w:rPr>
                <w:bCs/>
                <w:color w:val="auto"/>
                <w:sz w:val="20"/>
                <w:szCs w:val="20"/>
              </w:rPr>
              <w:t xml:space="preserve">.a </w:t>
            </w:r>
            <w:r w:rsidR="0059231F" w:rsidRPr="00DA6A97">
              <w:rPr>
                <w:bCs/>
                <w:color w:val="auto"/>
                <w:sz w:val="20"/>
                <w:szCs w:val="20"/>
              </w:rPr>
              <w:t>Deliver Basin Plan reporting under Schedule 12, including reporting under Matters 8, 12, 18 and 19</w:t>
            </w:r>
            <w:r w:rsidR="008E14AF">
              <w:rPr>
                <w:bCs/>
                <w:color w:val="auto"/>
                <w:sz w:val="20"/>
                <w:szCs w:val="20"/>
              </w:rPr>
              <w:t xml:space="preserve"> and 21 (compliance with water resource plans, such as but not limited to Parts 4, 6, 14)</w:t>
            </w:r>
            <w:r w:rsidR="0059231F"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DA079E"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62E282" w14:textId="7B1CB5F6" w:rsidR="0059231F" w:rsidRPr="00DA6A97" w:rsidRDefault="0059231F">
            <w:pPr>
              <w:pStyle w:val="Tableformat"/>
              <w:rPr>
                <w:bCs/>
                <w:color w:val="auto"/>
                <w:sz w:val="20"/>
                <w:szCs w:val="20"/>
              </w:rPr>
            </w:pPr>
            <w:r w:rsidRPr="0047200D">
              <w:rPr>
                <w:bCs/>
                <w:color w:val="auto"/>
                <w:sz w:val="20"/>
                <w:szCs w:val="20"/>
              </w:rPr>
              <w:t>$</w:t>
            </w:r>
            <w:r w:rsidR="00737F1C">
              <w:rPr>
                <w:bCs/>
                <w:color w:val="auto"/>
                <w:sz w:val="20"/>
                <w:szCs w:val="20"/>
              </w:rPr>
              <w:t>165,685</w:t>
            </w:r>
          </w:p>
        </w:tc>
      </w:tr>
      <w:tr w:rsidR="0059231F" w:rsidRPr="00DA6A97" w14:paraId="33303765" w14:textId="77777777" w:rsidTr="008D4FA1">
        <w:tc>
          <w:tcPr>
            <w:tcW w:w="1560" w:type="dxa"/>
            <w:vMerge/>
            <w:tcBorders>
              <w:left w:val="single" w:sz="8" w:space="0" w:color="4F81BD"/>
              <w:right w:val="single" w:sz="8" w:space="0" w:color="4F81BD"/>
            </w:tcBorders>
            <w:shd w:val="clear" w:color="auto" w:fill="F2F2F2" w:themeFill="background1" w:themeFillShade="F2"/>
          </w:tcPr>
          <w:p w14:paraId="34626B6B" w14:textId="77777777" w:rsidR="0059231F" w:rsidRPr="00DA6A97" w:rsidRDefault="0059231F" w:rsidP="0059231F">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3EBFADA1" w14:textId="77777777" w:rsidR="0059231F" w:rsidRPr="00DA6A97" w:rsidRDefault="0059231F" w:rsidP="0059231F">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74D772" w14:textId="49AC139D" w:rsidR="0059231F" w:rsidRPr="00DA6A97" w:rsidRDefault="00392E54" w:rsidP="0059231F">
            <w:pPr>
              <w:pStyle w:val="Tableformat"/>
              <w:rPr>
                <w:bCs/>
                <w:color w:val="auto"/>
                <w:sz w:val="20"/>
                <w:szCs w:val="20"/>
              </w:rPr>
            </w:pPr>
            <w:r>
              <w:rPr>
                <w:bCs/>
                <w:color w:val="auto"/>
                <w:sz w:val="20"/>
                <w:szCs w:val="20"/>
              </w:rPr>
              <w:t>6</w:t>
            </w:r>
            <w:r w:rsidR="0059231F">
              <w:rPr>
                <w:bCs/>
                <w:color w:val="auto"/>
                <w:sz w:val="20"/>
                <w:szCs w:val="20"/>
              </w:rPr>
              <w:t xml:space="preserve">.b </w:t>
            </w:r>
            <w:r w:rsidR="0059231F" w:rsidRPr="00DA6A97">
              <w:rPr>
                <w:bCs/>
                <w:color w:val="auto"/>
                <w:sz w:val="20"/>
                <w:szCs w:val="20"/>
              </w:rPr>
              <w:t>Deliver on</w:t>
            </w:r>
            <w:r w:rsidR="0059231F">
              <w:rPr>
                <w:bCs/>
                <w:color w:val="auto"/>
                <w:sz w:val="20"/>
                <w:szCs w:val="20"/>
              </w:rPr>
              <w:t xml:space="preserve"> agreed</w:t>
            </w:r>
            <w:r w:rsidR="0059231F" w:rsidRPr="00DA6A97">
              <w:rPr>
                <w:bCs/>
                <w:color w:val="auto"/>
                <w:sz w:val="20"/>
                <w:szCs w:val="20"/>
              </w:rPr>
              <w:t xml:space="preserve"> strategic activities under the Basin Monitoring Evaluation and Reporting Working Group annual </w:t>
            </w:r>
            <w:r w:rsidR="007C3B81" w:rsidRPr="00DA6A97">
              <w:rPr>
                <w:bCs/>
                <w:color w:val="auto"/>
                <w:sz w:val="20"/>
                <w:szCs w:val="20"/>
              </w:rPr>
              <w:t>work plan</w:t>
            </w:r>
            <w:r w:rsidR="0059231F" w:rsidRPr="00DA6A97">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7A2813"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603DD1" w14:textId="6C0C5673" w:rsidR="0059231F" w:rsidRPr="00DA6A97" w:rsidRDefault="0059231F">
            <w:pPr>
              <w:pStyle w:val="Tableformat"/>
              <w:rPr>
                <w:bCs/>
                <w:color w:val="auto"/>
                <w:sz w:val="20"/>
                <w:szCs w:val="20"/>
              </w:rPr>
            </w:pPr>
            <w:r w:rsidRPr="0047200D">
              <w:rPr>
                <w:bCs/>
                <w:color w:val="auto"/>
                <w:sz w:val="20"/>
                <w:szCs w:val="20"/>
              </w:rPr>
              <w:t>$</w:t>
            </w:r>
            <w:r w:rsidR="00737F1C">
              <w:rPr>
                <w:bCs/>
                <w:color w:val="auto"/>
                <w:sz w:val="20"/>
                <w:szCs w:val="20"/>
              </w:rPr>
              <w:t>165,685</w:t>
            </w:r>
          </w:p>
        </w:tc>
      </w:tr>
      <w:tr w:rsidR="0059231F" w:rsidRPr="00DA6A97" w14:paraId="29C8496E" w14:textId="77777777" w:rsidTr="008D4FA1">
        <w:tc>
          <w:tcPr>
            <w:tcW w:w="1560" w:type="dxa"/>
            <w:tcBorders>
              <w:top w:val="single" w:sz="8" w:space="0" w:color="4F81BD"/>
              <w:left w:val="single" w:sz="8" w:space="0" w:color="4F81BD"/>
              <w:right w:val="single" w:sz="8" w:space="0" w:color="4F81BD"/>
            </w:tcBorders>
            <w:shd w:val="clear" w:color="auto" w:fill="F2F2F2" w:themeFill="background1" w:themeFillShade="F2"/>
          </w:tcPr>
          <w:p w14:paraId="4D0ED3A1" w14:textId="77777777" w:rsidR="0059231F" w:rsidRPr="00DA6A97" w:rsidRDefault="0059231F" w:rsidP="0059231F">
            <w:pPr>
              <w:pStyle w:val="Tableformat"/>
              <w:rPr>
                <w:bCs/>
                <w:color w:val="auto"/>
                <w:sz w:val="20"/>
                <w:szCs w:val="20"/>
              </w:rPr>
            </w:pPr>
            <w:r w:rsidRPr="00DA6A97">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D992F1" w14:textId="0CF245CC" w:rsidR="0059231F" w:rsidRPr="00DA6A97" w:rsidRDefault="00BD2B0E" w:rsidP="0059231F">
            <w:pPr>
              <w:pStyle w:val="Tableformat"/>
              <w:rPr>
                <w:bCs/>
                <w:color w:val="auto"/>
                <w:sz w:val="20"/>
                <w:szCs w:val="20"/>
              </w:rPr>
            </w:pPr>
            <w:r>
              <w:rPr>
                <w:bCs/>
                <w:color w:val="auto"/>
                <w:sz w:val="20"/>
                <w:szCs w:val="20"/>
              </w:rPr>
              <w:t>7</w:t>
            </w:r>
            <w:r w:rsidR="0059231F">
              <w:rPr>
                <w:bCs/>
                <w:color w:val="auto"/>
                <w:sz w:val="20"/>
                <w:szCs w:val="20"/>
              </w:rPr>
              <w:t xml:space="preserve">. </w:t>
            </w:r>
            <w:r w:rsidR="0059231F" w:rsidRPr="00DA6A97">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E6FE04" w14:textId="6BB50275" w:rsidR="0059231F" w:rsidRPr="00DA6A97" w:rsidRDefault="00BD2B0E">
            <w:pPr>
              <w:pStyle w:val="Tableformat"/>
              <w:rPr>
                <w:bCs/>
                <w:color w:val="auto"/>
                <w:sz w:val="20"/>
                <w:szCs w:val="20"/>
              </w:rPr>
            </w:pPr>
            <w:r>
              <w:rPr>
                <w:bCs/>
                <w:color w:val="auto"/>
                <w:sz w:val="20"/>
                <w:szCs w:val="20"/>
              </w:rPr>
              <w:t>7</w:t>
            </w:r>
            <w:r w:rsidR="0059231F" w:rsidRPr="008773F1">
              <w:rPr>
                <w:bCs/>
                <w:color w:val="auto"/>
                <w:sz w:val="20"/>
                <w:szCs w:val="20"/>
              </w:rPr>
              <w:t>.a Contribute to the development of a road map for Murray-Darling Basin water market reform in response to the ACCC repor</w:t>
            </w:r>
            <w:r w:rsidR="0059231F">
              <w:rPr>
                <w:bCs/>
                <w:color w:val="auto"/>
                <w:sz w:val="20"/>
                <w:szCs w:val="20"/>
              </w:rPr>
              <w:t>t</w:t>
            </w:r>
            <w:r w:rsidR="0059231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ABD0D2"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B76DB4F" w14:textId="1A2C4315" w:rsidR="0059231F" w:rsidRPr="00DA6A97" w:rsidRDefault="0059231F" w:rsidP="0059231F">
            <w:pPr>
              <w:pStyle w:val="Tableformat"/>
              <w:rPr>
                <w:bCs/>
                <w:color w:val="auto"/>
                <w:sz w:val="20"/>
                <w:szCs w:val="20"/>
              </w:rPr>
            </w:pPr>
            <w:r w:rsidRPr="0047200D">
              <w:rPr>
                <w:bCs/>
                <w:color w:val="auto"/>
                <w:sz w:val="20"/>
                <w:szCs w:val="20"/>
              </w:rPr>
              <w:t>$</w:t>
            </w:r>
            <w:r w:rsidR="00392E54">
              <w:rPr>
                <w:bCs/>
                <w:color w:val="auto"/>
                <w:sz w:val="20"/>
                <w:szCs w:val="20"/>
              </w:rPr>
              <w:t>110,457</w:t>
            </w:r>
          </w:p>
        </w:tc>
      </w:tr>
      <w:tr w:rsidR="0059231F" w:rsidRPr="00DA6A97" w14:paraId="6566711C" w14:textId="77777777" w:rsidTr="008D4FA1">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03B5D1BD" w14:textId="77777777" w:rsidR="0059231F" w:rsidRPr="00DA6A97" w:rsidRDefault="0059231F" w:rsidP="0059231F">
            <w:pPr>
              <w:pStyle w:val="Tableformat"/>
              <w:rPr>
                <w:bCs/>
                <w:color w:val="auto"/>
                <w:sz w:val="20"/>
                <w:szCs w:val="20"/>
              </w:rPr>
            </w:pPr>
            <w:r w:rsidRPr="00DA6A97">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3BEBCA" w14:textId="053F9F72" w:rsidR="0059231F" w:rsidRPr="00DA6A97" w:rsidRDefault="00BD2B0E">
            <w:pPr>
              <w:pStyle w:val="Tableformat"/>
              <w:rPr>
                <w:bCs/>
                <w:color w:val="auto"/>
                <w:sz w:val="20"/>
                <w:szCs w:val="20"/>
              </w:rPr>
            </w:pPr>
            <w:r>
              <w:rPr>
                <w:bCs/>
                <w:color w:val="auto"/>
                <w:sz w:val="20"/>
                <w:szCs w:val="20"/>
              </w:rPr>
              <w:t>8</w:t>
            </w:r>
            <w:r w:rsidR="0059231F">
              <w:rPr>
                <w:bCs/>
                <w:color w:val="auto"/>
                <w:sz w:val="20"/>
                <w:szCs w:val="20"/>
              </w:rPr>
              <w:t xml:space="preserve">. </w:t>
            </w:r>
            <w:r w:rsidR="0059231F" w:rsidRPr="00DA6A97">
              <w:rPr>
                <w:bCs/>
                <w:color w:val="auto"/>
                <w:sz w:val="20"/>
                <w:szCs w:val="20"/>
              </w:rPr>
              <w:t xml:space="preserve">Implement revised Metrological Assurance Framework (MAF2)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D1A410" w14:textId="1791CC51" w:rsidR="0059231F" w:rsidRPr="00DA6A97" w:rsidRDefault="00BD2B0E">
            <w:pPr>
              <w:pStyle w:val="Tableformat"/>
              <w:rPr>
                <w:bCs/>
                <w:color w:val="auto"/>
                <w:sz w:val="20"/>
                <w:szCs w:val="20"/>
              </w:rPr>
            </w:pPr>
            <w:r>
              <w:rPr>
                <w:bCs/>
                <w:color w:val="auto"/>
                <w:sz w:val="20"/>
                <w:szCs w:val="20"/>
              </w:rPr>
              <w:t>8</w:t>
            </w:r>
            <w:r w:rsidR="0059231F" w:rsidRPr="008773F1">
              <w:rPr>
                <w:bCs/>
                <w:color w:val="auto"/>
                <w:sz w:val="20"/>
                <w:szCs w:val="20"/>
              </w:rPr>
              <w:t>.a Develop an implementation plan that integrates MAF2 requirements into the state’s metering compliance plan/policy</w:t>
            </w:r>
            <w:r w:rsidR="0059231F"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8FC111"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EE9F6A" w14:textId="4F57F11A" w:rsidR="0059231F" w:rsidRPr="00DA6A97" w:rsidRDefault="0059231F" w:rsidP="0059231F">
            <w:pPr>
              <w:pStyle w:val="Tableformat"/>
              <w:rPr>
                <w:bCs/>
                <w:color w:val="auto"/>
                <w:sz w:val="20"/>
                <w:szCs w:val="20"/>
              </w:rPr>
            </w:pPr>
            <w:r w:rsidRPr="0047200D">
              <w:rPr>
                <w:bCs/>
                <w:color w:val="auto"/>
                <w:sz w:val="20"/>
                <w:szCs w:val="20"/>
              </w:rPr>
              <w:t>$</w:t>
            </w:r>
            <w:r w:rsidR="00392E54">
              <w:rPr>
                <w:bCs/>
                <w:color w:val="auto"/>
                <w:sz w:val="20"/>
                <w:szCs w:val="20"/>
              </w:rPr>
              <w:t>110,457</w:t>
            </w:r>
          </w:p>
        </w:tc>
      </w:tr>
      <w:tr w:rsidR="0059231F" w:rsidRPr="00DA6A97" w14:paraId="16242A98" w14:textId="77777777" w:rsidTr="008D4FA1">
        <w:tc>
          <w:tcPr>
            <w:tcW w:w="1560" w:type="dxa"/>
            <w:vMerge/>
            <w:tcBorders>
              <w:left w:val="single" w:sz="8" w:space="0" w:color="4F81BD"/>
              <w:right w:val="single" w:sz="8" w:space="0" w:color="4F81BD"/>
            </w:tcBorders>
            <w:shd w:val="clear" w:color="auto" w:fill="F2F2F2" w:themeFill="background1" w:themeFillShade="F2"/>
          </w:tcPr>
          <w:p w14:paraId="260E2394" w14:textId="77777777" w:rsidR="0059231F" w:rsidRPr="00DA6A97" w:rsidRDefault="0059231F" w:rsidP="0059231F">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0777A788" w14:textId="76F5E1DE" w:rsidR="0059231F" w:rsidRPr="00DA6A97" w:rsidRDefault="00BD2B0E">
            <w:pPr>
              <w:pStyle w:val="Tableformat"/>
              <w:rPr>
                <w:bCs/>
                <w:color w:val="auto"/>
                <w:sz w:val="20"/>
                <w:szCs w:val="20"/>
              </w:rPr>
            </w:pPr>
            <w:r>
              <w:rPr>
                <w:bCs/>
                <w:color w:val="auto"/>
                <w:sz w:val="20"/>
                <w:szCs w:val="20"/>
              </w:rPr>
              <w:t>9</w:t>
            </w:r>
            <w:r w:rsidR="0059231F">
              <w:rPr>
                <w:bCs/>
                <w:color w:val="auto"/>
                <w:sz w:val="20"/>
                <w:szCs w:val="20"/>
              </w:rPr>
              <w:t xml:space="preserve">. </w:t>
            </w:r>
            <w:r w:rsidR="0059231F" w:rsidRPr="004D3DF8">
              <w:rPr>
                <w:bCs/>
                <w:color w:val="auto"/>
                <w:sz w:val="20"/>
                <w:szCs w:val="20"/>
              </w:rPr>
              <w:t>Work with the Inspector General of Water Compliance (IGWC) to provide clear compliance arrangements and reporting in the Murray</w:t>
            </w:r>
            <w:r w:rsidR="0059231F">
              <w:rPr>
                <w:bCs/>
                <w:color w:val="auto"/>
                <w:sz w:val="20"/>
                <w:szCs w:val="20"/>
              </w:rPr>
              <w:t>–</w:t>
            </w:r>
            <w:r w:rsidR="0059231F" w:rsidRPr="004D3DF8">
              <w:rPr>
                <w:bCs/>
                <w:color w:val="auto"/>
                <w:sz w:val="20"/>
                <w:szCs w:val="20"/>
              </w:rPr>
              <w:t>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62B9D1" w14:textId="232B3D61" w:rsidR="0059231F" w:rsidRPr="00DA6A97" w:rsidRDefault="00BD2B0E">
            <w:pPr>
              <w:pStyle w:val="Tableformat"/>
              <w:rPr>
                <w:bCs/>
                <w:color w:val="auto"/>
                <w:sz w:val="20"/>
                <w:szCs w:val="20"/>
              </w:rPr>
            </w:pPr>
            <w:r>
              <w:rPr>
                <w:bCs/>
                <w:color w:val="auto"/>
                <w:sz w:val="20"/>
                <w:szCs w:val="20"/>
              </w:rPr>
              <w:t>9</w:t>
            </w:r>
            <w:r w:rsidR="0059231F" w:rsidRPr="008773F1">
              <w:rPr>
                <w:bCs/>
                <w:color w:val="auto"/>
                <w:sz w:val="20"/>
                <w:szCs w:val="20"/>
              </w:rPr>
              <w:t>.a Contribute to the establishment of MoUs and/or protocols with the IGWC where relevant to the jurisdiction</w:t>
            </w:r>
            <w:r w:rsidR="0059231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7F3D40"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5D8E2C" w14:textId="4CDE7CDE" w:rsidR="0059231F" w:rsidRPr="00DA6A97" w:rsidRDefault="0059231F" w:rsidP="0059231F">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rsidRPr="00DA6A97" w14:paraId="2E54C66D" w14:textId="77777777" w:rsidTr="008D4FA1">
        <w:tc>
          <w:tcPr>
            <w:tcW w:w="1560" w:type="dxa"/>
            <w:vMerge/>
            <w:tcBorders>
              <w:left w:val="single" w:sz="8" w:space="0" w:color="4F81BD"/>
              <w:right w:val="single" w:sz="8" w:space="0" w:color="4F81BD"/>
            </w:tcBorders>
            <w:shd w:val="clear" w:color="auto" w:fill="F2F2F2" w:themeFill="background1" w:themeFillShade="F2"/>
          </w:tcPr>
          <w:p w14:paraId="0482BF65" w14:textId="77777777" w:rsidR="0059231F" w:rsidRPr="00DA6A97" w:rsidRDefault="0059231F" w:rsidP="0059231F">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26F545AF" w14:textId="77777777" w:rsidR="0059231F" w:rsidRPr="00DA6A97" w:rsidRDefault="0059231F" w:rsidP="0059231F">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7F02B2" w14:textId="731154C5" w:rsidR="0059231F" w:rsidRPr="00DA6A97" w:rsidRDefault="00BD2B0E">
            <w:pPr>
              <w:pStyle w:val="Tableformat"/>
              <w:rPr>
                <w:bCs/>
                <w:color w:val="auto"/>
                <w:sz w:val="20"/>
                <w:szCs w:val="20"/>
              </w:rPr>
            </w:pPr>
            <w:r>
              <w:rPr>
                <w:bCs/>
                <w:color w:val="auto"/>
                <w:sz w:val="20"/>
                <w:szCs w:val="20"/>
              </w:rPr>
              <w:t>9</w:t>
            </w:r>
            <w:r w:rsidR="0059231F" w:rsidRPr="008773F1">
              <w:rPr>
                <w:bCs/>
                <w:color w:val="auto"/>
                <w:sz w:val="20"/>
                <w:szCs w:val="20"/>
              </w:rPr>
              <w:t>.b Provide input to the IGWC on the development of standards and guidelines</w:t>
            </w:r>
            <w:r w:rsidR="0059231F"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974260"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6DA434D" w14:textId="7AEDFED3" w:rsidR="0059231F" w:rsidRPr="00DA6A97" w:rsidRDefault="0059231F" w:rsidP="0059231F">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14:paraId="5C958E33" w14:textId="77777777" w:rsidTr="008D4FA1">
        <w:tc>
          <w:tcPr>
            <w:tcW w:w="1560" w:type="dxa"/>
            <w:vMerge/>
            <w:tcBorders>
              <w:left w:val="single" w:sz="8" w:space="0" w:color="4F81BD"/>
              <w:right w:val="single" w:sz="8" w:space="0" w:color="4F81BD"/>
            </w:tcBorders>
            <w:shd w:val="clear" w:color="auto" w:fill="F2F2F2" w:themeFill="background1" w:themeFillShade="F2"/>
          </w:tcPr>
          <w:p w14:paraId="054D1B58" w14:textId="77777777" w:rsidR="0059231F" w:rsidRPr="00DA6A97" w:rsidRDefault="0059231F" w:rsidP="0059231F">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7A1EA6FA" w14:textId="77777777" w:rsidR="0059231F" w:rsidRPr="00DA6A97" w:rsidRDefault="0059231F" w:rsidP="0059231F">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F8C4E0" w14:textId="56C62575" w:rsidR="0059231F" w:rsidRPr="00DA6A97" w:rsidRDefault="00BD2B0E">
            <w:pPr>
              <w:pStyle w:val="Tableformat"/>
              <w:rPr>
                <w:bCs/>
                <w:color w:val="auto"/>
                <w:sz w:val="20"/>
                <w:szCs w:val="20"/>
              </w:rPr>
            </w:pPr>
            <w:r>
              <w:rPr>
                <w:bCs/>
                <w:color w:val="auto"/>
                <w:sz w:val="20"/>
                <w:szCs w:val="20"/>
              </w:rPr>
              <w:t>9</w:t>
            </w:r>
            <w:r w:rsidR="0059231F" w:rsidRPr="008773F1">
              <w:rPr>
                <w:bCs/>
                <w:color w:val="auto"/>
                <w:sz w:val="20"/>
                <w:szCs w:val="20"/>
              </w:rPr>
              <w:t>.c Report to the IGWC against MAF2 Chapter 15 at least annually or in accordance with IGWC guidelines</w:t>
            </w:r>
            <w:r w:rsidR="0059231F"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A5892F" w14:textId="77777777" w:rsidR="0059231F"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8CB8AD" w14:textId="0A97E09C" w:rsidR="0059231F" w:rsidRDefault="0059231F" w:rsidP="0059231F">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14:paraId="3645B5A8" w14:textId="77777777" w:rsidTr="008D4FA1">
        <w:tc>
          <w:tcPr>
            <w:tcW w:w="1560" w:type="dxa"/>
            <w:vMerge/>
            <w:tcBorders>
              <w:left w:val="single" w:sz="8" w:space="0" w:color="4F81BD"/>
              <w:right w:val="single" w:sz="8" w:space="0" w:color="4F81BD"/>
            </w:tcBorders>
            <w:shd w:val="clear" w:color="auto" w:fill="F2F2F2" w:themeFill="background1" w:themeFillShade="F2"/>
          </w:tcPr>
          <w:p w14:paraId="707D340F" w14:textId="77777777" w:rsidR="0059231F" w:rsidRPr="00DA6A97" w:rsidRDefault="0059231F" w:rsidP="0059231F">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0E43151E" w14:textId="77777777" w:rsidR="0059231F" w:rsidRPr="00DA6A97" w:rsidRDefault="0059231F" w:rsidP="0059231F">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8DE881" w14:textId="6368AB9D" w:rsidR="0059231F" w:rsidRPr="008773F1" w:rsidRDefault="00BD2B0E">
            <w:pPr>
              <w:pStyle w:val="Tableformat"/>
              <w:rPr>
                <w:bCs/>
                <w:color w:val="auto"/>
                <w:sz w:val="20"/>
                <w:szCs w:val="20"/>
              </w:rPr>
            </w:pPr>
            <w:r>
              <w:rPr>
                <w:bCs/>
                <w:color w:val="auto"/>
                <w:sz w:val="20"/>
                <w:szCs w:val="20"/>
              </w:rPr>
              <w:t>9</w:t>
            </w:r>
            <w:r w:rsidR="0059231F" w:rsidRPr="008773F1">
              <w:rPr>
                <w:bCs/>
                <w:color w:val="auto"/>
                <w:sz w:val="20"/>
                <w:szCs w:val="20"/>
              </w:rPr>
              <w:t>.d 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1D7713" w14:textId="77777777" w:rsidR="0059231F"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6E086B" w14:textId="418C905C" w:rsidR="0059231F" w:rsidRDefault="0059231F" w:rsidP="0059231F">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rsidRPr="00DA6A97" w14:paraId="6C1EC8B0" w14:textId="77777777" w:rsidTr="008D4FA1">
        <w:tc>
          <w:tcPr>
            <w:tcW w:w="1560" w:type="dxa"/>
            <w:vMerge/>
            <w:tcBorders>
              <w:left w:val="single" w:sz="8" w:space="0" w:color="4F81BD"/>
              <w:right w:val="single" w:sz="8" w:space="0" w:color="4F81BD"/>
            </w:tcBorders>
            <w:shd w:val="clear" w:color="auto" w:fill="F2F2F2" w:themeFill="background1" w:themeFillShade="F2"/>
          </w:tcPr>
          <w:p w14:paraId="2B56BE22" w14:textId="77777777" w:rsidR="0059231F" w:rsidRPr="00DA6A97" w:rsidRDefault="0059231F" w:rsidP="0059231F">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39C8D87F" w14:textId="143053B3" w:rsidR="0059231F" w:rsidRPr="00DA6A97" w:rsidRDefault="00BD2B0E">
            <w:pPr>
              <w:pStyle w:val="Tableformat"/>
              <w:rPr>
                <w:bCs/>
                <w:color w:val="auto"/>
                <w:sz w:val="20"/>
                <w:szCs w:val="20"/>
              </w:rPr>
            </w:pPr>
            <w:r>
              <w:rPr>
                <w:bCs/>
                <w:color w:val="auto"/>
                <w:sz w:val="20"/>
                <w:szCs w:val="20"/>
              </w:rPr>
              <w:t>10</w:t>
            </w:r>
            <w:r w:rsidR="0059231F">
              <w:rPr>
                <w:bCs/>
                <w:color w:val="auto"/>
                <w:sz w:val="20"/>
                <w:szCs w:val="20"/>
              </w:rPr>
              <w:t xml:space="preserve">. </w:t>
            </w:r>
            <w:r w:rsidR="0059231F" w:rsidRPr="00DA6A97">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26582D" w14:textId="49B4E9C0" w:rsidR="0059231F" w:rsidRPr="00DA6A97" w:rsidRDefault="00BD2B0E">
            <w:pPr>
              <w:pStyle w:val="Tableformat"/>
              <w:rPr>
                <w:bCs/>
                <w:color w:val="auto"/>
                <w:sz w:val="20"/>
                <w:szCs w:val="20"/>
              </w:rPr>
            </w:pPr>
            <w:r>
              <w:rPr>
                <w:bCs/>
                <w:color w:val="auto"/>
                <w:sz w:val="20"/>
                <w:szCs w:val="20"/>
              </w:rPr>
              <w:t>10</w:t>
            </w:r>
            <w:r w:rsidR="0059231F" w:rsidRPr="0085140F">
              <w:rPr>
                <w:bCs/>
                <w:color w:val="auto"/>
                <w:sz w:val="20"/>
                <w:szCs w:val="20"/>
              </w:rPr>
              <w:t>.a Develop a set of metrics to be used to communicate and report on water compliance performance and effort across the Basin</w:t>
            </w:r>
            <w:r w:rsidR="0059231F" w:rsidRPr="007F24D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11A098"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4AD6C9" w14:textId="3C7856CC" w:rsidR="0059231F" w:rsidRPr="00DA6A97" w:rsidRDefault="0059231F" w:rsidP="0059231F">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14:paraId="704898B1" w14:textId="77777777" w:rsidTr="008D4FA1">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740608D0" w14:textId="77777777" w:rsidR="0059231F" w:rsidRPr="00DA6A97" w:rsidRDefault="0059231F" w:rsidP="0059231F">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8CFD97" w14:textId="676565DD" w:rsidR="0059231F" w:rsidRPr="00DA6A97" w:rsidRDefault="00BD2B0E">
            <w:pPr>
              <w:pStyle w:val="Tableformat"/>
              <w:rPr>
                <w:bCs/>
                <w:color w:val="auto"/>
                <w:sz w:val="20"/>
                <w:szCs w:val="20"/>
              </w:rPr>
            </w:pPr>
            <w:r>
              <w:rPr>
                <w:bCs/>
                <w:color w:val="auto"/>
                <w:sz w:val="20"/>
                <w:szCs w:val="20"/>
              </w:rPr>
              <w:t>11</w:t>
            </w:r>
            <w:r w:rsidR="0059231F">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E93E3C" w14:textId="33297DA4" w:rsidR="0059231F" w:rsidRPr="00DA6A97" w:rsidRDefault="00BD2B0E">
            <w:pPr>
              <w:pStyle w:val="Tableformat"/>
              <w:rPr>
                <w:bCs/>
                <w:color w:val="auto"/>
                <w:sz w:val="20"/>
                <w:szCs w:val="20"/>
              </w:rPr>
            </w:pPr>
            <w:r>
              <w:rPr>
                <w:bCs/>
                <w:color w:val="auto"/>
                <w:sz w:val="20"/>
                <w:szCs w:val="20"/>
              </w:rPr>
              <w:t>11</w:t>
            </w:r>
            <w:r w:rsidR="0059231F" w:rsidRPr="0085140F">
              <w:rPr>
                <w:bCs/>
                <w:color w:val="auto"/>
                <w:sz w:val="20"/>
                <w:szCs w:val="20"/>
              </w:rPr>
              <w:t>.a Provide information to the IGWC as requested and in accordance with agreed MOU/guidelines to enable oversight of Compliance Compact commitments.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0535FF" w14:textId="77777777" w:rsidR="0059231F"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F56C4C" w14:textId="59C5DB10" w:rsidR="0059231F" w:rsidRDefault="0059231F" w:rsidP="00392E54">
            <w:pPr>
              <w:pStyle w:val="Tableformat"/>
              <w:rPr>
                <w:bCs/>
                <w:color w:val="auto"/>
                <w:sz w:val="20"/>
                <w:szCs w:val="20"/>
              </w:rPr>
            </w:pPr>
            <w:r w:rsidRPr="005B5CC2">
              <w:rPr>
                <w:bCs/>
                <w:color w:val="auto"/>
                <w:sz w:val="20"/>
                <w:szCs w:val="20"/>
              </w:rPr>
              <w:t>$</w:t>
            </w:r>
            <w:r w:rsidR="00392E54">
              <w:rPr>
                <w:bCs/>
                <w:color w:val="auto"/>
                <w:sz w:val="20"/>
                <w:szCs w:val="20"/>
              </w:rPr>
              <w:t>110,457</w:t>
            </w:r>
          </w:p>
        </w:tc>
      </w:tr>
      <w:tr w:rsidR="0059231F" w:rsidRPr="00DA6A97" w14:paraId="224E0009" w14:textId="77777777" w:rsidTr="008D4FA1">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C16AC86" w14:textId="77777777" w:rsidR="0059231F" w:rsidRPr="00DA6A97" w:rsidRDefault="0059231F" w:rsidP="0059231F">
            <w:pPr>
              <w:pStyle w:val="Tableformat"/>
              <w:rPr>
                <w:bCs/>
                <w:color w:val="auto"/>
                <w:sz w:val="20"/>
                <w:szCs w:val="20"/>
              </w:rPr>
            </w:pPr>
            <w:r w:rsidRPr="00DA6A97">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E54BA5" w14:textId="27598B1C" w:rsidR="0059231F" w:rsidRPr="00DA6A97" w:rsidRDefault="00BD2B0E">
            <w:pPr>
              <w:pStyle w:val="Tableformat"/>
              <w:rPr>
                <w:bCs/>
                <w:color w:val="auto"/>
                <w:sz w:val="20"/>
                <w:szCs w:val="20"/>
              </w:rPr>
            </w:pPr>
            <w:r>
              <w:rPr>
                <w:bCs/>
                <w:color w:val="auto"/>
                <w:sz w:val="20"/>
                <w:szCs w:val="20"/>
              </w:rPr>
              <w:t>12</w:t>
            </w:r>
            <w:r w:rsidR="0059231F">
              <w:rPr>
                <w:bCs/>
                <w:color w:val="auto"/>
                <w:sz w:val="20"/>
                <w:szCs w:val="20"/>
              </w:rPr>
              <w:t xml:space="preserve">. </w:t>
            </w:r>
            <w:r w:rsidR="0059231F" w:rsidRPr="00DA6A97">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93F746" w14:textId="29F191EF" w:rsidR="0059231F" w:rsidRPr="00DA6A97" w:rsidRDefault="00BD2B0E">
            <w:pPr>
              <w:pStyle w:val="Tableformat"/>
              <w:rPr>
                <w:bCs/>
                <w:color w:val="auto"/>
                <w:sz w:val="20"/>
                <w:szCs w:val="20"/>
              </w:rPr>
            </w:pPr>
            <w:r>
              <w:rPr>
                <w:bCs/>
                <w:color w:val="auto"/>
                <w:sz w:val="20"/>
                <w:szCs w:val="20"/>
              </w:rPr>
              <w:t>12</w:t>
            </w:r>
            <w:r w:rsidR="0059231F">
              <w:rPr>
                <w:bCs/>
                <w:color w:val="auto"/>
                <w:sz w:val="20"/>
                <w:szCs w:val="20"/>
              </w:rPr>
              <w:t xml:space="preserve">.a </w:t>
            </w:r>
            <w:r w:rsidR="0059231F" w:rsidRPr="00DA6A97">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81F57F" w14:textId="77777777" w:rsidR="0059231F" w:rsidRPr="00DA6A97" w:rsidRDefault="0059231F" w:rsidP="0059231F">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B3E466" w14:textId="4AA1AA6A" w:rsidR="0059231F" w:rsidRPr="00DA6A97" w:rsidRDefault="0059231F" w:rsidP="00392E54">
            <w:pPr>
              <w:pStyle w:val="Tableformat"/>
              <w:rPr>
                <w:bCs/>
                <w:color w:val="auto"/>
                <w:sz w:val="20"/>
                <w:szCs w:val="20"/>
              </w:rPr>
            </w:pPr>
            <w:r w:rsidRPr="005B5CC2">
              <w:rPr>
                <w:bCs/>
                <w:color w:val="auto"/>
                <w:sz w:val="20"/>
                <w:szCs w:val="20"/>
              </w:rPr>
              <w:t>$103,</w:t>
            </w:r>
            <w:r w:rsidR="00392E54">
              <w:rPr>
                <w:bCs/>
                <w:color w:val="auto"/>
                <w:sz w:val="20"/>
                <w:szCs w:val="20"/>
              </w:rPr>
              <w:t>8</w:t>
            </w:r>
            <w:r w:rsidR="00392E54" w:rsidRPr="005B5CC2">
              <w:rPr>
                <w:bCs/>
                <w:color w:val="auto"/>
                <w:sz w:val="20"/>
                <w:szCs w:val="20"/>
              </w:rPr>
              <w:t>6</w:t>
            </w:r>
            <w:r w:rsidR="00737F1C">
              <w:rPr>
                <w:bCs/>
                <w:color w:val="auto"/>
                <w:sz w:val="20"/>
                <w:szCs w:val="20"/>
              </w:rPr>
              <w:t>9</w:t>
            </w:r>
          </w:p>
        </w:tc>
      </w:tr>
      <w:tr w:rsidR="000A50EF" w:rsidRPr="00DD56FE" w14:paraId="0F8ECDAA" w14:textId="77777777" w:rsidTr="008D4FA1">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100E5FE5" w14:textId="37AE86CA" w:rsidR="000A50EF" w:rsidRPr="00DD56FE" w:rsidRDefault="000A50EF" w:rsidP="000A50EF">
            <w:pPr>
              <w:pStyle w:val="Tableformat"/>
              <w:jc w:val="right"/>
              <w:rPr>
                <w:bCs/>
                <w:i/>
                <w:iCs w:val="0"/>
                <w:color w:val="auto"/>
                <w:sz w:val="20"/>
                <w:szCs w:val="20"/>
              </w:rPr>
            </w:pPr>
            <w:r w:rsidRPr="00DD56FE">
              <w:rPr>
                <w:bCs/>
                <w:i/>
                <w:iCs w:val="0"/>
                <w:color w:val="auto"/>
                <w:sz w:val="20"/>
                <w:szCs w:val="20"/>
              </w:rPr>
              <w:t xml:space="preserve">Total payment for Queensland </w:t>
            </w:r>
            <w:r w:rsidR="003D57EA">
              <w:rPr>
                <w:bCs/>
                <w:i/>
                <w:iCs w:val="0"/>
                <w:color w:val="auto"/>
                <w:sz w:val="20"/>
                <w:szCs w:val="20"/>
              </w:rPr>
              <w:t xml:space="preserve">for Year 1 </w:t>
            </w:r>
            <w:r w:rsidRPr="00DD56FE">
              <w:rPr>
                <w:bCs/>
                <w:i/>
                <w:iCs w:val="0"/>
                <w:color w:val="auto"/>
                <w:sz w:val="20"/>
                <w:szCs w:val="20"/>
              </w:rPr>
              <w:t>if all KPIs are met</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2819070" w14:textId="748A592A" w:rsidR="000A50EF" w:rsidRPr="00DD56FE" w:rsidRDefault="000A50EF" w:rsidP="000A50EF">
            <w:pPr>
              <w:pStyle w:val="Tableformat"/>
              <w:rPr>
                <w:bCs/>
                <w:color w:val="auto"/>
                <w:sz w:val="20"/>
                <w:szCs w:val="20"/>
              </w:rPr>
            </w:pPr>
            <w:r w:rsidRPr="00DD56FE">
              <w:rPr>
                <w:bCs/>
                <w:color w:val="auto"/>
                <w:sz w:val="20"/>
                <w:szCs w:val="20"/>
              </w:rPr>
              <w:t>$</w:t>
            </w:r>
            <w:r>
              <w:rPr>
                <w:bCs/>
                <w:color w:val="auto"/>
                <w:sz w:val="20"/>
                <w:szCs w:val="20"/>
              </w:rPr>
              <w:t>2,287,000</w:t>
            </w:r>
          </w:p>
        </w:tc>
      </w:tr>
      <w:bookmarkEnd w:id="3"/>
    </w:tbl>
    <w:p w14:paraId="48B50C2D" w14:textId="6B6B64AF" w:rsidR="00387874" w:rsidRDefault="00387874" w:rsidP="00931AA8">
      <w:pPr>
        <w:rPr>
          <w:lang w:val="en-GB"/>
        </w:rPr>
      </w:pPr>
    </w:p>
    <w:p w14:paraId="1202755A" w14:textId="035CC734" w:rsidR="00110BF6" w:rsidRDefault="00110BF6" w:rsidP="00931AA8">
      <w:pPr>
        <w:rPr>
          <w:lang w:val="en-GB"/>
        </w:rPr>
      </w:pPr>
    </w:p>
    <w:p w14:paraId="2ABE95EF" w14:textId="77777777" w:rsidR="0020607C" w:rsidRDefault="0020607C">
      <w:r>
        <w:rPr>
          <w:iCs/>
        </w:rPr>
        <w:br w:type="page"/>
      </w:r>
    </w:p>
    <w:tbl>
      <w:tblPr>
        <w:tblW w:w="5171"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6"/>
        <w:gridCol w:w="2551"/>
        <w:gridCol w:w="3544"/>
        <w:gridCol w:w="1280"/>
        <w:gridCol w:w="1134"/>
      </w:tblGrid>
      <w:tr w:rsidR="00110BF6" w:rsidRPr="00F00A18" w14:paraId="324F2D13" w14:textId="77777777" w:rsidTr="00DE2250">
        <w:tc>
          <w:tcPr>
            <w:tcW w:w="10065" w:type="dxa"/>
            <w:gridSpan w:val="5"/>
            <w:shd w:val="clear" w:color="auto" w:fill="DEEAF6" w:themeFill="accent1" w:themeFillTint="33"/>
          </w:tcPr>
          <w:p w14:paraId="191AC047" w14:textId="25077920" w:rsidR="00110BF6" w:rsidRPr="00F00A18" w:rsidRDefault="00110BF6" w:rsidP="006F3A9B">
            <w:pPr>
              <w:pStyle w:val="Tableformat"/>
              <w:tabs>
                <w:tab w:val="left" w:pos="6043"/>
              </w:tabs>
              <w:rPr>
                <w:b/>
                <w:color w:val="auto"/>
              </w:rPr>
            </w:pPr>
            <w:r>
              <w:rPr>
                <w:b/>
                <w:color w:val="auto"/>
              </w:rPr>
              <w:t>Table 2C</w:t>
            </w:r>
            <w:r w:rsidRPr="00F00A18">
              <w:rPr>
                <w:b/>
                <w:color w:val="auto"/>
              </w:rPr>
              <w:t xml:space="preserve">: </w:t>
            </w:r>
            <w:r>
              <w:rPr>
                <w:b/>
                <w:color w:val="auto"/>
              </w:rPr>
              <w:t xml:space="preserve">Queensland </w:t>
            </w:r>
            <w:r w:rsidRPr="00F00A18">
              <w:rPr>
                <w:b/>
                <w:color w:val="auto"/>
              </w:rPr>
              <w:t>– Performance requirements, reporting and payment summary</w:t>
            </w:r>
          </w:p>
        </w:tc>
      </w:tr>
      <w:tr w:rsidR="00110BF6" w:rsidRPr="00F00A18" w14:paraId="49A1213B" w14:textId="77777777" w:rsidTr="00DE2250">
        <w:tc>
          <w:tcPr>
            <w:tcW w:w="10065" w:type="dxa"/>
            <w:gridSpan w:val="5"/>
            <w:shd w:val="clear" w:color="auto" w:fill="DEEAF6" w:themeFill="accent1" w:themeFillTint="33"/>
          </w:tcPr>
          <w:p w14:paraId="2280FE1B" w14:textId="51DA40D4" w:rsidR="00110BF6" w:rsidRDefault="00110BF6" w:rsidP="006F3A9B">
            <w:pPr>
              <w:pStyle w:val="Tableformat"/>
              <w:tabs>
                <w:tab w:val="left" w:pos="6043"/>
              </w:tabs>
              <w:rPr>
                <w:b/>
                <w:color w:val="auto"/>
              </w:rPr>
            </w:pPr>
            <w:r>
              <w:rPr>
                <w:b/>
                <w:color w:val="auto"/>
              </w:rPr>
              <w:t>Year 2: 2022-2023</w:t>
            </w:r>
          </w:p>
        </w:tc>
      </w:tr>
      <w:tr w:rsidR="00110BF6" w:rsidRPr="00FD6EB4" w14:paraId="7100D5FC" w14:textId="77777777" w:rsidTr="00DE2250">
        <w:tc>
          <w:tcPr>
            <w:tcW w:w="1556" w:type="dxa"/>
            <w:shd w:val="clear" w:color="auto" w:fill="F2F2F2" w:themeFill="background1" w:themeFillShade="F2"/>
          </w:tcPr>
          <w:p w14:paraId="4584C2F4" w14:textId="77777777" w:rsidR="00110BF6" w:rsidRPr="00FD6EB4" w:rsidRDefault="00110BF6"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shd w:val="clear" w:color="auto" w:fill="F2F2F2" w:themeFill="background1" w:themeFillShade="F2"/>
          </w:tcPr>
          <w:p w14:paraId="1137E169" w14:textId="77777777" w:rsidR="00110BF6" w:rsidRPr="00FD6EB4" w:rsidRDefault="00110BF6" w:rsidP="006F3A9B">
            <w:pPr>
              <w:pStyle w:val="Tableformat"/>
              <w:rPr>
                <w:b/>
                <w:color w:val="auto"/>
                <w:sz w:val="22"/>
                <w:szCs w:val="22"/>
              </w:rPr>
            </w:pPr>
            <w:r w:rsidRPr="00FD6EB4">
              <w:rPr>
                <w:b/>
                <w:color w:val="auto"/>
                <w:sz w:val="22"/>
                <w:szCs w:val="22"/>
              </w:rPr>
              <w:t>Performance milestones</w:t>
            </w:r>
          </w:p>
        </w:tc>
        <w:tc>
          <w:tcPr>
            <w:tcW w:w="3544" w:type="dxa"/>
            <w:shd w:val="clear" w:color="auto" w:fill="F2F2F2" w:themeFill="background1" w:themeFillShade="F2"/>
          </w:tcPr>
          <w:p w14:paraId="27CF39A9" w14:textId="77777777" w:rsidR="00110BF6" w:rsidRPr="00FD6EB4" w:rsidRDefault="00110BF6" w:rsidP="006F3A9B">
            <w:pPr>
              <w:pStyle w:val="Tableformat"/>
              <w:rPr>
                <w:b/>
                <w:color w:val="auto"/>
                <w:sz w:val="22"/>
                <w:szCs w:val="22"/>
              </w:rPr>
            </w:pPr>
            <w:r w:rsidRPr="00FD6EB4">
              <w:rPr>
                <w:b/>
                <w:color w:val="auto"/>
                <w:sz w:val="22"/>
                <w:szCs w:val="22"/>
              </w:rPr>
              <w:t>Key Performance Indicators</w:t>
            </w:r>
          </w:p>
        </w:tc>
        <w:tc>
          <w:tcPr>
            <w:tcW w:w="1280" w:type="dxa"/>
            <w:shd w:val="clear" w:color="auto" w:fill="F2F2F2" w:themeFill="background1" w:themeFillShade="F2"/>
          </w:tcPr>
          <w:p w14:paraId="53E3CAEE" w14:textId="77777777" w:rsidR="00110BF6" w:rsidRPr="00FD6EB4" w:rsidRDefault="00110BF6"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64ECF1B0" w14:textId="77777777" w:rsidR="00110BF6" w:rsidRPr="00FD6EB4" w:rsidRDefault="00110BF6" w:rsidP="006F3A9B">
            <w:pPr>
              <w:pStyle w:val="Tableformat"/>
              <w:rPr>
                <w:b/>
                <w:color w:val="auto"/>
                <w:sz w:val="22"/>
                <w:szCs w:val="22"/>
              </w:rPr>
            </w:pPr>
            <w:r w:rsidRPr="00FD6EB4">
              <w:rPr>
                <w:b/>
                <w:color w:val="auto"/>
                <w:sz w:val="22"/>
                <w:szCs w:val="22"/>
              </w:rPr>
              <w:t>Payment</w:t>
            </w:r>
          </w:p>
        </w:tc>
      </w:tr>
      <w:tr w:rsidR="00DE2250" w:rsidRPr="004C4B9D" w14:paraId="27B3DC41" w14:textId="77777777" w:rsidTr="00DE2250">
        <w:tc>
          <w:tcPr>
            <w:tcW w:w="1556" w:type="dxa"/>
            <w:vMerge w:val="restart"/>
            <w:tcBorders>
              <w:top w:val="single" w:sz="8" w:space="0" w:color="4F81BD"/>
              <w:left w:val="single" w:sz="8" w:space="0" w:color="4F81BD"/>
              <w:right w:val="single" w:sz="8" w:space="0" w:color="4F81BD"/>
            </w:tcBorders>
            <w:shd w:val="clear" w:color="auto" w:fill="F2F2F2" w:themeFill="background1" w:themeFillShade="F2"/>
          </w:tcPr>
          <w:p w14:paraId="4B347F07" w14:textId="77777777" w:rsidR="00DE2250" w:rsidRPr="004C4B9D" w:rsidRDefault="00DE2250" w:rsidP="006F3A9B">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37FA1406" w14:textId="77777777" w:rsidR="00DE2250" w:rsidRPr="004C4B9D" w:rsidRDefault="00DE2250" w:rsidP="006F3A9B">
            <w:pPr>
              <w:pStyle w:val="Tableformat"/>
              <w:rPr>
                <w:bCs/>
                <w:color w:val="auto"/>
                <w:sz w:val="20"/>
                <w:szCs w:val="20"/>
              </w:rPr>
            </w:pPr>
            <w:r>
              <w:rPr>
                <w:bCs/>
                <w:color w:val="auto"/>
                <w:sz w:val="20"/>
                <w:szCs w:val="20"/>
              </w:rPr>
              <w:t xml:space="preserve">1. </w:t>
            </w:r>
            <w:r w:rsidRPr="001D7426">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4C4B9D">
              <w:rPr>
                <w:bCs/>
                <w:color w:val="auto"/>
                <w:sz w:val="20"/>
                <w:szCs w:val="20"/>
              </w:rPr>
              <w:t>.</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FDEF3EA" w14:textId="77777777" w:rsidR="00DE2250" w:rsidRPr="004C4B9D" w:rsidRDefault="00DE2250" w:rsidP="006F3A9B">
            <w:pPr>
              <w:pStyle w:val="Tableformat"/>
              <w:rPr>
                <w:bCs/>
                <w:color w:val="auto"/>
                <w:sz w:val="20"/>
                <w:szCs w:val="20"/>
              </w:rPr>
            </w:pPr>
            <w:r>
              <w:rPr>
                <w:bCs/>
                <w:color w:val="auto"/>
                <w:sz w:val="20"/>
                <w:szCs w:val="20"/>
              </w:rPr>
              <w:t xml:space="preserve">1.a </w:t>
            </w:r>
            <w:r w:rsidRPr="004C4B9D">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40014A" w14:textId="77777777" w:rsidR="00DE2250" w:rsidRPr="004C4B9D" w:rsidRDefault="00DE2250"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7E774E" w14:textId="6148A2B3" w:rsidR="00DE2250" w:rsidRPr="004C4B9D" w:rsidRDefault="00DE2250" w:rsidP="006F3A9B">
            <w:pPr>
              <w:pStyle w:val="Tableformat"/>
              <w:rPr>
                <w:bCs/>
                <w:color w:val="auto"/>
                <w:sz w:val="20"/>
                <w:szCs w:val="20"/>
              </w:rPr>
            </w:pPr>
            <w:r>
              <w:rPr>
                <w:bCs/>
                <w:color w:val="auto"/>
                <w:sz w:val="20"/>
                <w:szCs w:val="20"/>
              </w:rPr>
              <w:t>$</w:t>
            </w:r>
            <w:r w:rsidR="00C26CF0">
              <w:rPr>
                <w:bCs/>
                <w:color w:val="auto"/>
                <w:sz w:val="20"/>
                <w:szCs w:val="20"/>
              </w:rPr>
              <w:t>149,150</w:t>
            </w:r>
          </w:p>
        </w:tc>
      </w:tr>
      <w:tr w:rsidR="00DE2250" w:rsidRPr="004C4B9D" w14:paraId="46544C1F" w14:textId="77777777" w:rsidTr="00DE2250">
        <w:tc>
          <w:tcPr>
            <w:tcW w:w="1556" w:type="dxa"/>
            <w:vMerge/>
            <w:tcBorders>
              <w:left w:val="single" w:sz="8" w:space="0" w:color="4F81BD"/>
              <w:right w:val="single" w:sz="8" w:space="0" w:color="4F81BD"/>
            </w:tcBorders>
            <w:shd w:val="clear" w:color="auto" w:fill="F2F2F2" w:themeFill="background1" w:themeFillShade="F2"/>
          </w:tcPr>
          <w:p w14:paraId="3A157943" w14:textId="77777777" w:rsidR="00DE2250" w:rsidRPr="004C4B9D" w:rsidRDefault="00DE2250" w:rsidP="006F3A9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64D9DC66" w14:textId="77777777" w:rsidR="00DE2250" w:rsidRPr="004C4B9D" w:rsidRDefault="00DE2250" w:rsidP="006F3A9B">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E925D3" w14:textId="5F1AD76B" w:rsidR="00DE2250" w:rsidRPr="004C4B9D" w:rsidRDefault="00DE2250" w:rsidP="00D0084E">
            <w:pPr>
              <w:pStyle w:val="Tableformat"/>
              <w:rPr>
                <w:bCs/>
                <w:color w:val="auto"/>
                <w:sz w:val="20"/>
                <w:szCs w:val="20"/>
              </w:rPr>
            </w:pPr>
            <w:r w:rsidRPr="00DE2250">
              <w:rPr>
                <w:bCs/>
                <w:color w:val="auto"/>
                <w:sz w:val="20"/>
                <w:szCs w:val="20"/>
              </w:rPr>
              <w:t>1.</w:t>
            </w:r>
            <w:r w:rsidR="00D525F8">
              <w:rPr>
                <w:bCs/>
                <w:color w:val="auto"/>
                <w:sz w:val="20"/>
                <w:szCs w:val="20"/>
              </w:rPr>
              <w:t>b</w:t>
            </w:r>
            <w:r w:rsidR="00D525F8" w:rsidRPr="00DE2250">
              <w:rPr>
                <w:bCs/>
                <w:color w:val="auto"/>
                <w:sz w:val="20"/>
                <w:szCs w:val="20"/>
              </w:rPr>
              <w:t xml:space="preserve"> </w:t>
            </w:r>
            <w:r w:rsidRPr="00DE2250">
              <w:rPr>
                <w:bCs/>
                <w:color w:val="auto"/>
                <w:sz w:val="20"/>
                <w:szCs w:val="20"/>
              </w:rPr>
              <w:t>Proactively provide support and advice on possible approaches and projects to bridge-the-gap under the Off-Farm Efficiency Program arrangements, or other arrangements.</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5CD14A" w14:textId="77777777" w:rsidR="00DE2250" w:rsidRPr="004C4B9D" w:rsidRDefault="00DE2250"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D5E238" w14:textId="5943A7F2" w:rsidR="00DE2250" w:rsidRPr="004C4B9D" w:rsidRDefault="00C26CF0" w:rsidP="006F3A9B">
            <w:pPr>
              <w:pStyle w:val="Tableformat"/>
              <w:rPr>
                <w:bCs/>
                <w:color w:val="auto"/>
                <w:sz w:val="20"/>
                <w:szCs w:val="20"/>
              </w:rPr>
            </w:pPr>
            <w:r>
              <w:rPr>
                <w:bCs/>
                <w:color w:val="auto"/>
                <w:sz w:val="20"/>
                <w:szCs w:val="20"/>
              </w:rPr>
              <w:t>$149,150</w:t>
            </w:r>
          </w:p>
        </w:tc>
      </w:tr>
      <w:tr w:rsidR="00C26CF0" w:rsidRPr="004C4B9D" w14:paraId="6E13FBF7" w14:textId="77777777" w:rsidTr="00DE2250">
        <w:tc>
          <w:tcPr>
            <w:tcW w:w="1556" w:type="dxa"/>
            <w:vMerge/>
            <w:tcBorders>
              <w:left w:val="single" w:sz="8" w:space="0" w:color="4F81BD"/>
              <w:right w:val="single" w:sz="8" w:space="0" w:color="4F81BD"/>
            </w:tcBorders>
            <w:shd w:val="clear" w:color="auto" w:fill="F2F2F2" w:themeFill="background1" w:themeFillShade="F2"/>
          </w:tcPr>
          <w:p w14:paraId="2AF90992" w14:textId="77777777" w:rsidR="00C26CF0" w:rsidRPr="004C4B9D" w:rsidRDefault="00C26CF0" w:rsidP="00C26CF0">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EF0E461" w14:textId="77777777" w:rsidR="00C26CF0" w:rsidRPr="004C4B9D" w:rsidRDefault="00C26CF0" w:rsidP="00C26CF0">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763BDF" w14:textId="23C708E1" w:rsidR="00C26CF0" w:rsidRPr="004C4B9D" w:rsidRDefault="00C26CF0" w:rsidP="00D0084E">
            <w:pPr>
              <w:pStyle w:val="Tableformat"/>
              <w:rPr>
                <w:bCs/>
                <w:color w:val="auto"/>
                <w:sz w:val="20"/>
                <w:szCs w:val="20"/>
              </w:rPr>
            </w:pPr>
            <w:r w:rsidRPr="00627469">
              <w:rPr>
                <w:bCs/>
                <w:color w:val="auto"/>
                <w:sz w:val="20"/>
                <w:szCs w:val="20"/>
              </w:rPr>
              <w:t>1.</w:t>
            </w:r>
            <w:r w:rsidR="00D525F8">
              <w:rPr>
                <w:bCs/>
                <w:color w:val="auto"/>
                <w:sz w:val="20"/>
                <w:szCs w:val="20"/>
              </w:rPr>
              <w:t>c</w:t>
            </w:r>
            <w:r w:rsidR="00D525F8" w:rsidRPr="00627469">
              <w:rPr>
                <w:bCs/>
                <w:color w:val="auto"/>
                <w:sz w:val="20"/>
                <w:szCs w:val="20"/>
              </w:rPr>
              <w:t xml:space="preserve"> </w:t>
            </w:r>
            <w:r w:rsidRPr="00627469">
              <w:rPr>
                <w:bCs/>
                <w:color w:val="auto"/>
                <w:sz w:val="20"/>
                <w:szCs w:val="20"/>
              </w:rPr>
              <w:t>Report to the Commonwealth on progress towards bridging-the-gap by June 2022</w:t>
            </w:r>
            <w:r w:rsidRPr="004C4B9D">
              <w:rPr>
                <w:bCs/>
                <w:color w:val="auto"/>
                <w:sz w:val="20"/>
                <w:szCs w:val="20"/>
              </w:rPr>
              <w:t xml:space="preserve">. </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E3C3A9"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D60894" w14:textId="72649D93" w:rsidR="00C26CF0" w:rsidRPr="004C4B9D" w:rsidRDefault="00C26CF0" w:rsidP="00C26CF0">
            <w:pPr>
              <w:pStyle w:val="Tableformat"/>
              <w:rPr>
                <w:bCs/>
                <w:color w:val="auto"/>
                <w:sz w:val="20"/>
                <w:szCs w:val="20"/>
              </w:rPr>
            </w:pPr>
            <w:r>
              <w:rPr>
                <w:bCs/>
                <w:color w:val="auto"/>
                <w:sz w:val="20"/>
                <w:szCs w:val="20"/>
              </w:rPr>
              <w:t>$149,150</w:t>
            </w:r>
          </w:p>
        </w:tc>
      </w:tr>
      <w:tr w:rsidR="00DE2250" w:rsidRPr="004C4B9D" w14:paraId="78FDEF1B" w14:textId="77777777" w:rsidTr="00DE2250">
        <w:tc>
          <w:tcPr>
            <w:tcW w:w="1556" w:type="dxa"/>
            <w:vMerge w:val="restart"/>
            <w:tcBorders>
              <w:top w:val="single" w:sz="8" w:space="0" w:color="4F81BD"/>
              <w:left w:val="single" w:sz="8" w:space="0" w:color="4F81BD"/>
              <w:right w:val="single" w:sz="8" w:space="0" w:color="4F81BD"/>
            </w:tcBorders>
            <w:shd w:val="clear" w:color="auto" w:fill="F2F2F2" w:themeFill="background1" w:themeFillShade="F2"/>
          </w:tcPr>
          <w:p w14:paraId="0FB629A5" w14:textId="77777777" w:rsidR="00DE2250" w:rsidRPr="004C4B9D" w:rsidRDefault="00DE2250" w:rsidP="006F3A9B">
            <w:pPr>
              <w:pStyle w:val="Tableformat"/>
              <w:rPr>
                <w:bCs/>
                <w:color w:val="auto"/>
                <w:sz w:val="20"/>
                <w:szCs w:val="20"/>
              </w:rPr>
            </w:pPr>
            <w:r w:rsidRPr="004C4B9D">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685C9B" w14:textId="25AC58FC" w:rsidR="00DE2250" w:rsidRPr="004C4B9D" w:rsidRDefault="00D525F8" w:rsidP="006F3A9B">
            <w:pPr>
              <w:pStyle w:val="Tableformat"/>
              <w:rPr>
                <w:bCs/>
                <w:color w:val="auto"/>
                <w:sz w:val="20"/>
                <w:szCs w:val="20"/>
              </w:rPr>
            </w:pPr>
            <w:r>
              <w:rPr>
                <w:bCs/>
                <w:color w:val="auto"/>
                <w:sz w:val="20"/>
                <w:szCs w:val="20"/>
              </w:rPr>
              <w:t>2</w:t>
            </w:r>
            <w:r w:rsidR="00DE2250">
              <w:rPr>
                <w:bCs/>
                <w:color w:val="auto"/>
                <w:sz w:val="20"/>
                <w:szCs w:val="20"/>
              </w:rPr>
              <w:t xml:space="preserve">. </w:t>
            </w:r>
            <w:r w:rsidR="00DE2250" w:rsidRPr="004C4B9D">
              <w:rPr>
                <w:bCs/>
                <w:color w:val="auto"/>
                <w:sz w:val="20"/>
                <w:szCs w:val="20"/>
              </w:rPr>
              <w:t>Deliver an agreed Basin-wide Environmental Water Protection Strategy and Implementation Plan.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B592F4" w14:textId="5BD6F349" w:rsidR="00DE2250" w:rsidRPr="004C4B9D" w:rsidRDefault="00D525F8" w:rsidP="00D0084E">
            <w:pPr>
              <w:pStyle w:val="Tableformat"/>
              <w:rPr>
                <w:bCs/>
                <w:color w:val="auto"/>
                <w:sz w:val="20"/>
                <w:szCs w:val="20"/>
              </w:rPr>
            </w:pPr>
            <w:r>
              <w:rPr>
                <w:bCs/>
                <w:color w:val="auto"/>
                <w:sz w:val="20"/>
                <w:szCs w:val="20"/>
              </w:rPr>
              <w:t>2</w:t>
            </w:r>
            <w:r w:rsidR="00DE2250" w:rsidRPr="00627469">
              <w:rPr>
                <w:bCs/>
                <w:color w:val="auto"/>
                <w:sz w:val="20"/>
                <w:szCs w:val="20"/>
              </w:rPr>
              <w:t>.</w:t>
            </w:r>
            <w:r>
              <w:rPr>
                <w:bCs/>
                <w:color w:val="auto"/>
                <w:sz w:val="20"/>
                <w:szCs w:val="20"/>
              </w:rPr>
              <w:t>a</w:t>
            </w:r>
            <w:r w:rsidRPr="00627469">
              <w:rPr>
                <w:bCs/>
                <w:color w:val="auto"/>
                <w:sz w:val="20"/>
                <w:szCs w:val="20"/>
              </w:rPr>
              <w:t xml:space="preserve"> </w:t>
            </w:r>
            <w:r w:rsidR="00DE2250" w:rsidRPr="00627469">
              <w:rPr>
                <w:bCs/>
                <w:color w:val="auto"/>
                <w:sz w:val="20"/>
                <w:szCs w:val="20"/>
              </w:rPr>
              <w:t xml:space="preserve">Deliver and implement the agreed </w:t>
            </w:r>
            <w:r w:rsidR="007C3B81" w:rsidRPr="00627469">
              <w:rPr>
                <w:bCs/>
                <w:color w:val="auto"/>
                <w:sz w:val="20"/>
                <w:szCs w:val="20"/>
              </w:rPr>
              <w:t>work plan</w:t>
            </w:r>
            <w:r w:rsidR="00DE2250" w:rsidRPr="00627469">
              <w:rPr>
                <w:bCs/>
                <w:color w:val="auto"/>
                <w:sz w:val="20"/>
                <w:szCs w:val="20"/>
              </w:rPr>
              <w:t xml:space="preserve"> of the priority collaborative activities of the Environmental Water Protection Strategy, where relevant to the jurisdiction</w:t>
            </w:r>
            <w:r w:rsidR="00DE225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D38305" w14:textId="77777777" w:rsidR="00DE2250" w:rsidRPr="004C4B9D" w:rsidRDefault="00DE2250"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560B57" w14:textId="60402716" w:rsidR="00DE2250" w:rsidRPr="004C4B9D" w:rsidRDefault="00DE2250" w:rsidP="00D0084E">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47A59C2B" w14:textId="77777777" w:rsidTr="00DE2250">
        <w:tc>
          <w:tcPr>
            <w:tcW w:w="1556" w:type="dxa"/>
            <w:vMerge/>
            <w:tcBorders>
              <w:left w:val="single" w:sz="8" w:space="0" w:color="4F81BD"/>
              <w:right w:val="single" w:sz="8" w:space="0" w:color="4F81BD"/>
            </w:tcBorders>
            <w:shd w:val="clear" w:color="auto" w:fill="F2F2F2" w:themeFill="background1" w:themeFillShade="F2"/>
          </w:tcPr>
          <w:p w14:paraId="40CAD6B2" w14:textId="77777777" w:rsidR="00C26CF0" w:rsidRPr="004C4B9D" w:rsidRDefault="00C26CF0" w:rsidP="00C26CF0">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409B361E" w14:textId="18286298" w:rsidR="00C26CF0" w:rsidRPr="004C4B9D" w:rsidRDefault="00D525F8" w:rsidP="00C26CF0">
            <w:pPr>
              <w:pStyle w:val="Tableformat"/>
              <w:rPr>
                <w:bCs/>
                <w:color w:val="auto"/>
                <w:sz w:val="20"/>
                <w:szCs w:val="20"/>
              </w:rPr>
            </w:pPr>
            <w:r>
              <w:rPr>
                <w:bCs/>
                <w:color w:val="auto"/>
                <w:sz w:val="20"/>
                <w:szCs w:val="20"/>
              </w:rPr>
              <w:t>3</w:t>
            </w:r>
            <w:r w:rsidR="00C26CF0">
              <w:rPr>
                <w:bCs/>
                <w:color w:val="auto"/>
                <w:sz w:val="20"/>
                <w:szCs w:val="20"/>
              </w:rPr>
              <w:t xml:space="preserve">. </w:t>
            </w:r>
            <w:r w:rsidR="00C26CF0" w:rsidRPr="004C4B9D">
              <w:rPr>
                <w:bCs/>
                <w:color w:val="auto"/>
                <w:sz w:val="20"/>
                <w:szCs w:val="20"/>
              </w:rPr>
              <w:t xml:space="preserve">Improve environmental watering plans and strategies, including by updating Long-Term Watering Plans (LTWPs) within agreed timeframes.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77F35E" w14:textId="20444D34" w:rsidR="00C26CF0" w:rsidRPr="004C4B9D" w:rsidRDefault="00D525F8" w:rsidP="00C26CF0">
            <w:pPr>
              <w:pStyle w:val="Tableformat"/>
              <w:rPr>
                <w:bCs/>
                <w:color w:val="auto"/>
                <w:sz w:val="20"/>
                <w:szCs w:val="20"/>
              </w:rPr>
            </w:pPr>
            <w:r>
              <w:rPr>
                <w:bCs/>
                <w:color w:val="auto"/>
                <w:sz w:val="20"/>
                <w:szCs w:val="20"/>
              </w:rPr>
              <w:t>3</w:t>
            </w:r>
            <w:r w:rsidR="00C26CF0" w:rsidRPr="008224F9">
              <w:rPr>
                <w:bCs/>
                <w:color w:val="auto"/>
                <w:sz w:val="20"/>
                <w:szCs w:val="20"/>
              </w:rPr>
              <w:t xml:space="preserve">.a Engage with </w:t>
            </w:r>
            <w:r w:rsidR="00795920">
              <w:rPr>
                <w:bCs/>
                <w:color w:val="auto"/>
                <w:sz w:val="20"/>
                <w:szCs w:val="20"/>
              </w:rPr>
              <w:t>all stakeholders</w:t>
            </w:r>
            <w:r w:rsidR="00C26CF0" w:rsidRPr="008224F9">
              <w:rPr>
                <w:bCs/>
                <w:color w:val="auto"/>
                <w:sz w:val="20"/>
                <w:szCs w:val="20"/>
              </w:rPr>
              <w:t>, in the development of annual environmental water plans or priorities; and in the implementation, review and update of LTWPs, where relevant to the jurisdiction</w:t>
            </w:r>
            <w:r w:rsidR="00C26CF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C02827"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FD13330" w14:textId="775277D0"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03D4587A" w14:textId="77777777" w:rsidTr="00DE2250">
        <w:tc>
          <w:tcPr>
            <w:tcW w:w="1556" w:type="dxa"/>
            <w:vMerge/>
            <w:tcBorders>
              <w:left w:val="single" w:sz="8" w:space="0" w:color="4F81BD"/>
              <w:bottom w:val="single" w:sz="8" w:space="0" w:color="4F81BD"/>
              <w:right w:val="single" w:sz="8" w:space="0" w:color="4F81BD"/>
            </w:tcBorders>
            <w:shd w:val="clear" w:color="auto" w:fill="F2F2F2" w:themeFill="background1" w:themeFillShade="F2"/>
          </w:tcPr>
          <w:p w14:paraId="3764EE78" w14:textId="77777777" w:rsidR="00C26CF0" w:rsidRPr="004C4B9D" w:rsidRDefault="00C26CF0" w:rsidP="00C26CF0">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361D4B0F" w14:textId="77777777" w:rsidR="00C26CF0" w:rsidRPr="004C4B9D" w:rsidRDefault="00C26CF0" w:rsidP="00C26CF0">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D553A5" w14:textId="31CB620C" w:rsidR="00C26CF0" w:rsidRPr="004C4B9D" w:rsidRDefault="00D525F8" w:rsidP="00C26CF0">
            <w:pPr>
              <w:pStyle w:val="Tableformat"/>
              <w:rPr>
                <w:bCs/>
                <w:color w:val="auto"/>
                <w:sz w:val="20"/>
                <w:szCs w:val="20"/>
              </w:rPr>
            </w:pPr>
            <w:r>
              <w:rPr>
                <w:bCs/>
                <w:color w:val="auto"/>
                <w:sz w:val="20"/>
                <w:szCs w:val="20"/>
              </w:rPr>
              <w:t>3</w:t>
            </w:r>
            <w:r w:rsidR="00C26CF0" w:rsidRPr="008224F9">
              <w:rPr>
                <w:bCs/>
                <w:color w:val="auto"/>
                <w:sz w:val="20"/>
                <w:szCs w:val="20"/>
              </w:rPr>
              <w:t>.b Provide input to third edition of the Basin-wide Environmental Watering Strategy, including input on climate adaptation approaches and techniques</w:t>
            </w:r>
            <w:r w:rsidR="00C26CF0" w:rsidRPr="004C4B9D">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F6A893"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ADDBC2" w14:textId="627D2705"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452F2" w:rsidRPr="004C4B9D" w14:paraId="0929EFCC" w14:textId="77777777" w:rsidTr="00733283">
        <w:trPr>
          <w:trHeight w:val="2193"/>
        </w:trPr>
        <w:tc>
          <w:tcPr>
            <w:tcW w:w="1556" w:type="dxa"/>
            <w:vMerge w:val="restart"/>
            <w:tcBorders>
              <w:left w:val="single" w:sz="8" w:space="0" w:color="4F81BD"/>
              <w:right w:val="single" w:sz="8" w:space="0" w:color="4F81BD"/>
            </w:tcBorders>
            <w:shd w:val="clear" w:color="auto" w:fill="F2F2F2" w:themeFill="background1" w:themeFillShade="F2"/>
          </w:tcPr>
          <w:p w14:paraId="4E32881F" w14:textId="681B08C3" w:rsidR="00C452F2" w:rsidRPr="004C4B9D" w:rsidRDefault="00C452F2" w:rsidP="00C26CF0">
            <w:pPr>
              <w:pStyle w:val="Tableformat"/>
              <w:rPr>
                <w:bCs/>
                <w:color w:val="auto"/>
                <w:sz w:val="20"/>
                <w:szCs w:val="20"/>
              </w:rPr>
            </w:pPr>
            <w:r w:rsidRPr="004C4B9D">
              <w:rPr>
                <w:bCs/>
                <w:color w:val="auto"/>
                <w:sz w:val="20"/>
                <w:szCs w:val="20"/>
              </w:rPr>
              <w:t>Implementation of the Basin Plan</w:t>
            </w: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039CF857" w14:textId="04C6D989" w:rsidR="00C452F2" w:rsidRPr="004C4B9D" w:rsidRDefault="00C452F2" w:rsidP="00474DFF">
            <w:pPr>
              <w:pStyle w:val="Tableformat"/>
              <w:rPr>
                <w:bCs/>
                <w:color w:val="auto"/>
                <w:sz w:val="20"/>
                <w:szCs w:val="20"/>
              </w:rPr>
            </w:pPr>
            <w:r>
              <w:rPr>
                <w:bCs/>
                <w:color w:val="auto"/>
                <w:sz w:val="20"/>
                <w:szCs w:val="20"/>
              </w:rPr>
              <w:t>4</w:t>
            </w:r>
            <w:r w:rsidRPr="008224F9">
              <w:rPr>
                <w:bCs/>
                <w:color w:val="auto"/>
                <w:sz w:val="20"/>
                <w:szCs w:val="20"/>
              </w:rPr>
              <w:t xml:space="preserve">. Contribute to delivery of the MDBA-led SDL Accounting Framework Improvement Strategy 2020-25 </w:t>
            </w:r>
            <w:r w:rsidR="007C3B81" w:rsidRPr="008224F9">
              <w:rPr>
                <w:bCs/>
                <w:color w:val="auto"/>
                <w:sz w:val="20"/>
                <w:szCs w:val="20"/>
              </w:rPr>
              <w:t>work plan</w:t>
            </w:r>
            <w:r w:rsidRPr="008224F9">
              <w:rPr>
                <w:bCs/>
                <w:color w:val="auto"/>
                <w:sz w:val="20"/>
                <w:szCs w:val="20"/>
              </w:rPr>
              <w:t>, including supplying data and quality assurance documentation.</w:t>
            </w:r>
          </w:p>
        </w:tc>
        <w:tc>
          <w:tcPr>
            <w:tcW w:w="3544" w:type="dxa"/>
            <w:tcBorders>
              <w:top w:val="single" w:sz="8" w:space="0" w:color="4F81BD"/>
              <w:left w:val="single" w:sz="8" w:space="0" w:color="4F81BD"/>
              <w:right w:val="single" w:sz="8" w:space="0" w:color="4F81BD"/>
            </w:tcBorders>
            <w:shd w:val="clear" w:color="auto" w:fill="F2F2F2" w:themeFill="background1" w:themeFillShade="F2"/>
          </w:tcPr>
          <w:p w14:paraId="37EFC45F" w14:textId="10DCC2EC" w:rsidR="00C452F2" w:rsidRPr="004C4B9D" w:rsidRDefault="00C452F2" w:rsidP="00994719">
            <w:pPr>
              <w:pStyle w:val="Tableformat"/>
              <w:rPr>
                <w:bCs/>
                <w:color w:val="auto"/>
                <w:sz w:val="20"/>
                <w:szCs w:val="20"/>
              </w:rPr>
            </w:pPr>
            <w:r>
              <w:rPr>
                <w:bCs/>
                <w:color w:val="auto"/>
                <w:sz w:val="20"/>
                <w:szCs w:val="20"/>
              </w:rPr>
              <w:t>4</w:t>
            </w:r>
            <w:r w:rsidRPr="008224F9">
              <w:rPr>
                <w:bCs/>
                <w:color w:val="auto"/>
                <w:sz w:val="20"/>
                <w:szCs w:val="20"/>
              </w:rPr>
              <w:t>.</w:t>
            </w:r>
            <w:r w:rsidR="00994719">
              <w:rPr>
                <w:bCs/>
                <w:color w:val="auto"/>
                <w:sz w:val="20"/>
                <w:szCs w:val="20"/>
              </w:rPr>
              <w:t>a</w:t>
            </w:r>
            <w:r w:rsidRPr="008224F9">
              <w:rPr>
                <w:bCs/>
                <w:color w:val="auto"/>
                <w:sz w:val="20"/>
                <w:szCs w:val="20"/>
              </w:rPr>
              <w:t xml:space="preserve"> Implement the SDL Accounting Framework Improvement Strategy </w:t>
            </w:r>
            <w:r w:rsidR="007C3B81" w:rsidRPr="008224F9">
              <w:rPr>
                <w:bCs/>
                <w:color w:val="auto"/>
                <w:sz w:val="20"/>
                <w:szCs w:val="20"/>
              </w:rPr>
              <w:t>work plan</w:t>
            </w:r>
            <w:r w:rsidRPr="008224F9">
              <w:rPr>
                <w:bCs/>
                <w:color w:val="auto"/>
                <w:sz w:val="20"/>
                <w:szCs w:val="20"/>
              </w:rPr>
              <w:t xml:space="preserve"> led by the MDBA, as relevant to the jurisdiction</w:t>
            </w:r>
            <w:r w:rsidRPr="004C4B9D">
              <w:rPr>
                <w:bCs/>
                <w:color w:val="auto"/>
                <w:sz w:val="20"/>
                <w:szCs w:val="20"/>
              </w:rPr>
              <w:t>.</w:t>
            </w:r>
          </w:p>
        </w:tc>
        <w:tc>
          <w:tcPr>
            <w:tcW w:w="1280" w:type="dxa"/>
            <w:tcBorders>
              <w:top w:val="single" w:sz="8" w:space="0" w:color="4F81BD"/>
              <w:left w:val="single" w:sz="8" w:space="0" w:color="4F81BD"/>
              <w:right w:val="single" w:sz="8" w:space="0" w:color="4F81BD"/>
            </w:tcBorders>
            <w:shd w:val="clear" w:color="auto" w:fill="F2F2F2" w:themeFill="background1" w:themeFillShade="F2"/>
          </w:tcPr>
          <w:p w14:paraId="044D5525" w14:textId="7EEFDD6C" w:rsidR="00C452F2" w:rsidRPr="004C4B9D" w:rsidRDefault="00C452F2">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right w:val="single" w:sz="8" w:space="0" w:color="4F81BD"/>
            </w:tcBorders>
            <w:shd w:val="clear" w:color="auto" w:fill="F2F2F2" w:themeFill="background1" w:themeFillShade="F2"/>
          </w:tcPr>
          <w:p w14:paraId="25C81DBF" w14:textId="701DE5BA" w:rsidR="00C452F2" w:rsidRPr="004C4B9D" w:rsidRDefault="00C452F2">
            <w:pPr>
              <w:pStyle w:val="Tableformat"/>
              <w:rPr>
                <w:bCs/>
                <w:color w:val="auto"/>
                <w:sz w:val="20"/>
                <w:szCs w:val="20"/>
              </w:rPr>
            </w:pPr>
            <w:r>
              <w:rPr>
                <w:bCs/>
                <w:color w:val="auto"/>
                <w:sz w:val="20"/>
                <w:szCs w:val="20"/>
              </w:rPr>
              <w:t>$79,552</w:t>
            </w:r>
          </w:p>
        </w:tc>
      </w:tr>
      <w:tr w:rsidR="00C26CF0" w:rsidRPr="004C4B9D" w14:paraId="217838D9" w14:textId="77777777" w:rsidTr="00DE2250">
        <w:tc>
          <w:tcPr>
            <w:tcW w:w="1556" w:type="dxa"/>
            <w:vMerge/>
            <w:tcBorders>
              <w:left w:val="single" w:sz="8" w:space="0" w:color="4F81BD"/>
              <w:right w:val="single" w:sz="8" w:space="0" w:color="4F81BD"/>
            </w:tcBorders>
            <w:shd w:val="clear" w:color="auto" w:fill="F2F2F2" w:themeFill="background1" w:themeFillShade="F2"/>
          </w:tcPr>
          <w:p w14:paraId="57021714" w14:textId="77777777" w:rsidR="00C26CF0" w:rsidRPr="004C4B9D" w:rsidRDefault="00C26CF0" w:rsidP="00C26CF0">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3C48A4" w14:textId="4602FFFD" w:rsidR="00C26CF0" w:rsidRPr="004C4B9D" w:rsidRDefault="00D525F8" w:rsidP="00C26CF0">
            <w:pPr>
              <w:pStyle w:val="Tableformat"/>
              <w:rPr>
                <w:bCs/>
                <w:color w:val="auto"/>
                <w:sz w:val="20"/>
                <w:szCs w:val="20"/>
              </w:rPr>
            </w:pPr>
            <w:r>
              <w:rPr>
                <w:bCs/>
                <w:color w:val="auto"/>
                <w:sz w:val="20"/>
                <w:szCs w:val="20"/>
              </w:rPr>
              <w:t>5</w:t>
            </w:r>
            <w:r w:rsidR="00C26CF0">
              <w:rPr>
                <w:bCs/>
                <w:color w:val="auto"/>
                <w:sz w:val="20"/>
                <w:szCs w:val="20"/>
              </w:rPr>
              <w:t xml:space="preserve">. </w:t>
            </w:r>
            <w:r w:rsidR="00C26CF0" w:rsidRPr="004C4B9D">
              <w:rPr>
                <w:bCs/>
                <w:color w:val="auto"/>
                <w:sz w:val="20"/>
                <w:szCs w:val="20"/>
              </w:rPr>
              <w:t>Ensure State water planning frameworks that are included in Water Resource Plans remain consistent with the Basin Plan.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BB5E0B" w14:textId="7C236AA4" w:rsidR="00C26CF0" w:rsidRPr="004C4B9D" w:rsidRDefault="00D525F8" w:rsidP="00C26CF0">
            <w:pPr>
              <w:pStyle w:val="Tableformat"/>
              <w:rPr>
                <w:bCs/>
                <w:color w:val="auto"/>
                <w:sz w:val="20"/>
                <w:szCs w:val="20"/>
              </w:rPr>
            </w:pPr>
            <w:r>
              <w:rPr>
                <w:bCs/>
                <w:color w:val="auto"/>
                <w:sz w:val="20"/>
                <w:szCs w:val="20"/>
              </w:rPr>
              <w:t>5</w:t>
            </w:r>
            <w:r w:rsidR="00C26CF0" w:rsidRPr="008224F9">
              <w:rPr>
                <w:bCs/>
                <w:color w:val="auto"/>
                <w:sz w:val="20"/>
                <w:szCs w:val="20"/>
              </w:rPr>
              <w:t>.a Submit amendments to WRPs to the Commonwealth for approval where state water planning frameworks in WRPs become inconsistent with the Basin Plan</w:t>
            </w:r>
            <w:r w:rsidR="00C26CF0" w:rsidRPr="004C4B9D">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13BB1E"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BFE2FB0" w14:textId="75BF1EB2"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42C78E98" w14:textId="77777777" w:rsidTr="00DE2250">
        <w:tc>
          <w:tcPr>
            <w:tcW w:w="1556" w:type="dxa"/>
            <w:vMerge/>
            <w:tcBorders>
              <w:left w:val="single" w:sz="8" w:space="0" w:color="4F81BD"/>
              <w:right w:val="single" w:sz="8" w:space="0" w:color="4F81BD"/>
            </w:tcBorders>
            <w:shd w:val="clear" w:color="auto" w:fill="F2F2F2" w:themeFill="background1" w:themeFillShade="F2"/>
          </w:tcPr>
          <w:p w14:paraId="1C29A25E" w14:textId="77777777" w:rsidR="00C26CF0" w:rsidRPr="004C4B9D" w:rsidRDefault="00C26CF0" w:rsidP="00C26CF0">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0446B935" w14:textId="40097C17" w:rsidR="00C26CF0" w:rsidRPr="004C4B9D" w:rsidRDefault="00D525F8" w:rsidP="00C26CF0">
            <w:pPr>
              <w:pStyle w:val="Tableformat"/>
              <w:rPr>
                <w:bCs/>
                <w:color w:val="auto"/>
                <w:sz w:val="20"/>
                <w:szCs w:val="20"/>
              </w:rPr>
            </w:pPr>
            <w:r>
              <w:rPr>
                <w:bCs/>
                <w:color w:val="auto"/>
                <w:sz w:val="20"/>
                <w:szCs w:val="20"/>
              </w:rPr>
              <w:t>6</w:t>
            </w:r>
            <w:r w:rsidR="00C26CF0">
              <w:rPr>
                <w:bCs/>
                <w:color w:val="auto"/>
                <w:sz w:val="20"/>
                <w:szCs w:val="20"/>
              </w:rPr>
              <w:t xml:space="preserve">. </w:t>
            </w:r>
            <w:r w:rsidR="00C26CF0" w:rsidRPr="004C4B9D">
              <w:rPr>
                <w:bCs/>
                <w:color w:val="auto"/>
                <w:sz w:val="20"/>
                <w:szCs w:val="20"/>
              </w:rPr>
              <w:t>Deliver required Basin Plan monitoring, evaluation, science and reporting.</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3BDD8E" w14:textId="46EA47B6" w:rsidR="00C26CF0" w:rsidRPr="004C4B9D" w:rsidRDefault="00D525F8" w:rsidP="00C26CF0">
            <w:pPr>
              <w:pStyle w:val="Tableformat"/>
              <w:rPr>
                <w:bCs/>
                <w:color w:val="auto"/>
                <w:sz w:val="20"/>
                <w:szCs w:val="20"/>
              </w:rPr>
            </w:pPr>
            <w:r>
              <w:rPr>
                <w:bCs/>
                <w:color w:val="auto"/>
                <w:sz w:val="20"/>
                <w:szCs w:val="20"/>
              </w:rPr>
              <w:t>6</w:t>
            </w:r>
            <w:r w:rsidR="00C26CF0">
              <w:rPr>
                <w:bCs/>
                <w:color w:val="auto"/>
                <w:sz w:val="20"/>
                <w:szCs w:val="20"/>
              </w:rPr>
              <w:t xml:space="preserve">.a </w:t>
            </w:r>
            <w:r w:rsidR="00C26CF0" w:rsidRPr="004C4B9D">
              <w:rPr>
                <w:bCs/>
                <w:color w:val="auto"/>
                <w:sz w:val="20"/>
                <w:szCs w:val="20"/>
              </w:rPr>
              <w:t>Deliver Basin Plan reporting under Schedule 12, including reporting under Matters 8, 12, 18 and 19</w:t>
            </w:r>
            <w:r w:rsidR="00F72CFD">
              <w:rPr>
                <w:bCs/>
                <w:color w:val="auto"/>
                <w:sz w:val="20"/>
                <w:szCs w:val="20"/>
              </w:rPr>
              <w:t xml:space="preserve"> and 21 (compliance with water resource plans, such as but not limited to Parts 4, 6, 14)</w:t>
            </w:r>
            <w:r w:rsidR="00C26CF0" w:rsidRPr="004C4B9D">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AF4603"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1DA820" w14:textId="09BBB630" w:rsidR="00C26CF0" w:rsidRPr="004C4B9D" w:rsidRDefault="00C26CF0">
            <w:pPr>
              <w:pStyle w:val="Tableformat"/>
              <w:rPr>
                <w:bCs/>
                <w:color w:val="auto"/>
                <w:sz w:val="20"/>
                <w:szCs w:val="20"/>
              </w:rPr>
            </w:pPr>
            <w:r>
              <w:rPr>
                <w:bCs/>
                <w:color w:val="auto"/>
                <w:sz w:val="20"/>
                <w:szCs w:val="20"/>
              </w:rPr>
              <w:t>$</w:t>
            </w:r>
            <w:r w:rsidR="00382434">
              <w:rPr>
                <w:bCs/>
                <w:color w:val="auto"/>
                <w:sz w:val="20"/>
                <w:szCs w:val="20"/>
              </w:rPr>
              <w:t>119,328</w:t>
            </w:r>
          </w:p>
        </w:tc>
      </w:tr>
      <w:tr w:rsidR="00C26CF0" w:rsidRPr="004C4B9D" w14:paraId="3D442353" w14:textId="77777777" w:rsidTr="00DE2250">
        <w:tc>
          <w:tcPr>
            <w:tcW w:w="1556" w:type="dxa"/>
            <w:vMerge/>
            <w:tcBorders>
              <w:left w:val="single" w:sz="8" w:space="0" w:color="4F81BD"/>
              <w:right w:val="single" w:sz="8" w:space="0" w:color="4F81BD"/>
            </w:tcBorders>
            <w:shd w:val="clear" w:color="auto" w:fill="F2F2F2" w:themeFill="background1" w:themeFillShade="F2"/>
          </w:tcPr>
          <w:p w14:paraId="7CB6352E" w14:textId="77777777" w:rsidR="00C26CF0" w:rsidRPr="004C4B9D" w:rsidRDefault="00C26CF0" w:rsidP="00C26CF0">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75232F5A" w14:textId="77777777" w:rsidR="00C26CF0" w:rsidRPr="004C4B9D" w:rsidRDefault="00C26CF0" w:rsidP="00C26CF0">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DC8375" w14:textId="6C295856" w:rsidR="00C26CF0" w:rsidRPr="004C4B9D" w:rsidRDefault="00D525F8" w:rsidP="00C26CF0">
            <w:pPr>
              <w:pStyle w:val="Tableformat"/>
              <w:rPr>
                <w:bCs/>
                <w:color w:val="auto"/>
                <w:sz w:val="20"/>
                <w:szCs w:val="20"/>
              </w:rPr>
            </w:pPr>
            <w:r>
              <w:rPr>
                <w:bCs/>
                <w:color w:val="auto"/>
                <w:sz w:val="20"/>
                <w:szCs w:val="20"/>
              </w:rPr>
              <w:t>6</w:t>
            </w:r>
            <w:r w:rsidR="00C26CF0">
              <w:rPr>
                <w:bCs/>
                <w:color w:val="auto"/>
                <w:sz w:val="20"/>
                <w:szCs w:val="20"/>
              </w:rPr>
              <w:t xml:space="preserve">.b </w:t>
            </w:r>
            <w:r w:rsidR="00C26CF0" w:rsidRPr="004C4B9D">
              <w:rPr>
                <w:bCs/>
                <w:color w:val="auto"/>
                <w:sz w:val="20"/>
                <w:szCs w:val="20"/>
              </w:rPr>
              <w:t xml:space="preserve">Deliver on </w:t>
            </w:r>
            <w:r w:rsidR="00C26CF0">
              <w:rPr>
                <w:bCs/>
                <w:color w:val="auto"/>
                <w:sz w:val="20"/>
                <w:szCs w:val="20"/>
              </w:rPr>
              <w:t xml:space="preserve">agreed </w:t>
            </w:r>
            <w:r w:rsidR="00C26CF0"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C26CF0" w:rsidRPr="004C4B9D">
              <w:rPr>
                <w:bCs/>
                <w:color w:val="auto"/>
                <w:sz w:val="20"/>
                <w:szCs w:val="20"/>
              </w:rPr>
              <w:t xml:space="preserve"> as endorsed by BOCA.</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AC11C5"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328C7B" w14:textId="64832EAF" w:rsidR="00C26CF0" w:rsidRPr="004C4B9D" w:rsidRDefault="00C26CF0">
            <w:pPr>
              <w:pStyle w:val="Tableformat"/>
              <w:rPr>
                <w:bCs/>
                <w:color w:val="auto"/>
                <w:sz w:val="20"/>
                <w:szCs w:val="20"/>
              </w:rPr>
            </w:pPr>
            <w:r>
              <w:rPr>
                <w:bCs/>
                <w:color w:val="auto"/>
                <w:sz w:val="20"/>
                <w:szCs w:val="20"/>
              </w:rPr>
              <w:t>$</w:t>
            </w:r>
            <w:r w:rsidR="00382434">
              <w:rPr>
                <w:bCs/>
                <w:color w:val="auto"/>
                <w:sz w:val="20"/>
                <w:szCs w:val="20"/>
              </w:rPr>
              <w:t>119,328</w:t>
            </w:r>
          </w:p>
        </w:tc>
      </w:tr>
      <w:tr w:rsidR="00C26CF0" w:rsidRPr="004C4B9D" w14:paraId="2EE61E43" w14:textId="77777777" w:rsidTr="00DE2250">
        <w:tc>
          <w:tcPr>
            <w:tcW w:w="1556" w:type="dxa"/>
            <w:tcBorders>
              <w:top w:val="single" w:sz="8" w:space="0" w:color="4F81BD"/>
              <w:left w:val="single" w:sz="8" w:space="0" w:color="4F81BD"/>
              <w:right w:val="single" w:sz="8" w:space="0" w:color="4F81BD"/>
            </w:tcBorders>
            <w:shd w:val="clear" w:color="auto" w:fill="F2F2F2" w:themeFill="background1" w:themeFillShade="F2"/>
          </w:tcPr>
          <w:p w14:paraId="76728EFF" w14:textId="77777777" w:rsidR="00C26CF0" w:rsidRPr="004C4B9D" w:rsidRDefault="00C26CF0" w:rsidP="00C26CF0">
            <w:pPr>
              <w:pStyle w:val="Tableformat"/>
              <w:rPr>
                <w:bCs/>
                <w:color w:val="auto"/>
                <w:sz w:val="20"/>
                <w:szCs w:val="20"/>
              </w:rPr>
            </w:pPr>
            <w:r w:rsidRPr="004C4B9D">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3E4B2D7" w14:textId="5FBEA382" w:rsidR="00C26CF0" w:rsidRPr="004C4B9D" w:rsidRDefault="00812CAD">
            <w:pPr>
              <w:pStyle w:val="Tableformat"/>
              <w:rPr>
                <w:bCs/>
                <w:color w:val="auto"/>
                <w:sz w:val="20"/>
                <w:szCs w:val="20"/>
              </w:rPr>
            </w:pPr>
            <w:r>
              <w:rPr>
                <w:bCs/>
                <w:color w:val="auto"/>
                <w:sz w:val="20"/>
                <w:szCs w:val="20"/>
              </w:rPr>
              <w:t>7</w:t>
            </w:r>
            <w:r w:rsidR="00C26CF0">
              <w:rPr>
                <w:bCs/>
                <w:color w:val="auto"/>
                <w:sz w:val="20"/>
                <w:szCs w:val="20"/>
              </w:rPr>
              <w:t xml:space="preserve">. </w:t>
            </w:r>
            <w:r w:rsidR="00C26CF0" w:rsidRPr="004C4B9D">
              <w:rPr>
                <w:bCs/>
                <w:color w:val="auto"/>
                <w:sz w:val="20"/>
                <w:szCs w:val="20"/>
              </w:rPr>
              <w:t>Improve water market trading arrangements across the Basin.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ADB2A8" w14:textId="0E394A65" w:rsidR="00C26CF0" w:rsidRPr="004C4B9D" w:rsidRDefault="00812CAD" w:rsidP="00994719">
            <w:pPr>
              <w:pStyle w:val="Tableformat"/>
              <w:rPr>
                <w:bCs/>
                <w:color w:val="auto"/>
                <w:sz w:val="20"/>
                <w:szCs w:val="20"/>
              </w:rPr>
            </w:pPr>
            <w:r>
              <w:rPr>
                <w:bCs/>
                <w:color w:val="auto"/>
                <w:sz w:val="20"/>
                <w:szCs w:val="20"/>
              </w:rPr>
              <w:t>7</w:t>
            </w:r>
            <w:r w:rsidR="00C26CF0" w:rsidRPr="008224F9">
              <w:rPr>
                <w:bCs/>
                <w:color w:val="auto"/>
                <w:sz w:val="20"/>
                <w:szCs w:val="20"/>
              </w:rPr>
              <w:t>.</w:t>
            </w:r>
            <w:r w:rsidR="00994719">
              <w:rPr>
                <w:bCs/>
                <w:color w:val="auto"/>
                <w:sz w:val="20"/>
                <w:szCs w:val="20"/>
              </w:rPr>
              <w:t>a</w:t>
            </w:r>
            <w:r w:rsidR="00C26CF0" w:rsidRPr="008224F9">
              <w:rPr>
                <w:bCs/>
                <w:color w:val="auto"/>
                <w:sz w:val="20"/>
                <w:szCs w:val="20"/>
              </w:rPr>
              <w:t xml:space="preserve"> Implement agreed projects and programs arising from a finalised road map for Murray-Darling Basin water market reform</w:t>
            </w:r>
            <w:r w:rsidR="00C26CF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AB949E"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717D71" w14:textId="7C41865E"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499B52D3" w14:textId="77777777" w:rsidTr="00DE2250">
        <w:tc>
          <w:tcPr>
            <w:tcW w:w="1556" w:type="dxa"/>
            <w:vMerge w:val="restart"/>
            <w:tcBorders>
              <w:top w:val="single" w:sz="8" w:space="0" w:color="4F81BD"/>
              <w:left w:val="single" w:sz="8" w:space="0" w:color="4F81BD"/>
              <w:right w:val="single" w:sz="8" w:space="0" w:color="4F81BD"/>
            </w:tcBorders>
            <w:shd w:val="clear" w:color="auto" w:fill="F2F2F2" w:themeFill="background1" w:themeFillShade="F2"/>
          </w:tcPr>
          <w:p w14:paraId="4D23AB62" w14:textId="77777777" w:rsidR="00C26CF0" w:rsidRPr="004C4B9D" w:rsidRDefault="00C26CF0" w:rsidP="00C26CF0">
            <w:pPr>
              <w:pStyle w:val="Tableformat"/>
              <w:rPr>
                <w:bCs/>
                <w:color w:val="auto"/>
                <w:sz w:val="20"/>
                <w:szCs w:val="20"/>
              </w:rPr>
            </w:pPr>
            <w:r w:rsidRPr="004C4B9D">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72AD89" w14:textId="611453C5" w:rsidR="00C26CF0" w:rsidRPr="004C4B9D" w:rsidRDefault="00812CAD">
            <w:pPr>
              <w:pStyle w:val="Tableformat"/>
              <w:rPr>
                <w:bCs/>
                <w:color w:val="auto"/>
                <w:sz w:val="20"/>
                <w:szCs w:val="20"/>
              </w:rPr>
            </w:pPr>
            <w:r>
              <w:rPr>
                <w:bCs/>
                <w:color w:val="auto"/>
                <w:sz w:val="20"/>
                <w:szCs w:val="20"/>
              </w:rPr>
              <w:t>8</w:t>
            </w:r>
            <w:r w:rsidR="00C26CF0">
              <w:rPr>
                <w:bCs/>
                <w:color w:val="auto"/>
                <w:sz w:val="20"/>
                <w:szCs w:val="20"/>
              </w:rPr>
              <w:t xml:space="preserve">. </w:t>
            </w:r>
            <w:r w:rsidR="00C26CF0" w:rsidRPr="004C4B9D">
              <w:rPr>
                <w:bCs/>
                <w:color w:val="auto"/>
                <w:sz w:val="20"/>
                <w:szCs w:val="20"/>
              </w:rPr>
              <w:t xml:space="preserve">Implement revised Metrological Assurance Framework (MAF2)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783FEF" w14:textId="4422D0D3" w:rsidR="00C26CF0" w:rsidRPr="004C4B9D" w:rsidRDefault="00812CAD">
            <w:pPr>
              <w:pStyle w:val="Tableformat"/>
              <w:rPr>
                <w:bCs/>
                <w:color w:val="auto"/>
                <w:sz w:val="20"/>
                <w:szCs w:val="20"/>
              </w:rPr>
            </w:pPr>
            <w:r>
              <w:rPr>
                <w:bCs/>
                <w:color w:val="auto"/>
                <w:sz w:val="20"/>
                <w:szCs w:val="20"/>
              </w:rPr>
              <w:t>8</w:t>
            </w:r>
            <w:r w:rsidR="00C26CF0" w:rsidRPr="008224F9">
              <w:rPr>
                <w:bCs/>
                <w:color w:val="auto"/>
                <w:sz w:val="20"/>
                <w:szCs w:val="20"/>
              </w:rPr>
              <w:t>.</w:t>
            </w:r>
            <w:r w:rsidR="00D525F8">
              <w:rPr>
                <w:bCs/>
                <w:color w:val="auto"/>
                <w:sz w:val="20"/>
                <w:szCs w:val="20"/>
              </w:rPr>
              <w:t>a</w:t>
            </w:r>
            <w:r w:rsidR="00D525F8" w:rsidRPr="008224F9">
              <w:rPr>
                <w:bCs/>
                <w:color w:val="auto"/>
                <w:sz w:val="20"/>
                <w:szCs w:val="20"/>
              </w:rPr>
              <w:t xml:space="preserve"> </w:t>
            </w:r>
            <w:r w:rsidR="00C26CF0" w:rsidRPr="008224F9">
              <w:rPr>
                <w:bCs/>
                <w:color w:val="auto"/>
                <w:sz w:val="20"/>
                <w:szCs w:val="20"/>
              </w:rPr>
              <w:t>Progress the integration of MAF2 requirements into the state’s metering compliance plan/policy in accordance with the implementation pla</w:t>
            </w:r>
            <w:r w:rsidR="00C26CF0">
              <w:rPr>
                <w:bCs/>
                <w:color w:val="auto"/>
                <w:sz w:val="20"/>
                <w:szCs w:val="20"/>
              </w:rPr>
              <w:t>n</w:t>
            </w:r>
            <w:r w:rsidR="00C26CF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395B50"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70DB57" w14:textId="06B1F683"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1205F412" w14:textId="77777777" w:rsidTr="00DE2250">
        <w:tc>
          <w:tcPr>
            <w:tcW w:w="1556" w:type="dxa"/>
            <w:vMerge/>
            <w:tcBorders>
              <w:left w:val="single" w:sz="8" w:space="0" w:color="4F81BD"/>
              <w:right w:val="single" w:sz="8" w:space="0" w:color="4F81BD"/>
            </w:tcBorders>
            <w:shd w:val="clear" w:color="auto" w:fill="F2F2F2" w:themeFill="background1" w:themeFillShade="F2"/>
          </w:tcPr>
          <w:p w14:paraId="66C547A9" w14:textId="77777777" w:rsidR="00C26CF0" w:rsidRPr="004C4B9D" w:rsidRDefault="00C26CF0" w:rsidP="00C26CF0">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395B0486" w14:textId="71E0F80B" w:rsidR="00C26CF0" w:rsidRPr="004C4B9D" w:rsidRDefault="00812CAD">
            <w:pPr>
              <w:pStyle w:val="Tableformat"/>
              <w:rPr>
                <w:bCs/>
                <w:color w:val="auto"/>
                <w:sz w:val="20"/>
                <w:szCs w:val="20"/>
              </w:rPr>
            </w:pPr>
            <w:r>
              <w:rPr>
                <w:bCs/>
                <w:color w:val="auto"/>
                <w:sz w:val="20"/>
                <w:szCs w:val="20"/>
              </w:rPr>
              <w:t>9</w:t>
            </w:r>
            <w:r w:rsidR="00C26CF0">
              <w:rPr>
                <w:bCs/>
                <w:color w:val="auto"/>
                <w:sz w:val="20"/>
                <w:szCs w:val="20"/>
              </w:rPr>
              <w:t xml:space="preserve">. </w:t>
            </w:r>
            <w:r w:rsidR="00C26CF0" w:rsidRPr="001920CF">
              <w:rPr>
                <w:bCs/>
                <w:color w:val="auto"/>
                <w:sz w:val="20"/>
                <w:szCs w:val="20"/>
              </w:rPr>
              <w:t>Work with the Inspector General of Water Compliance (IGWC) to provide clear compliance arrangements and reporting in the Murray-Darling Basin.</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C95242" w14:textId="2078E9DF" w:rsidR="00C26CF0" w:rsidRPr="004C4B9D" w:rsidRDefault="00812CAD">
            <w:pPr>
              <w:pStyle w:val="Tableformat"/>
              <w:rPr>
                <w:bCs/>
                <w:color w:val="auto"/>
                <w:sz w:val="20"/>
                <w:szCs w:val="20"/>
              </w:rPr>
            </w:pPr>
            <w:r>
              <w:rPr>
                <w:bCs/>
                <w:color w:val="auto"/>
                <w:sz w:val="20"/>
                <w:szCs w:val="20"/>
              </w:rPr>
              <w:t>9</w:t>
            </w:r>
            <w:r w:rsidR="00C26CF0" w:rsidRPr="008224F9">
              <w:rPr>
                <w:bCs/>
                <w:color w:val="auto"/>
                <w:sz w:val="20"/>
                <w:szCs w:val="20"/>
              </w:rPr>
              <w:t>.</w:t>
            </w:r>
            <w:r w:rsidR="00D525F8">
              <w:rPr>
                <w:bCs/>
                <w:color w:val="auto"/>
                <w:sz w:val="20"/>
                <w:szCs w:val="20"/>
              </w:rPr>
              <w:t>a</w:t>
            </w:r>
            <w:r w:rsidR="00D525F8" w:rsidRPr="008224F9">
              <w:rPr>
                <w:bCs/>
                <w:color w:val="auto"/>
                <w:sz w:val="20"/>
                <w:szCs w:val="20"/>
              </w:rPr>
              <w:t xml:space="preserve"> </w:t>
            </w:r>
            <w:r w:rsidR="00C26CF0" w:rsidRPr="008224F9">
              <w:rPr>
                <w:bCs/>
                <w:color w:val="auto"/>
                <w:sz w:val="20"/>
                <w:szCs w:val="20"/>
              </w:rPr>
              <w:t>Provide input to the IGWC on the development of standards and guidelines</w:t>
            </w:r>
            <w:r w:rsidR="00C26CF0" w:rsidRPr="004C4B9D">
              <w:rPr>
                <w:bCs/>
                <w:color w:val="auto"/>
                <w:sz w:val="20"/>
                <w:szCs w:val="20"/>
              </w:rPr>
              <w:t xml:space="preserve">. </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65960E"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3A561B" w14:textId="59B0D193"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14:paraId="6C28C160" w14:textId="77777777" w:rsidTr="00DE2250">
        <w:tc>
          <w:tcPr>
            <w:tcW w:w="1556" w:type="dxa"/>
            <w:vMerge/>
            <w:tcBorders>
              <w:left w:val="single" w:sz="8" w:space="0" w:color="4F81BD"/>
              <w:right w:val="single" w:sz="8" w:space="0" w:color="4F81BD"/>
            </w:tcBorders>
            <w:shd w:val="clear" w:color="auto" w:fill="F2F2F2" w:themeFill="background1" w:themeFillShade="F2"/>
          </w:tcPr>
          <w:p w14:paraId="09711B1A" w14:textId="77777777" w:rsidR="00C26CF0" w:rsidRPr="004C4B9D" w:rsidRDefault="00C26CF0" w:rsidP="00C26CF0">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53296FA3" w14:textId="77777777" w:rsidR="00C26CF0" w:rsidRPr="001920CF" w:rsidRDefault="00C26CF0" w:rsidP="00C26CF0">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ACAD15" w14:textId="176C9B3D" w:rsidR="00C26CF0" w:rsidRPr="004C4B9D" w:rsidRDefault="00812CAD">
            <w:pPr>
              <w:pStyle w:val="Tableformat"/>
              <w:rPr>
                <w:bCs/>
                <w:color w:val="auto"/>
                <w:sz w:val="20"/>
                <w:szCs w:val="20"/>
              </w:rPr>
            </w:pPr>
            <w:r>
              <w:rPr>
                <w:bCs/>
                <w:color w:val="auto"/>
                <w:sz w:val="20"/>
                <w:szCs w:val="20"/>
              </w:rPr>
              <w:t>9</w:t>
            </w:r>
            <w:r w:rsidR="00C26CF0" w:rsidRPr="008224F9">
              <w:rPr>
                <w:bCs/>
                <w:color w:val="auto"/>
                <w:sz w:val="20"/>
                <w:szCs w:val="20"/>
              </w:rPr>
              <w:t>.</w:t>
            </w:r>
            <w:r w:rsidR="00D525F8">
              <w:rPr>
                <w:bCs/>
                <w:color w:val="auto"/>
                <w:sz w:val="20"/>
                <w:szCs w:val="20"/>
              </w:rPr>
              <w:t>b</w:t>
            </w:r>
            <w:r w:rsidR="00D525F8" w:rsidRPr="008224F9">
              <w:rPr>
                <w:bCs/>
                <w:color w:val="auto"/>
                <w:sz w:val="20"/>
                <w:szCs w:val="20"/>
              </w:rPr>
              <w:t xml:space="preserve"> </w:t>
            </w:r>
            <w:r w:rsidR="00C26CF0" w:rsidRPr="008224F9">
              <w:rPr>
                <w:bCs/>
                <w:color w:val="auto"/>
                <w:sz w:val="20"/>
                <w:szCs w:val="20"/>
              </w:rPr>
              <w:t>Report to the IGWC against MAF2 Chapter 15 at least annually or in accordance with IGWC guidelines</w:t>
            </w:r>
            <w:r w:rsidR="00C26CF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78FBE9" w14:textId="77777777" w:rsidR="00C26CF0"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64E818" w14:textId="3C8C3BFE" w:rsidR="00C26CF0"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14:paraId="016C5E24" w14:textId="77777777" w:rsidTr="00DE2250">
        <w:tc>
          <w:tcPr>
            <w:tcW w:w="1556" w:type="dxa"/>
            <w:vMerge/>
            <w:tcBorders>
              <w:left w:val="single" w:sz="8" w:space="0" w:color="4F81BD"/>
              <w:right w:val="single" w:sz="8" w:space="0" w:color="4F81BD"/>
            </w:tcBorders>
            <w:shd w:val="clear" w:color="auto" w:fill="F2F2F2" w:themeFill="background1" w:themeFillShade="F2"/>
          </w:tcPr>
          <w:p w14:paraId="728F65DA" w14:textId="77777777" w:rsidR="00C26CF0" w:rsidRPr="004C4B9D" w:rsidRDefault="00C26CF0" w:rsidP="00C26CF0">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02433E48" w14:textId="77777777" w:rsidR="00C26CF0" w:rsidRPr="001920CF" w:rsidRDefault="00C26CF0" w:rsidP="00C26CF0">
            <w:pPr>
              <w:pStyle w:val="Tableformat"/>
              <w:rPr>
                <w:bCs/>
                <w:color w:val="auto"/>
                <w:sz w:val="20"/>
                <w:szCs w:val="20"/>
              </w:rPr>
            </w:pP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8B8FACA" w14:textId="2B679EB9" w:rsidR="00C26CF0" w:rsidRPr="008224F9" w:rsidRDefault="00812CAD">
            <w:pPr>
              <w:pStyle w:val="Tableformat"/>
              <w:rPr>
                <w:bCs/>
                <w:color w:val="auto"/>
                <w:sz w:val="20"/>
                <w:szCs w:val="20"/>
              </w:rPr>
            </w:pPr>
            <w:r>
              <w:rPr>
                <w:bCs/>
                <w:color w:val="auto"/>
                <w:sz w:val="20"/>
                <w:szCs w:val="20"/>
              </w:rPr>
              <w:t>9</w:t>
            </w:r>
            <w:r w:rsidR="00C26CF0" w:rsidRPr="004D079A">
              <w:rPr>
                <w:bCs/>
                <w:color w:val="auto"/>
                <w:sz w:val="20"/>
                <w:szCs w:val="20"/>
              </w:rPr>
              <w:t>.</w:t>
            </w:r>
            <w:r w:rsidR="00D525F8">
              <w:rPr>
                <w:bCs/>
                <w:color w:val="auto"/>
                <w:sz w:val="20"/>
                <w:szCs w:val="20"/>
              </w:rPr>
              <w:t>c</w:t>
            </w:r>
            <w:r w:rsidR="00D525F8" w:rsidRPr="004D079A">
              <w:rPr>
                <w:bCs/>
                <w:color w:val="auto"/>
                <w:sz w:val="20"/>
                <w:szCs w:val="20"/>
              </w:rPr>
              <w:t xml:space="preserve"> </w:t>
            </w:r>
            <w:r w:rsidR="00C26CF0" w:rsidRPr="004D079A">
              <w:rPr>
                <w:bCs/>
                <w:color w:val="auto"/>
                <w:sz w:val="20"/>
                <w:szCs w:val="20"/>
              </w:rPr>
              <w:t>Provide performance data to the IGWC subject to agreed reporting guidelines (annually)</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79FECA" w14:textId="77777777" w:rsidR="00C26CF0"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3048FA" w14:textId="4140F2AD" w:rsidR="00C26CF0"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133118D7" w14:textId="77777777" w:rsidTr="00DE2250">
        <w:tc>
          <w:tcPr>
            <w:tcW w:w="1556" w:type="dxa"/>
            <w:vMerge/>
            <w:tcBorders>
              <w:left w:val="single" w:sz="8" w:space="0" w:color="4F81BD"/>
              <w:right w:val="single" w:sz="8" w:space="0" w:color="4F81BD"/>
            </w:tcBorders>
            <w:shd w:val="clear" w:color="auto" w:fill="F2F2F2" w:themeFill="background1" w:themeFillShade="F2"/>
          </w:tcPr>
          <w:p w14:paraId="35642AD9" w14:textId="77777777" w:rsidR="00C26CF0" w:rsidRPr="004C4B9D" w:rsidRDefault="00C26CF0" w:rsidP="00C26CF0">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5ECCA145" w14:textId="7848CA96" w:rsidR="00C26CF0" w:rsidRPr="004C4B9D" w:rsidRDefault="00812CAD">
            <w:pPr>
              <w:pStyle w:val="Tableformat"/>
              <w:rPr>
                <w:bCs/>
                <w:color w:val="auto"/>
                <w:sz w:val="20"/>
                <w:szCs w:val="20"/>
              </w:rPr>
            </w:pPr>
            <w:r>
              <w:rPr>
                <w:bCs/>
                <w:color w:val="auto"/>
                <w:sz w:val="20"/>
                <w:szCs w:val="20"/>
              </w:rPr>
              <w:t>10</w:t>
            </w:r>
            <w:r w:rsidR="00C26CF0">
              <w:rPr>
                <w:bCs/>
                <w:color w:val="auto"/>
                <w:sz w:val="20"/>
                <w:szCs w:val="20"/>
              </w:rPr>
              <w:t xml:space="preserve">. </w:t>
            </w:r>
            <w:r w:rsidR="00C26CF0" w:rsidRPr="004C4B9D">
              <w:rPr>
                <w:bCs/>
                <w:color w:val="auto"/>
                <w:sz w:val="20"/>
                <w:szCs w:val="20"/>
              </w:rPr>
              <w:t xml:space="preserve">Response to the Compliance Compact Review </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53C295" w14:textId="459DFDF0" w:rsidR="00C26CF0" w:rsidRPr="004C4B9D" w:rsidRDefault="00812CAD">
            <w:pPr>
              <w:pStyle w:val="Tableformat"/>
              <w:rPr>
                <w:bCs/>
                <w:color w:val="auto"/>
                <w:sz w:val="20"/>
                <w:szCs w:val="20"/>
              </w:rPr>
            </w:pPr>
            <w:r>
              <w:rPr>
                <w:bCs/>
                <w:color w:val="auto"/>
                <w:sz w:val="20"/>
                <w:szCs w:val="20"/>
              </w:rPr>
              <w:t>10</w:t>
            </w:r>
            <w:r w:rsidR="00C26CF0" w:rsidRPr="004D079A">
              <w:rPr>
                <w:bCs/>
                <w:color w:val="auto"/>
                <w:sz w:val="20"/>
                <w:szCs w:val="20"/>
              </w:rPr>
              <w:t>.</w:t>
            </w:r>
            <w:r w:rsidR="00D525F8">
              <w:rPr>
                <w:bCs/>
                <w:color w:val="auto"/>
                <w:sz w:val="20"/>
                <w:szCs w:val="20"/>
              </w:rPr>
              <w:t>a</w:t>
            </w:r>
            <w:r w:rsidR="00D525F8" w:rsidRPr="004D079A">
              <w:rPr>
                <w:bCs/>
                <w:color w:val="auto"/>
                <w:sz w:val="20"/>
                <w:szCs w:val="20"/>
              </w:rPr>
              <w:t xml:space="preserve"> </w:t>
            </w:r>
            <w:r w:rsidR="00C26CF0" w:rsidRPr="004D079A">
              <w:rPr>
                <w:bCs/>
                <w:color w:val="auto"/>
                <w:sz w:val="20"/>
                <w:szCs w:val="20"/>
              </w:rPr>
              <w:t>Provide information on metering and telemetry thresholds to an independent analysis lead by the IGWC, including participation in the identification of Basin-wide minimum standards, and communicate on thresholds and standards</w:t>
            </w:r>
            <w:r w:rsidR="00C26CF0" w:rsidRPr="001920CF">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5CCB43"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EE8A02" w14:textId="5923B72E" w:rsidR="00C26CF0" w:rsidRPr="004C4B9D"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14:paraId="134BCC05" w14:textId="77777777" w:rsidTr="00DE2250">
        <w:tc>
          <w:tcPr>
            <w:tcW w:w="1556" w:type="dxa"/>
            <w:vMerge/>
            <w:tcBorders>
              <w:left w:val="single" w:sz="8" w:space="0" w:color="4F81BD"/>
              <w:bottom w:val="single" w:sz="8" w:space="0" w:color="4F81BD"/>
              <w:right w:val="single" w:sz="8" w:space="0" w:color="4F81BD"/>
            </w:tcBorders>
            <w:shd w:val="clear" w:color="auto" w:fill="F2F2F2" w:themeFill="background1" w:themeFillShade="F2"/>
          </w:tcPr>
          <w:p w14:paraId="5D92A6BA" w14:textId="77777777" w:rsidR="00C26CF0" w:rsidRPr="004C4B9D" w:rsidRDefault="00C26CF0" w:rsidP="00C26CF0">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13175E" w14:textId="42FE0F86" w:rsidR="00C26CF0" w:rsidRPr="004C4B9D" w:rsidRDefault="00812CAD">
            <w:pPr>
              <w:pStyle w:val="Tableformat"/>
              <w:rPr>
                <w:bCs/>
                <w:color w:val="auto"/>
                <w:sz w:val="20"/>
                <w:szCs w:val="20"/>
              </w:rPr>
            </w:pPr>
            <w:r>
              <w:rPr>
                <w:bCs/>
                <w:color w:val="auto"/>
                <w:sz w:val="20"/>
                <w:szCs w:val="20"/>
              </w:rPr>
              <w:t>11</w:t>
            </w:r>
            <w:r w:rsidR="00C26CF0">
              <w:rPr>
                <w:bCs/>
                <w:color w:val="auto"/>
                <w:sz w:val="20"/>
                <w:szCs w:val="20"/>
              </w:rPr>
              <w:t>. Compliance Compact oversight</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745D46" w14:textId="36D80764" w:rsidR="00C26CF0" w:rsidRPr="004C4B9D" w:rsidRDefault="00812CAD">
            <w:pPr>
              <w:pStyle w:val="Tableformat"/>
              <w:rPr>
                <w:bCs/>
                <w:color w:val="auto"/>
                <w:sz w:val="20"/>
                <w:szCs w:val="20"/>
              </w:rPr>
            </w:pPr>
            <w:r>
              <w:rPr>
                <w:bCs/>
                <w:color w:val="auto"/>
                <w:sz w:val="20"/>
                <w:szCs w:val="20"/>
              </w:rPr>
              <w:t>11</w:t>
            </w:r>
            <w:r w:rsidR="00C26CF0" w:rsidRPr="004D079A">
              <w:rPr>
                <w:bCs/>
                <w:color w:val="auto"/>
                <w:sz w:val="20"/>
                <w:szCs w:val="20"/>
              </w:rPr>
              <w:t>.a Provide information to the IGWC as requested and in accordance with agreed MOU/guidelines to enable oversight of Compliance Compact commitments</w:t>
            </w:r>
            <w:r w:rsidR="00C26CF0" w:rsidRPr="00165E29">
              <w:rPr>
                <w:bCs/>
                <w:color w:val="auto"/>
                <w:sz w:val="20"/>
                <w:szCs w:val="20"/>
              </w:rPr>
              <w:t>.</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2AFE08" w14:textId="77777777" w:rsidR="00C26CF0"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6023D7" w14:textId="18A0630B" w:rsidR="00C26CF0" w:rsidRDefault="00C26CF0" w:rsidP="00C26CF0">
            <w:pPr>
              <w:pStyle w:val="Tableformat"/>
              <w:rPr>
                <w:bCs/>
                <w:color w:val="auto"/>
                <w:sz w:val="20"/>
                <w:szCs w:val="20"/>
              </w:rPr>
            </w:pPr>
            <w:r>
              <w:rPr>
                <w:bCs/>
                <w:color w:val="auto"/>
                <w:sz w:val="20"/>
                <w:szCs w:val="20"/>
              </w:rPr>
              <w:t>$</w:t>
            </w:r>
            <w:r w:rsidR="00D0084E">
              <w:rPr>
                <w:bCs/>
                <w:color w:val="auto"/>
                <w:sz w:val="20"/>
                <w:szCs w:val="20"/>
              </w:rPr>
              <w:t>79,552</w:t>
            </w:r>
          </w:p>
        </w:tc>
      </w:tr>
      <w:tr w:rsidR="00C26CF0" w:rsidRPr="004C4B9D" w14:paraId="158B0E37" w14:textId="77777777" w:rsidTr="00DE2250">
        <w:tc>
          <w:tcPr>
            <w:tcW w:w="155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DE9848" w14:textId="77777777" w:rsidR="00C26CF0" w:rsidRPr="004C4B9D" w:rsidRDefault="00C26CF0" w:rsidP="00C26CF0">
            <w:pPr>
              <w:pStyle w:val="Tableformat"/>
              <w:rPr>
                <w:bCs/>
                <w:color w:val="auto"/>
                <w:sz w:val="20"/>
                <w:szCs w:val="20"/>
              </w:rPr>
            </w:pPr>
            <w:r w:rsidRPr="004C4B9D">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84F266" w14:textId="2E72EDE7" w:rsidR="00C26CF0" w:rsidRPr="004C4B9D" w:rsidRDefault="00812CAD">
            <w:pPr>
              <w:pStyle w:val="Tableformat"/>
              <w:rPr>
                <w:bCs/>
                <w:color w:val="auto"/>
                <w:sz w:val="20"/>
                <w:szCs w:val="20"/>
              </w:rPr>
            </w:pPr>
            <w:r>
              <w:rPr>
                <w:bCs/>
                <w:color w:val="auto"/>
                <w:sz w:val="20"/>
                <w:szCs w:val="20"/>
              </w:rPr>
              <w:t>12</w:t>
            </w:r>
            <w:r w:rsidR="00C26CF0">
              <w:rPr>
                <w:bCs/>
                <w:color w:val="auto"/>
                <w:sz w:val="20"/>
                <w:szCs w:val="20"/>
              </w:rPr>
              <w:t xml:space="preserve">. </w:t>
            </w:r>
            <w:r w:rsidR="00C26CF0" w:rsidRPr="004C4B9D">
              <w:rPr>
                <w:bCs/>
                <w:color w:val="auto"/>
                <w:sz w:val="20"/>
                <w:szCs w:val="20"/>
              </w:rPr>
              <w:t>Improve consultation and strategic engagement in collaboration with the Commonwealth and other Basin governments.</w:t>
            </w:r>
          </w:p>
        </w:tc>
        <w:tc>
          <w:tcPr>
            <w:tcW w:w="354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5410A3" w14:textId="2AF0F808" w:rsidR="00C26CF0" w:rsidRPr="004C4B9D" w:rsidRDefault="00812CAD">
            <w:pPr>
              <w:pStyle w:val="Tableformat"/>
              <w:rPr>
                <w:bCs/>
                <w:color w:val="auto"/>
                <w:sz w:val="20"/>
                <w:szCs w:val="20"/>
              </w:rPr>
            </w:pPr>
            <w:r>
              <w:rPr>
                <w:bCs/>
                <w:color w:val="auto"/>
                <w:sz w:val="20"/>
                <w:szCs w:val="20"/>
              </w:rPr>
              <w:t>12</w:t>
            </w:r>
            <w:r w:rsidR="00C26CF0" w:rsidRPr="004D079A">
              <w:rPr>
                <w:bCs/>
                <w:color w:val="auto"/>
                <w:sz w:val="20"/>
                <w:szCs w:val="20"/>
              </w:rPr>
              <w:t>.a Report on improvements made on strategic consultation, engagement and coordination with Basin communities, in collaboration with the Commonwealth and other Basin governments</w:t>
            </w:r>
            <w:r w:rsidR="00C26CF0" w:rsidRPr="004C4B9D">
              <w:rPr>
                <w:bCs/>
                <w:color w:val="auto"/>
                <w:sz w:val="20"/>
                <w:szCs w:val="20"/>
              </w:rPr>
              <w:t xml:space="preserve">. </w:t>
            </w:r>
          </w:p>
        </w:tc>
        <w:tc>
          <w:tcPr>
            <w:tcW w:w="128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0F3866" w14:textId="77777777" w:rsidR="00C26CF0" w:rsidRPr="004C4B9D" w:rsidRDefault="00C26CF0" w:rsidP="00C26CF0">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F36C36" w14:textId="32F5D32E" w:rsidR="00C26CF0" w:rsidRPr="004C4B9D" w:rsidRDefault="00C26CF0" w:rsidP="00C26CF0">
            <w:pPr>
              <w:pStyle w:val="Tableformat"/>
              <w:rPr>
                <w:bCs/>
                <w:color w:val="auto"/>
                <w:sz w:val="20"/>
                <w:szCs w:val="20"/>
              </w:rPr>
            </w:pPr>
            <w:r>
              <w:rPr>
                <w:bCs/>
                <w:color w:val="auto"/>
                <w:sz w:val="20"/>
                <w:szCs w:val="20"/>
              </w:rPr>
              <w:t>$74,520</w:t>
            </w:r>
          </w:p>
        </w:tc>
      </w:tr>
      <w:tr w:rsidR="007C365D" w:rsidRPr="00DD56FE" w14:paraId="167FBD5C" w14:textId="77777777" w:rsidTr="00DE2250">
        <w:trPr>
          <w:trHeight w:val="447"/>
        </w:trPr>
        <w:tc>
          <w:tcPr>
            <w:tcW w:w="8931" w:type="dxa"/>
            <w:gridSpan w:val="4"/>
            <w:tcBorders>
              <w:left w:val="single" w:sz="8" w:space="0" w:color="4F81BD"/>
              <w:bottom w:val="single" w:sz="8" w:space="0" w:color="4F81BD"/>
              <w:right w:val="single" w:sz="8" w:space="0" w:color="4F81BD"/>
            </w:tcBorders>
            <w:shd w:val="clear" w:color="auto" w:fill="F2F2F2" w:themeFill="background1" w:themeFillShade="F2"/>
          </w:tcPr>
          <w:p w14:paraId="197B77C0" w14:textId="2F70BF0D" w:rsidR="007C365D" w:rsidRPr="00DD56FE" w:rsidRDefault="007C365D" w:rsidP="006F3A9B">
            <w:pPr>
              <w:pStyle w:val="Tableformat"/>
              <w:jc w:val="right"/>
              <w:rPr>
                <w:bCs/>
                <w:i/>
                <w:iCs w:val="0"/>
                <w:color w:val="auto"/>
                <w:sz w:val="20"/>
                <w:szCs w:val="20"/>
              </w:rPr>
            </w:pPr>
            <w:r w:rsidRPr="00DD56FE">
              <w:rPr>
                <w:bCs/>
                <w:i/>
                <w:iCs w:val="0"/>
                <w:color w:val="auto"/>
                <w:sz w:val="20"/>
                <w:szCs w:val="20"/>
              </w:rPr>
              <w:t>Total payment for Queensland</w:t>
            </w:r>
            <w:r w:rsidR="003D57EA">
              <w:rPr>
                <w:bCs/>
                <w:i/>
                <w:iCs w:val="0"/>
                <w:color w:val="auto"/>
                <w:sz w:val="20"/>
                <w:szCs w:val="20"/>
              </w:rPr>
              <w:t xml:space="preserve"> for Year 2</w:t>
            </w:r>
            <w:r w:rsidRPr="00DD56FE">
              <w:rPr>
                <w:bCs/>
                <w:i/>
                <w:iCs w:val="0"/>
                <w:color w:val="auto"/>
                <w:sz w:val="20"/>
                <w:szCs w:val="20"/>
              </w:rPr>
              <w:t xml:space="preserve"> if all 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ADCC34" w14:textId="234A81B5" w:rsidR="007C365D" w:rsidRPr="00DD56FE" w:rsidRDefault="007C365D" w:rsidP="006F3A9B">
            <w:pPr>
              <w:pStyle w:val="Tableformat"/>
              <w:rPr>
                <w:bCs/>
                <w:color w:val="auto"/>
                <w:sz w:val="20"/>
                <w:szCs w:val="20"/>
              </w:rPr>
            </w:pPr>
            <w:r w:rsidRPr="00DD56FE">
              <w:rPr>
                <w:bCs/>
                <w:color w:val="auto"/>
                <w:sz w:val="20"/>
                <w:szCs w:val="20"/>
              </w:rPr>
              <w:t>$</w:t>
            </w:r>
            <w:r>
              <w:rPr>
                <w:bCs/>
                <w:color w:val="auto"/>
                <w:sz w:val="20"/>
                <w:szCs w:val="20"/>
              </w:rPr>
              <w:t>1,715,250</w:t>
            </w:r>
          </w:p>
        </w:tc>
      </w:tr>
    </w:tbl>
    <w:p w14:paraId="251F6CE1" w14:textId="148EA74F" w:rsidR="007C365D" w:rsidRDefault="007C365D"/>
    <w:p w14:paraId="348705C5" w14:textId="76338857" w:rsidR="00812CAD" w:rsidRDefault="00812CAD"/>
    <w:p w14:paraId="0FCAE804" w14:textId="77777777" w:rsidR="00812CAD" w:rsidRDefault="00812CAD"/>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6"/>
        <w:gridCol w:w="2581"/>
        <w:gridCol w:w="3586"/>
        <w:gridCol w:w="1330"/>
        <w:gridCol w:w="1134"/>
      </w:tblGrid>
      <w:tr w:rsidR="00110BF6" w:rsidRPr="00F00A18" w14:paraId="757C32E7" w14:textId="77777777" w:rsidTr="007A0632">
        <w:tc>
          <w:tcPr>
            <w:tcW w:w="10207" w:type="dxa"/>
            <w:gridSpan w:val="5"/>
            <w:shd w:val="clear" w:color="auto" w:fill="DEEAF6" w:themeFill="accent1" w:themeFillTint="33"/>
          </w:tcPr>
          <w:p w14:paraId="5C8BAD17" w14:textId="333F795B" w:rsidR="00110BF6" w:rsidRPr="00F00A18" w:rsidRDefault="00110BF6" w:rsidP="006F3A9B">
            <w:pPr>
              <w:pStyle w:val="Tableformat"/>
              <w:tabs>
                <w:tab w:val="left" w:pos="6043"/>
              </w:tabs>
              <w:rPr>
                <w:b/>
                <w:color w:val="auto"/>
              </w:rPr>
            </w:pPr>
            <w:r>
              <w:rPr>
                <w:b/>
                <w:color w:val="auto"/>
              </w:rPr>
              <w:t>Table 2C</w:t>
            </w:r>
            <w:r w:rsidRPr="00F00A18">
              <w:rPr>
                <w:b/>
                <w:color w:val="auto"/>
              </w:rPr>
              <w:t xml:space="preserve">: </w:t>
            </w:r>
            <w:r>
              <w:rPr>
                <w:b/>
                <w:color w:val="auto"/>
              </w:rPr>
              <w:t xml:space="preserve">Queensland </w:t>
            </w:r>
            <w:r w:rsidRPr="00F00A18">
              <w:rPr>
                <w:b/>
                <w:color w:val="auto"/>
              </w:rPr>
              <w:t>– Performance requirements, reporting and payment summary</w:t>
            </w:r>
          </w:p>
        </w:tc>
      </w:tr>
      <w:tr w:rsidR="00110BF6" w:rsidRPr="00F00A18" w14:paraId="4A675D33" w14:textId="77777777" w:rsidTr="007A0632">
        <w:tc>
          <w:tcPr>
            <w:tcW w:w="10207" w:type="dxa"/>
            <w:gridSpan w:val="5"/>
            <w:shd w:val="clear" w:color="auto" w:fill="DEEAF6" w:themeFill="accent1" w:themeFillTint="33"/>
          </w:tcPr>
          <w:p w14:paraId="38B9C92C" w14:textId="436C48A2" w:rsidR="00110BF6" w:rsidRDefault="00110BF6" w:rsidP="006F3A9B">
            <w:pPr>
              <w:pStyle w:val="Tableformat"/>
              <w:tabs>
                <w:tab w:val="left" w:pos="6043"/>
              </w:tabs>
              <w:rPr>
                <w:b/>
                <w:color w:val="auto"/>
              </w:rPr>
            </w:pPr>
            <w:r>
              <w:rPr>
                <w:b/>
                <w:color w:val="auto"/>
              </w:rPr>
              <w:t xml:space="preserve">Year </w:t>
            </w:r>
            <w:r w:rsidR="00FD5A63">
              <w:rPr>
                <w:b/>
                <w:color w:val="auto"/>
              </w:rPr>
              <w:t>3</w:t>
            </w:r>
            <w:r>
              <w:rPr>
                <w:b/>
                <w:color w:val="auto"/>
              </w:rPr>
              <w:t>: 202</w:t>
            </w:r>
            <w:r w:rsidR="00FD5A63">
              <w:rPr>
                <w:b/>
                <w:color w:val="auto"/>
              </w:rPr>
              <w:t>3</w:t>
            </w:r>
            <w:r>
              <w:rPr>
                <w:b/>
                <w:color w:val="auto"/>
              </w:rPr>
              <w:t>-2024</w:t>
            </w:r>
          </w:p>
        </w:tc>
      </w:tr>
      <w:tr w:rsidR="00110BF6" w:rsidRPr="00FD6EB4" w14:paraId="75ABAE3A" w14:textId="77777777" w:rsidTr="007A0632">
        <w:tc>
          <w:tcPr>
            <w:tcW w:w="1576" w:type="dxa"/>
            <w:shd w:val="clear" w:color="auto" w:fill="F2F2F2" w:themeFill="background1" w:themeFillShade="F2"/>
          </w:tcPr>
          <w:p w14:paraId="7A6F3A8D" w14:textId="77777777" w:rsidR="00110BF6" w:rsidRPr="00FD6EB4" w:rsidRDefault="00110BF6"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81" w:type="dxa"/>
            <w:shd w:val="clear" w:color="auto" w:fill="F2F2F2" w:themeFill="background1" w:themeFillShade="F2"/>
          </w:tcPr>
          <w:p w14:paraId="182628F0" w14:textId="77777777" w:rsidR="00110BF6" w:rsidRPr="00FD6EB4" w:rsidRDefault="00110BF6" w:rsidP="006F3A9B">
            <w:pPr>
              <w:pStyle w:val="Tableformat"/>
              <w:rPr>
                <w:b/>
                <w:color w:val="auto"/>
                <w:sz w:val="22"/>
                <w:szCs w:val="22"/>
              </w:rPr>
            </w:pPr>
            <w:r w:rsidRPr="00FD6EB4">
              <w:rPr>
                <w:b/>
                <w:color w:val="auto"/>
                <w:sz w:val="22"/>
                <w:szCs w:val="22"/>
              </w:rPr>
              <w:t>Performance milestones</w:t>
            </w:r>
          </w:p>
        </w:tc>
        <w:tc>
          <w:tcPr>
            <w:tcW w:w="3586" w:type="dxa"/>
            <w:shd w:val="clear" w:color="auto" w:fill="F2F2F2" w:themeFill="background1" w:themeFillShade="F2"/>
          </w:tcPr>
          <w:p w14:paraId="0AFD4074" w14:textId="77777777" w:rsidR="00110BF6" w:rsidRPr="00FD6EB4" w:rsidRDefault="00110BF6" w:rsidP="006F3A9B">
            <w:pPr>
              <w:pStyle w:val="Tableformat"/>
              <w:rPr>
                <w:b/>
                <w:color w:val="auto"/>
                <w:sz w:val="22"/>
                <w:szCs w:val="22"/>
              </w:rPr>
            </w:pPr>
            <w:r w:rsidRPr="00FD6EB4">
              <w:rPr>
                <w:b/>
                <w:color w:val="auto"/>
                <w:sz w:val="22"/>
                <w:szCs w:val="22"/>
              </w:rPr>
              <w:t>Key Performance Indicators</w:t>
            </w:r>
          </w:p>
        </w:tc>
        <w:tc>
          <w:tcPr>
            <w:tcW w:w="1330" w:type="dxa"/>
            <w:shd w:val="clear" w:color="auto" w:fill="F2F2F2" w:themeFill="background1" w:themeFillShade="F2"/>
          </w:tcPr>
          <w:p w14:paraId="309E5DA3" w14:textId="77777777" w:rsidR="00110BF6" w:rsidRPr="00FD6EB4" w:rsidRDefault="00110BF6"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467AF23B" w14:textId="77777777" w:rsidR="00110BF6" w:rsidRPr="00FD6EB4" w:rsidRDefault="00110BF6" w:rsidP="006F3A9B">
            <w:pPr>
              <w:pStyle w:val="Tableformat"/>
              <w:rPr>
                <w:b/>
                <w:color w:val="auto"/>
                <w:sz w:val="22"/>
                <w:szCs w:val="22"/>
              </w:rPr>
            </w:pPr>
            <w:r w:rsidRPr="00FD6EB4">
              <w:rPr>
                <w:b/>
                <w:color w:val="auto"/>
                <w:sz w:val="22"/>
                <w:szCs w:val="22"/>
              </w:rPr>
              <w:t>Payment</w:t>
            </w:r>
          </w:p>
        </w:tc>
      </w:tr>
      <w:tr w:rsidR="007A0632" w:rsidRPr="004C4B9D" w14:paraId="31913F3B" w14:textId="77777777" w:rsidTr="007A0632">
        <w:tc>
          <w:tcPr>
            <w:tcW w:w="1576" w:type="dxa"/>
            <w:tcBorders>
              <w:top w:val="single" w:sz="8" w:space="0" w:color="4F81BD"/>
              <w:left w:val="single" w:sz="8" w:space="0" w:color="4F81BD"/>
              <w:right w:val="single" w:sz="8" w:space="0" w:color="4F81BD"/>
            </w:tcBorders>
            <w:shd w:val="clear" w:color="auto" w:fill="F2F2F2" w:themeFill="background1" w:themeFillShade="F2"/>
          </w:tcPr>
          <w:p w14:paraId="057F3EFC" w14:textId="77777777" w:rsidR="007A0632" w:rsidRPr="004C4B9D" w:rsidRDefault="007A0632" w:rsidP="006F3A9B">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81" w:type="dxa"/>
            <w:tcBorders>
              <w:top w:val="single" w:sz="8" w:space="0" w:color="4F81BD"/>
              <w:left w:val="single" w:sz="8" w:space="0" w:color="4F81BD"/>
              <w:right w:val="single" w:sz="8" w:space="0" w:color="4F81BD"/>
            </w:tcBorders>
            <w:shd w:val="clear" w:color="auto" w:fill="F2F2F2" w:themeFill="background1" w:themeFillShade="F2"/>
          </w:tcPr>
          <w:p w14:paraId="7DA00410" w14:textId="77777777" w:rsidR="007A0632" w:rsidRPr="004C4B9D" w:rsidRDefault="007A0632" w:rsidP="006F3A9B">
            <w:pPr>
              <w:pStyle w:val="Tableformat"/>
              <w:rPr>
                <w:bCs/>
                <w:color w:val="auto"/>
                <w:sz w:val="20"/>
                <w:szCs w:val="20"/>
              </w:rPr>
            </w:pPr>
            <w:r w:rsidRPr="00C35DA5">
              <w:rPr>
                <w:bCs/>
                <w:color w:val="auto"/>
                <w:sz w:val="20"/>
                <w:szCs w:val="20"/>
              </w:rPr>
              <w:t>1. 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524CA9">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C8D4B1" w14:textId="77777777" w:rsidR="007A0632" w:rsidRPr="004C4B9D" w:rsidRDefault="007A0632" w:rsidP="006F3A9B">
            <w:pPr>
              <w:pStyle w:val="Tableformat"/>
              <w:rPr>
                <w:bCs/>
                <w:color w:val="auto"/>
                <w:sz w:val="20"/>
                <w:szCs w:val="20"/>
              </w:rPr>
            </w:pPr>
            <w:r w:rsidRPr="00C35DA5">
              <w:rPr>
                <w:bCs/>
                <w:color w:val="auto"/>
                <w:sz w:val="20"/>
                <w:szCs w:val="20"/>
              </w:rPr>
              <w:t>1.a Work with the Commonwealth on water recovery projects, including setting up governance arrangements and schedules as appropriate, conducting outreach and engagement with irrigation networks and transforming entitlements as appropriate.</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94864E" w14:textId="77777777" w:rsidR="007A0632" w:rsidRPr="004C4B9D" w:rsidRDefault="007A0632" w:rsidP="006F3A9B">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F14FDA" w14:textId="71A7B835" w:rsidR="007A0632" w:rsidRPr="004C4B9D" w:rsidRDefault="007A0632" w:rsidP="006F3A9B">
            <w:pPr>
              <w:pStyle w:val="Tableformat"/>
              <w:rPr>
                <w:bCs/>
                <w:color w:val="auto"/>
                <w:sz w:val="20"/>
                <w:szCs w:val="20"/>
              </w:rPr>
            </w:pPr>
            <w:r>
              <w:rPr>
                <w:bCs/>
                <w:color w:val="auto"/>
                <w:sz w:val="20"/>
                <w:szCs w:val="20"/>
              </w:rPr>
              <w:t>$</w:t>
            </w:r>
            <w:r w:rsidR="00E622BC">
              <w:rPr>
                <w:bCs/>
                <w:color w:val="auto"/>
                <w:sz w:val="20"/>
                <w:szCs w:val="20"/>
              </w:rPr>
              <w:t>240,740</w:t>
            </w:r>
          </w:p>
        </w:tc>
      </w:tr>
      <w:tr w:rsidR="00E622BC" w:rsidRPr="004C4B9D" w14:paraId="45C7B2A9" w14:textId="77777777" w:rsidTr="007A0632">
        <w:tc>
          <w:tcPr>
            <w:tcW w:w="1576" w:type="dxa"/>
            <w:vMerge w:val="restart"/>
            <w:tcBorders>
              <w:top w:val="single" w:sz="8" w:space="0" w:color="4F81BD"/>
              <w:left w:val="single" w:sz="8" w:space="0" w:color="4F81BD"/>
              <w:right w:val="single" w:sz="8" w:space="0" w:color="4F81BD"/>
            </w:tcBorders>
            <w:shd w:val="clear" w:color="auto" w:fill="F2F2F2" w:themeFill="background1" w:themeFillShade="F2"/>
          </w:tcPr>
          <w:p w14:paraId="568565D6" w14:textId="77777777" w:rsidR="00E622BC" w:rsidRPr="004C4B9D" w:rsidRDefault="00E622BC" w:rsidP="00E622BC">
            <w:pPr>
              <w:pStyle w:val="Tableformat"/>
              <w:rPr>
                <w:bCs/>
                <w:color w:val="auto"/>
                <w:sz w:val="20"/>
                <w:szCs w:val="20"/>
              </w:rPr>
            </w:pPr>
            <w:r w:rsidRPr="004C4B9D">
              <w:rPr>
                <w:bCs/>
                <w:color w:val="auto"/>
                <w:sz w:val="20"/>
                <w:szCs w:val="20"/>
              </w:rPr>
              <w:t>Coordinated environmental water use</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A0A69F" w14:textId="79680679" w:rsidR="00E622BC" w:rsidRPr="004C4B9D" w:rsidRDefault="00EF0EBE" w:rsidP="00E622BC">
            <w:pPr>
              <w:pStyle w:val="Tableformat"/>
              <w:rPr>
                <w:bCs/>
                <w:color w:val="auto"/>
                <w:sz w:val="20"/>
                <w:szCs w:val="20"/>
              </w:rPr>
            </w:pPr>
            <w:r>
              <w:rPr>
                <w:bCs/>
                <w:color w:val="auto"/>
                <w:sz w:val="20"/>
                <w:szCs w:val="20"/>
              </w:rPr>
              <w:t>2</w:t>
            </w:r>
            <w:r w:rsidR="00E622BC">
              <w:rPr>
                <w:bCs/>
                <w:color w:val="auto"/>
                <w:sz w:val="20"/>
                <w:szCs w:val="20"/>
              </w:rPr>
              <w:t xml:space="preserve">. </w:t>
            </w:r>
            <w:r w:rsidR="00E622BC" w:rsidRPr="004C4B9D">
              <w:rPr>
                <w:bCs/>
                <w:color w:val="auto"/>
                <w:sz w:val="20"/>
                <w:szCs w:val="20"/>
              </w:rPr>
              <w:t>Deliver an agreed Basin-wide Environmental Water Protection Strategy and Implementation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250078" w14:textId="1AEF5928" w:rsidR="00E622BC" w:rsidRPr="004C4B9D" w:rsidRDefault="00EF0EBE" w:rsidP="00E70D30">
            <w:pPr>
              <w:pStyle w:val="Tableformat"/>
              <w:rPr>
                <w:bCs/>
                <w:color w:val="auto"/>
                <w:sz w:val="20"/>
                <w:szCs w:val="20"/>
              </w:rPr>
            </w:pPr>
            <w:r>
              <w:rPr>
                <w:bCs/>
                <w:color w:val="auto"/>
                <w:sz w:val="20"/>
                <w:szCs w:val="20"/>
              </w:rPr>
              <w:t>2</w:t>
            </w:r>
            <w:r w:rsidR="00E622BC" w:rsidRPr="00C35DA5">
              <w:rPr>
                <w:bCs/>
                <w:color w:val="auto"/>
                <w:sz w:val="20"/>
                <w:szCs w:val="20"/>
              </w:rPr>
              <w:t>.</w:t>
            </w:r>
            <w:r>
              <w:rPr>
                <w:bCs/>
                <w:color w:val="auto"/>
                <w:sz w:val="20"/>
                <w:szCs w:val="20"/>
              </w:rPr>
              <w:t>a</w:t>
            </w:r>
            <w:r w:rsidRPr="00C35DA5">
              <w:rPr>
                <w:bCs/>
                <w:color w:val="auto"/>
                <w:sz w:val="20"/>
                <w:szCs w:val="20"/>
              </w:rPr>
              <w:t xml:space="preserve"> </w:t>
            </w:r>
            <w:r w:rsidR="00E622BC" w:rsidRPr="00C35DA5">
              <w:rPr>
                <w:bCs/>
                <w:color w:val="auto"/>
                <w:sz w:val="20"/>
                <w:szCs w:val="20"/>
              </w:rPr>
              <w:t xml:space="preserve">Deliver and implement the agreed </w:t>
            </w:r>
            <w:r w:rsidR="007C3B81" w:rsidRPr="00C35DA5">
              <w:rPr>
                <w:bCs/>
                <w:color w:val="auto"/>
                <w:sz w:val="20"/>
                <w:szCs w:val="20"/>
              </w:rPr>
              <w:t>work plan</w:t>
            </w:r>
            <w:r w:rsidR="00E622BC" w:rsidRPr="00C35DA5">
              <w:rPr>
                <w:bCs/>
                <w:color w:val="auto"/>
                <w:sz w:val="20"/>
                <w:szCs w:val="20"/>
              </w:rPr>
              <w:t xml:space="preserve"> of the priority collaborative activities of the Environmental Water Protection Strategy, where relevant to the jurisdiction</w:t>
            </w:r>
            <w:r w:rsidR="00E622BC" w:rsidRPr="002911F1">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8FEC36"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65ADC1" w14:textId="6B3C1A56"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2492F684" w14:textId="77777777" w:rsidTr="007A0632">
        <w:tc>
          <w:tcPr>
            <w:tcW w:w="1576" w:type="dxa"/>
            <w:vMerge/>
            <w:tcBorders>
              <w:left w:val="single" w:sz="8" w:space="0" w:color="4F81BD"/>
              <w:right w:val="single" w:sz="8" w:space="0" w:color="4F81BD"/>
            </w:tcBorders>
            <w:shd w:val="clear" w:color="auto" w:fill="F2F2F2" w:themeFill="background1" w:themeFillShade="F2"/>
          </w:tcPr>
          <w:p w14:paraId="191DC64D" w14:textId="77777777" w:rsidR="00E622BC" w:rsidRPr="004C4B9D" w:rsidRDefault="00E622BC" w:rsidP="00E622BC">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264D47B3" w14:textId="7BCB4807" w:rsidR="00E622BC" w:rsidRPr="004C4B9D" w:rsidRDefault="00EF0EBE" w:rsidP="00E622BC">
            <w:pPr>
              <w:pStyle w:val="Tableformat"/>
              <w:rPr>
                <w:bCs/>
                <w:color w:val="auto"/>
                <w:sz w:val="20"/>
                <w:szCs w:val="20"/>
              </w:rPr>
            </w:pPr>
            <w:r>
              <w:rPr>
                <w:bCs/>
                <w:color w:val="auto"/>
                <w:sz w:val="20"/>
                <w:szCs w:val="20"/>
              </w:rPr>
              <w:t>3</w:t>
            </w:r>
            <w:r w:rsidR="00E622BC" w:rsidRPr="00C35DA5">
              <w:rPr>
                <w:bCs/>
                <w:color w:val="auto"/>
                <w:sz w:val="20"/>
                <w:szCs w:val="20"/>
              </w:rPr>
              <w:t>. Improve environmental watering plans and strategies, including by updating Long-Term Watering Plans (LTWPs) within agreed timeframes</w:t>
            </w:r>
            <w:r w:rsidR="00E622BC" w:rsidRPr="004C4B9D">
              <w:rPr>
                <w:bCs/>
                <w:color w:val="auto"/>
                <w:sz w:val="20"/>
                <w:szCs w:val="20"/>
              </w:rPr>
              <w:t xml:space="preserve">.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C45BB1" w14:textId="0561C308" w:rsidR="00E622BC" w:rsidRPr="004C4B9D" w:rsidRDefault="00EF0EBE" w:rsidP="00E622BC">
            <w:pPr>
              <w:pStyle w:val="Tableformat"/>
              <w:rPr>
                <w:bCs/>
                <w:color w:val="auto"/>
                <w:sz w:val="20"/>
                <w:szCs w:val="20"/>
              </w:rPr>
            </w:pPr>
            <w:r>
              <w:rPr>
                <w:bCs/>
                <w:color w:val="auto"/>
                <w:sz w:val="20"/>
                <w:szCs w:val="20"/>
              </w:rPr>
              <w:t>3</w:t>
            </w:r>
            <w:r w:rsidR="00E622BC" w:rsidRPr="00C35DA5">
              <w:rPr>
                <w:bCs/>
                <w:color w:val="auto"/>
                <w:sz w:val="20"/>
                <w:szCs w:val="20"/>
              </w:rPr>
              <w:t xml:space="preserve">.a Engage with </w:t>
            </w:r>
            <w:r w:rsidR="00795920">
              <w:rPr>
                <w:bCs/>
                <w:color w:val="auto"/>
                <w:sz w:val="20"/>
                <w:szCs w:val="20"/>
              </w:rPr>
              <w:t>all stakeholders</w:t>
            </w:r>
            <w:r w:rsidR="00E622BC" w:rsidRPr="00C35DA5">
              <w:rPr>
                <w:bCs/>
                <w:color w:val="auto"/>
                <w:sz w:val="20"/>
                <w:szCs w:val="20"/>
              </w:rPr>
              <w:t>, in the development of annual environmental water plans or priorities; and in the implementation, review and update of LTWPs, where relevant to the jurisdiction</w:t>
            </w:r>
            <w:r w:rsidR="00E622BC" w:rsidRPr="002911F1">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FE81F2"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CC0970" w14:textId="1283C268"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6808B63A" w14:textId="77777777" w:rsidTr="007A0632">
        <w:tc>
          <w:tcPr>
            <w:tcW w:w="1576" w:type="dxa"/>
            <w:vMerge/>
            <w:tcBorders>
              <w:left w:val="single" w:sz="8" w:space="0" w:color="4F81BD"/>
              <w:right w:val="single" w:sz="8" w:space="0" w:color="4F81BD"/>
            </w:tcBorders>
            <w:shd w:val="clear" w:color="auto" w:fill="F2F2F2" w:themeFill="background1" w:themeFillShade="F2"/>
          </w:tcPr>
          <w:p w14:paraId="3507DDED" w14:textId="77777777" w:rsidR="00E622BC" w:rsidRPr="004C4B9D" w:rsidRDefault="00E622BC" w:rsidP="00E622BC">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09D99AE0" w14:textId="77777777" w:rsidR="00E622BC" w:rsidRPr="004C4B9D" w:rsidRDefault="00E622BC" w:rsidP="00E622BC">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174BAD" w14:textId="63C5C19B" w:rsidR="00E622BC" w:rsidRPr="004C4B9D" w:rsidRDefault="00EF0EBE" w:rsidP="00E622BC">
            <w:pPr>
              <w:pStyle w:val="Tableformat"/>
              <w:rPr>
                <w:bCs/>
                <w:color w:val="auto"/>
                <w:sz w:val="20"/>
                <w:szCs w:val="20"/>
              </w:rPr>
            </w:pPr>
            <w:r>
              <w:rPr>
                <w:bCs/>
                <w:color w:val="auto"/>
                <w:sz w:val="20"/>
                <w:szCs w:val="20"/>
              </w:rPr>
              <w:t>3</w:t>
            </w:r>
            <w:r w:rsidR="00E622BC" w:rsidRPr="00C35DA5">
              <w:rPr>
                <w:bCs/>
                <w:color w:val="auto"/>
                <w:sz w:val="20"/>
                <w:szCs w:val="20"/>
              </w:rPr>
              <w:t>.b Provide input to third edition of the Basin-wide Environmental Watering Strategy, including input on climate adaptation approaches and techniques</w:t>
            </w:r>
            <w:r w:rsidR="00E622BC" w:rsidRPr="004C4B9D">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4BF36EB"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AA8DA4" w14:textId="34A14F7F"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0793994A" w14:textId="77777777" w:rsidTr="007A0632">
        <w:tc>
          <w:tcPr>
            <w:tcW w:w="1576" w:type="dxa"/>
            <w:vMerge/>
            <w:tcBorders>
              <w:left w:val="single" w:sz="8" w:space="0" w:color="4F81BD"/>
              <w:bottom w:val="single" w:sz="8" w:space="0" w:color="4F81BD"/>
              <w:right w:val="single" w:sz="8" w:space="0" w:color="4F81BD"/>
            </w:tcBorders>
            <w:shd w:val="clear" w:color="auto" w:fill="F2F2F2" w:themeFill="background1" w:themeFillShade="F2"/>
          </w:tcPr>
          <w:p w14:paraId="3143AD42" w14:textId="77777777" w:rsidR="00E622BC" w:rsidRPr="004C4B9D" w:rsidRDefault="00E622BC" w:rsidP="00E622BC">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0C5A7CD2" w14:textId="77777777" w:rsidR="00E622BC" w:rsidRPr="004C4B9D" w:rsidRDefault="00E622BC" w:rsidP="00E622BC">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732E7A" w14:textId="2B737C1A" w:rsidR="00E622BC" w:rsidRPr="004C4B9D" w:rsidRDefault="00EF0EBE" w:rsidP="00E622BC">
            <w:pPr>
              <w:pStyle w:val="Tableformat"/>
              <w:rPr>
                <w:bCs/>
                <w:color w:val="auto"/>
                <w:sz w:val="20"/>
                <w:szCs w:val="20"/>
              </w:rPr>
            </w:pPr>
            <w:r>
              <w:rPr>
                <w:bCs/>
                <w:color w:val="auto"/>
                <w:sz w:val="20"/>
                <w:szCs w:val="20"/>
              </w:rPr>
              <w:t>3</w:t>
            </w:r>
            <w:r w:rsidR="00E622BC" w:rsidRPr="00C35DA5">
              <w:rPr>
                <w:bCs/>
                <w:color w:val="auto"/>
                <w:sz w:val="20"/>
                <w:szCs w:val="20"/>
              </w:rPr>
              <w:t>.c Update LTWPs (or alternatively agreed tool) in line with the third edition of the Basin-wide environmental watering strategy within agreed timeframes</w:t>
            </w:r>
            <w:r w:rsidR="00E622BC" w:rsidRPr="004C4B9D">
              <w:rPr>
                <w:bCs/>
                <w:color w:val="auto"/>
                <w:sz w:val="20"/>
                <w:szCs w:val="20"/>
              </w:rPr>
              <w:t xml:space="preserve">. </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BCABBEA"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97BF52" w14:textId="086CB76F"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A3551" w:rsidRPr="004C4B9D" w14:paraId="03E2E696" w14:textId="77777777" w:rsidTr="00733283">
        <w:trPr>
          <w:trHeight w:val="2193"/>
        </w:trPr>
        <w:tc>
          <w:tcPr>
            <w:tcW w:w="1576" w:type="dxa"/>
            <w:vMerge w:val="restart"/>
            <w:tcBorders>
              <w:left w:val="single" w:sz="8" w:space="0" w:color="4F81BD"/>
              <w:right w:val="single" w:sz="8" w:space="0" w:color="4F81BD"/>
            </w:tcBorders>
            <w:shd w:val="clear" w:color="auto" w:fill="F2F2F2" w:themeFill="background1" w:themeFillShade="F2"/>
          </w:tcPr>
          <w:p w14:paraId="16DB564C" w14:textId="38D81FD1" w:rsidR="00EA3551" w:rsidRPr="004C4B9D" w:rsidRDefault="00EA3551" w:rsidP="00E622BC">
            <w:pPr>
              <w:pStyle w:val="Tableformat"/>
              <w:rPr>
                <w:bCs/>
                <w:color w:val="auto"/>
                <w:sz w:val="20"/>
                <w:szCs w:val="20"/>
              </w:rPr>
            </w:pPr>
            <w:r w:rsidRPr="004C4B9D">
              <w:rPr>
                <w:bCs/>
                <w:color w:val="auto"/>
                <w:sz w:val="20"/>
                <w:szCs w:val="20"/>
              </w:rPr>
              <w:t>Implementation of the Basin Plan</w:t>
            </w:r>
          </w:p>
        </w:tc>
        <w:tc>
          <w:tcPr>
            <w:tcW w:w="2581" w:type="dxa"/>
            <w:tcBorders>
              <w:top w:val="single" w:sz="8" w:space="0" w:color="4F81BD"/>
              <w:left w:val="single" w:sz="8" w:space="0" w:color="4F81BD"/>
              <w:right w:val="single" w:sz="8" w:space="0" w:color="4F81BD"/>
            </w:tcBorders>
            <w:shd w:val="clear" w:color="auto" w:fill="F2F2F2" w:themeFill="background1" w:themeFillShade="F2"/>
          </w:tcPr>
          <w:p w14:paraId="778A5AB4" w14:textId="3FDE60C6" w:rsidR="00EA3551" w:rsidRPr="004C4B9D" w:rsidRDefault="00EA3551" w:rsidP="00474DFF">
            <w:pPr>
              <w:pStyle w:val="Tableformat"/>
              <w:rPr>
                <w:bCs/>
                <w:color w:val="auto"/>
                <w:sz w:val="20"/>
                <w:szCs w:val="20"/>
              </w:rPr>
            </w:pPr>
            <w:r>
              <w:rPr>
                <w:bCs/>
                <w:color w:val="auto"/>
                <w:sz w:val="20"/>
                <w:szCs w:val="20"/>
              </w:rPr>
              <w:t>4</w:t>
            </w:r>
            <w:r w:rsidRPr="00C35DA5">
              <w:rPr>
                <w:bCs/>
                <w:color w:val="auto"/>
                <w:sz w:val="20"/>
                <w:szCs w:val="20"/>
              </w:rPr>
              <w:t xml:space="preserve">. Contribute to delivery of the MDBA-led SDL Accounting Framework Improvement Strategy 2020-25 </w:t>
            </w:r>
            <w:r w:rsidR="007C3B81" w:rsidRPr="00C35DA5">
              <w:rPr>
                <w:bCs/>
                <w:color w:val="auto"/>
                <w:sz w:val="20"/>
                <w:szCs w:val="20"/>
              </w:rPr>
              <w:t>work plan</w:t>
            </w:r>
            <w:r w:rsidRPr="00C35DA5">
              <w:rPr>
                <w:bCs/>
                <w:color w:val="auto"/>
                <w:sz w:val="20"/>
                <w:szCs w:val="20"/>
              </w:rPr>
              <w:t>, including supplying data and quality assurance documentation</w:t>
            </w:r>
            <w:r>
              <w:rPr>
                <w:bCs/>
                <w:color w:val="auto"/>
                <w:sz w:val="20"/>
                <w:szCs w:val="20"/>
              </w:rPr>
              <w:t>.</w:t>
            </w:r>
          </w:p>
        </w:tc>
        <w:tc>
          <w:tcPr>
            <w:tcW w:w="3586" w:type="dxa"/>
            <w:tcBorders>
              <w:top w:val="single" w:sz="8" w:space="0" w:color="4F81BD"/>
              <w:left w:val="single" w:sz="8" w:space="0" w:color="4F81BD"/>
              <w:right w:val="single" w:sz="8" w:space="0" w:color="4F81BD"/>
            </w:tcBorders>
            <w:shd w:val="clear" w:color="auto" w:fill="F2F2F2" w:themeFill="background1" w:themeFillShade="F2"/>
          </w:tcPr>
          <w:p w14:paraId="11C6ABF9" w14:textId="564855DE" w:rsidR="00EA3551" w:rsidRPr="004C4B9D" w:rsidRDefault="00EA3551">
            <w:pPr>
              <w:pStyle w:val="Tableformat"/>
              <w:rPr>
                <w:bCs/>
                <w:color w:val="auto"/>
                <w:sz w:val="20"/>
                <w:szCs w:val="20"/>
              </w:rPr>
            </w:pPr>
            <w:r>
              <w:rPr>
                <w:bCs/>
                <w:color w:val="auto"/>
                <w:sz w:val="20"/>
                <w:szCs w:val="20"/>
              </w:rPr>
              <w:t>4</w:t>
            </w:r>
            <w:r w:rsidRPr="00C35DA5">
              <w:rPr>
                <w:bCs/>
                <w:color w:val="auto"/>
                <w:sz w:val="20"/>
                <w:szCs w:val="20"/>
              </w:rPr>
              <w:t>.</w:t>
            </w:r>
            <w:r>
              <w:rPr>
                <w:bCs/>
                <w:color w:val="auto"/>
                <w:sz w:val="20"/>
                <w:szCs w:val="20"/>
              </w:rPr>
              <w:t>a</w:t>
            </w:r>
            <w:r w:rsidRPr="00C35DA5">
              <w:rPr>
                <w:bCs/>
                <w:color w:val="auto"/>
                <w:sz w:val="20"/>
                <w:szCs w:val="20"/>
              </w:rPr>
              <w:t xml:space="preserve"> Implement the SDL Accounting Framework Improvement Strategy </w:t>
            </w:r>
            <w:r w:rsidR="007C3B81" w:rsidRPr="00C35DA5">
              <w:rPr>
                <w:bCs/>
                <w:color w:val="auto"/>
                <w:sz w:val="20"/>
                <w:szCs w:val="20"/>
              </w:rPr>
              <w:t>work plan</w:t>
            </w:r>
            <w:r w:rsidRPr="00C35DA5">
              <w:rPr>
                <w:bCs/>
                <w:color w:val="auto"/>
                <w:sz w:val="20"/>
                <w:szCs w:val="20"/>
              </w:rPr>
              <w:t xml:space="preserve"> led by the MDBA, as relevant to the jurisdiction</w:t>
            </w:r>
            <w:r w:rsidRPr="004C4B9D">
              <w:rPr>
                <w:bCs/>
                <w:color w:val="auto"/>
                <w:sz w:val="20"/>
                <w:szCs w:val="20"/>
              </w:rPr>
              <w:t>.</w:t>
            </w:r>
          </w:p>
        </w:tc>
        <w:tc>
          <w:tcPr>
            <w:tcW w:w="1330" w:type="dxa"/>
            <w:tcBorders>
              <w:top w:val="single" w:sz="8" w:space="0" w:color="4F81BD"/>
              <w:left w:val="single" w:sz="8" w:space="0" w:color="4F81BD"/>
              <w:right w:val="single" w:sz="8" w:space="0" w:color="4F81BD"/>
            </w:tcBorders>
            <w:shd w:val="clear" w:color="auto" w:fill="F2F2F2" w:themeFill="background1" w:themeFillShade="F2"/>
          </w:tcPr>
          <w:p w14:paraId="0DC0173F" w14:textId="3B56EFF0" w:rsidR="00EA3551" w:rsidRPr="004C4B9D" w:rsidRDefault="00EA3551">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right w:val="single" w:sz="8" w:space="0" w:color="4F81BD"/>
            </w:tcBorders>
            <w:shd w:val="clear" w:color="auto" w:fill="F2F2F2" w:themeFill="background1" w:themeFillShade="F2"/>
          </w:tcPr>
          <w:p w14:paraId="1D4890AC" w14:textId="47FB9629" w:rsidR="00EA3551" w:rsidRPr="004C4B9D" w:rsidRDefault="00EA3551">
            <w:pPr>
              <w:pStyle w:val="Tableformat"/>
              <w:rPr>
                <w:bCs/>
                <w:color w:val="auto"/>
                <w:sz w:val="20"/>
                <w:szCs w:val="20"/>
              </w:rPr>
            </w:pPr>
            <w:r>
              <w:rPr>
                <w:bCs/>
                <w:color w:val="auto"/>
                <w:sz w:val="20"/>
                <w:szCs w:val="20"/>
              </w:rPr>
              <w:t>$128,394</w:t>
            </w:r>
          </w:p>
        </w:tc>
      </w:tr>
      <w:tr w:rsidR="00E622BC" w:rsidRPr="004C4B9D" w14:paraId="2FD9EE37" w14:textId="77777777" w:rsidTr="007A0632">
        <w:tc>
          <w:tcPr>
            <w:tcW w:w="1576" w:type="dxa"/>
            <w:vMerge/>
            <w:tcBorders>
              <w:left w:val="single" w:sz="8" w:space="0" w:color="4F81BD"/>
              <w:right w:val="single" w:sz="8" w:space="0" w:color="4F81BD"/>
            </w:tcBorders>
            <w:shd w:val="clear" w:color="auto" w:fill="F2F2F2" w:themeFill="background1" w:themeFillShade="F2"/>
          </w:tcPr>
          <w:p w14:paraId="0BF97D6D" w14:textId="77777777" w:rsidR="00E622BC" w:rsidRPr="004C4B9D" w:rsidRDefault="00E622BC" w:rsidP="00E622BC">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4D8840" w14:textId="19BC7EFC" w:rsidR="00E622BC" w:rsidRPr="004C4B9D" w:rsidRDefault="00EF0EBE" w:rsidP="00E622BC">
            <w:pPr>
              <w:pStyle w:val="Tableformat"/>
              <w:rPr>
                <w:bCs/>
                <w:color w:val="auto"/>
                <w:sz w:val="20"/>
                <w:szCs w:val="20"/>
              </w:rPr>
            </w:pPr>
            <w:r>
              <w:rPr>
                <w:bCs/>
                <w:color w:val="auto"/>
                <w:sz w:val="20"/>
                <w:szCs w:val="20"/>
              </w:rPr>
              <w:t>5</w:t>
            </w:r>
            <w:r w:rsidR="00E622BC">
              <w:rPr>
                <w:bCs/>
                <w:color w:val="auto"/>
                <w:sz w:val="20"/>
                <w:szCs w:val="20"/>
              </w:rPr>
              <w:t xml:space="preserve">. </w:t>
            </w:r>
            <w:r w:rsidR="00E622BC" w:rsidRPr="004C4B9D">
              <w:rPr>
                <w:bCs/>
                <w:color w:val="auto"/>
                <w:sz w:val="20"/>
                <w:szCs w:val="20"/>
              </w:rPr>
              <w:t>Ensure State water planning frameworks that are included in Water Resource Plans remain consistent with the Basin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70EE4C" w14:textId="6F604616" w:rsidR="00E622BC" w:rsidRPr="004C4B9D" w:rsidRDefault="00EF0EBE" w:rsidP="00E622BC">
            <w:pPr>
              <w:pStyle w:val="Tableformat"/>
              <w:rPr>
                <w:bCs/>
                <w:color w:val="auto"/>
                <w:sz w:val="20"/>
                <w:szCs w:val="20"/>
              </w:rPr>
            </w:pPr>
            <w:r>
              <w:rPr>
                <w:bCs/>
                <w:color w:val="auto"/>
                <w:sz w:val="20"/>
                <w:szCs w:val="20"/>
              </w:rPr>
              <w:t>5</w:t>
            </w:r>
            <w:r w:rsidR="00E622BC" w:rsidRPr="00C35DA5">
              <w:rPr>
                <w:bCs/>
                <w:color w:val="auto"/>
                <w:sz w:val="20"/>
                <w:szCs w:val="20"/>
              </w:rPr>
              <w:t>.a Submit amendments to WRPs to the Commonwealth for approval where state water planning frameworks in WRPs become inconsistent with the Basin Plan</w:t>
            </w:r>
            <w:r w:rsidR="00E622BC" w:rsidRPr="004C4B9D">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729494"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BAC9BC" w14:textId="5B6DB134"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1912B2EB" w14:textId="77777777" w:rsidTr="007A0632">
        <w:tc>
          <w:tcPr>
            <w:tcW w:w="1576" w:type="dxa"/>
            <w:vMerge/>
            <w:tcBorders>
              <w:left w:val="single" w:sz="8" w:space="0" w:color="4F81BD"/>
              <w:right w:val="single" w:sz="8" w:space="0" w:color="4F81BD"/>
            </w:tcBorders>
            <w:shd w:val="clear" w:color="auto" w:fill="F2F2F2" w:themeFill="background1" w:themeFillShade="F2"/>
          </w:tcPr>
          <w:p w14:paraId="5694814E" w14:textId="77777777" w:rsidR="00E622BC" w:rsidRPr="004C4B9D" w:rsidRDefault="00E622BC" w:rsidP="00E622BC">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1A317890" w14:textId="1A33F16F" w:rsidR="00E622BC" w:rsidRPr="004C4B9D" w:rsidRDefault="00EF0EBE" w:rsidP="00E622BC">
            <w:pPr>
              <w:pStyle w:val="Tableformat"/>
              <w:rPr>
                <w:bCs/>
                <w:color w:val="auto"/>
                <w:sz w:val="20"/>
                <w:szCs w:val="20"/>
              </w:rPr>
            </w:pPr>
            <w:r>
              <w:rPr>
                <w:bCs/>
                <w:color w:val="auto"/>
                <w:sz w:val="20"/>
                <w:szCs w:val="20"/>
              </w:rPr>
              <w:t>6</w:t>
            </w:r>
            <w:r w:rsidR="00E622BC">
              <w:rPr>
                <w:bCs/>
                <w:color w:val="auto"/>
                <w:sz w:val="20"/>
                <w:szCs w:val="20"/>
              </w:rPr>
              <w:t xml:space="preserve">. </w:t>
            </w:r>
            <w:r w:rsidR="00E622BC" w:rsidRPr="004C4B9D">
              <w:rPr>
                <w:bCs/>
                <w:color w:val="auto"/>
                <w:sz w:val="20"/>
                <w:szCs w:val="20"/>
              </w:rPr>
              <w:t>Deliver required Basin Plan monitoring, evaluation, science and reporting.</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6EADD03" w14:textId="55C1E51F" w:rsidR="00E622BC" w:rsidRPr="004C4B9D" w:rsidRDefault="00EF0EBE" w:rsidP="00E622BC">
            <w:pPr>
              <w:pStyle w:val="Tableformat"/>
              <w:rPr>
                <w:bCs/>
                <w:color w:val="auto"/>
                <w:sz w:val="20"/>
                <w:szCs w:val="20"/>
              </w:rPr>
            </w:pPr>
            <w:r>
              <w:rPr>
                <w:bCs/>
                <w:color w:val="auto"/>
                <w:sz w:val="20"/>
                <w:szCs w:val="20"/>
              </w:rPr>
              <w:t>6</w:t>
            </w:r>
            <w:r w:rsidR="00E622BC">
              <w:rPr>
                <w:bCs/>
                <w:color w:val="auto"/>
                <w:sz w:val="20"/>
                <w:szCs w:val="20"/>
              </w:rPr>
              <w:t xml:space="preserve">.a </w:t>
            </w:r>
            <w:r w:rsidR="00E622BC" w:rsidRPr="004C4B9D">
              <w:rPr>
                <w:bCs/>
                <w:color w:val="auto"/>
                <w:sz w:val="20"/>
                <w:szCs w:val="20"/>
              </w:rPr>
              <w:t>Deliver Basin Plan reporting under Schedule 12, including reporting under Matters 8, 12, 18 and 19</w:t>
            </w:r>
            <w:r w:rsidR="00426C3E">
              <w:rPr>
                <w:bCs/>
                <w:color w:val="auto"/>
                <w:sz w:val="20"/>
                <w:szCs w:val="20"/>
              </w:rPr>
              <w:t xml:space="preserve"> and 21 (compliance with water resource plans, such as but not limited to Parts 4, 6, 14)</w:t>
            </w:r>
            <w:r w:rsidR="00E622BC" w:rsidRPr="004C4B9D">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2DBED7"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FF1699" w14:textId="61FACB71" w:rsidR="00E622BC" w:rsidRPr="004C4B9D" w:rsidRDefault="00E622BC">
            <w:pPr>
              <w:pStyle w:val="Tableformat"/>
              <w:rPr>
                <w:bCs/>
                <w:color w:val="auto"/>
                <w:sz w:val="20"/>
                <w:szCs w:val="20"/>
              </w:rPr>
            </w:pPr>
            <w:r>
              <w:rPr>
                <w:bCs/>
                <w:color w:val="auto"/>
                <w:sz w:val="20"/>
                <w:szCs w:val="20"/>
              </w:rPr>
              <w:t>$</w:t>
            </w:r>
            <w:r w:rsidR="00195AEB">
              <w:rPr>
                <w:bCs/>
                <w:color w:val="auto"/>
                <w:sz w:val="20"/>
                <w:szCs w:val="20"/>
              </w:rPr>
              <w:t>192,591</w:t>
            </w:r>
          </w:p>
        </w:tc>
      </w:tr>
      <w:tr w:rsidR="00E622BC" w:rsidRPr="004C4B9D" w14:paraId="45BF4A0C" w14:textId="77777777" w:rsidTr="007A0632">
        <w:tc>
          <w:tcPr>
            <w:tcW w:w="1576" w:type="dxa"/>
            <w:vMerge/>
            <w:tcBorders>
              <w:left w:val="single" w:sz="8" w:space="0" w:color="4F81BD"/>
              <w:right w:val="single" w:sz="8" w:space="0" w:color="4F81BD"/>
            </w:tcBorders>
            <w:shd w:val="clear" w:color="auto" w:fill="F2F2F2" w:themeFill="background1" w:themeFillShade="F2"/>
          </w:tcPr>
          <w:p w14:paraId="7D6691D9" w14:textId="77777777" w:rsidR="00E622BC" w:rsidRPr="004C4B9D" w:rsidRDefault="00E622BC" w:rsidP="00E622BC">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62F61FAD" w14:textId="77777777" w:rsidR="00E622BC" w:rsidRPr="004C4B9D" w:rsidRDefault="00E622BC" w:rsidP="00E622BC">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2A14C7" w14:textId="6B79077F" w:rsidR="00E622BC" w:rsidRPr="004C4B9D" w:rsidRDefault="00EF0EBE" w:rsidP="00E622BC">
            <w:pPr>
              <w:pStyle w:val="Tableformat"/>
              <w:rPr>
                <w:bCs/>
                <w:color w:val="auto"/>
                <w:sz w:val="20"/>
                <w:szCs w:val="20"/>
              </w:rPr>
            </w:pPr>
            <w:r>
              <w:rPr>
                <w:bCs/>
                <w:color w:val="auto"/>
                <w:sz w:val="20"/>
                <w:szCs w:val="20"/>
              </w:rPr>
              <w:t>6</w:t>
            </w:r>
            <w:r w:rsidR="00E622BC">
              <w:rPr>
                <w:bCs/>
                <w:color w:val="auto"/>
                <w:sz w:val="20"/>
                <w:szCs w:val="20"/>
              </w:rPr>
              <w:t xml:space="preserve">.b </w:t>
            </w:r>
            <w:r w:rsidR="00E622BC" w:rsidRPr="004C4B9D">
              <w:rPr>
                <w:bCs/>
                <w:color w:val="auto"/>
                <w:sz w:val="20"/>
                <w:szCs w:val="20"/>
              </w:rPr>
              <w:t xml:space="preserve">Deliver on </w:t>
            </w:r>
            <w:r w:rsidR="00E622BC">
              <w:rPr>
                <w:bCs/>
                <w:color w:val="auto"/>
                <w:sz w:val="20"/>
                <w:szCs w:val="20"/>
              </w:rPr>
              <w:t xml:space="preserve">agreed </w:t>
            </w:r>
            <w:r w:rsidR="00E622BC"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E622BC" w:rsidRPr="004C4B9D">
              <w:rPr>
                <w:bCs/>
                <w:color w:val="auto"/>
                <w:sz w:val="20"/>
                <w:szCs w:val="20"/>
              </w:rPr>
              <w:t xml:space="preserve"> as endorsed by BOCA.</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6BE378"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024FE0" w14:textId="2C12C2DF" w:rsidR="00E622BC" w:rsidRPr="004C4B9D" w:rsidRDefault="00E622BC">
            <w:pPr>
              <w:pStyle w:val="Tableformat"/>
              <w:rPr>
                <w:bCs/>
                <w:color w:val="auto"/>
                <w:sz w:val="20"/>
                <w:szCs w:val="20"/>
              </w:rPr>
            </w:pPr>
            <w:r>
              <w:rPr>
                <w:bCs/>
                <w:color w:val="auto"/>
                <w:sz w:val="20"/>
                <w:szCs w:val="20"/>
              </w:rPr>
              <w:t>$</w:t>
            </w:r>
            <w:r w:rsidR="00195AEB">
              <w:rPr>
                <w:bCs/>
                <w:color w:val="auto"/>
                <w:sz w:val="20"/>
                <w:szCs w:val="20"/>
              </w:rPr>
              <w:t>192,591</w:t>
            </w:r>
          </w:p>
        </w:tc>
      </w:tr>
      <w:tr w:rsidR="00E622BC" w:rsidRPr="004C4B9D" w14:paraId="550ABB56" w14:textId="77777777" w:rsidTr="007A0632">
        <w:tc>
          <w:tcPr>
            <w:tcW w:w="1576" w:type="dxa"/>
            <w:tcBorders>
              <w:top w:val="single" w:sz="8" w:space="0" w:color="4F81BD"/>
              <w:left w:val="single" w:sz="8" w:space="0" w:color="4F81BD"/>
              <w:right w:val="single" w:sz="8" w:space="0" w:color="4F81BD"/>
            </w:tcBorders>
            <w:shd w:val="clear" w:color="auto" w:fill="F2F2F2" w:themeFill="background1" w:themeFillShade="F2"/>
          </w:tcPr>
          <w:p w14:paraId="7E42C8EE" w14:textId="77777777" w:rsidR="00E622BC" w:rsidRPr="004C4B9D" w:rsidRDefault="00E622BC" w:rsidP="00E622BC">
            <w:pPr>
              <w:pStyle w:val="Tableformat"/>
              <w:rPr>
                <w:bCs/>
                <w:color w:val="auto"/>
                <w:sz w:val="20"/>
                <w:szCs w:val="20"/>
              </w:rPr>
            </w:pPr>
            <w:r w:rsidRPr="004C4B9D">
              <w:rPr>
                <w:bCs/>
                <w:color w:val="auto"/>
                <w:sz w:val="20"/>
                <w:szCs w:val="20"/>
              </w:rPr>
              <w:t>Water market improvement</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234CBE" w14:textId="08BB3D62" w:rsidR="00E622BC" w:rsidRPr="004C4B9D" w:rsidRDefault="00E60205" w:rsidP="00E622BC">
            <w:pPr>
              <w:pStyle w:val="Tableformat"/>
              <w:rPr>
                <w:bCs/>
                <w:color w:val="auto"/>
                <w:sz w:val="20"/>
                <w:szCs w:val="20"/>
              </w:rPr>
            </w:pPr>
            <w:r>
              <w:rPr>
                <w:bCs/>
                <w:color w:val="auto"/>
                <w:sz w:val="20"/>
                <w:szCs w:val="20"/>
              </w:rPr>
              <w:t>7</w:t>
            </w:r>
            <w:r w:rsidR="00E622BC">
              <w:rPr>
                <w:bCs/>
                <w:color w:val="auto"/>
                <w:sz w:val="20"/>
                <w:szCs w:val="20"/>
              </w:rPr>
              <w:t xml:space="preserve">. </w:t>
            </w:r>
            <w:r w:rsidR="00E622BC" w:rsidRPr="004C4B9D">
              <w:rPr>
                <w:bCs/>
                <w:color w:val="auto"/>
                <w:sz w:val="20"/>
                <w:szCs w:val="20"/>
              </w:rPr>
              <w:t>Improve water market trading arrangements across the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43FFA5" w14:textId="08175E09" w:rsidR="00E622BC" w:rsidRPr="004C4B9D" w:rsidRDefault="00E60205">
            <w:pPr>
              <w:pStyle w:val="Tableformat"/>
              <w:rPr>
                <w:bCs/>
                <w:color w:val="auto"/>
                <w:sz w:val="20"/>
                <w:szCs w:val="20"/>
              </w:rPr>
            </w:pPr>
            <w:r>
              <w:rPr>
                <w:bCs/>
                <w:color w:val="auto"/>
                <w:sz w:val="20"/>
                <w:szCs w:val="20"/>
              </w:rPr>
              <w:t>7</w:t>
            </w:r>
            <w:r w:rsidR="00E622BC" w:rsidRPr="00C35DA5">
              <w:rPr>
                <w:bCs/>
                <w:color w:val="auto"/>
                <w:sz w:val="20"/>
                <w:szCs w:val="20"/>
              </w:rPr>
              <w:t>.</w:t>
            </w:r>
            <w:r w:rsidR="00EF0EBE">
              <w:rPr>
                <w:bCs/>
                <w:color w:val="auto"/>
                <w:sz w:val="20"/>
                <w:szCs w:val="20"/>
              </w:rPr>
              <w:t>a</w:t>
            </w:r>
            <w:r w:rsidR="00EF0EBE" w:rsidRPr="00C35DA5">
              <w:rPr>
                <w:bCs/>
                <w:color w:val="auto"/>
                <w:sz w:val="20"/>
                <w:szCs w:val="20"/>
              </w:rPr>
              <w:t xml:space="preserve"> </w:t>
            </w:r>
            <w:r w:rsidR="00E622BC" w:rsidRPr="00C35DA5">
              <w:rPr>
                <w:bCs/>
                <w:color w:val="auto"/>
                <w:sz w:val="20"/>
                <w:szCs w:val="20"/>
              </w:rPr>
              <w:t>Implement agreed projects and programs arising from a finalised road map for Murray-Darling Basin water market reform</w:t>
            </w:r>
            <w:r w:rsidR="00E622BC" w:rsidRPr="002911F1">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B348FD"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03E8E6" w14:textId="037F2902"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7DF582F7" w14:textId="77777777" w:rsidTr="007A0632">
        <w:tc>
          <w:tcPr>
            <w:tcW w:w="1576" w:type="dxa"/>
            <w:vMerge w:val="restart"/>
            <w:tcBorders>
              <w:top w:val="single" w:sz="8" w:space="0" w:color="4F81BD"/>
              <w:left w:val="single" w:sz="8" w:space="0" w:color="4F81BD"/>
              <w:right w:val="single" w:sz="8" w:space="0" w:color="4F81BD"/>
            </w:tcBorders>
            <w:shd w:val="clear" w:color="auto" w:fill="F2F2F2" w:themeFill="background1" w:themeFillShade="F2"/>
          </w:tcPr>
          <w:p w14:paraId="17C1AEC8" w14:textId="77777777" w:rsidR="00E622BC" w:rsidRPr="004C4B9D" w:rsidRDefault="00E622BC" w:rsidP="00E622BC">
            <w:pPr>
              <w:pStyle w:val="Tableformat"/>
              <w:rPr>
                <w:bCs/>
                <w:color w:val="auto"/>
                <w:sz w:val="20"/>
                <w:szCs w:val="20"/>
              </w:rPr>
            </w:pPr>
            <w:r w:rsidRPr="004C4B9D">
              <w:rPr>
                <w:bCs/>
                <w:color w:val="auto"/>
                <w:sz w:val="20"/>
                <w:szCs w:val="20"/>
              </w:rPr>
              <w:t>Improved compliance and reporting</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5AEEA4" w14:textId="14E9A20E" w:rsidR="00E622BC" w:rsidRPr="004C4B9D" w:rsidRDefault="00E60205">
            <w:pPr>
              <w:pStyle w:val="Tableformat"/>
              <w:rPr>
                <w:bCs/>
                <w:color w:val="auto"/>
                <w:sz w:val="20"/>
                <w:szCs w:val="20"/>
              </w:rPr>
            </w:pPr>
            <w:r>
              <w:rPr>
                <w:bCs/>
                <w:color w:val="auto"/>
                <w:sz w:val="20"/>
                <w:szCs w:val="20"/>
              </w:rPr>
              <w:t>8</w:t>
            </w:r>
            <w:r w:rsidR="00E622BC">
              <w:rPr>
                <w:bCs/>
                <w:color w:val="auto"/>
                <w:sz w:val="20"/>
                <w:szCs w:val="20"/>
              </w:rPr>
              <w:t xml:space="preserve">. </w:t>
            </w:r>
            <w:r w:rsidR="00E622BC" w:rsidRPr="004C4B9D">
              <w:rPr>
                <w:bCs/>
                <w:color w:val="auto"/>
                <w:sz w:val="20"/>
                <w:szCs w:val="20"/>
              </w:rPr>
              <w:t xml:space="preserve">Implement revised Metrological Assurance Framework (MAF2)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820E6D" w14:textId="3C4639FE" w:rsidR="00E622BC" w:rsidRPr="004C4B9D" w:rsidRDefault="00E60205">
            <w:pPr>
              <w:pStyle w:val="Tableformat"/>
              <w:rPr>
                <w:bCs/>
                <w:color w:val="auto"/>
                <w:sz w:val="20"/>
                <w:szCs w:val="20"/>
              </w:rPr>
            </w:pPr>
            <w:r>
              <w:rPr>
                <w:bCs/>
                <w:color w:val="auto"/>
                <w:sz w:val="20"/>
                <w:szCs w:val="20"/>
              </w:rPr>
              <w:t>8</w:t>
            </w:r>
            <w:r w:rsidR="00E622BC">
              <w:rPr>
                <w:bCs/>
                <w:color w:val="auto"/>
                <w:sz w:val="20"/>
                <w:szCs w:val="20"/>
              </w:rPr>
              <w:t>.</w:t>
            </w:r>
            <w:r w:rsidR="00EF0EBE">
              <w:rPr>
                <w:bCs/>
                <w:color w:val="auto"/>
                <w:sz w:val="20"/>
                <w:szCs w:val="20"/>
              </w:rPr>
              <w:t xml:space="preserve">a </w:t>
            </w:r>
            <w:r w:rsidR="00E622BC" w:rsidRPr="002911F1">
              <w:rPr>
                <w:bCs/>
                <w:color w:val="auto"/>
                <w:sz w:val="20"/>
                <w:szCs w:val="20"/>
              </w:rPr>
              <w:t>Complete implementation of MAF2 requirements.</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704762"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6F67FF" w14:textId="6D2B98D1"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6CDDF557" w14:textId="77777777" w:rsidTr="007A0632">
        <w:tc>
          <w:tcPr>
            <w:tcW w:w="1576" w:type="dxa"/>
            <w:vMerge/>
            <w:tcBorders>
              <w:left w:val="single" w:sz="8" w:space="0" w:color="4F81BD"/>
              <w:right w:val="single" w:sz="8" w:space="0" w:color="4F81BD"/>
            </w:tcBorders>
            <w:shd w:val="clear" w:color="auto" w:fill="F2F2F2" w:themeFill="background1" w:themeFillShade="F2"/>
          </w:tcPr>
          <w:p w14:paraId="4EAE3C0F" w14:textId="77777777" w:rsidR="00E622BC" w:rsidRPr="004C4B9D" w:rsidRDefault="00E622BC" w:rsidP="00E622BC">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0D42EEE2" w14:textId="5A1524FA" w:rsidR="00E622BC" w:rsidRPr="004C4B9D" w:rsidRDefault="00E60205">
            <w:pPr>
              <w:pStyle w:val="Tableformat"/>
              <w:rPr>
                <w:bCs/>
                <w:color w:val="auto"/>
                <w:sz w:val="20"/>
                <w:szCs w:val="20"/>
              </w:rPr>
            </w:pPr>
            <w:r>
              <w:rPr>
                <w:bCs/>
                <w:color w:val="auto"/>
                <w:sz w:val="20"/>
                <w:szCs w:val="20"/>
              </w:rPr>
              <w:t>9</w:t>
            </w:r>
            <w:r w:rsidR="00E622BC">
              <w:rPr>
                <w:bCs/>
                <w:color w:val="auto"/>
                <w:sz w:val="20"/>
                <w:szCs w:val="20"/>
              </w:rPr>
              <w:t xml:space="preserve">. </w:t>
            </w:r>
            <w:r w:rsidR="00E622BC" w:rsidRPr="004649CE">
              <w:rPr>
                <w:bCs/>
                <w:color w:val="auto"/>
                <w:sz w:val="20"/>
                <w:szCs w:val="20"/>
              </w:rPr>
              <w:t>Work with the Inspector General of Water Compliance (IGWC) to provide clear compliance arrangements and reporting in the Murray-Darling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D30900" w14:textId="3F583B31" w:rsidR="00E622BC" w:rsidRPr="004C4B9D" w:rsidRDefault="00E60205">
            <w:pPr>
              <w:pStyle w:val="Tableformat"/>
              <w:rPr>
                <w:bCs/>
                <w:color w:val="auto"/>
                <w:sz w:val="20"/>
                <w:szCs w:val="20"/>
              </w:rPr>
            </w:pPr>
            <w:r>
              <w:rPr>
                <w:bCs/>
                <w:color w:val="auto"/>
                <w:sz w:val="20"/>
                <w:szCs w:val="20"/>
              </w:rPr>
              <w:t>9</w:t>
            </w:r>
            <w:r w:rsidR="00E622BC" w:rsidRPr="00A4556C">
              <w:rPr>
                <w:bCs/>
                <w:color w:val="auto"/>
                <w:sz w:val="20"/>
                <w:szCs w:val="20"/>
              </w:rPr>
              <w:t>.</w:t>
            </w:r>
            <w:r w:rsidR="00EF0EBE">
              <w:rPr>
                <w:bCs/>
                <w:color w:val="auto"/>
                <w:sz w:val="20"/>
                <w:szCs w:val="20"/>
              </w:rPr>
              <w:t>a</w:t>
            </w:r>
            <w:r w:rsidR="00EF0EBE" w:rsidRPr="00A4556C">
              <w:rPr>
                <w:bCs/>
                <w:color w:val="auto"/>
                <w:sz w:val="20"/>
                <w:szCs w:val="20"/>
              </w:rPr>
              <w:t xml:space="preserve"> </w:t>
            </w:r>
            <w:r w:rsidR="00E622BC" w:rsidRPr="00A4556C">
              <w:rPr>
                <w:bCs/>
                <w:color w:val="auto"/>
                <w:sz w:val="20"/>
                <w:szCs w:val="20"/>
              </w:rPr>
              <w:t>Provide input to the IGWC on the development of standards and guidelines</w:t>
            </w:r>
            <w:r w:rsidR="00E622BC">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0D27FB"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5C39FFF" w14:textId="36E3A3B6" w:rsidR="00E622BC" w:rsidRPr="004C4B9D"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14:paraId="1BE90309" w14:textId="77777777" w:rsidTr="007A0632">
        <w:tc>
          <w:tcPr>
            <w:tcW w:w="1576" w:type="dxa"/>
            <w:vMerge/>
            <w:tcBorders>
              <w:left w:val="single" w:sz="8" w:space="0" w:color="4F81BD"/>
              <w:right w:val="single" w:sz="8" w:space="0" w:color="4F81BD"/>
            </w:tcBorders>
            <w:shd w:val="clear" w:color="auto" w:fill="F2F2F2" w:themeFill="background1" w:themeFillShade="F2"/>
          </w:tcPr>
          <w:p w14:paraId="1A1A069D" w14:textId="77777777" w:rsidR="00E622BC" w:rsidRPr="004C4B9D" w:rsidRDefault="00E622BC" w:rsidP="00E622BC">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737C802F" w14:textId="77777777" w:rsidR="00E622BC" w:rsidRPr="004649CE" w:rsidRDefault="00E622BC" w:rsidP="00E622BC">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4E9266" w14:textId="5C84571E" w:rsidR="00E622BC" w:rsidRPr="004C4B9D" w:rsidRDefault="00E60205">
            <w:pPr>
              <w:pStyle w:val="Tableformat"/>
              <w:rPr>
                <w:bCs/>
                <w:color w:val="auto"/>
                <w:sz w:val="20"/>
                <w:szCs w:val="20"/>
              </w:rPr>
            </w:pPr>
            <w:r>
              <w:rPr>
                <w:bCs/>
                <w:color w:val="auto"/>
                <w:sz w:val="20"/>
                <w:szCs w:val="20"/>
              </w:rPr>
              <w:t>9</w:t>
            </w:r>
            <w:r w:rsidR="00E622BC" w:rsidRPr="00A4556C">
              <w:rPr>
                <w:bCs/>
                <w:color w:val="auto"/>
                <w:sz w:val="20"/>
                <w:szCs w:val="20"/>
              </w:rPr>
              <w:t>.</w:t>
            </w:r>
            <w:r w:rsidR="00EF0EBE">
              <w:rPr>
                <w:bCs/>
                <w:color w:val="auto"/>
                <w:sz w:val="20"/>
                <w:szCs w:val="20"/>
              </w:rPr>
              <w:t>b</w:t>
            </w:r>
            <w:r w:rsidR="00EF0EBE" w:rsidRPr="00A4556C">
              <w:rPr>
                <w:bCs/>
                <w:color w:val="auto"/>
                <w:sz w:val="20"/>
                <w:szCs w:val="20"/>
              </w:rPr>
              <w:t xml:space="preserve"> </w:t>
            </w:r>
            <w:r w:rsidR="00E622BC" w:rsidRPr="00A4556C">
              <w:rPr>
                <w:bCs/>
                <w:color w:val="auto"/>
                <w:sz w:val="20"/>
                <w:szCs w:val="20"/>
              </w:rPr>
              <w:t>Report to the IGWC against MAF2 Chapter 15 at least annually or in accordance with IGWC guidelines</w:t>
            </w:r>
            <w:r w:rsidR="00E622BC" w:rsidRPr="004649CE">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530855" w14:textId="77777777" w:rsidR="00E622BC"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3735DFA" w14:textId="5C0EEEB7" w:rsidR="00E622BC"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14:paraId="6B646761" w14:textId="77777777" w:rsidTr="007A0632">
        <w:tc>
          <w:tcPr>
            <w:tcW w:w="1576" w:type="dxa"/>
            <w:vMerge/>
            <w:tcBorders>
              <w:left w:val="single" w:sz="8" w:space="0" w:color="4F81BD"/>
              <w:right w:val="single" w:sz="8" w:space="0" w:color="4F81BD"/>
            </w:tcBorders>
            <w:shd w:val="clear" w:color="auto" w:fill="F2F2F2" w:themeFill="background1" w:themeFillShade="F2"/>
          </w:tcPr>
          <w:p w14:paraId="55263820" w14:textId="77777777" w:rsidR="00E622BC" w:rsidRPr="004C4B9D" w:rsidRDefault="00E622BC" w:rsidP="00E622BC">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364404E2" w14:textId="77777777" w:rsidR="00E622BC" w:rsidRPr="004649CE" w:rsidRDefault="00E622BC" w:rsidP="00E622BC">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7C2319" w14:textId="34B1A8B5" w:rsidR="00E622BC" w:rsidRPr="00A4556C" w:rsidRDefault="00E60205">
            <w:pPr>
              <w:pStyle w:val="Tableformat"/>
              <w:rPr>
                <w:bCs/>
                <w:color w:val="auto"/>
                <w:sz w:val="20"/>
                <w:szCs w:val="20"/>
              </w:rPr>
            </w:pPr>
            <w:r>
              <w:rPr>
                <w:bCs/>
                <w:color w:val="auto"/>
                <w:sz w:val="20"/>
                <w:szCs w:val="20"/>
              </w:rPr>
              <w:t>9</w:t>
            </w:r>
            <w:r w:rsidR="00E622BC" w:rsidRPr="00A4556C">
              <w:rPr>
                <w:bCs/>
                <w:color w:val="auto"/>
                <w:sz w:val="20"/>
                <w:szCs w:val="20"/>
              </w:rPr>
              <w:t>.</w:t>
            </w:r>
            <w:r w:rsidR="00EF0EBE">
              <w:rPr>
                <w:bCs/>
                <w:color w:val="auto"/>
                <w:sz w:val="20"/>
                <w:szCs w:val="20"/>
              </w:rPr>
              <w:t>c</w:t>
            </w:r>
            <w:r w:rsidR="00EF0EBE" w:rsidRPr="00A4556C">
              <w:rPr>
                <w:bCs/>
                <w:color w:val="auto"/>
                <w:sz w:val="20"/>
                <w:szCs w:val="20"/>
              </w:rPr>
              <w:t xml:space="preserve"> </w:t>
            </w:r>
            <w:r w:rsidR="00E622BC" w:rsidRPr="00A4556C">
              <w:rPr>
                <w:bCs/>
                <w:color w:val="auto"/>
                <w:sz w:val="20"/>
                <w:szCs w:val="20"/>
              </w:rPr>
              <w:t>Provide performance data to the IGWC subject to agreed reporting guidelines (annually).</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5B5D7C" w14:textId="77777777" w:rsidR="00E622BC"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1E2B00" w14:textId="1EA1F947" w:rsidR="00E622BC" w:rsidRDefault="00E622BC" w:rsidP="00E622BC">
            <w:pPr>
              <w:pStyle w:val="Tableformat"/>
              <w:rPr>
                <w:bCs/>
                <w:color w:val="auto"/>
                <w:sz w:val="20"/>
                <w:szCs w:val="20"/>
              </w:rPr>
            </w:pPr>
            <w:r>
              <w:rPr>
                <w:bCs/>
                <w:color w:val="auto"/>
                <w:sz w:val="20"/>
                <w:szCs w:val="20"/>
              </w:rPr>
              <w:t>$</w:t>
            </w:r>
            <w:r w:rsidR="00565D4A">
              <w:rPr>
                <w:bCs/>
                <w:color w:val="auto"/>
                <w:sz w:val="20"/>
                <w:szCs w:val="20"/>
              </w:rPr>
              <w:t>128,394</w:t>
            </w:r>
          </w:p>
        </w:tc>
      </w:tr>
      <w:tr w:rsidR="00E622BC" w14:paraId="6742789F" w14:textId="77777777" w:rsidTr="007A0632">
        <w:tc>
          <w:tcPr>
            <w:tcW w:w="1576" w:type="dxa"/>
            <w:vMerge/>
            <w:tcBorders>
              <w:left w:val="single" w:sz="8" w:space="0" w:color="4F81BD"/>
              <w:bottom w:val="single" w:sz="8" w:space="0" w:color="4F81BD"/>
              <w:right w:val="single" w:sz="8" w:space="0" w:color="4F81BD"/>
            </w:tcBorders>
            <w:shd w:val="clear" w:color="auto" w:fill="F2F2F2" w:themeFill="background1" w:themeFillShade="F2"/>
          </w:tcPr>
          <w:p w14:paraId="05DEDFEA" w14:textId="77777777" w:rsidR="00E622BC" w:rsidRPr="004C4B9D" w:rsidRDefault="00E622BC" w:rsidP="00E622BC">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40C83B" w14:textId="56151B5A" w:rsidR="00E622BC" w:rsidRPr="004C4B9D" w:rsidRDefault="00E60205">
            <w:pPr>
              <w:pStyle w:val="Tableformat"/>
              <w:rPr>
                <w:bCs/>
                <w:color w:val="auto"/>
                <w:sz w:val="20"/>
                <w:szCs w:val="20"/>
              </w:rPr>
            </w:pPr>
            <w:r>
              <w:rPr>
                <w:bCs/>
                <w:color w:val="auto"/>
                <w:sz w:val="20"/>
                <w:szCs w:val="20"/>
              </w:rPr>
              <w:t>10</w:t>
            </w:r>
            <w:r w:rsidR="00E622BC">
              <w:rPr>
                <w:bCs/>
                <w:color w:val="auto"/>
                <w:sz w:val="20"/>
                <w:szCs w:val="20"/>
              </w:rPr>
              <w:t>. Compliance Compact oversight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4E706E" w14:textId="307E61D6" w:rsidR="00E622BC" w:rsidRPr="004C4B9D" w:rsidRDefault="00E60205">
            <w:pPr>
              <w:pStyle w:val="Tableformat"/>
              <w:rPr>
                <w:bCs/>
                <w:color w:val="auto"/>
                <w:sz w:val="20"/>
                <w:szCs w:val="20"/>
              </w:rPr>
            </w:pPr>
            <w:r>
              <w:rPr>
                <w:bCs/>
                <w:color w:val="auto"/>
                <w:sz w:val="20"/>
                <w:szCs w:val="20"/>
              </w:rPr>
              <w:t>10</w:t>
            </w:r>
            <w:r w:rsidR="00E622BC" w:rsidRPr="00A4556C">
              <w:rPr>
                <w:bCs/>
                <w:color w:val="auto"/>
                <w:sz w:val="20"/>
                <w:szCs w:val="20"/>
              </w:rPr>
              <w:t>.a Provide information to the IGWC as requested and in accordance with agreed MOU/guidelines to enable oversight of Compliance Compact commitments</w:t>
            </w:r>
            <w:r w:rsidR="00E622BC" w:rsidRPr="00BE1502">
              <w:rPr>
                <w:bCs/>
                <w:color w:val="auto"/>
                <w:sz w:val="20"/>
                <w:szCs w:val="20"/>
              </w:rPr>
              <w:t>.</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3BDC24" w14:textId="77777777" w:rsidR="00E622BC"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79230C" w14:textId="7B7C0C1C" w:rsidR="00E622BC" w:rsidRDefault="00E622BC" w:rsidP="00565D4A">
            <w:pPr>
              <w:pStyle w:val="Tableformat"/>
              <w:rPr>
                <w:bCs/>
                <w:color w:val="auto"/>
                <w:sz w:val="20"/>
                <w:szCs w:val="20"/>
              </w:rPr>
            </w:pPr>
            <w:r>
              <w:rPr>
                <w:bCs/>
                <w:color w:val="auto"/>
                <w:sz w:val="20"/>
                <w:szCs w:val="20"/>
              </w:rPr>
              <w:t>$</w:t>
            </w:r>
            <w:r w:rsidR="00565D4A">
              <w:rPr>
                <w:bCs/>
                <w:color w:val="auto"/>
                <w:sz w:val="20"/>
                <w:szCs w:val="20"/>
              </w:rPr>
              <w:t>128,394</w:t>
            </w:r>
          </w:p>
        </w:tc>
      </w:tr>
      <w:tr w:rsidR="00E622BC" w:rsidRPr="004C4B9D" w14:paraId="377D9AF6" w14:textId="77777777" w:rsidTr="007A0632">
        <w:tc>
          <w:tcPr>
            <w:tcW w:w="15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1A4FDD" w14:textId="77777777" w:rsidR="00E622BC" w:rsidRPr="004C4B9D" w:rsidRDefault="00E622BC" w:rsidP="00E622BC">
            <w:pPr>
              <w:pStyle w:val="Tableformat"/>
              <w:rPr>
                <w:bCs/>
                <w:color w:val="auto"/>
                <w:sz w:val="20"/>
                <w:szCs w:val="20"/>
              </w:rPr>
            </w:pPr>
            <w:r w:rsidRPr="004C4B9D">
              <w:rPr>
                <w:bCs/>
                <w:color w:val="auto"/>
                <w:sz w:val="20"/>
                <w:szCs w:val="20"/>
              </w:rPr>
              <w:t>Enhanced and coordinated consultation and engagement with all Basin communities</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76C4E7" w14:textId="775EB4C7" w:rsidR="00E622BC" w:rsidRPr="004C4B9D" w:rsidRDefault="00E60205">
            <w:pPr>
              <w:pStyle w:val="Tableformat"/>
              <w:rPr>
                <w:bCs/>
                <w:color w:val="auto"/>
                <w:sz w:val="20"/>
                <w:szCs w:val="20"/>
              </w:rPr>
            </w:pPr>
            <w:r>
              <w:rPr>
                <w:bCs/>
                <w:color w:val="auto"/>
                <w:sz w:val="20"/>
                <w:szCs w:val="20"/>
              </w:rPr>
              <w:t>11</w:t>
            </w:r>
            <w:r w:rsidR="00E622BC">
              <w:rPr>
                <w:bCs/>
                <w:color w:val="auto"/>
                <w:sz w:val="20"/>
                <w:szCs w:val="20"/>
              </w:rPr>
              <w:t xml:space="preserve">. </w:t>
            </w:r>
            <w:r w:rsidR="00E622BC" w:rsidRPr="004C4B9D">
              <w:rPr>
                <w:bCs/>
                <w:color w:val="auto"/>
                <w:sz w:val="20"/>
                <w:szCs w:val="20"/>
              </w:rPr>
              <w:t>Improve consultation and strategic engagement in collaboration with the Commonwealth and other Basin governments.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F6C8FE3" w14:textId="46304B44" w:rsidR="00E622BC" w:rsidRPr="004C4B9D" w:rsidRDefault="00E60205">
            <w:pPr>
              <w:pStyle w:val="Tableformat"/>
              <w:rPr>
                <w:bCs/>
                <w:color w:val="auto"/>
                <w:sz w:val="20"/>
                <w:szCs w:val="20"/>
              </w:rPr>
            </w:pPr>
            <w:r>
              <w:rPr>
                <w:bCs/>
                <w:color w:val="auto"/>
                <w:sz w:val="20"/>
                <w:szCs w:val="20"/>
              </w:rPr>
              <w:t>11</w:t>
            </w:r>
            <w:r w:rsidR="00E622BC">
              <w:rPr>
                <w:bCs/>
                <w:color w:val="auto"/>
                <w:sz w:val="20"/>
                <w:szCs w:val="20"/>
              </w:rPr>
              <w:t xml:space="preserve">.a </w:t>
            </w:r>
            <w:r w:rsidR="00E622BC" w:rsidRPr="004C4B9D">
              <w:rPr>
                <w:bCs/>
                <w:color w:val="auto"/>
                <w:sz w:val="20"/>
                <w:szCs w:val="20"/>
              </w:rPr>
              <w:t xml:space="preserve">Report on improvements made on strategic consultation, engagement and coordination with Basin communities, in collaboration with the Commonwealth and other Basin governments. </w:t>
            </w:r>
          </w:p>
        </w:tc>
        <w:tc>
          <w:tcPr>
            <w:tcW w:w="133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D8B342" w14:textId="77777777" w:rsidR="00E622BC" w:rsidRPr="004C4B9D" w:rsidRDefault="00E622BC" w:rsidP="00E622BC">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61C2DD" w14:textId="45C438FC" w:rsidR="00E622BC" w:rsidRPr="004C4B9D" w:rsidRDefault="00E622BC" w:rsidP="00E622BC">
            <w:pPr>
              <w:pStyle w:val="Tableformat"/>
              <w:rPr>
                <w:bCs/>
                <w:color w:val="auto"/>
                <w:sz w:val="20"/>
                <w:szCs w:val="20"/>
              </w:rPr>
            </w:pPr>
            <w:r>
              <w:rPr>
                <w:bCs/>
                <w:color w:val="auto"/>
                <w:sz w:val="20"/>
                <w:szCs w:val="20"/>
              </w:rPr>
              <w:t>$120,3</w:t>
            </w:r>
            <w:r w:rsidR="00565D4A">
              <w:rPr>
                <w:bCs/>
                <w:color w:val="auto"/>
                <w:sz w:val="20"/>
                <w:szCs w:val="20"/>
              </w:rPr>
              <w:t>5</w:t>
            </w:r>
            <w:r>
              <w:rPr>
                <w:bCs/>
                <w:color w:val="auto"/>
                <w:sz w:val="20"/>
                <w:szCs w:val="20"/>
              </w:rPr>
              <w:t>0</w:t>
            </w:r>
          </w:p>
        </w:tc>
      </w:tr>
      <w:tr w:rsidR="00E622BC" w:rsidRPr="00DD56FE" w14:paraId="323FB842" w14:textId="77777777" w:rsidTr="007A0632">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29FD06FA" w14:textId="232003C8" w:rsidR="00E622BC" w:rsidRPr="00DD56FE" w:rsidRDefault="00E622BC" w:rsidP="00E622BC">
            <w:pPr>
              <w:pStyle w:val="Tableformat"/>
              <w:jc w:val="right"/>
              <w:rPr>
                <w:bCs/>
                <w:i/>
                <w:iCs w:val="0"/>
                <w:color w:val="auto"/>
                <w:sz w:val="20"/>
                <w:szCs w:val="20"/>
              </w:rPr>
            </w:pPr>
            <w:r w:rsidRPr="00DD56FE">
              <w:rPr>
                <w:bCs/>
                <w:i/>
                <w:iCs w:val="0"/>
                <w:color w:val="auto"/>
                <w:sz w:val="20"/>
                <w:szCs w:val="20"/>
              </w:rPr>
              <w:t xml:space="preserve">Total payment for Queensland </w:t>
            </w:r>
            <w:r>
              <w:rPr>
                <w:bCs/>
                <w:i/>
                <w:iCs w:val="0"/>
                <w:color w:val="auto"/>
                <w:sz w:val="20"/>
                <w:szCs w:val="20"/>
              </w:rPr>
              <w:t>for</w:t>
            </w:r>
            <w:r w:rsidRPr="00DD56FE">
              <w:rPr>
                <w:bCs/>
                <w:i/>
                <w:iCs w:val="0"/>
                <w:color w:val="auto"/>
                <w:sz w:val="20"/>
                <w:szCs w:val="20"/>
              </w:rPr>
              <w:t xml:space="preserve"> </w:t>
            </w:r>
            <w:r>
              <w:rPr>
                <w:bCs/>
                <w:i/>
                <w:iCs w:val="0"/>
                <w:color w:val="auto"/>
                <w:sz w:val="20"/>
                <w:szCs w:val="20"/>
              </w:rPr>
              <w:t xml:space="preserve">Year 3 if all </w:t>
            </w:r>
            <w:r w:rsidRPr="00DD56FE">
              <w:rPr>
                <w:bCs/>
                <w:i/>
                <w:iCs w:val="0"/>
                <w:color w:val="auto"/>
                <w:sz w:val="20"/>
                <w:szCs w:val="20"/>
              </w:rPr>
              <w:t>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017704" w14:textId="2C40B745" w:rsidR="00E622BC" w:rsidRPr="00DD56FE" w:rsidRDefault="00E622BC" w:rsidP="00E622BC">
            <w:pPr>
              <w:pStyle w:val="Tableformat"/>
              <w:rPr>
                <w:bCs/>
                <w:color w:val="auto"/>
                <w:sz w:val="20"/>
                <w:szCs w:val="20"/>
              </w:rPr>
            </w:pPr>
            <w:r w:rsidRPr="00DD56FE">
              <w:rPr>
                <w:bCs/>
                <w:color w:val="auto"/>
                <w:sz w:val="20"/>
                <w:szCs w:val="20"/>
              </w:rPr>
              <w:t>$</w:t>
            </w:r>
            <w:r>
              <w:rPr>
                <w:bCs/>
                <w:color w:val="auto"/>
                <w:sz w:val="20"/>
                <w:szCs w:val="20"/>
              </w:rPr>
              <w:t>2,287,000</w:t>
            </w:r>
          </w:p>
        </w:tc>
      </w:tr>
    </w:tbl>
    <w:p w14:paraId="31D53CD6" w14:textId="77777777" w:rsidR="00110BF6" w:rsidRDefault="00110BF6" w:rsidP="00931AA8">
      <w:pPr>
        <w:rPr>
          <w:lang w:val="en-GB"/>
        </w:rPr>
      </w:pPr>
    </w:p>
    <w:p w14:paraId="0A0AE973" w14:textId="77777777" w:rsidR="005D133D" w:rsidRDefault="005D133D" w:rsidP="00931AA8">
      <w:pPr>
        <w:rPr>
          <w:lang w:val="en-GB"/>
        </w:rPr>
      </w:pPr>
    </w:p>
    <w:p w14:paraId="71BE2A97" w14:textId="77777777" w:rsidR="001B459E" w:rsidRDefault="001B459E" w:rsidP="00931AA8">
      <w:pPr>
        <w:rPr>
          <w:lang w:val="en-GB"/>
        </w:rPr>
      </w:pPr>
      <w:r>
        <w:rPr>
          <w:lang w:val="en-GB"/>
        </w:rPr>
        <w:br w:type="page"/>
      </w:r>
    </w:p>
    <w:p w14:paraId="132211AA" w14:textId="1B499AA3" w:rsidR="00931AA8" w:rsidRDefault="00931AA8" w:rsidP="00931AA8">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D0C6B9F" w14:textId="77777777" w:rsidR="00931AA8" w:rsidRPr="00F00A18" w:rsidRDefault="00931AA8" w:rsidP="00931AA8">
      <w:pPr>
        <w:rPr>
          <w:lang w:val="en-GB"/>
        </w:rPr>
      </w:pPr>
    </w:p>
    <w:tbl>
      <w:tblPr>
        <w:tblW w:w="8931" w:type="dxa"/>
        <w:jc w:val="center"/>
        <w:tblLayout w:type="fixed"/>
        <w:tblLook w:val="01E0" w:firstRow="1" w:lastRow="1" w:firstColumn="1" w:lastColumn="1" w:noHBand="0" w:noVBand="0"/>
      </w:tblPr>
      <w:tblGrid>
        <w:gridCol w:w="3686"/>
        <w:gridCol w:w="1558"/>
        <w:gridCol w:w="3687"/>
      </w:tblGrid>
      <w:tr w:rsidR="00931AA8" w:rsidRPr="00F00A18" w14:paraId="1C0B3724" w14:textId="77777777" w:rsidTr="00DD56FE">
        <w:trPr>
          <w:cantSplit/>
          <w:jc w:val="center"/>
        </w:trPr>
        <w:tc>
          <w:tcPr>
            <w:tcW w:w="3686" w:type="dxa"/>
          </w:tcPr>
          <w:p w14:paraId="00896378" w14:textId="77777777" w:rsidR="00931AA8" w:rsidRPr="00F00A18" w:rsidRDefault="00931AA8" w:rsidP="00931AA8">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31B9A89E" w14:textId="77777777" w:rsidR="00931AA8" w:rsidRPr="00F00A18" w:rsidRDefault="00931AA8" w:rsidP="00931AA8">
            <w:pPr>
              <w:pStyle w:val="LineForSignature"/>
              <w:rPr>
                <w:color w:val="auto"/>
              </w:rPr>
            </w:pPr>
            <w:r w:rsidRPr="00F00A18">
              <w:rPr>
                <w:color w:val="auto"/>
              </w:rPr>
              <w:br/>
            </w:r>
            <w:r w:rsidRPr="00F00A18">
              <w:rPr>
                <w:color w:val="auto"/>
              </w:rPr>
              <w:tab/>
            </w:r>
          </w:p>
          <w:p w14:paraId="3A868DD1" w14:textId="77777777" w:rsidR="00931AA8" w:rsidRPr="00E061F4" w:rsidRDefault="00931AA8" w:rsidP="00931AA8">
            <w:pPr>
              <w:pStyle w:val="SingleParagraph"/>
              <w:rPr>
                <w:rStyle w:val="Bold"/>
                <w:color w:val="auto"/>
              </w:rPr>
            </w:pPr>
            <w:r w:rsidRPr="00E061F4">
              <w:rPr>
                <w:rStyle w:val="Bold"/>
                <w:color w:val="auto"/>
              </w:rPr>
              <w:t>The Honourable Keith Pitt MP</w:t>
            </w:r>
          </w:p>
          <w:p w14:paraId="56FB56CA" w14:textId="59B68830" w:rsidR="00931AA8" w:rsidRPr="00F00A18" w:rsidRDefault="00931AA8" w:rsidP="00931AA8">
            <w:pPr>
              <w:pStyle w:val="Position"/>
              <w:rPr>
                <w:color w:val="auto"/>
                <w:lang w:val="en-GB"/>
              </w:rPr>
            </w:pPr>
            <w:r w:rsidRPr="00E061F4">
              <w:rPr>
                <w:color w:val="auto"/>
                <w:lang w:val="en-GB"/>
              </w:rPr>
              <w:t>Minister for Resources</w:t>
            </w:r>
            <w:r w:rsidR="00251F1D">
              <w:rPr>
                <w:color w:val="auto"/>
                <w:lang w:val="en-GB"/>
              </w:rPr>
              <w:t xml:space="preserve"> and</w:t>
            </w:r>
            <w:r w:rsidRPr="00E061F4">
              <w:rPr>
                <w:color w:val="auto"/>
                <w:lang w:val="en-GB"/>
              </w:rPr>
              <w:t xml:space="preserve"> Water</w:t>
            </w:r>
          </w:p>
          <w:p w14:paraId="033D6D09" w14:textId="77777777" w:rsidR="00931AA8" w:rsidRPr="00F00A18" w:rsidRDefault="00931AA8" w:rsidP="00931AA8">
            <w:pPr>
              <w:pStyle w:val="SingleParagraph"/>
              <w:tabs>
                <w:tab w:val="num" w:pos="1134"/>
              </w:tabs>
              <w:spacing w:after="240"/>
              <w:rPr>
                <w:b/>
                <w:color w:val="auto"/>
                <w:lang w:val="en-GB"/>
              </w:rPr>
            </w:pPr>
            <w:r w:rsidRPr="00F00A18">
              <w:rPr>
                <w:color w:val="auto"/>
                <w:lang w:val="en-GB"/>
              </w:rPr>
              <w:t>[Day]  [Month]  [Year]</w:t>
            </w:r>
          </w:p>
        </w:tc>
        <w:tc>
          <w:tcPr>
            <w:tcW w:w="1558" w:type="dxa"/>
            <w:tcMar>
              <w:left w:w="0" w:type="dxa"/>
              <w:right w:w="0" w:type="dxa"/>
            </w:tcMar>
          </w:tcPr>
          <w:p w14:paraId="668CAA17" w14:textId="77777777" w:rsidR="00931AA8" w:rsidRPr="00F00A18" w:rsidRDefault="00931AA8" w:rsidP="00931AA8">
            <w:pPr>
              <w:rPr>
                <w:rFonts w:ascii="Book Antiqua" w:hAnsi="Book Antiqua"/>
                <w:lang w:val="en-GB"/>
              </w:rPr>
            </w:pPr>
          </w:p>
        </w:tc>
        <w:tc>
          <w:tcPr>
            <w:tcW w:w="3687" w:type="dxa"/>
          </w:tcPr>
          <w:p w14:paraId="3D661A8F" w14:textId="77777777" w:rsidR="00931AA8" w:rsidRPr="00F00A18" w:rsidRDefault="00931AA8" w:rsidP="00931AA8">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Queensland by</w:t>
            </w:r>
          </w:p>
          <w:p w14:paraId="1115C781" w14:textId="77777777" w:rsidR="00931AA8" w:rsidRPr="00F00A18" w:rsidRDefault="00931AA8" w:rsidP="00931AA8">
            <w:pPr>
              <w:pStyle w:val="LineForSignature"/>
              <w:rPr>
                <w:color w:val="auto"/>
              </w:rPr>
            </w:pPr>
            <w:r w:rsidRPr="00F00A18">
              <w:rPr>
                <w:color w:val="auto"/>
              </w:rPr>
              <w:br/>
            </w:r>
            <w:r w:rsidRPr="00F00A18">
              <w:rPr>
                <w:color w:val="auto"/>
              </w:rPr>
              <w:tab/>
            </w:r>
          </w:p>
          <w:p w14:paraId="0B935464" w14:textId="77777777" w:rsidR="00931AA8" w:rsidRPr="00BE4F88" w:rsidRDefault="00931AA8" w:rsidP="00931AA8">
            <w:pPr>
              <w:pStyle w:val="SingleParagraph"/>
              <w:rPr>
                <w:rStyle w:val="Bold"/>
                <w:color w:val="auto"/>
              </w:rPr>
            </w:pPr>
            <w:r w:rsidRPr="00BE4F88">
              <w:rPr>
                <w:rStyle w:val="Bold"/>
                <w:color w:val="auto"/>
              </w:rPr>
              <w:t>The Honourable Glenn Butcher MP</w:t>
            </w:r>
          </w:p>
          <w:p w14:paraId="2E194078" w14:textId="7720C470" w:rsidR="00931AA8" w:rsidRPr="00F00A18" w:rsidRDefault="00931AA8" w:rsidP="00DD56FE">
            <w:pPr>
              <w:pStyle w:val="Position"/>
              <w:rPr>
                <w:color w:val="auto"/>
                <w:lang w:val="en-GB"/>
              </w:rPr>
            </w:pPr>
            <w:r w:rsidRPr="00BE4F88">
              <w:rPr>
                <w:color w:val="auto"/>
                <w:lang w:val="en-GB"/>
              </w:rPr>
              <w:t>Minister for Regional Develop</w:t>
            </w:r>
            <w:r w:rsidR="00CA4A7C">
              <w:rPr>
                <w:color w:val="auto"/>
                <w:lang w:val="en-GB"/>
              </w:rPr>
              <w:t>m</w:t>
            </w:r>
            <w:r w:rsidRPr="00BE4F88">
              <w:rPr>
                <w:color w:val="auto"/>
                <w:lang w:val="en-GB"/>
              </w:rPr>
              <w:t>ent</w:t>
            </w:r>
            <w:r>
              <w:rPr>
                <w:color w:val="auto"/>
                <w:lang w:val="en-GB"/>
              </w:rPr>
              <w:t xml:space="preserve"> and Manufacturing and Minister for Water</w:t>
            </w:r>
          </w:p>
          <w:p w14:paraId="19CB01A8" w14:textId="77777777" w:rsidR="00931AA8" w:rsidRPr="00F00A18" w:rsidRDefault="00931AA8" w:rsidP="00931AA8">
            <w:pPr>
              <w:rPr>
                <w:rFonts w:ascii="Book Antiqua" w:hAnsi="Book Antiqua"/>
                <w:lang w:val="en-GB"/>
              </w:rPr>
            </w:pPr>
            <w:r w:rsidRPr="00F00A18">
              <w:rPr>
                <w:lang w:val="en-GB"/>
              </w:rPr>
              <w:t>[Day]  [Month]  [Year]</w:t>
            </w:r>
          </w:p>
        </w:tc>
      </w:tr>
    </w:tbl>
    <w:p w14:paraId="754F20E3" w14:textId="77777777" w:rsidR="00931AA8" w:rsidRPr="00F00A18" w:rsidRDefault="00931AA8" w:rsidP="00931AA8">
      <w:pPr>
        <w:rPr>
          <w:lang w:val="en-GB"/>
        </w:rPr>
      </w:pPr>
    </w:p>
    <w:p w14:paraId="77ADA93C" w14:textId="77777777" w:rsidR="00931AA8" w:rsidRPr="00F00A18" w:rsidRDefault="00931AA8" w:rsidP="00931AA8">
      <w:pPr>
        <w:rPr>
          <w:lang w:val="en-GB"/>
        </w:rPr>
      </w:pPr>
      <w:r w:rsidRPr="00F00A18">
        <w:rPr>
          <w:lang w:val="en-GB"/>
        </w:rPr>
        <w:br w:type="page"/>
      </w:r>
    </w:p>
    <w:p w14:paraId="0BF635D0" w14:textId="7F7B11F3" w:rsidR="00931AA8" w:rsidRDefault="00931AA8" w:rsidP="00C91B5F"/>
    <w:tbl>
      <w:tblPr>
        <w:tblW w:w="5273"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686"/>
        <w:gridCol w:w="1276"/>
        <w:gridCol w:w="1190"/>
      </w:tblGrid>
      <w:tr w:rsidR="00931AA8" w:rsidRPr="00F00A18" w14:paraId="7BFB4D7D" w14:textId="77777777" w:rsidTr="005D133D">
        <w:tc>
          <w:tcPr>
            <w:tcW w:w="10263" w:type="dxa"/>
            <w:gridSpan w:val="5"/>
            <w:shd w:val="clear" w:color="auto" w:fill="DEEAF6" w:themeFill="accent1" w:themeFillTint="33"/>
          </w:tcPr>
          <w:p w14:paraId="6366DB63" w14:textId="745AD531" w:rsidR="00931AA8" w:rsidRPr="00F00A18" w:rsidRDefault="00931AA8" w:rsidP="00931AA8">
            <w:pPr>
              <w:pStyle w:val="Tableformat"/>
              <w:tabs>
                <w:tab w:val="left" w:pos="6043"/>
              </w:tabs>
              <w:rPr>
                <w:b/>
                <w:color w:val="auto"/>
              </w:rPr>
            </w:pPr>
            <w:r>
              <w:rPr>
                <w:b/>
                <w:color w:val="auto"/>
              </w:rPr>
              <w:t>Table 2D</w:t>
            </w:r>
            <w:r w:rsidRPr="00F00A18">
              <w:rPr>
                <w:b/>
                <w:color w:val="auto"/>
              </w:rPr>
              <w:t xml:space="preserve">: </w:t>
            </w:r>
            <w:r>
              <w:rPr>
                <w:b/>
                <w:color w:val="auto"/>
              </w:rPr>
              <w:t xml:space="preserve">South Australia </w:t>
            </w:r>
            <w:r w:rsidRPr="00F00A18">
              <w:rPr>
                <w:b/>
                <w:color w:val="auto"/>
              </w:rPr>
              <w:t>– Performance requirements, reporting and payment summary</w:t>
            </w:r>
          </w:p>
        </w:tc>
      </w:tr>
      <w:tr w:rsidR="005D133D" w:rsidRPr="00F00A18" w14:paraId="12CDEBCC" w14:textId="77777777" w:rsidTr="006F3A9B">
        <w:tc>
          <w:tcPr>
            <w:tcW w:w="10263" w:type="dxa"/>
            <w:gridSpan w:val="5"/>
            <w:shd w:val="clear" w:color="auto" w:fill="DEEAF6" w:themeFill="accent1" w:themeFillTint="33"/>
          </w:tcPr>
          <w:p w14:paraId="24ACC352" w14:textId="19A22CE1" w:rsidR="005D133D" w:rsidRDefault="005D133D" w:rsidP="006F3A9B">
            <w:pPr>
              <w:pStyle w:val="Tableformat"/>
              <w:tabs>
                <w:tab w:val="left" w:pos="6043"/>
              </w:tabs>
              <w:rPr>
                <w:b/>
                <w:color w:val="auto"/>
              </w:rPr>
            </w:pPr>
            <w:r>
              <w:rPr>
                <w:b/>
                <w:color w:val="auto"/>
              </w:rPr>
              <w:t>Year 1: 202</w:t>
            </w:r>
            <w:r w:rsidR="00EA16B8">
              <w:rPr>
                <w:b/>
                <w:color w:val="auto"/>
              </w:rPr>
              <w:t>1</w:t>
            </w:r>
            <w:r>
              <w:rPr>
                <w:b/>
                <w:color w:val="auto"/>
              </w:rPr>
              <w:t>-202</w:t>
            </w:r>
            <w:r w:rsidR="00EA16B8">
              <w:rPr>
                <w:b/>
                <w:color w:val="auto"/>
              </w:rPr>
              <w:t>2</w:t>
            </w:r>
          </w:p>
        </w:tc>
      </w:tr>
      <w:tr w:rsidR="00931AA8" w:rsidRPr="00FD6EB4" w14:paraId="6E23F169" w14:textId="77777777" w:rsidTr="00EF4CDB">
        <w:tc>
          <w:tcPr>
            <w:tcW w:w="1560" w:type="dxa"/>
            <w:shd w:val="clear" w:color="auto" w:fill="F2F2F2" w:themeFill="background1" w:themeFillShade="F2"/>
          </w:tcPr>
          <w:p w14:paraId="72D89D28" w14:textId="77777777" w:rsidR="00931AA8" w:rsidRPr="00FD6EB4" w:rsidRDefault="00931AA8" w:rsidP="00931AA8">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shd w:val="clear" w:color="auto" w:fill="F2F2F2" w:themeFill="background1" w:themeFillShade="F2"/>
          </w:tcPr>
          <w:p w14:paraId="7B120555" w14:textId="77777777" w:rsidR="00931AA8" w:rsidRPr="00FD6EB4" w:rsidRDefault="00931AA8" w:rsidP="00931AA8">
            <w:pPr>
              <w:pStyle w:val="Tableformat"/>
              <w:rPr>
                <w:b/>
                <w:color w:val="auto"/>
                <w:sz w:val="22"/>
                <w:szCs w:val="22"/>
              </w:rPr>
            </w:pPr>
            <w:r w:rsidRPr="00FD6EB4">
              <w:rPr>
                <w:b/>
                <w:color w:val="auto"/>
                <w:sz w:val="22"/>
                <w:szCs w:val="22"/>
              </w:rPr>
              <w:t>Performance milestones</w:t>
            </w:r>
          </w:p>
        </w:tc>
        <w:tc>
          <w:tcPr>
            <w:tcW w:w="3686" w:type="dxa"/>
            <w:shd w:val="clear" w:color="auto" w:fill="F2F2F2" w:themeFill="background1" w:themeFillShade="F2"/>
          </w:tcPr>
          <w:p w14:paraId="7D638D2E" w14:textId="77777777" w:rsidR="00931AA8" w:rsidRPr="00FD6EB4" w:rsidRDefault="00931AA8" w:rsidP="00931AA8">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6F2C0EED" w14:textId="77777777" w:rsidR="00931AA8" w:rsidRPr="00FD6EB4" w:rsidRDefault="00931AA8" w:rsidP="00931AA8">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90" w:type="dxa"/>
            <w:tcBorders>
              <w:bottom w:val="single" w:sz="8" w:space="0" w:color="4F81BD"/>
            </w:tcBorders>
            <w:shd w:val="clear" w:color="auto" w:fill="F2F2F2" w:themeFill="background1" w:themeFillShade="F2"/>
          </w:tcPr>
          <w:p w14:paraId="084585A0" w14:textId="77777777" w:rsidR="00931AA8" w:rsidRPr="00FD6EB4" w:rsidRDefault="00931AA8" w:rsidP="00931AA8">
            <w:pPr>
              <w:pStyle w:val="Tableformat"/>
              <w:rPr>
                <w:b/>
                <w:color w:val="auto"/>
                <w:sz w:val="22"/>
                <w:szCs w:val="22"/>
              </w:rPr>
            </w:pPr>
            <w:r w:rsidRPr="00FD6EB4">
              <w:rPr>
                <w:b/>
                <w:color w:val="auto"/>
                <w:sz w:val="22"/>
                <w:szCs w:val="22"/>
              </w:rPr>
              <w:t>Payment</w:t>
            </w:r>
          </w:p>
        </w:tc>
      </w:tr>
      <w:tr w:rsidR="001B459E" w:rsidRPr="00DA6A97" w14:paraId="4F3FD7D2"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559983D3" w14:textId="77777777" w:rsidR="001B459E" w:rsidRPr="00DA6A97" w:rsidRDefault="001B459E" w:rsidP="006F3A9B">
            <w:pPr>
              <w:pStyle w:val="Tableformat"/>
              <w:rPr>
                <w:bCs/>
                <w:color w:val="auto"/>
                <w:sz w:val="20"/>
                <w:szCs w:val="20"/>
              </w:rPr>
            </w:pPr>
            <w:r w:rsidRPr="00DA6A97">
              <w:rPr>
                <w:bCs/>
                <w:color w:val="auto"/>
                <w:sz w:val="20"/>
                <w:szCs w:val="20"/>
              </w:rPr>
              <w:t xml:space="preserve">Water </w:t>
            </w:r>
            <w:r>
              <w:rPr>
                <w:bCs/>
                <w:color w:val="auto"/>
                <w:sz w:val="20"/>
                <w:szCs w:val="20"/>
              </w:rPr>
              <w:t>r</w:t>
            </w:r>
            <w:r w:rsidRPr="00DA6A97">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7D630FCA" w14:textId="77777777" w:rsidR="001B459E" w:rsidRPr="00DA6A97" w:rsidRDefault="001B459E" w:rsidP="006F3A9B">
            <w:pPr>
              <w:pStyle w:val="Tableformat"/>
              <w:rPr>
                <w:bCs/>
                <w:color w:val="auto"/>
                <w:sz w:val="20"/>
                <w:szCs w:val="20"/>
              </w:rPr>
            </w:pPr>
            <w:r>
              <w:rPr>
                <w:bCs/>
                <w:color w:val="auto"/>
                <w:sz w:val="20"/>
                <w:szCs w:val="20"/>
              </w:rPr>
              <w:t xml:space="preserve">1. </w:t>
            </w:r>
            <w:r w:rsidRPr="00AC6E08">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61A5ED" w14:textId="77777777" w:rsidR="001B459E" w:rsidRPr="00DA6A97" w:rsidRDefault="001B459E" w:rsidP="006F3A9B">
            <w:pPr>
              <w:pStyle w:val="Tableformat"/>
              <w:rPr>
                <w:bCs/>
                <w:color w:val="auto"/>
                <w:sz w:val="20"/>
                <w:szCs w:val="20"/>
              </w:rPr>
            </w:pPr>
            <w:r>
              <w:rPr>
                <w:bCs/>
                <w:color w:val="auto"/>
                <w:sz w:val="20"/>
                <w:szCs w:val="20"/>
              </w:rPr>
              <w:t xml:space="preserve">1.a </w:t>
            </w:r>
            <w:r w:rsidRPr="00AC6E08">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276485" w14:textId="77777777" w:rsidR="001B459E" w:rsidRPr="00DA6A97" w:rsidRDefault="001B459E"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47F99D" w14:textId="677E1936" w:rsidR="001B459E" w:rsidRPr="00DA6A97" w:rsidRDefault="001B459E" w:rsidP="006F3A9B">
            <w:pPr>
              <w:pStyle w:val="Tableformat"/>
              <w:rPr>
                <w:bCs/>
                <w:color w:val="auto"/>
                <w:sz w:val="20"/>
                <w:szCs w:val="20"/>
              </w:rPr>
            </w:pPr>
            <w:r>
              <w:rPr>
                <w:bCs/>
                <w:color w:val="auto"/>
                <w:sz w:val="20"/>
                <w:szCs w:val="20"/>
              </w:rPr>
              <w:t>$</w:t>
            </w:r>
            <w:r w:rsidR="00EF4CDB">
              <w:rPr>
                <w:bCs/>
                <w:color w:val="auto"/>
                <w:sz w:val="20"/>
                <w:szCs w:val="20"/>
              </w:rPr>
              <w:t>149,040</w:t>
            </w:r>
          </w:p>
        </w:tc>
      </w:tr>
      <w:tr w:rsidR="00EF4CDB" w:rsidRPr="00DA6A97" w14:paraId="64506F22" w14:textId="77777777" w:rsidTr="00EF4CDB">
        <w:tc>
          <w:tcPr>
            <w:tcW w:w="1560" w:type="dxa"/>
            <w:vMerge/>
            <w:tcBorders>
              <w:left w:val="single" w:sz="8" w:space="0" w:color="4F81BD"/>
              <w:right w:val="single" w:sz="8" w:space="0" w:color="4F81BD"/>
            </w:tcBorders>
            <w:shd w:val="clear" w:color="auto" w:fill="F2F2F2" w:themeFill="background1" w:themeFillShade="F2"/>
          </w:tcPr>
          <w:p w14:paraId="5F4780AF" w14:textId="77777777" w:rsidR="00EF4CDB" w:rsidRPr="00DA6A97" w:rsidRDefault="00EF4CDB" w:rsidP="00EF4CD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55209AE8"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E38E3F" w14:textId="13CAE7C1" w:rsidR="00EF4CDB" w:rsidRPr="00DA6A97" w:rsidRDefault="00EF4CDB" w:rsidP="00EF4CDB">
            <w:pPr>
              <w:pStyle w:val="Tableformat"/>
              <w:rPr>
                <w:bCs/>
                <w:color w:val="auto"/>
                <w:sz w:val="20"/>
                <w:szCs w:val="20"/>
              </w:rPr>
            </w:pPr>
            <w:r w:rsidRPr="00C26E8B">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26E8B">
              <w:rPr>
                <w:bCs/>
                <w:color w:val="auto"/>
                <w:sz w:val="20"/>
                <w:szCs w:val="20"/>
              </w:rPr>
              <w:t xml:space="preserve"> using the Ministerial Council </w:t>
            </w:r>
            <w:r w:rsidR="007C3B81" w:rsidRPr="00C26E8B">
              <w:rPr>
                <w:bCs/>
                <w:color w:val="auto"/>
                <w:sz w:val="20"/>
                <w:szCs w:val="20"/>
              </w:rPr>
              <w:t>stock take</w:t>
            </w:r>
            <w:r w:rsidRPr="00C26E8B">
              <w:rPr>
                <w:bCs/>
                <w:color w:val="auto"/>
                <w:sz w:val="20"/>
                <w:szCs w:val="20"/>
              </w:rPr>
              <w:t xml:space="preserve"> as a starting point. Business case applications will include socio-economic analysis and proposals for transfer of water entitlements</w:t>
            </w:r>
            <w:r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D4EA2A"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2840F3" w14:textId="41FC122A" w:rsidR="00EF4CDB" w:rsidRPr="00DA6A97" w:rsidRDefault="00EF4CDB" w:rsidP="00EF4CDB">
            <w:pPr>
              <w:pStyle w:val="Tableformat"/>
              <w:rPr>
                <w:bCs/>
                <w:color w:val="auto"/>
                <w:sz w:val="20"/>
                <w:szCs w:val="20"/>
              </w:rPr>
            </w:pPr>
            <w:r>
              <w:rPr>
                <w:bCs/>
                <w:color w:val="auto"/>
                <w:sz w:val="20"/>
                <w:szCs w:val="20"/>
              </w:rPr>
              <w:t>$149,040</w:t>
            </w:r>
          </w:p>
        </w:tc>
      </w:tr>
      <w:tr w:rsidR="00EF4CDB" w:rsidRPr="00DA6A97" w14:paraId="53387421"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7CC468C7" w14:textId="77777777" w:rsidR="00EF4CDB" w:rsidRPr="00DA6A97" w:rsidRDefault="00EF4CDB" w:rsidP="00EF4CDB">
            <w:pPr>
              <w:pStyle w:val="Tableformat"/>
              <w:rPr>
                <w:bCs/>
                <w:color w:val="auto"/>
                <w:sz w:val="20"/>
                <w:szCs w:val="20"/>
              </w:rPr>
            </w:pPr>
            <w:r w:rsidRPr="00DA6A97">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F49D0C" w14:textId="6A29802C" w:rsidR="00EF4CDB" w:rsidRPr="00DA6A97" w:rsidRDefault="004A0DD9" w:rsidP="00EF4CDB">
            <w:pPr>
              <w:pStyle w:val="Tableformat"/>
              <w:rPr>
                <w:bCs/>
                <w:color w:val="auto"/>
                <w:sz w:val="20"/>
                <w:szCs w:val="20"/>
              </w:rPr>
            </w:pPr>
            <w:r>
              <w:rPr>
                <w:bCs/>
                <w:color w:val="auto"/>
                <w:sz w:val="20"/>
                <w:szCs w:val="20"/>
              </w:rPr>
              <w:t>2</w:t>
            </w:r>
            <w:r w:rsidR="00EF4CDB">
              <w:rPr>
                <w:bCs/>
                <w:color w:val="auto"/>
                <w:sz w:val="20"/>
                <w:szCs w:val="20"/>
              </w:rPr>
              <w:t xml:space="preserve">. </w:t>
            </w:r>
            <w:r w:rsidR="00EF4CDB" w:rsidRPr="00DA6A97">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439877C" w14:textId="553159A1" w:rsidR="00EF4CDB" w:rsidRPr="00DA6A97" w:rsidRDefault="004A0DD9" w:rsidP="00EF4CDB">
            <w:pPr>
              <w:pStyle w:val="Tableformat"/>
              <w:rPr>
                <w:bCs/>
                <w:color w:val="auto"/>
                <w:sz w:val="20"/>
                <w:szCs w:val="20"/>
              </w:rPr>
            </w:pPr>
            <w:r>
              <w:rPr>
                <w:bCs/>
                <w:color w:val="auto"/>
                <w:sz w:val="20"/>
                <w:szCs w:val="20"/>
              </w:rPr>
              <w:t>2</w:t>
            </w:r>
            <w:r w:rsidR="00EF4CDB" w:rsidRPr="00C26E8B">
              <w:rPr>
                <w:bCs/>
                <w:color w:val="auto"/>
                <w:sz w:val="20"/>
                <w:szCs w:val="20"/>
              </w:rPr>
              <w:t xml:space="preserve">.a Through the Environmental Water Committee, define and agree a </w:t>
            </w:r>
            <w:r w:rsidR="007C3B81" w:rsidRPr="00C26E8B">
              <w:rPr>
                <w:bCs/>
                <w:color w:val="auto"/>
                <w:sz w:val="20"/>
                <w:szCs w:val="20"/>
              </w:rPr>
              <w:t>work plan</w:t>
            </w:r>
            <w:r w:rsidR="00EF4CDB" w:rsidRPr="00C26E8B">
              <w:rPr>
                <w:bCs/>
                <w:color w:val="auto"/>
                <w:sz w:val="20"/>
                <w:szCs w:val="20"/>
              </w:rPr>
              <w:t xml:space="preserve"> of priority collaborative activities to deliver the Environmental Water Protection Strategy, where relevant to the jurisdiction</w:t>
            </w:r>
            <w:r w:rsidR="00EF4CDB"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0F8DBF"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BD88DF" w14:textId="08067356"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69B2D49C" w14:textId="77777777" w:rsidTr="00EF4CDB">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37CBFAC5" w14:textId="77777777" w:rsidR="00EF4CDB" w:rsidRPr="00DA6A97" w:rsidRDefault="00EF4CDB" w:rsidP="00EF4CDB">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6016CF" w14:textId="61485C5D" w:rsidR="00EF4CDB" w:rsidRPr="00DA6A97" w:rsidRDefault="004A0DD9" w:rsidP="00EF4CDB">
            <w:pPr>
              <w:pStyle w:val="Tableformat"/>
              <w:rPr>
                <w:bCs/>
                <w:color w:val="auto"/>
                <w:sz w:val="20"/>
                <w:szCs w:val="20"/>
              </w:rPr>
            </w:pPr>
            <w:r>
              <w:rPr>
                <w:bCs/>
                <w:color w:val="auto"/>
                <w:sz w:val="20"/>
                <w:szCs w:val="20"/>
              </w:rPr>
              <w:t>3</w:t>
            </w:r>
            <w:r w:rsidR="00EF4CDB">
              <w:rPr>
                <w:bCs/>
                <w:color w:val="auto"/>
                <w:sz w:val="20"/>
                <w:szCs w:val="20"/>
              </w:rPr>
              <w:t xml:space="preserve">. </w:t>
            </w:r>
            <w:r w:rsidR="00EF4CDB" w:rsidRPr="00DA6A97">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C57C25E" w14:textId="61B3D2CD" w:rsidR="00EF4CDB" w:rsidRPr="00DA6A97" w:rsidRDefault="004A0DD9" w:rsidP="00EF4CDB">
            <w:pPr>
              <w:pStyle w:val="Tableformat"/>
              <w:rPr>
                <w:bCs/>
                <w:color w:val="auto"/>
                <w:sz w:val="20"/>
                <w:szCs w:val="20"/>
              </w:rPr>
            </w:pPr>
            <w:r>
              <w:rPr>
                <w:bCs/>
                <w:color w:val="auto"/>
                <w:sz w:val="20"/>
                <w:szCs w:val="20"/>
              </w:rPr>
              <w:t>3</w:t>
            </w:r>
            <w:r w:rsidR="00EF4CDB" w:rsidRPr="00C26E8B">
              <w:rPr>
                <w:bCs/>
                <w:color w:val="auto"/>
                <w:sz w:val="20"/>
                <w:szCs w:val="20"/>
              </w:rPr>
              <w:t xml:space="preserve">.a Engage with </w:t>
            </w:r>
            <w:r w:rsidR="00795920">
              <w:rPr>
                <w:bCs/>
                <w:color w:val="auto"/>
                <w:sz w:val="20"/>
                <w:szCs w:val="20"/>
              </w:rPr>
              <w:t>all stakeholders</w:t>
            </w:r>
            <w:r w:rsidR="00EF4CDB" w:rsidRPr="00C26E8B">
              <w:rPr>
                <w:bCs/>
                <w:color w:val="auto"/>
                <w:sz w:val="20"/>
                <w:szCs w:val="20"/>
              </w:rPr>
              <w:t>, in the development of annual environmental water plans or priorities; and in the implementation, review and update of LTWPs, where relevant to the jurisdiction</w:t>
            </w:r>
            <w:r w:rsidR="00EF4CDB"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C84858"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8C3AA6" w14:textId="1DF3FEE7"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65626EC7" w14:textId="77777777" w:rsidTr="00EF4CDB">
        <w:tc>
          <w:tcPr>
            <w:tcW w:w="1560" w:type="dxa"/>
            <w:vMerge w:val="restart"/>
            <w:tcBorders>
              <w:left w:val="single" w:sz="8" w:space="0" w:color="4F81BD"/>
              <w:right w:val="single" w:sz="8" w:space="0" w:color="4F81BD"/>
            </w:tcBorders>
            <w:shd w:val="clear" w:color="auto" w:fill="F2F2F2" w:themeFill="background1" w:themeFillShade="F2"/>
          </w:tcPr>
          <w:p w14:paraId="0C934A81" w14:textId="77777777" w:rsidR="00EF4CDB" w:rsidRPr="00DA6A97" w:rsidRDefault="00EF4CDB" w:rsidP="00EF4CDB">
            <w:pPr>
              <w:pStyle w:val="Tableformat"/>
              <w:rPr>
                <w:bCs/>
                <w:color w:val="auto"/>
                <w:sz w:val="20"/>
                <w:szCs w:val="20"/>
              </w:rPr>
            </w:pPr>
            <w:r w:rsidRPr="00DA6A97">
              <w:rPr>
                <w:bCs/>
                <w:color w:val="auto"/>
                <w:sz w:val="20"/>
                <w:szCs w:val="20"/>
              </w:rPr>
              <w:t>Implementation of the Basin Plan</w:t>
            </w:r>
          </w:p>
        </w:tc>
        <w:tc>
          <w:tcPr>
            <w:tcW w:w="2551" w:type="dxa"/>
            <w:vMerge w:val="restart"/>
            <w:tcBorders>
              <w:left w:val="single" w:sz="8" w:space="0" w:color="4F81BD"/>
              <w:right w:val="single" w:sz="8" w:space="0" w:color="4F81BD"/>
            </w:tcBorders>
            <w:shd w:val="clear" w:color="auto" w:fill="F2F2F2" w:themeFill="background1" w:themeFillShade="F2"/>
          </w:tcPr>
          <w:p w14:paraId="099DE493" w14:textId="4AAAEB86" w:rsidR="00EF4CDB" w:rsidRPr="00DA6A97" w:rsidRDefault="004A0DD9" w:rsidP="00EF4CDB">
            <w:pPr>
              <w:pStyle w:val="Tableformat"/>
              <w:rPr>
                <w:bCs/>
                <w:color w:val="auto"/>
                <w:sz w:val="20"/>
                <w:szCs w:val="20"/>
              </w:rPr>
            </w:pPr>
            <w:r>
              <w:rPr>
                <w:bCs/>
                <w:color w:val="auto"/>
                <w:sz w:val="20"/>
                <w:szCs w:val="20"/>
              </w:rPr>
              <w:t>4</w:t>
            </w:r>
            <w:r w:rsidR="00EF4CDB">
              <w:rPr>
                <w:bCs/>
                <w:color w:val="auto"/>
                <w:sz w:val="20"/>
                <w:szCs w:val="20"/>
              </w:rPr>
              <w:t xml:space="preserve">. </w:t>
            </w:r>
            <w:r w:rsidR="00EF4CDB" w:rsidRPr="00DA6A97">
              <w:rPr>
                <w:bCs/>
                <w:color w:val="auto"/>
                <w:sz w:val="20"/>
                <w:szCs w:val="20"/>
              </w:rPr>
              <w:t>Implement the SDLAM program, where not funded under other agreements.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56873D" w14:textId="1A1A407C" w:rsidR="00EF4CDB" w:rsidRPr="008773F1" w:rsidRDefault="004A0DD9" w:rsidP="00EF4CDB">
            <w:pPr>
              <w:pStyle w:val="Tableformat"/>
              <w:rPr>
                <w:bCs/>
                <w:color w:val="auto"/>
                <w:sz w:val="20"/>
                <w:szCs w:val="20"/>
              </w:rPr>
            </w:pPr>
            <w:r>
              <w:rPr>
                <w:bCs/>
                <w:color w:val="auto"/>
                <w:sz w:val="20"/>
                <w:szCs w:val="20"/>
              </w:rPr>
              <w:t>4</w:t>
            </w:r>
            <w:r w:rsidR="00EF4CDB" w:rsidRPr="008773F1">
              <w:rPr>
                <w:bCs/>
                <w:color w:val="auto"/>
                <w:sz w:val="20"/>
                <w:szCs w:val="20"/>
              </w:rPr>
              <w:t>.a Actively work with the Commonwealth to optimise and address risks to SDLAM program outcomes, including:</w:t>
            </w:r>
          </w:p>
          <w:p w14:paraId="578EEC9A" w14:textId="77777777" w:rsidR="00EF4CDB" w:rsidRPr="008773F1" w:rsidRDefault="00EF4CDB" w:rsidP="00EF4CDB">
            <w:pPr>
              <w:pStyle w:val="Tableformat"/>
              <w:rPr>
                <w:bCs/>
                <w:color w:val="auto"/>
                <w:sz w:val="20"/>
                <w:szCs w:val="20"/>
              </w:rPr>
            </w:pPr>
            <w:r w:rsidRPr="008773F1">
              <w:rPr>
                <w:bCs/>
                <w:color w:val="auto"/>
                <w:sz w:val="20"/>
                <w:szCs w:val="20"/>
              </w:rPr>
              <w:t>- the establishment of a process to formally amend project scope</w:t>
            </w:r>
          </w:p>
          <w:p w14:paraId="2117A7B0" w14:textId="77777777" w:rsidR="00EF4CDB" w:rsidRPr="008773F1" w:rsidRDefault="00EF4CDB" w:rsidP="00EF4CDB">
            <w:pPr>
              <w:pStyle w:val="Tableformat"/>
              <w:rPr>
                <w:bCs/>
                <w:color w:val="auto"/>
                <w:sz w:val="20"/>
                <w:szCs w:val="20"/>
              </w:rPr>
            </w:pPr>
            <w:r w:rsidRPr="008773F1">
              <w:rPr>
                <w:bCs/>
                <w:color w:val="auto"/>
                <w:sz w:val="20"/>
                <w:szCs w:val="20"/>
              </w:rPr>
              <w:t>- resolution of critical policy issues to enable agreement to Stage 2 funding arrangements</w:t>
            </w:r>
          </w:p>
          <w:p w14:paraId="2388D951" w14:textId="77777777" w:rsidR="00EF4CDB" w:rsidRPr="008773F1" w:rsidRDefault="00EF4CDB" w:rsidP="00EF4CDB">
            <w:pPr>
              <w:pStyle w:val="Tableformat"/>
              <w:rPr>
                <w:bCs/>
                <w:color w:val="auto"/>
                <w:sz w:val="20"/>
                <w:szCs w:val="20"/>
              </w:rPr>
            </w:pPr>
            <w:r w:rsidRPr="008773F1">
              <w:rPr>
                <w:bCs/>
                <w:color w:val="auto"/>
                <w:sz w:val="20"/>
                <w:szCs w:val="20"/>
              </w:rPr>
              <w:t>- fast-tracking relevant projects</w:t>
            </w:r>
          </w:p>
          <w:p w14:paraId="5405ABC0" w14:textId="77777777" w:rsidR="00EF4CDB" w:rsidRPr="00DA6A97" w:rsidRDefault="00EF4CDB" w:rsidP="00EF4CDB">
            <w:pPr>
              <w:pStyle w:val="Tableformat"/>
              <w:rPr>
                <w:bCs/>
                <w:color w:val="auto"/>
                <w:sz w:val="20"/>
                <w:szCs w:val="20"/>
              </w:rPr>
            </w:pPr>
            <w:r w:rsidRPr="008773F1">
              <w:rPr>
                <w:bCs/>
                <w:color w:val="auto"/>
                <w:sz w:val="20"/>
                <w:szCs w:val="20"/>
              </w:rPr>
              <w:t>- investigating the potential for existing, enhanced projects to contribute to Basin Plan outcomes.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9ACED8"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FE3C76" w14:textId="75D37CFB"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0581738C" w14:textId="77777777" w:rsidTr="00EF4CDB">
        <w:tc>
          <w:tcPr>
            <w:tcW w:w="1560" w:type="dxa"/>
            <w:vMerge/>
            <w:tcBorders>
              <w:left w:val="single" w:sz="8" w:space="0" w:color="4F81BD"/>
              <w:right w:val="single" w:sz="8" w:space="0" w:color="4F81BD"/>
            </w:tcBorders>
            <w:shd w:val="clear" w:color="auto" w:fill="F2F2F2" w:themeFill="background1" w:themeFillShade="F2"/>
          </w:tcPr>
          <w:p w14:paraId="0C40C86C" w14:textId="77777777" w:rsidR="00EF4CDB" w:rsidRPr="00DA6A97" w:rsidRDefault="00EF4CDB" w:rsidP="00EF4CD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2C55A1F0"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C3251B2" w14:textId="7C288F7D" w:rsidR="00EF4CDB" w:rsidRPr="00DA6A97" w:rsidRDefault="004A0DD9" w:rsidP="00EF4CDB">
            <w:pPr>
              <w:pStyle w:val="Tableformat"/>
              <w:rPr>
                <w:bCs/>
                <w:color w:val="auto"/>
                <w:sz w:val="20"/>
                <w:szCs w:val="20"/>
              </w:rPr>
            </w:pPr>
            <w:r>
              <w:rPr>
                <w:bCs/>
                <w:color w:val="auto"/>
                <w:sz w:val="20"/>
                <w:szCs w:val="20"/>
              </w:rPr>
              <w:t>4</w:t>
            </w:r>
            <w:r w:rsidR="00EF4CDB" w:rsidRPr="008773F1">
              <w:rPr>
                <w:bCs/>
                <w:color w:val="auto"/>
                <w:sz w:val="20"/>
                <w:szCs w:val="20"/>
              </w:rPr>
              <w:t>.b Identify, develop and progress required changes to the River Murray Operations Framework and Murray-Darling Basin Agreement. Any changes are to be agreed by all jurisdictions</w:t>
            </w:r>
            <w:r w:rsidR="00EF4CDB"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750DE0"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A24016" w14:textId="2981CB6C"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77B1664F" w14:textId="77777777" w:rsidTr="00EF4CDB">
        <w:tc>
          <w:tcPr>
            <w:tcW w:w="1560" w:type="dxa"/>
            <w:vMerge/>
            <w:tcBorders>
              <w:left w:val="single" w:sz="8" w:space="0" w:color="4F81BD"/>
              <w:right w:val="single" w:sz="8" w:space="0" w:color="4F81BD"/>
            </w:tcBorders>
            <w:shd w:val="clear" w:color="auto" w:fill="F2F2F2" w:themeFill="background1" w:themeFillShade="F2"/>
          </w:tcPr>
          <w:p w14:paraId="523A7662" w14:textId="77777777" w:rsidR="00EF4CDB" w:rsidRPr="00DA6A97" w:rsidRDefault="00EF4CDB" w:rsidP="00EF4CD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7DC741B"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5EF5DE" w14:textId="742810DD" w:rsidR="00EF4CDB" w:rsidRPr="00DA6A97" w:rsidRDefault="004A0DD9" w:rsidP="00994719">
            <w:pPr>
              <w:pStyle w:val="Tableformat"/>
              <w:rPr>
                <w:bCs/>
                <w:color w:val="auto"/>
                <w:sz w:val="20"/>
                <w:szCs w:val="20"/>
              </w:rPr>
            </w:pPr>
            <w:r>
              <w:rPr>
                <w:bCs/>
                <w:color w:val="auto"/>
                <w:sz w:val="20"/>
                <w:szCs w:val="20"/>
              </w:rPr>
              <w:t>4</w:t>
            </w:r>
            <w:r w:rsidR="00EF4CDB" w:rsidRPr="008773F1">
              <w:rPr>
                <w:bCs/>
                <w:color w:val="auto"/>
                <w:sz w:val="20"/>
                <w:szCs w:val="20"/>
              </w:rPr>
              <w:t>.</w:t>
            </w:r>
            <w:r w:rsidR="00994719">
              <w:rPr>
                <w:bCs/>
                <w:color w:val="auto"/>
                <w:sz w:val="20"/>
                <w:szCs w:val="20"/>
              </w:rPr>
              <w:t>c</w:t>
            </w:r>
            <w:r w:rsidR="00EF4CDB" w:rsidRPr="008773F1">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EF4CDB" w:rsidRPr="00D57F7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0B191F"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CF7B14" w14:textId="1D866E74"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0C71E945" w14:textId="77777777" w:rsidTr="00EF4CDB">
        <w:tc>
          <w:tcPr>
            <w:tcW w:w="1560" w:type="dxa"/>
            <w:vMerge/>
            <w:tcBorders>
              <w:left w:val="single" w:sz="8" w:space="0" w:color="4F81BD"/>
              <w:right w:val="single" w:sz="8" w:space="0" w:color="4F81BD"/>
            </w:tcBorders>
            <w:shd w:val="clear" w:color="auto" w:fill="F2F2F2" w:themeFill="background1" w:themeFillShade="F2"/>
          </w:tcPr>
          <w:p w14:paraId="6ADC9ADF" w14:textId="77777777" w:rsidR="00EF4CDB" w:rsidRPr="00DA6A97" w:rsidRDefault="00EF4CDB" w:rsidP="00EF4CDB">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2C2E4E14" w14:textId="06CE554F" w:rsidR="00EF4CDB" w:rsidRPr="00DA6A97" w:rsidRDefault="00F55956">
            <w:pPr>
              <w:pStyle w:val="Tableformat"/>
              <w:rPr>
                <w:bCs/>
                <w:color w:val="auto"/>
                <w:sz w:val="20"/>
                <w:szCs w:val="20"/>
              </w:rPr>
            </w:pPr>
            <w:r>
              <w:rPr>
                <w:bCs/>
                <w:color w:val="auto"/>
                <w:sz w:val="20"/>
                <w:szCs w:val="20"/>
              </w:rPr>
              <w:t>5</w:t>
            </w:r>
            <w:r w:rsidR="00EF4CDB">
              <w:rPr>
                <w:bCs/>
                <w:color w:val="auto"/>
                <w:sz w:val="20"/>
                <w:szCs w:val="20"/>
              </w:rPr>
              <w:t>. Contribute to delivery of</w:t>
            </w:r>
            <w:r w:rsidR="00EF4CDB" w:rsidRPr="00DA6A97">
              <w:rPr>
                <w:bCs/>
                <w:color w:val="auto"/>
                <w:sz w:val="20"/>
                <w:szCs w:val="20"/>
              </w:rPr>
              <w:t xml:space="preserve"> the MDBA-led SDL Accounting Framework Improvement Strategy 2020-25 </w:t>
            </w:r>
            <w:r w:rsidR="007C3B81" w:rsidRPr="00DA6A97">
              <w:rPr>
                <w:bCs/>
                <w:color w:val="auto"/>
                <w:sz w:val="20"/>
                <w:szCs w:val="20"/>
              </w:rPr>
              <w:t>work plan</w:t>
            </w:r>
            <w:r w:rsidR="00EF4CDB" w:rsidRPr="00DA6A97">
              <w:rPr>
                <w:bCs/>
                <w:color w:val="auto"/>
                <w:sz w:val="20"/>
                <w:szCs w:val="20"/>
              </w:rPr>
              <w:t>, including supplying data and quality assurance documentation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7632DB" w14:textId="3FC3390B" w:rsidR="00EF4CDB" w:rsidRPr="00DA6A97" w:rsidRDefault="00F55956">
            <w:pPr>
              <w:pStyle w:val="Tableformat"/>
              <w:rPr>
                <w:bCs/>
                <w:color w:val="auto"/>
                <w:sz w:val="20"/>
                <w:szCs w:val="20"/>
              </w:rPr>
            </w:pPr>
            <w:r>
              <w:rPr>
                <w:bCs/>
                <w:color w:val="auto"/>
                <w:sz w:val="20"/>
                <w:szCs w:val="20"/>
              </w:rPr>
              <w:t>5</w:t>
            </w:r>
            <w:r w:rsidR="00EF4CDB" w:rsidRPr="008773F1">
              <w:rPr>
                <w:bCs/>
                <w:color w:val="auto"/>
                <w:sz w:val="20"/>
                <w:szCs w:val="20"/>
              </w:rPr>
              <w:t xml:space="preserve">.a Contribute to developing a </w:t>
            </w:r>
            <w:r w:rsidR="007C3B81" w:rsidRPr="008773F1">
              <w:rPr>
                <w:bCs/>
                <w:color w:val="auto"/>
                <w:sz w:val="20"/>
                <w:szCs w:val="20"/>
              </w:rPr>
              <w:t>work plan</w:t>
            </w:r>
            <w:r w:rsidR="00EF4CDB" w:rsidRPr="008773F1">
              <w:rPr>
                <w:bCs/>
                <w:color w:val="auto"/>
                <w:sz w:val="20"/>
                <w:szCs w:val="20"/>
              </w:rPr>
              <w:t xml:space="preserve"> to implement the SDL Accounting Framework Improvement Strategy 2020-25, led by the MDBA and agreed by BOC Alternates</w:t>
            </w:r>
            <w:r w:rsidR="00EF4CDB"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89AA03"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4C269C" w14:textId="53C77130"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5D280C72" w14:textId="77777777" w:rsidTr="00EF4CDB">
        <w:tc>
          <w:tcPr>
            <w:tcW w:w="1560" w:type="dxa"/>
            <w:vMerge/>
            <w:tcBorders>
              <w:left w:val="single" w:sz="8" w:space="0" w:color="4F81BD"/>
              <w:right w:val="single" w:sz="8" w:space="0" w:color="4F81BD"/>
            </w:tcBorders>
            <w:shd w:val="clear" w:color="auto" w:fill="F2F2F2" w:themeFill="background1" w:themeFillShade="F2"/>
          </w:tcPr>
          <w:p w14:paraId="090EB132" w14:textId="77777777" w:rsidR="00EF4CDB" w:rsidRPr="00DA6A97" w:rsidRDefault="00EF4CDB" w:rsidP="00EF4CD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13B07653"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B8199A" w14:textId="3AD4FA13" w:rsidR="00EF4CDB" w:rsidRPr="00DA6A97" w:rsidRDefault="00F55956">
            <w:pPr>
              <w:pStyle w:val="Tableformat"/>
              <w:rPr>
                <w:bCs/>
                <w:color w:val="auto"/>
                <w:sz w:val="20"/>
                <w:szCs w:val="20"/>
              </w:rPr>
            </w:pPr>
            <w:r>
              <w:rPr>
                <w:bCs/>
                <w:color w:val="auto"/>
                <w:sz w:val="20"/>
                <w:szCs w:val="20"/>
              </w:rPr>
              <w:t>5</w:t>
            </w:r>
            <w:r w:rsidR="00EF4CDB" w:rsidRPr="008773F1">
              <w:rPr>
                <w:bCs/>
                <w:color w:val="auto"/>
                <w:sz w:val="20"/>
                <w:szCs w:val="20"/>
              </w:rPr>
              <w:t xml:space="preserve">.b Implement the SDL Accounting Framework Improvement Strategy </w:t>
            </w:r>
            <w:r w:rsidR="007C3B81" w:rsidRPr="008773F1">
              <w:rPr>
                <w:bCs/>
                <w:color w:val="auto"/>
                <w:sz w:val="20"/>
                <w:szCs w:val="20"/>
              </w:rPr>
              <w:t>work plan</w:t>
            </w:r>
            <w:r w:rsidR="00EF4CDB" w:rsidRPr="008773F1">
              <w:rPr>
                <w:bCs/>
                <w:color w:val="auto"/>
                <w:sz w:val="20"/>
                <w:szCs w:val="20"/>
              </w:rPr>
              <w:t xml:space="preserve"> led by the MDBA, as relevant to the jurisdictio</w:t>
            </w:r>
            <w:r w:rsidR="00EF4CDB">
              <w:rPr>
                <w:bCs/>
                <w:color w:val="auto"/>
                <w:sz w:val="20"/>
                <w:szCs w:val="20"/>
              </w:rPr>
              <w:t>n</w:t>
            </w:r>
            <w:r w:rsidR="00EF4CDB"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BB25C6"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A50E72" w14:textId="43DA615D"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778D6A6B" w14:textId="77777777" w:rsidTr="00EF4CDB">
        <w:tc>
          <w:tcPr>
            <w:tcW w:w="1560" w:type="dxa"/>
            <w:vMerge/>
            <w:tcBorders>
              <w:left w:val="single" w:sz="8" w:space="0" w:color="4F81BD"/>
              <w:right w:val="single" w:sz="8" w:space="0" w:color="4F81BD"/>
            </w:tcBorders>
            <w:shd w:val="clear" w:color="auto" w:fill="F2F2F2" w:themeFill="background1" w:themeFillShade="F2"/>
          </w:tcPr>
          <w:p w14:paraId="647253DE" w14:textId="77777777" w:rsidR="00EF4CDB" w:rsidRPr="00DA6A97" w:rsidRDefault="00EF4CDB" w:rsidP="00EF4CDB">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1085F6A" w14:textId="3624D4F1" w:rsidR="00EF4CDB" w:rsidRPr="00DA6A97" w:rsidRDefault="00F55956">
            <w:pPr>
              <w:pStyle w:val="Tableformat"/>
              <w:rPr>
                <w:bCs/>
                <w:color w:val="auto"/>
                <w:sz w:val="20"/>
                <w:szCs w:val="20"/>
              </w:rPr>
            </w:pPr>
            <w:r>
              <w:rPr>
                <w:bCs/>
                <w:color w:val="auto"/>
                <w:sz w:val="20"/>
                <w:szCs w:val="20"/>
              </w:rPr>
              <w:t>6</w:t>
            </w:r>
            <w:r w:rsidR="00EF4CDB">
              <w:rPr>
                <w:bCs/>
                <w:color w:val="auto"/>
                <w:sz w:val="20"/>
                <w:szCs w:val="20"/>
              </w:rPr>
              <w:t xml:space="preserve">. </w:t>
            </w:r>
            <w:r w:rsidR="00EF4CDB" w:rsidRPr="00DA6A97">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413157" w14:textId="1CEA6070" w:rsidR="00EF4CDB" w:rsidRPr="00DA6A97" w:rsidRDefault="00F55956">
            <w:pPr>
              <w:pStyle w:val="Tableformat"/>
              <w:rPr>
                <w:bCs/>
                <w:color w:val="auto"/>
                <w:sz w:val="20"/>
                <w:szCs w:val="20"/>
              </w:rPr>
            </w:pPr>
            <w:r>
              <w:rPr>
                <w:bCs/>
                <w:color w:val="auto"/>
                <w:sz w:val="20"/>
                <w:szCs w:val="20"/>
              </w:rPr>
              <w:t>6</w:t>
            </w:r>
            <w:r w:rsidR="00EF4CDB" w:rsidRPr="008773F1">
              <w:rPr>
                <w:bCs/>
                <w:color w:val="auto"/>
                <w:sz w:val="20"/>
                <w:szCs w:val="20"/>
              </w:rPr>
              <w:t>.a Submit amendments to WRPs to the Commonwealth for approval where state water planning frameworks in WRPs become inconsistent with the Basin Plan</w:t>
            </w:r>
            <w:r w:rsidR="00EF4CDB"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0E8331"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CBA533" w14:textId="4ED70221"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4B9BBE3B" w14:textId="77777777" w:rsidTr="00EF4CDB">
        <w:tc>
          <w:tcPr>
            <w:tcW w:w="1560" w:type="dxa"/>
            <w:vMerge/>
            <w:tcBorders>
              <w:left w:val="single" w:sz="8" w:space="0" w:color="4F81BD"/>
              <w:right w:val="single" w:sz="8" w:space="0" w:color="4F81BD"/>
            </w:tcBorders>
            <w:shd w:val="clear" w:color="auto" w:fill="F2F2F2" w:themeFill="background1" w:themeFillShade="F2"/>
          </w:tcPr>
          <w:p w14:paraId="0738835C" w14:textId="77777777" w:rsidR="00EF4CDB" w:rsidRPr="00DA6A97" w:rsidRDefault="00EF4CDB" w:rsidP="00EF4CDB">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1E1416E6" w14:textId="34836CFF" w:rsidR="00EF4CDB" w:rsidRPr="00DA6A97" w:rsidRDefault="00F55956">
            <w:pPr>
              <w:pStyle w:val="Tableformat"/>
              <w:rPr>
                <w:bCs/>
                <w:color w:val="auto"/>
                <w:sz w:val="20"/>
                <w:szCs w:val="20"/>
              </w:rPr>
            </w:pPr>
            <w:r>
              <w:rPr>
                <w:bCs/>
                <w:color w:val="auto"/>
                <w:sz w:val="20"/>
                <w:szCs w:val="20"/>
              </w:rPr>
              <w:t>7</w:t>
            </w:r>
            <w:r w:rsidR="00EF4CDB">
              <w:rPr>
                <w:bCs/>
                <w:color w:val="auto"/>
                <w:sz w:val="20"/>
                <w:szCs w:val="20"/>
              </w:rPr>
              <w:t xml:space="preserve">. </w:t>
            </w:r>
            <w:r w:rsidR="00EF4CDB" w:rsidRPr="00DA6A97">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BF2B0F" w14:textId="65BB8437" w:rsidR="00EF4CDB" w:rsidRPr="00DA6A97" w:rsidRDefault="00F55956">
            <w:pPr>
              <w:pStyle w:val="Tableformat"/>
              <w:rPr>
                <w:bCs/>
                <w:color w:val="auto"/>
                <w:sz w:val="20"/>
                <w:szCs w:val="20"/>
              </w:rPr>
            </w:pPr>
            <w:r>
              <w:rPr>
                <w:bCs/>
                <w:color w:val="auto"/>
                <w:sz w:val="20"/>
                <w:szCs w:val="20"/>
              </w:rPr>
              <w:t>7</w:t>
            </w:r>
            <w:r w:rsidR="00EF4CDB">
              <w:rPr>
                <w:bCs/>
                <w:color w:val="auto"/>
                <w:sz w:val="20"/>
                <w:szCs w:val="20"/>
              </w:rPr>
              <w:t xml:space="preserve">.a </w:t>
            </w:r>
            <w:r w:rsidR="00EF4CDB" w:rsidRPr="00DA6A97">
              <w:rPr>
                <w:bCs/>
                <w:color w:val="auto"/>
                <w:sz w:val="20"/>
                <w:szCs w:val="20"/>
              </w:rPr>
              <w:t>Deliver Basin Plan reporting under Schedule 12, including reporting under Matters 8, 12, 18 and 19</w:t>
            </w:r>
            <w:r w:rsidR="00651BDF">
              <w:rPr>
                <w:bCs/>
                <w:color w:val="auto"/>
                <w:sz w:val="20"/>
                <w:szCs w:val="20"/>
              </w:rPr>
              <w:t xml:space="preserve"> and 21 (compliance with water resource plans, such as but not limited to Parts 4, 6, 14)</w:t>
            </w:r>
            <w:r w:rsidR="00EF4CDB"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E38616"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9BD734" w14:textId="65CC2AB0" w:rsidR="00EF4CDB" w:rsidRPr="00DA6A97" w:rsidRDefault="00EF4CDB">
            <w:pPr>
              <w:pStyle w:val="Tableformat"/>
              <w:rPr>
                <w:bCs/>
                <w:color w:val="auto"/>
                <w:sz w:val="20"/>
                <w:szCs w:val="20"/>
              </w:rPr>
            </w:pPr>
            <w:r>
              <w:rPr>
                <w:bCs/>
                <w:color w:val="auto"/>
                <w:sz w:val="20"/>
                <w:szCs w:val="20"/>
              </w:rPr>
              <w:t>$</w:t>
            </w:r>
            <w:r w:rsidR="00B34863">
              <w:rPr>
                <w:bCs/>
                <w:color w:val="auto"/>
                <w:sz w:val="20"/>
                <w:szCs w:val="20"/>
              </w:rPr>
              <w:t>149,040</w:t>
            </w:r>
          </w:p>
        </w:tc>
      </w:tr>
      <w:tr w:rsidR="00EF4CDB" w:rsidRPr="00DA6A97" w14:paraId="1C58AE6C" w14:textId="77777777" w:rsidTr="00EF4CDB">
        <w:tc>
          <w:tcPr>
            <w:tcW w:w="1560" w:type="dxa"/>
            <w:vMerge/>
            <w:tcBorders>
              <w:left w:val="single" w:sz="8" w:space="0" w:color="4F81BD"/>
              <w:right w:val="single" w:sz="8" w:space="0" w:color="4F81BD"/>
            </w:tcBorders>
            <w:shd w:val="clear" w:color="auto" w:fill="F2F2F2" w:themeFill="background1" w:themeFillShade="F2"/>
          </w:tcPr>
          <w:p w14:paraId="30DDBD31" w14:textId="77777777" w:rsidR="00EF4CDB" w:rsidRPr="00DA6A97" w:rsidRDefault="00EF4CDB" w:rsidP="00EF4CD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45AFDFE2"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2CCE33" w14:textId="214C9A3E" w:rsidR="00EF4CDB" w:rsidRPr="00DA6A97" w:rsidRDefault="00F55956">
            <w:pPr>
              <w:pStyle w:val="Tableformat"/>
              <w:rPr>
                <w:bCs/>
                <w:color w:val="auto"/>
                <w:sz w:val="20"/>
                <w:szCs w:val="20"/>
              </w:rPr>
            </w:pPr>
            <w:r>
              <w:rPr>
                <w:bCs/>
                <w:color w:val="auto"/>
                <w:sz w:val="20"/>
                <w:szCs w:val="20"/>
              </w:rPr>
              <w:t>7</w:t>
            </w:r>
            <w:r w:rsidR="00EF4CDB">
              <w:rPr>
                <w:bCs/>
                <w:color w:val="auto"/>
                <w:sz w:val="20"/>
                <w:szCs w:val="20"/>
              </w:rPr>
              <w:t xml:space="preserve">.b </w:t>
            </w:r>
            <w:r w:rsidR="00EF4CDB" w:rsidRPr="00DA6A97">
              <w:rPr>
                <w:bCs/>
                <w:color w:val="auto"/>
                <w:sz w:val="20"/>
                <w:szCs w:val="20"/>
              </w:rPr>
              <w:t>Deliver on</w:t>
            </w:r>
            <w:r w:rsidR="00EF4CDB">
              <w:rPr>
                <w:bCs/>
                <w:color w:val="auto"/>
                <w:sz w:val="20"/>
                <w:szCs w:val="20"/>
              </w:rPr>
              <w:t xml:space="preserve"> agreed</w:t>
            </w:r>
            <w:r w:rsidR="00EF4CDB" w:rsidRPr="00DA6A97">
              <w:rPr>
                <w:bCs/>
                <w:color w:val="auto"/>
                <w:sz w:val="20"/>
                <w:szCs w:val="20"/>
              </w:rPr>
              <w:t xml:space="preserve"> strategic activities under the Basin Monitoring Evaluation and Reporting Working Group annual </w:t>
            </w:r>
            <w:r w:rsidR="007C3B81" w:rsidRPr="00DA6A97">
              <w:rPr>
                <w:bCs/>
                <w:color w:val="auto"/>
                <w:sz w:val="20"/>
                <w:szCs w:val="20"/>
              </w:rPr>
              <w:t>work plan</w:t>
            </w:r>
            <w:r w:rsidR="00EF4CDB" w:rsidRPr="00DA6A97">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EF3FFC"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768EFF" w14:textId="12C60F2C" w:rsidR="00EF4CDB" w:rsidRPr="00DA6A97" w:rsidRDefault="00EF4CDB">
            <w:pPr>
              <w:pStyle w:val="Tableformat"/>
              <w:rPr>
                <w:bCs/>
                <w:color w:val="auto"/>
                <w:sz w:val="20"/>
                <w:szCs w:val="20"/>
              </w:rPr>
            </w:pPr>
            <w:r>
              <w:rPr>
                <w:bCs/>
                <w:color w:val="auto"/>
                <w:sz w:val="20"/>
                <w:szCs w:val="20"/>
              </w:rPr>
              <w:t>$</w:t>
            </w:r>
            <w:r w:rsidR="00B34863">
              <w:rPr>
                <w:bCs/>
                <w:color w:val="auto"/>
                <w:sz w:val="20"/>
                <w:szCs w:val="20"/>
              </w:rPr>
              <w:t>149,040</w:t>
            </w:r>
          </w:p>
        </w:tc>
      </w:tr>
      <w:tr w:rsidR="00EF4CDB" w:rsidRPr="00DA6A97" w14:paraId="0E59203F" w14:textId="77777777" w:rsidTr="00EF4CDB">
        <w:tc>
          <w:tcPr>
            <w:tcW w:w="1560" w:type="dxa"/>
            <w:tcBorders>
              <w:top w:val="single" w:sz="8" w:space="0" w:color="4F81BD"/>
              <w:left w:val="single" w:sz="8" w:space="0" w:color="4F81BD"/>
              <w:right w:val="single" w:sz="8" w:space="0" w:color="4F81BD"/>
            </w:tcBorders>
            <w:shd w:val="clear" w:color="auto" w:fill="F2F2F2" w:themeFill="background1" w:themeFillShade="F2"/>
          </w:tcPr>
          <w:p w14:paraId="52597F27" w14:textId="77777777" w:rsidR="00EF4CDB" w:rsidRPr="00DA6A97" w:rsidRDefault="00EF4CDB" w:rsidP="00EF4CDB">
            <w:pPr>
              <w:pStyle w:val="Tableformat"/>
              <w:rPr>
                <w:bCs/>
                <w:color w:val="auto"/>
                <w:sz w:val="20"/>
                <w:szCs w:val="20"/>
              </w:rPr>
            </w:pPr>
            <w:r w:rsidRPr="00DA6A97">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6FDDEC" w14:textId="77DA0F63" w:rsidR="00EF4CDB" w:rsidRPr="00DA6A97" w:rsidRDefault="00F55956">
            <w:pPr>
              <w:pStyle w:val="Tableformat"/>
              <w:rPr>
                <w:bCs/>
                <w:color w:val="auto"/>
                <w:sz w:val="20"/>
                <w:szCs w:val="20"/>
              </w:rPr>
            </w:pPr>
            <w:r>
              <w:rPr>
                <w:bCs/>
                <w:color w:val="auto"/>
                <w:sz w:val="20"/>
                <w:szCs w:val="20"/>
              </w:rPr>
              <w:t>8</w:t>
            </w:r>
            <w:r w:rsidR="00EF4CDB">
              <w:rPr>
                <w:bCs/>
                <w:color w:val="auto"/>
                <w:sz w:val="20"/>
                <w:szCs w:val="20"/>
              </w:rPr>
              <w:t xml:space="preserve">. </w:t>
            </w:r>
            <w:r w:rsidR="00EF4CDB" w:rsidRPr="00DA6A97">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A19002" w14:textId="5CDB3833" w:rsidR="00EF4CDB" w:rsidRPr="00DA6A97" w:rsidRDefault="00F55956">
            <w:pPr>
              <w:pStyle w:val="Tableformat"/>
              <w:rPr>
                <w:bCs/>
                <w:color w:val="auto"/>
                <w:sz w:val="20"/>
                <w:szCs w:val="20"/>
              </w:rPr>
            </w:pPr>
            <w:r>
              <w:rPr>
                <w:bCs/>
                <w:color w:val="auto"/>
                <w:sz w:val="20"/>
                <w:szCs w:val="20"/>
              </w:rPr>
              <w:t>8</w:t>
            </w:r>
            <w:r w:rsidR="00EF4CDB" w:rsidRPr="008773F1">
              <w:rPr>
                <w:bCs/>
                <w:color w:val="auto"/>
                <w:sz w:val="20"/>
                <w:szCs w:val="20"/>
              </w:rPr>
              <w:t>.a Contribute to the development of a road map for Murray-Darling Basin water market reform in response to the ACCC repor</w:t>
            </w:r>
            <w:r w:rsidR="00EF4CDB">
              <w:rPr>
                <w:bCs/>
                <w:color w:val="auto"/>
                <w:sz w:val="20"/>
                <w:szCs w:val="20"/>
              </w:rPr>
              <w:t>t</w:t>
            </w:r>
            <w:r w:rsidR="00EF4CDB"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1E7E6F"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E53CC4" w14:textId="2E458804"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608D7433"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0C36B9E0" w14:textId="77777777" w:rsidR="00EF4CDB" w:rsidRPr="00DA6A97" w:rsidRDefault="00EF4CDB" w:rsidP="00EF4CDB">
            <w:pPr>
              <w:pStyle w:val="Tableformat"/>
              <w:rPr>
                <w:bCs/>
                <w:color w:val="auto"/>
                <w:sz w:val="20"/>
                <w:szCs w:val="20"/>
              </w:rPr>
            </w:pPr>
            <w:r w:rsidRPr="00DA6A97">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858790" w14:textId="05DFB881" w:rsidR="00EF4CDB" w:rsidRPr="00DA6A97" w:rsidRDefault="00F55956">
            <w:pPr>
              <w:pStyle w:val="Tableformat"/>
              <w:rPr>
                <w:bCs/>
                <w:color w:val="auto"/>
                <w:sz w:val="20"/>
                <w:szCs w:val="20"/>
              </w:rPr>
            </w:pPr>
            <w:r>
              <w:rPr>
                <w:bCs/>
                <w:color w:val="auto"/>
                <w:sz w:val="20"/>
                <w:szCs w:val="20"/>
              </w:rPr>
              <w:t>9</w:t>
            </w:r>
            <w:r w:rsidR="00EF4CDB">
              <w:rPr>
                <w:bCs/>
                <w:color w:val="auto"/>
                <w:sz w:val="20"/>
                <w:szCs w:val="20"/>
              </w:rPr>
              <w:t xml:space="preserve">. </w:t>
            </w:r>
            <w:r w:rsidR="00EF4CDB" w:rsidRPr="00DA6A97">
              <w:rPr>
                <w:bCs/>
                <w:color w:val="auto"/>
                <w:sz w:val="20"/>
                <w:szCs w:val="20"/>
              </w:rPr>
              <w:t xml:space="preserve">Implement revised Metrological Assurance Framework (MAF2)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AE7A33" w14:textId="45FC2052" w:rsidR="00EF4CDB" w:rsidRPr="00DA6A97" w:rsidRDefault="00F55956">
            <w:pPr>
              <w:pStyle w:val="Tableformat"/>
              <w:rPr>
                <w:bCs/>
                <w:color w:val="auto"/>
                <w:sz w:val="20"/>
                <w:szCs w:val="20"/>
              </w:rPr>
            </w:pPr>
            <w:r>
              <w:rPr>
                <w:bCs/>
                <w:color w:val="auto"/>
                <w:sz w:val="20"/>
                <w:szCs w:val="20"/>
              </w:rPr>
              <w:t>9</w:t>
            </w:r>
            <w:r w:rsidR="00EF4CDB" w:rsidRPr="008773F1">
              <w:rPr>
                <w:bCs/>
                <w:color w:val="auto"/>
                <w:sz w:val="20"/>
                <w:szCs w:val="20"/>
              </w:rPr>
              <w:t>.a Develop an implementation plan that integrates MAF2 requirements into the state’s metering compliance plan/policy</w:t>
            </w:r>
            <w:r w:rsidR="00EF4CDB"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92DD08"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3641F6" w14:textId="0DBC7890"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45FD5943" w14:textId="77777777" w:rsidTr="00EF4CDB">
        <w:tc>
          <w:tcPr>
            <w:tcW w:w="1560" w:type="dxa"/>
            <w:vMerge/>
            <w:tcBorders>
              <w:left w:val="single" w:sz="8" w:space="0" w:color="4F81BD"/>
              <w:right w:val="single" w:sz="8" w:space="0" w:color="4F81BD"/>
            </w:tcBorders>
            <w:shd w:val="clear" w:color="auto" w:fill="F2F2F2" w:themeFill="background1" w:themeFillShade="F2"/>
          </w:tcPr>
          <w:p w14:paraId="2DAFAFDB" w14:textId="77777777" w:rsidR="00EF4CDB" w:rsidRPr="00DA6A97" w:rsidRDefault="00EF4CDB" w:rsidP="00EF4CDB">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47FA2A8B" w14:textId="26163D44" w:rsidR="00EF4CDB" w:rsidRPr="00DA6A97" w:rsidRDefault="00F55956">
            <w:pPr>
              <w:pStyle w:val="Tableformat"/>
              <w:rPr>
                <w:bCs/>
                <w:color w:val="auto"/>
                <w:sz w:val="20"/>
                <w:szCs w:val="20"/>
              </w:rPr>
            </w:pPr>
            <w:r>
              <w:rPr>
                <w:bCs/>
                <w:color w:val="auto"/>
                <w:sz w:val="20"/>
                <w:szCs w:val="20"/>
              </w:rPr>
              <w:t>10</w:t>
            </w:r>
            <w:r w:rsidR="00EF4CDB">
              <w:rPr>
                <w:bCs/>
                <w:color w:val="auto"/>
                <w:sz w:val="20"/>
                <w:szCs w:val="20"/>
              </w:rPr>
              <w:t xml:space="preserve">. </w:t>
            </w:r>
            <w:r w:rsidR="00EF4CDB" w:rsidRPr="004D3DF8">
              <w:rPr>
                <w:bCs/>
                <w:color w:val="auto"/>
                <w:sz w:val="20"/>
                <w:szCs w:val="20"/>
              </w:rPr>
              <w:t>Work with the Inspector General of Water Compliance (IGWC) to provide clear compliance arrangements and reporting in the Murray</w:t>
            </w:r>
            <w:r w:rsidR="00EF4CDB">
              <w:rPr>
                <w:bCs/>
                <w:color w:val="auto"/>
                <w:sz w:val="20"/>
                <w:szCs w:val="20"/>
              </w:rPr>
              <w:t>–</w:t>
            </w:r>
            <w:r w:rsidR="00EF4CDB" w:rsidRPr="004D3DF8">
              <w:rPr>
                <w:bCs/>
                <w:color w:val="auto"/>
                <w:sz w:val="20"/>
                <w:szCs w:val="20"/>
              </w:rPr>
              <w:t>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3EE2FF" w14:textId="2E5C6824" w:rsidR="00EF4CDB" w:rsidRPr="00DA6A97" w:rsidRDefault="00F55956">
            <w:pPr>
              <w:pStyle w:val="Tableformat"/>
              <w:rPr>
                <w:bCs/>
                <w:color w:val="auto"/>
                <w:sz w:val="20"/>
                <w:szCs w:val="20"/>
              </w:rPr>
            </w:pPr>
            <w:r>
              <w:rPr>
                <w:bCs/>
                <w:color w:val="auto"/>
                <w:sz w:val="20"/>
                <w:szCs w:val="20"/>
              </w:rPr>
              <w:t>10</w:t>
            </w:r>
            <w:r w:rsidR="00EF4CDB" w:rsidRPr="008773F1">
              <w:rPr>
                <w:bCs/>
                <w:color w:val="auto"/>
                <w:sz w:val="20"/>
                <w:szCs w:val="20"/>
              </w:rPr>
              <w:t>.a Contribute to the establishment of MoUs and/or protocols with the IGWC where relevant to the jurisdiction</w:t>
            </w:r>
            <w:r w:rsidR="00EF4CDB"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973BEE"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E31DDD" w14:textId="0367924D" w:rsidR="00EF4CDB" w:rsidRPr="00DA6A97" w:rsidRDefault="00EF4CDB" w:rsidP="00EF4CDB">
            <w:pPr>
              <w:pStyle w:val="Tableformat"/>
              <w:rPr>
                <w:bCs/>
                <w:color w:val="auto"/>
                <w:sz w:val="20"/>
                <w:szCs w:val="20"/>
              </w:rPr>
            </w:pPr>
            <w:r>
              <w:rPr>
                <w:bCs/>
                <w:color w:val="auto"/>
                <w:sz w:val="20"/>
                <w:szCs w:val="20"/>
              </w:rPr>
              <w:t>$74,520</w:t>
            </w:r>
          </w:p>
        </w:tc>
      </w:tr>
      <w:tr w:rsidR="00EF4CDB" w:rsidRPr="00DA6A97" w14:paraId="48FF5233" w14:textId="77777777" w:rsidTr="00EF4CDB">
        <w:tc>
          <w:tcPr>
            <w:tcW w:w="1560" w:type="dxa"/>
            <w:vMerge/>
            <w:tcBorders>
              <w:left w:val="single" w:sz="8" w:space="0" w:color="4F81BD"/>
              <w:right w:val="single" w:sz="8" w:space="0" w:color="4F81BD"/>
            </w:tcBorders>
            <w:shd w:val="clear" w:color="auto" w:fill="F2F2F2" w:themeFill="background1" w:themeFillShade="F2"/>
          </w:tcPr>
          <w:p w14:paraId="23563F1A" w14:textId="77777777" w:rsidR="00EF4CDB" w:rsidRPr="00DA6A97" w:rsidRDefault="00EF4CDB" w:rsidP="00EF4CD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3EBF812B"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CB155A" w14:textId="5D31F8DA" w:rsidR="00EF4CDB" w:rsidRPr="00DA6A97" w:rsidRDefault="00F55956">
            <w:pPr>
              <w:pStyle w:val="Tableformat"/>
              <w:rPr>
                <w:bCs/>
                <w:color w:val="auto"/>
                <w:sz w:val="20"/>
                <w:szCs w:val="20"/>
              </w:rPr>
            </w:pPr>
            <w:r>
              <w:rPr>
                <w:bCs/>
                <w:color w:val="auto"/>
                <w:sz w:val="20"/>
                <w:szCs w:val="20"/>
              </w:rPr>
              <w:t>10</w:t>
            </w:r>
            <w:r w:rsidR="00EF4CDB" w:rsidRPr="008773F1">
              <w:rPr>
                <w:bCs/>
                <w:color w:val="auto"/>
                <w:sz w:val="20"/>
                <w:szCs w:val="20"/>
              </w:rPr>
              <w:t>.b Provide input to the IGWC on the development of standards and guidelines</w:t>
            </w:r>
            <w:r w:rsidR="00EF4CDB"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FF0985"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1CF567" w14:textId="1A7536B7" w:rsidR="00EF4CDB" w:rsidRPr="00DA6A97" w:rsidRDefault="00EF4CDB" w:rsidP="00EF4CDB">
            <w:pPr>
              <w:pStyle w:val="Tableformat"/>
              <w:rPr>
                <w:bCs/>
                <w:color w:val="auto"/>
                <w:sz w:val="20"/>
                <w:szCs w:val="20"/>
              </w:rPr>
            </w:pPr>
            <w:r>
              <w:rPr>
                <w:bCs/>
                <w:color w:val="auto"/>
                <w:sz w:val="20"/>
                <w:szCs w:val="20"/>
              </w:rPr>
              <w:t>$74,520</w:t>
            </w:r>
          </w:p>
        </w:tc>
      </w:tr>
      <w:tr w:rsidR="00EF4CDB" w14:paraId="38854CD8" w14:textId="77777777" w:rsidTr="00EF4CDB">
        <w:tc>
          <w:tcPr>
            <w:tcW w:w="1560" w:type="dxa"/>
            <w:vMerge/>
            <w:tcBorders>
              <w:left w:val="single" w:sz="8" w:space="0" w:color="4F81BD"/>
              <w:right w:val="single" w:sz="8" w:space="0" w:color="4F81BD"/>
            </w:tcBorders>
            <w:shd w:val="clear" w:color="auto" w:fill="F2F2F2" w:themeFill="background1" w:themeFillShade="F2"/>
          </w:tcPr>
          <w:p w14:paraId="060149F2" w14:textId="77777777" w:rsidR="00EF4CDB" w:rsidRPr="00DA6A97" w:rsidRDefault="00EF4CDB" w:rsidP="00EF4CDB">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7A7E6D1A"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2C7462" w14:textId="577D935A" w:rsidR="00EF4CDB" w:rsidRPr="00DA6A97" w:rsidRDefault="00F55956">
            <w:pPr>
              <w:pStyle w:val="Tableformat"/>
              <w:rPr>
                <w:bCs/>
                <w:color w:val="auto"/>
                <w:sz w:val="20"/>
                <w:szCs w:val="20"/>
              </w:rPr>
            </w:pPr>
            <w:r>
              <w:rPr>
                <w:bCs/>
                <w:color w:val="auto"/>
                <w:sz w:val="20"/>
                <w:szCs w:val="20"/>
              </w:rPr>
              <w:t>10</w:t>
            </w:r>
            <w:r w:rsidR="00EF4CDB" w:rsidRPr="008773F1">
              <w:rPr>
                <w:bCs/>
                <w:color w:val="auto"/>
                <w:sz w:val="20"/>
                <w:szCs w:val="20"/>
              </w:rPr>
              <w:t>.c Report to the IGWC against MAF2 Chapter 15 at least annually or in accordance with IGWC guidelines</w:t>
            </w:r>
            <w:r w:rsidR="00EF4CDB"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79A9D8" w14:textId="77777777" w:rsidR="00EF4CDB"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759FEF" w14:textId="06FC2967" w:rsidR="00EF4CDB" w:rsidRDefault="00EF4CDB" w:rsidP="00EF4CDB">
            <w:pPr>
              <w:pStyle w:val="Tableformat"/>
              <w:rPr>
                <w:bCs/>
                <w:color w:val="auto"/>
                <w:sz w:val="20"/>
                <w:szCs w:val="20"/>
              </w:rPr>
            </w:pPr>
            <w:r>
              <w:rPr>
                <w:bCs/>
                <w:color w:val="auto"/>
                <w:sz w:val="20"/>
                <w:szCs w:val="20"/>
              </w:rPr>
              <w:t>$74,520</w:t>
            </w:r>
          </w:p>
        </w:tc>
      </w:tr>
      <w:tr w:rsidR="00EF4CDB" w14:paraId="79126A65" w14:textId="77777777" w:rsidTr="00EF4CDB">
        <w:tc>
          <w:tcPr>
            <w:tcW w:w="1560" w:type="dxa"/>
            <w:vMerge/>
            <w:tcBorders>
              <w:left w:val="single" w:sz="8" w:space="0" w:color="4F81BD"/>
              <w:right w:val="single" w:sz="8" w:space="0" w:color="4F81BD"/>
            </w:tcBorders>
            <w:shd w:val="clear" w:color="auto" w:fill="F2F2F2" w:themeFill="background1" w:themeFillShade="F2"/>
          </w:tcPr>
          <w:p w14:paraId="6CE1DD12" w14:textId="77777777" w:rsidR="00EF4CDB" w:rsidRPr="00DA6A97" w:rsidRDefault="00EF4CDB" w:rsidP="00EF4CD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FEAFD3E" w14:textId="77777777" w:rsidR="00EF4CDB" w:rsidRPr="00DA6A97" w:rsidRDefault="00EF4CDB" w:rsidP="00EF4CD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01F72F" w14:textId="701D47DF" w:rsidR="00EF4CDB" w:rsidRPr="008773F1" w:rsidRDefault="00F55956">
            <w:pPr>
              <w:pStyle w:val="Tableformat"/>
              <w:rPr>
                <w:bCs/>
                <w:color w:val="auto"/>
                <w:sz w:val="20"/>
                <w:szCs w:val="20"/>
              </w:rPr>
            </w:pPr>
            <w:r>
              <w:rPr>
                <w:bCs/>
                <w:color w:val="auto"/>
                <w:sz w:val="20"/>
                <w:szCs w:val="20"/>
              </w:rPr>
              <w:t>10</w:t>
            </w:r>
            <w:r w:rsidR="00EF4CDB" w:rsidRPr="008773F1">
              <w:rPr>
                <w:bCs/>
                <w:color w:val="auto"/>
                <w:sz w:val="20"/>
                <w:szCs w:val="20"/>
              </w:rPr>
              <w:t>.d 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74A0BE" w14:textId="77777777" w:rsidR="00EF4CDB"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474441" w14:textId="5F5B665C" w:rsidR="00EF4CDB" w:rsidRDefault="00EF4CDB" w:rsidP="00EF4CDB">
            <w:pPr>
              <w:pStyle w:val="Tableformat"/>
              <w:rPr>
                <w:bCs/>
                <w:color w:val="auto"/>
                <w:sz w:val="20"/>
                <w:szCs w:val="20"/>
              </w:rPr>
            </w:pPr>
            <w:r>
              <w:rPr>
                <w:bCs/>
                <w:color w:val="auto"/>
                <w:sz w:val="20"/>
                <w:szCs w:val="20"/>
              </w:rPr>
              <w:t>$74,520</w:t>
            </w:r>
          </w:p>
        </w:tc>
      </w:tr>
      <w:tr w:rsidR="00EF4CDB" w:rsidRPr="00DA6A97" w14:paraId="164C5DAF" w14:textId="77777777" w:rsidTr="00EF4CDB">
        <w:tc>
          <w:tcPr>
            <w:tcW w:w="1560" w:type="dxa"/>
            <w:vMerge/>
            <w:tcBorders>
              <w:left w:val="single" w:sz="8" w:space="0" w:color="4F81BD"/>
              <w:right w:val="single" w:sz="8" w:space="0" w:color="4F81BD"/>
            </w:tcBorders>
            <w:shd w:val="clear" w:color="auto" w:fill="F2F2F2" w:themeFill="background1" w:themeFillShade="F2"/>
          </w:tcPr>
          <w:p w14:paraId="52889D66" w14:textId="77777777" w:rsidR="00EF4CDB" w:rsidRPr="00DA6A97" w:rsidRDefault="00EF4CDB" w:rsidP="00EF4CDB">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5E0B43DF" w14:textId="795BCED5" w:rsidR="00EF4CDB" w:rsidRPr="00DA6A97" w:rsidRDefault="00F55956">
            <w:pPr>
              <w:pStyle w:val="Tableformat"/>
              <w:rPr>
                <w:bCs/>
                <w:color w:val="auto"/>
                <w:sz w:val="20"/>
                <w:szCs w:val="20"/>
              </w:rPr>
            </w:pPr>
            <w:r>
              <w:rPr>
                <w:bCs/>
                <w:color w:val="auto"/>
                <w:sz w:val="20"/>
                <w:szCs w:val="20"/>
              </w:rPr>
              <w:t>11</w:t>
            </w:r>
            <w:r w:rsidR="00EF4CDB">
              <w:rPr>
                <w:bCs/>
                <w:color w:val="auto"/>
                <w:sz w:val="20"/>
                <w:szCs w:val="20"/>
              </w:rPr>
              <w:t xml:space="preserve">. </w:t>
            </w:r>
            <w:r w:rsidR="00EF4CDB" w:rsidRPr="00DA6A97">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37987A" w14:textId="659B78CE" w:rsidR="00EF4CDB" w:rsidRPr="00DA6A97" w:rsidRDefault="00F55956">
            <w:pPr>
              <w:pStyle w:val="Tableformat"/>
              <w:rPr>
                <w:bCs/>
                <w:color w:val="auto"/>
                <w:sz w:val="20"/>
                <w:szCs w:val="20"/>
              </w:rPr>
            </w:pPr>
            <w:r>
              <w:rPr>
                <w:bCs/>
                <w:color w:val="auto"/>
                <w:sz w:val="20"/>
                <w:szCs w:val="20"/>
              </w:rPr>
              <w:t>11</w:t>
            </w:r>
            <w:r w:rsidR="00EF4CDB" w:rsidRPr="0085140F">
              <w:rPr>
                <w:bCs/>
                <w:color w:val="auto"/>
                <w:sz w:val="20"/>
                <w:szCs w:val="20"/>
              </w:rPr>
              <w:t>.a Develop a set of metrics to be used to communicate and report on water compliance performance and effort across the Basin</w:t>
            </w:r>
            <w:r w:rsidR="00EF4CDB" w:rsidRPr="007F24D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E171AF" w14:textId="77777777" w:rsidR="00EF4CDB" w:rsidRPr="00DA6A97"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FD34008" w14:textId="5F6276D5" w:rsidR="00EF4CDB" w:rsidRPr="00DA6A97" w:rsidRDefault="00EF4CDB" w:rsidP="00EF4CDB">
            <w:pPr>
              <w:pStyle w:val="Tableformat"/>
              <w:rPr>
                <w:bCs/>
                <w:color w:val="auto"/>
                <w:sz w:val="20"/>
                <w:szCs w:val="20"/>
              </w:rPr>
            </w:pPr>
            <w:r>
              <w:rPr>
                <w:bCs/>
                <w:color w:val="auto"/>
                <w:sz w:val="20"/>
                <w:szCs w:val="20"/>
              </w:rPr>
              <w:t>$74,520</w:t>
            </w:r>
          </w:p>
        </w:tc>
      </w:tr>
      <w:tr w:rsidR="00EF4CDB" w14:paraId="5B9A5C74" w14:textId="77777777" w:rsidTr="00EF4CDB">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0AB2AFE9" w14:textId="77777777" w:rsidR="00EF4CDB" w:rsidRPr="00DA6A97" w:rsidRDefault="00EF4CDB" w:rsidP="00EF4CDB">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132D01" w14:textId="10EA4D07" w:rsidR="00EF4CDB" w:rsidRPr="00DA6A97" w:rsidRDefault="00F55956">
            <w:pPr>
              <w:pStyle w:val="Tableformat"/>
              <w:rPr>
                <w:bCs/>
                <w:color w:val="auto"/>
                <w:sz w:val="20"/>
                <w:szCs w:val="20"/>
              </w:rPr>
            </w:pPr>
            <w:r>
              <w:rPr>
                <w:bCs/>
                <w:color w:val="auto"/>
                <w:sz w:val="20"/>
                <w:szCs w:val="20"/>
              </w:rPr>
              <w:t>12</w:t>
            </w:r>
            <w:r w:rsidR="00EF4CDB">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B22B0B" w14:textId="30501B7F" w:rsidR="00EF4CDB" w:rsidRPr="00DA6A97" w:rsidRDefault="00F55956">
            <w:pPr>
              <w:pStyle w:val="Tableformat"/>
              <w:rPr>
                <w:bCs/>
                <w:color w:val="auto"/>
                <w:sz w:val="20"/>
                <w:szCs w:val="20"/>
              </w:rPr>
            </w:pPr>
            <w:r>
              <w:rPr>
                <w:bCs/>
                <w:color w:val="auto"/>
                <w:sz w:val="20"/>
                <w:szCs w:val="20"/>
              </w:rPr>
              <w:t>12</w:t>
            </w:r>
            <w:r w:rsidR="00EF4CDB" w:rsidRPr="0085140F">
              <w:rPr>
                <w:bCs/>
                <w:color w:val="auto"/>
                <w:sz w:val="20"/>
                <w:szCs w:val="20"/>
              </w:rPr>
              <w:t>.a Provide information to the IGWC as requested and in accordance with agreed MOU/guidelines to enable oversight of Compliance Compact commitments.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2A413A" w14:textId="77777777" w:rsidR="00EF4CDB" w:rsidRDefault="00EF4CDB" w:rsidP="00EF4CD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4152E35" w14:textId="40C99895" w:rsidR="00EF4CDB" w:rsidRDefault="00EF4CDB" w:rsidP="00EF4CDB">
            <w:pPr>
              <w:pStyle w:val="Tableformat"/>
              <w:rPr>
                <w:bCs/>
                <w:color w:val="auto"/>
                <w:sz w:val="20"/>
                <w:szCs w:val="20"/>
              </w:rPr>
            </w:pPr>
            <w:r>
              <w:rPr>
                <w:bCs/>
                <w:color w:val="auto"/>
                <w:sz w:val="20"/>
                <w:szCs w:val="20"/>
              </w:rPr>
              <w:t>$74,520</w:t>
            </w:r>
          </w:p>
        </w:tc>
      </w:tr>
      <w:tr w:rsidR="001B459E" w:rsidRPr="00DA6A97" w14:paraId="2BE881F4" w14:textId="77777777" w:rsidTr="00EF4CDB">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BD9A6A1" w14:textId="77777777" w:rsidR="001B459E" w:rsidRPr="00DA6A97" w:rsidRDefault="001B459E" w:rsidP="006F3A9B">
            <w:pPr>
              <w:pStyle w:val="Tableformat"/>
              <w:rPr>
                <w:bCs/>
                <w:color w:val="auto"/>
                <w:sz w:val="20"/>
                <w:szCs w:val="20"/>
              </w:rPr>
            </w:pPr>
            <w:r w:rsidRPr="00DA6A97">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DA5C2E" w14:textId="682F61EE" w:rsidR="001B459E" w:rsidRPr="00DA6A97" w:rsidRDefault="00F55956">
            <w:pPr>
              <w:pStyle w:val="Tableformat"/>
              <w:rPr>
                <w:bCs/>
                <w:color w:val="auto"/>
                <w:sz w:val="20"/>
                <w:szCs w:val="20"/>
              </w:rPr>
            </w:pPr>
            <w:r>
              <w:rPr>
                <w:bCs/>
                <w:color w:val="auto"/>
                <w:sz w:val="20"/>
                <w:szCs w:val="20"/>
              </w:rPr>
              <w:t>13</w:t>
            </w:r>
            <w:r w:rsidR="001B459E">
              <w:rPr>
                <w:bCs/>
                <w:color w:val="auto"/>
                <w:sz w:val="20"/>
                <w:szCs w:val="20"/>
              </w:rPr>
              <w:t xml:space="preserve">. </w:t>
            </w:r>
            <w:r w:rsidR="001B459E" w:rsidRPr="00DA6A97">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F0F4DEB" w14:textId="5AE621AE" w:rsidR="001B459E" w:rsidRPr="00DA6A97" w:rsidRDefault="00F55956">
            <w:pPr>
              <w:pStyle w:val="Tableformat"/>
              <w:rPr>
                <w:bCs/>
                <w:color w:val="auto"/>
                <w:sz w:val="20"/>
                <w:szCs w:val="20"/>
              </w:rPr>
            </w:pPr>
            <w:r>
              <w:rPr>
                <w:bCs/>
                <w:color w:val="auto"/>
                <w:sz w:val="20"/>
                <w:szCs w:val="20"/>
              </w:rPr>
              <w:t>13</w:t>
            </w:r>
            <w:r w:rsidR="001B459E">
              <w:rPr>
                <w:bCs/>
                <w:color w:val="auto"/>
                <w:sz w:val="20"/>
                <w:szCs w:val="20"/>
              </w:rPr>
              <w:t xml:space="preserve">.a </w:t>
            </w:r>
            <w:r w:rsidR="001B459E" w:rsidRPr="00DA6A97">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2CF7ED" w14:textId="77777777" w:rsidR="001B459E" w:rsidRPr="00DA6A97" w:rsidRDefault="001B459E" w:rsidP="006F3A9B">
            <w:pPr>
              <w:pStyle w:val="Tableformat"/>
              <w:rPr>
                <w:bCs/>
                <w:color w:val="auto"/>
                <w:sz w:val="20"/>
                <w:szCs w:val="20"/>
              </w:rPr>
            </w:pPr>
            <w:r>
              <w:rPr>
                <w:bCs/>
                <w:color w:val="auto"/>
                <w:sz w:val="20"/>
                <w:szCs w:val="20"/>
              </w:rPr>
              <w:t>31 March 2022</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302AD9" w14:textId="3B589A79" w:rsidR="001B459E" w:rsidRPr="00DA6A97" w:rsidRDefault="001B459E" w:rsidP="006F3A9B">
            <w:pPr>
              <w:pStyle w:val="Tableformat"/>
              <w:rPr>
                <w:bCs/>
                <w:color w:val="auto"/>
                <w:sz w:val="20"/>
                <w:szCs w:val="20"/>
              </w:rPr>
            </w:pPr>
            <w:r>
              <w:rPr>
                <w:bCs/>
                <w:color w:val="auto"/>
                <w:sz w:val="20"/>
                <w:szCs w:val="20"/>
              </w:rPr>
              <w:t>$</w:t>
            </w:r>
            <w:r w:rsidR="00EF4CDB">
              <w:rPr>
                <w:bCs/>
                <w:color w:val="auto"/>
                <w:sz w:val="20"/>
                <w:szCs w:val="20"/>
              </w:rPr>
              <w:t>74,520</w:t>
            </w:r>
          </w:p>
        </w:tc>
      </w:tr>
      <w:tr w:rsidR="00D5292E" w:rsidRPr="00DD56FE" w14:paraId="3110F060" w14:textId="77777777" w:rsidTr="00EF4CDB">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482872BF" w14:textId="6D834929" w:rsidR="00D5292E" w:rsidRPr="00DD56FE" w:rsidRDefault="00D5292E" w:rsidP="00D5292E">
            <w:pPr>
              <w:pStyle w:val="Tableformat"/>
              <w:jc w:val="right"/>
              <w:rPr>
                <w:bCs/>
                <w:i/>
                <w:iCs w:val="0"/>
                <w:color w:val="auto"/>
                <w:sz w:val="20"/>
                <w:szCs w:val="20"/>
              </w:rPr>
            </w:pPr>
            <w:r w:rsidRPr="00DD56FE">
              <w:rPr>
                <w:bCs/>
                <w:i/>
                <w:iCs w:val="0"/>
                <w:color w:val="auto"/>
                <w:sz w:val="20"/>
                <w:szCs w:val="20"/>
              </w:rPr>
              <w:t>Total payment for South Australia</w:t>
            </w:r>
            <w:r>
              <w:rPr>
                <w:bCs/>
                <w:i/>
                <w:iCs w:val="0"/>
                <w:color w:val="auto"/>
                <w:sz w:val="20"/>
                <w:szCs w:val="20"/>
              </w:rPr>
              <w:t xml:space="preserve"> for Year 1</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9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C6D61D" w14:textId="45F834BA" w:rsidR="00D5292E" w:rsidRPr="00DD56FE" w:rsidRDefault="00D5292E" w:rsidP="00D5292E">
            <w:pPr>
              <w:pStyle w:val="Tableformat"/>
              <w:rPr>
                <w:bCs/>
                <w:color w:val="auto"/>
                <w:sz w:val="20"/>
                <w:szCs w:val="20"/>
              </w:rPr>
            </w:pPr>
            <w:r w:rsidRPr="00DD56FE">
              <w:rPr>
                <w:bCs/>
                <w:color w:val="auto"/>
                <w:sz w:val="20"/>
                <w:szCs w:val="20"/>
              </w:rPr>
              <w:t>$</w:t>
            </w:r>
            <w:r>
              <w:rPr>
                <w:bCs/>
                <w:color w:val="auto"/>
                <w:sz w:val="20"/>
                <w:szCs w:val="20"/>
              </w:rPr>
              <w:t>1,863,0</w:t>
            </w:r>
            <w:r w:rsidRPr="00DD56FE">
              <w:rPr>
                <w:bCs/>
                <w:color w:val="auto"/>
                <w:sz w:val="20"/>
                <w:szCs w:val="20"/>
              </w:rPr>
              <w:t>00</w:t>
            </w:r>
          </w:p>
        </w:tc>
      </w:tr>
    </w:tbl>
    <w:p w14:paraId="2C16BAFA" w14:textId="77777777" w:rsidR="00931AA8" w:rsidRPr="00F00A18" w:rsidRDefault="00931AA8" w:rsidP="00931AA8"/>
    <w:p w14:paraId="4834D0E3" w14:textId="77777777" w:rsidR="00195187" w:rsidRDefault="00195187" w:rsidP="00931AA8">
      <w:pPr>
        <w:rPr>
          <w:lang w:val="en-GB"/>
        </w:rPr>
      </w:pPr>
    </w:p>
    <w:p w14:paraId="1ACB74DE" w14:textId="77777777" w:rsidR="00931AA8" w:rsidRPr="00F00A18" w:rsidRDefault="00931AA8" w:rsidP="00931AA8">
      <w:pPr>
        <w:rPr>
          <w:lang w:val="en-GB"/>
        </w:rPr>
      </w:pPr>
    </w:p>
    <w:p w14:paraId="0984A532" w14:textId="77777777" w:rsidR="00931AA8" w:rsidRPr="00F00A18" w:rsidRDefault="00931AA8" w:rsidP="00931AA8">
      <w:pPr>
        <w:rPr>
          <w:lang w:val="en-GB"/>
        </w:rPr>
      </w:pPr>
    </w:p>
    <w:p w14:paraId="61498C7C" w14:textId="27071D2C" w:rsidR="00931AA8" w:rsidRPr="00F00A18" w:rsidRDefault="00931AA8" w:rsidP="00931AA8">
      <w:pPr>
        <w:rPr>
          <w:lang w:val="en-GB"/>
        </w:rPr>
      </w:pPr>
    </w:p>
    <w:p w14:paraId="25583045" w14:textId="77777777" w:rsidR="00EA16B8" w:rsidRDefault="00EA16B8">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686"/>
        <w:gridCol w:w="1276"/>
        <w:gridCol w:w="1134"/>
      </w:tblGrid>
      <w:tr w:rsidR="00EA16B8" w:rsidRPr="00F00A18" w14:paraId="12EBD52A" w14:textId="77777777" w:rsidTr="00EF4CDB">
        <w:tc>
          <w:tcPr>
            <w:tcW w:w="10207" w:type="dxa"/>
            <w:gridSpan w:val="5"/>
            <w:shd w:val="clear" w:color="auto" w:fill="DEEAF6" w:themeFill="accent1" w:themeFillTint="33"/>
          </w:tcPr>
          <w:p w14:paraId="413E6D17" w14:textId="77777777" w:rsidR="00EA16B8" w:rsidRPr="00F00A18" w:rsidRDefault="00EA16B8" w:rsidP="006F3A9B">
            <w:pPr>
              <w:pStyle w:val="Tableformat"/>
              <w:tabs>
                <w:tab w:val="left" w:pos="6043"/>
              </w:tabs>
              <w:rPr>
                <w:b/>
                <w:color w:val="auto"/>
              </w:rPr>
            </w:pPr>
            <w:r>
              <w:rPr>
                <w:b/>
                <w:color w:val="auto"/>
              </w:rPr>
              <w:t>Table 2D</w:t>
            </w:r>
            <w:r w:rsidRPr="00F00A18">
              <w:rPr>
                <w:b/>
                <w:color w:val="auto"/>
              </w:rPr>
              <w:t xml:space="preserve">: </w:t>
            </w:r>
            <w:r>
              <w:rPr>
                <w:b/>
                <w:color w:val="auto"/>
              </w:rPr>
              <w:t xml:space="preserve">South Australia </w:t>
            </w:r>
            <w:r w:rsidRPr="00F00A18">
              <w:rPr>
                <w:b/>
                <w:color w:val="auto"/>
              </w:rPr>
              <w:t>– Performance requirements, reporting and payment summary</w:t>
            </w:r>
          </w:p>
        </w:tc>
      </w:tr>
      <w:tr w:rsidR="00EA16B8" w:rsidRPr="00F00A18" w14:paraId="24B2E688" w14:textId="77777777" w:rsidTr="00EF4CDB">
        <w:tc>
          <w:tcPr>
            <w:tcW w:w="10207" w:type="dxa"/>
            <w:gridSpan w:val="5"/>
            <w:shd w:val="clear" w:color="auto" w:fill="DEEAF6" w:themeFill="accent1" w:themeFillTint="33"/>
          </w:tcPr>
          <w:p w14:paraId="7C5D5C82" w14:textId="222032F3" w:rsidR="00EA16B8" w:rsidRDefault="00EA16B8" w:rsidP="006F3A9B">
            <w:pPr>
              <w:pStyle w:val="Tableformat"/>
              <w:tabs>
                <w:tab w:val="left" w:pos="6043"/>
              </w:tabs>
              <w:rPr>
                <w:b/>
                <w:color w:val="auto"/>
              </w:rPr>
            </w:pPr>
            <w:r>
              <w:rPr>
                <w:b/>
                <w:color w:val="auto"/>
              </w:rPr>
              <w:t>Year 2: 2022-2023</w:t>
            </w:r>
          </w:p>
        </w:tc>
      </w:tr>
      <w:tr w:rsidR="00EA16B8" w:rsidRPr="00FD6EB4" w14:paraId="0B80EEEA" w14:textId="77777777" w:rsidTr="00EF4CDB">
        <w:tc>
          <w:tcPr>
            <w:tcW w:w="1560" w:type="dxa"/>
            <w:shd w:val="clear" w:color="auto" w:fill="F2F2F2" w:themeFill="background1" w:themeFillShade="F2"/>
          </w:tcPr>
          <w:p w14:paraId="7E42BA42" w14:textId="77777777" w:rsidR="00EA16B8" w:rsidRPr="00FD6EB4" w:rsidRDefault="00EA16B8"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shd w:val="clear" w:color="auto" w:fill="F2F2F2" w:themeFill="background1" w:themeFillShade="F2"/>
          </w:tcPr>
          <w:p w14:paraId="60F0616C" w14:textId="77777777" w:rsidR="00EA16B8" w:rsidRPr="00FD6EB4" w:rsidRDefault="00EA16B8" w:rsidP="006F3A9B">
            <w:pPr>
              <w:pStyle w:val="Tableformat"/>
              <w:rPr>
                <w:b/>
                <w:color w:val="auto"/>
                <w:sz w:val="22"/>
                <w:szCs w:val="22"/>
              </w:rPr>
            </w:pPr>
            <w:r w:rsidRPr="00FD6EB4">
              <w:rPr>
                <w:b/>
                <w:color w:val="auto"/>
                <w:sz w:val="22"/>
                <w:szCs w:val="22"/>
              </w:rPr>
              <w:t>Performance milestones</w:t>
            </w:r>
          </w:p>
        </w:tc>
        <w:tc>
          <w:tcPr>
            <w:tcW w:w="3686" w:type="dxa"/>
            <w:shd w:val="clear" w:color="auto" w:fill="F2F2F2" w:themeFill="background1" w:themeFillShade="F2"/>
          </w:tcPr>
          <w:p w14:paraId="00D6585C" w14:textId="77777777" w:rsidR="00EA16B8" w:rsidRPr="00FD6EB4" w:rsidRDefault="00EA16B8" w:rsidP="006F3A9B">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3A087905" w14:textId="77777777" w:rsidR="00EA16B8" w:rsidRPr="00FD6EB4" w:rsidRDefault="00EA16B8"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7217861D" w14:textId="77777777" w:rsidR="00EA16B8" w:rsidRPr="00FD6EB4" w:rsidRDefault="00EA16B8" w:rsidP="006F3A9B">
            <w:pPr>
              <w:pStyle w:val="Tableformat"/>
              <w:rPr>
                <w:b/>
                <w:color w:val="auto"/>
                <w:sz w:val="22"/>
                <w:szCs w:val="22"/>
              </w:rPr>
            </w:pPr>
            <w:r w:rsidRPr="00FD6EB4">
              <w:rPr>
                <w:b/>
                <w:color w:val="auto"/>
                <w:sz w:val="22"/>
                <w:szCs w:val="22"/>
              </w:rPr>
              <w:t>Payment</w:t>
            </w:r>
          </w:p>
        </w:tc>
      </w:tr>
      <w:tr w:rsidR="00857616" w:rsidRPr="004C4B9D" w14:paraId="35F5EA12"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037D60AD" w14:textId="77777777" w:rsidR="00857616" w:rsidRPr="004C4B9D" w:rsidRDefault="00857616" w:rsidP="00857616">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7BF28BA2" w14:textId="77777777" w:rsidR="00857616" w:rsidRPr="004C4B9D" w:rsidRDefault="00857616" w:rsidP="00857616">
            <w:pPr>
              <w:pStyle w:val="Tableformat"/>
              <w:rPr>
                <w:bCs/>
                <w:color w:val="auto"/>
                <w:sz w:val="20"/>
                <w:szCs w:val="20"/>
              </w:rPr>
            </w:pPr>
            <w:r>
              <w:rPr>
                <w:bCs/>
                <w:color w:val="auto"/>
                <w:sz w:val="20"/>
                <w:szCs w:val="20"/>
              </w:rPr>
              <w:t xml:space="preserve">1. </w:t>
            </w:r>
            <w:r w:rsidRPr="001D7426">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4C4B9D">
              <w:rPr>
                <w:bCs/>
                <w:color w:val="auto"/>
                <w:sz w:val="20"/>
                <w:szCs w:val="20"/>
              </w:rPr>
              <w: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E3CE4C" w14:textId="77777777" w:rsidR="00857616" w:rsidRPr="004C4B9D" w:rsidRDefault="00857616" w:rsidP="00857616">
            <w:pPr>
              <w:pStyle w:val="Tableformat"/>
              <w:rPr>
                <w:bCs/>
                <w:color w:val="auto"/>
                <w:sz w:val="20"/>
                <w:szCs w:val="20"/>
              </w:rPr>
            </w:pPr>
            <w:r>
              <w:rPr>
                <w:bCs/>
                <w:color w:val="auto"/>
                <w:sz w:val="20"/>
                <w:szCs w:val="20"/>
              </w:rPr>
              <w:t xml:space="preserve">1.a </w:t>
            </w:r>
            <w:r w:rsidRPr="004C4B9D">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6E0A9C"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099C3B5" w14:textId="4BC575DA" w:rsidR="00857616" w:rsidRPr="004C4B9D" w:rsidRDefault="00857616" w:rsidP="00857616">
            <w:pPr>
              <w:pStyle w:val="Tableformat"/>
              <w:rPr>
                <w:bCs/>
                <w:color w:val="auto"/>
                <w:sz w:val="20"/>
                <w:szCs w:val="20"/>
              </w:rPr>
            </w:pPr>
            <w:r>
              <w:rPr>
                <w:bCs/>
                <w:color w:val="auto"/>
                <w:sz w:val="20"/>
                <w:szCs w:val="20"/>
              </w:rPr>
              <w:t>$107,480</w:t>
            </w:r>
          </w:p>
        </w:tc>
      </w:tr>
      <w:tr w:rsidR="00857616" w:rsidRPr="004C4B9D" w14:paraId="20D71B9C" w14:textId="77777777" w:rsidTr="00EF4CDB">
        <w:tc>
          <w:tcPr>
            <w:tcW w:w="1560" w:type="dxa"/>
            <w:vMerge/>
            <w:tcBorders>
              <w:left w:val="single" w:sz="8" w:space="0" w:color="4F81BD"/>
              <w:right w:val="single" w:sz="8" w:space="0" w:color="4F81BD"/>
            </w:tcBorders>
            <w:shd w:val="clear" w:color="auto" w:fill="F2F2F2" w:themeFill="background1" w:themeFillShade="F2"/>
          </w:tcPr>
          <w:p w14:paraId="36217CEC" w14:textId="77777777" w:rsidR="00857616" w:rsidRPr="004C4B9D" w:rsidRDefault="00857616" w:rsidP="00857616">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3DC22F0B" w14:textId="77777777" w:rsidR="00857616" w:rsidRPr="004C4B9D"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939382" w14:textId="49A6F6F0" w:rsidR="00857616" w:rsidRPr="004C4B9D" w:rsidRDefault="00857616" w:rsidP="00857616">
            <w:pPr>
              <w:pStyle w:val="Tableformat"/>
              <w:rPr>
                <w:bCs/>
                <w:color w:val="auto"/>
                <w:sz w:val="20"/>
                <w:szCs w:val="20"/>
              </w:rPr>
            </w:pPr>
            <w:r w:rsidRPr="00627469">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627469">
              <w:rPr>
                <w:bCs/>
                <w:color w:val="auto"/>
                <w:sz w:val="20"/>
                <w:szCs w:val="20"/>
              </w:rPr>
              <w:t xml:space="preserve"> using the Ministerial Council </w:t>
            </w:r>
            <w:r w:rsidR="007C3B81" w:rsidRPr="00627469">
              <w:rPr>
                <w:bCs/>
                <w:color w:val="auto"/>
                <w:sz w:val="20"/>
                <w:szCs w:val="20"/>
              </w:rPr>
              <w:t>stock take</w:t>
            </w:r>
            <w:r w:rsidRPr="00627469">
              <w:rPr>
                <w:bCs/>
                <w:color w:val="auto"/>
                <w:sz w:val="20"/>
                <w:szCs w:val="20"/>
              </w:rPr>
              <w:t xml:space="preserve"> as a starting point. Business case applications will include socio-economic analysis and proposals for transfer of water entitlements</w:t>
            </w:r>
            <w:r w:rsidRPr="001D7426">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8ECC41"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3E8DE9" w14:textId="1477609C" w:rsidR="00857616" w:rsidRPr="004C4B9D" w:rsidRDefault="00857616" w:rsidP="00857616">
            <w:pPr>
              <w:pStyle w:val="Tableformat"/>
              <w:rPr>
                <w:bCs/>
                <w:color w:val="auto"/>
                <w:sz w:val="20"/>
                <w:szCs w:val="20"/>
              </w:rPr>
            </w:pPr>
            <w:r>
              <w:rPr>
                <w:bCs/>
                <w:color w:val="auto"/>
                <w:sz w:val="20"/>
                <w:szCs w:val="20"/>
              </w:rPr>
              <w:t>$107,480</w:t>
            </w:r>
          </w:p>
        </w:tc>
      </w:tr>
      <w:tr w:rsidR="00EF4CDB" w:rsidRPr="004C4B9D" w14:paraId="1BE64422" w14:textId="77777777" w:rsidTr="00EF4CDB">
        <w:tc>
          <w:tcPr>
            <w:tcW w:w="1560" w:type="dxa"/>
            <w:vMerge/>
            <w:tcBorders>
              <w:left w:val="single" w:sz="8" w:space="0" w:color="4F81BD"/>
              <w:right w:val="single" w:sz="8" w:space="0" w:color="4F81BD"/>
            </w:tcBorders>
            <w:shd w:val="clear" w:color="auto" w:fill="F2F2F2" w:themeFill="background1" w:themeFillShade="F2"/>
          </w:tcPr>
          <w:p w14:paraId="774AE731" w14:textId="77777777" w:rsidR="00EF4CDB" w:rsidRPr="004C4B9D" w:rsidRDefault="00EF4CDB" w:rsidP="006F3A9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0F94337F" w14:textId="77777777" w:rsidR="00EF4CDB" w:rsidRPr="004C4B9D" w:rsidRDefault="00EF4CDB" w:rsidP="006F3A9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8849CE" w14:textId="13D5EC21" w:rsidR="00EF4CDB" w:rsidRPr="004C4B9D" w:rsidRDefault="00EF4CDB" w:rsidP="00994719">
            <w:pPr>
              <w:pStyle w:val="Tableformat"/>
              <w:rPr>
                <w:bCs/>
                <w:color w:val="auto"/>
                <w:sz w:val="20"/>
                <w:szCs w:val="20"/>
              </w:rPr>
            </w:pPr>
            <w:r w:rsidRPr="00627469">
              <w:rPr>
                <w:bCs/>
                <w:color w:val="auto"/>
                <w:sz w:val="20"/>
                <w:szCs w:val="20"/>
              </w:rPr>
              <w:t>1.</w:t>
            </w:r>
            <w:r w:rsidR="00994719">
              <w:rPr>
                <w:bCs/>
                <w:color w:val="auto"/>
                <w:sz w:val="20"/>
                <w:szCs w:val="20"/>
              </w:rPr>
              <w:t>c</w:t>
            </w:r>
            <w:r w:rsidRPr="00627469">
              <w:rPr>
                <w:bCs/>
                <w:color w:val="auto"/>
                <w:sz w:val="20"/>
                <w:szCs w:val="20"/>
              </w:rPr>
              <w:t xml:space="preserve"> Report to the Commonwealth on progress towards bridging-the-gap by June 2022</w:t>
            </w:r>
            <w:r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84464A" w14:textId="77777777" w:rsidR="00EF4CDB" w:rsidRPr="004C4B9D" w:rsidRDefault="00EF4CDB"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8978A6" w14:textId="78C98B7E" w:rsidR="00EF4CDB" w:rsidRPr="004C4B9D" w:rsidRDefault="00EF4CDB" w:rsidP="006F3A9B">
            <w:pPr>
              <w:pStyle w:val="Tableformat"/>
              <w:rPr>
                <w:bCs/>
                <w:color w:val="auto"/>
                <w:sz w:val="20"/>
                <w:szCs w:val="20"/>
              </w:rPr>
            </w:pPr>
            <w:r>
              <w:rPr>
                <w:bCs/>
                <w:color w:val="auto"/>
                <w:sz w:val="20"/>
                <w:szCs w:val="20"/>
              </w:rPr>
              <w:t>$</w:t>
            </w:r>
            <w:r w:rsidR="00857616">
              <w:rPr>
                <w:bCs/>
                <w:color w:val="auto"/>
                <w:sz w:val="20"/>
                <w:szCs w:val="20"/>
              </w:rPr>
              <w:t>107,480</w:t>
            </w:r>
          </w:p>
        </w:tc>
      </w:tr>
      <w:tr w:rsidR="00857616" w:rsidRPr="004C4B9D" w14:paraId="4FB86161"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6BD09F4B" w14:textId="77777777" w:rsidR="00857616" w:rsidRPr="004C4B9D" w:rsidRDefault="00857616" w:rsidP="00857616">
            <w:pPr>
              <w:pStyle w:val="Tableformat"/>
              <w:rPr>
                <w:bCs/>
                <w:color w:val="auto"/>
                <w:sz w:val="20"/>
                <w:szCs w:val="20"/>
              </w:rPr>
            </w:pPr>
            <w:r w:rsidRPr="004C4B9D">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7C035F" w14:textId="255C3027" w:rsidR="00857616" w:rsidRPr="004C4B9D" w:rsidRDefault="00474DFF" w:rsidP="00857616">
            <w:pPr>
              <w:pStyle w:val="Tableformat"/>
              <w:rPr>
                <w:bCs/>
                <w:color w:val="auto"/>
                <w:sz w:val="20"/>
                <w:szCs w:val="20"/>
              </w:rPr>
            </w:pPr>
            <w:r>
              <w:rPr>
                <w:bCs/>
                <w:color w:val="auto"/>
                <w:sz w:val="20"/>
                <w:szCs w:val="20"/>
              </w:rPr>
              <w:t>2</w:t>
            </w:r>
            <w:r w:rsidR="00857616">
              <w:rPr>
                <w:bCs/>
                <w:color w:val="auto"/>
                <w:sz w:val="20"/>
                <w:szCs w:val="20"/>
              </w:rPr>
              <w:t xml:space="preserve">. </w:t>
            </w:r>
            <w:r w:rsidR="00857616" w:rsidRPr="004C4B9D">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9A288E" w14:textId="5DF551C7" w:rsidR="00857616" w:rsidRPr="004C4B9D" w:rsidRDefault="00474DFF" w:rsidP="00C12CD8">
            <w:pPr>
              <w:pStyle w:val="Tableformat"/>
              <w:rPr>
                <w:bCs/>
                <w:color w:val="auto"/>
                <w:sz w:val="20"/>
                <w:szCs w:val="20"/>
              </w:rPr>
            </w:pPr>
            <w:r>
              <w:rPr>
                <w:bCs/>
                <w:color w:val="auto"/>
                <w:sz w:val="20"/>
                <w:szCs w:val="20"/>
              </w:rPr>
              <w:t>2</w:t>
            </w:r>
            <w:r w:rsidR="00857616" w:rsidRPr="00627469">
              <w:rPr>
                <w:bCs/>
                <w:color w:val="auto"/>
                <w:sz w:val="20"/>
                <w:szCs w:val="20"/>
              </w:rPr>
              <w:t>.</w:t>
            </w:r>
            <w:r>
              <w:rPr>
                <w:bCs/>
                <w:color w:val="auto"/>
                <w:sz w:val="20"/>
                <w:szCs w:val="20"/>
              </w:rPr>
              <w:t>a</w:t>
            </w:r>
            <w:r w:rsidRPr="00627469">
              <w:rPr>
                <w:bCs/>
                <w:color w:val="auto"/>
                <w:sz w:val="20"/>
                <w:szCs w:val="20"/>
              </w:rPr>
              <w:t xml:space="preserve"> </w:t>
            </w:r>
            <w:r w:rsidR="00857616" w:rsidRPr="00627469">
              <w:rPr>
                <w:bCs/>
                <w:color w:val="auto"/>
                <w:sz w:val="20"/>
                <w:szCs w:val="20"/>
              </w:rPr>
              <w:t xml:space="preserve">Deliver and implement the agreed </w:t>
            </w:r>
            <w:r w:rsidR="007C3B81" w:rsidRPr="00627469">
              <w:rPr>
                <w:bCs/>
                <w:color w:val="auto"/>
                <w:sz w:val="20"/>
                <w:szCs w:val="20"/>
              </w:rPr>
              <w:t>work plan</w:t>
            </w:r>
            <w:r w:rsidR="00857616" w:rsidRPr="00627469">
              <w:rPr>
                <w:bCs/>
                <w:color w:val="auto"/>
                <w:sz w:val="20"/>
                <w:szCs w:val="20"/>
              </w:rPr>
              <w:t xml:space="preserve"> of the priority collaborative activities of the Environmental Water Protection Strategy, where relevant to the jurisdiction</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12AFA6"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E9218A" w14:textId="274F22F3"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09576B9B" w14:textId="77777777" w:rsidTr="00EF4CDB">
        <w:tc>
          <w:tcPr>
            <w:tcW w:w="1560" w:type="dxa"/>
            <w:vMerge/>
            <w:tcBorders>
              <w:left w:val="single" w:sz="8" w:space="0" w:color="4F81BD"/>
              <w:right w:val="single" w:sz="8" w:space="0" w:color="4F81BD"/>
            </w:tcBorders>
            <w:shd w:val="clear" w:color="auto" w:fill="F2F2F2" w:themeFill="background1" w:themeFillShade="F2"/>
          </w:tcPr>
          <w:p w14:paraId="6F7CB38E" w14:textId="77777777" w:rsidR="00857616" w:rsidRPr="004C4B9D" w:rsidRDefault="00857616" w:rsidP="00857616">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1E014F51" w14:textId="21FC8E15" w:rsidR="00857616" w:rsidRPr="004C4B9D" w:rsidRDefault="00474DFF" w:rsidP="00857616">
            <w:pPr>
              <w:pStyle w:val="Tableformat"/>
              <w:rPr>
                <w:bCs/>
                <w:color w:val="auto"/>
                <w:sz w:val="20"/>
                <w:szCs w:val="20"/>
              </w:rPr>
            </w:pPr>
            <w:r>
              <w:rPr>
                <w:bCs/>
                <w:color w:val="auto"/>
                <w:sz w:val="20"/>
                <w:szCs w:val="20"/>
              </w:rPr>
              <w:t>3</w:t>
            </w:r>
            <w:r w:rsidR="00857616">
              <w:rPr>
                <w:bCs/>
                <w:color w:val="auto"/>
                <w:sz w:val="20"/>
                <w:szCs w:val="20"/>
              </w:rPr>
              <w:t xml:space="preserve">. </w:t>
            </w:r>
            <w:r w:rsidR="00857616" w:rsidRPr="004C4B9D">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34C8C4D" w14:textId="656E53D3" w:rsidR="00857616" w:rsidRPr="004C4B9D" w:rsidRDefault="00474DFF" w:rsidP="00857616">
            <w:pPr>
              <w:pStyle w:val="Tableformat"/>
              <w:rPr>
                <w:bCs/>
                <w:color w:val="auto"/>
                <w:sz w:val="20"/>
                <w:szCs w:val="20"/>
              </w:rPr>
            </w:pPr>
            <w:r>
              <w:rPr>
                <w:bCs/>
                <w:color w:val="auto"/>
                <w:sz w:val="20"/>
                <w:szCs w:val="20"/>
              </w:rPr>
              <w:t>3</w:t>
            </w:r>
            <w:r w:rsidR="00857616" w:rsidRPr="008224F9">
              <w:rPr>
                <w:bCs/>
                <w:color w:val="auto"/>
                <w:sz w:val="20"/>
                <w:szCs w:val="20"/>
              </w:rPr>
              <w:t xml:space="preserve">.a Engage with </w:t>
            </w:r>
            <w:r w:rsidR="00795920">
              <w:rPr>
                <w:bCs/>
                <w:color w:val="auto"/>
                <w:sz w:val="20"/>
                <w:szCs w:val="20"/>
              </w:rPr>
              <w:t>all stakeholders</w:t>
            </w:r>
            <w:r w:rsidR="00857616" w:rsidRPr="008224F9">
              <w:rPr>
                <w:bCs/>
                <w:color w:val="auto"/>
                <w:sz w:val="20"/>
                <w:szCs w:val="20"/>
              </w:rPr>
              <w:t>, in the development of annual environmental water plans or priorities; and in the implementation, review and update of LTWPs, where relevant to the jurisdiction</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AF3074"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E29ABF" w14:textId="5492B6DE"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65E74BD9" w14:textId="77777777" w:rsidTr="00EF4CDB">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79C7C118" w14:textId="77777777" w:rsidR="00857616" w:rsidRPr="004C4B9D" w:rsidRDefault="00857616" w:rsidP="00857616">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7F47A0DD" w14:textId="77777777" w:rsidR="00857616" w:rsidRPr="004C4B9D"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F334E5" w14:textId="1B7E4E19" w:rsidR="00857616" w:rsidRPr="004C4B9D" w:rsidRDefault="00474DFF" w:rsidP="00857616">
            <w:pPr>
              <w:pStyle w:val="Tableformat"/>
              <w:rPr>
                <w:bCs/>
                <w:color w:val="auto"/>
                <w:sz w:val="20"/>
                <w:szCs w:val="20"/>
              </w:rPr>
            </w:pPr>
            <w:r>
              <w:rPr>
                <w:bCs/>
                <w:color w:val="auto"/>
                <w:sz w:val="20"/>
                <w:szCs w:val="20"/>
              </w:rPr>
              <w:t>3</w:t>
            </w:r>
            <w:r w:rsidR="00857616" w:rsidRPr="008224F9">
              <w:rPr>
                <w:bCs/>
                <w:color w:val="auto"/>
                <w:sz w:val="20"/>
                <w:szCs w:val="20"/>
              </w:rPr>
              <w:t>.b Provide input to third edition of the Basin-wide Environmental Watering Strategy, including input on climate adaptation approaches and techniques</w:t>
            </w:r>
            <w:r w:rsidR="00857616"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4123B7"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03D3F6" w14:textId="5786DAB0"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5C03BD90" w14:textId="77777777" w:rsidTr="00EF4CDB">
        <w:tc>
          <w:tcPr>
            <w:tcW w:w="1560" w:type="dxa"/>
            <w:vMerge w:val="restart"/>
            <w:tcBorders>
              <w:left w:val="single" w:sz="8" w:space="0" w:color="4F81BD"/>
              <w:right w:val="single" w:sz="8" w:space="0" w:color="4F81BD"/>
            </w:tcBorders>
            <w:shd w:val="clear" w:color="auto" w:fill="F2F2F2" w:themeFill="background1" w:themeFillShade="F2"/>
          </w:tcPr>
          <w:p w14:paraId="7555BF9C" w14:textId="77777777" w:rsidR="00857616" w:rsidRPr="004C4B9D" w:rsidRDefault="00857616" w:rsidP="00857616">
            <w:pPr>
              <w:pStyle w:val="Tableformat"/>
              <w:rPr>
                <w:bCs/>
                <w:color w:val="auto"/>
                <w:sz w:val="20"/>
                <w:szCs w:val="20"/>
              </w:rPr>
            </w:pPr>
            <w:r w:rsidRPr="004C4B9D">
              <w:rPr>
                <w:bCs/>
                <w:color w:val="auto"/>
                <w:sz w:val="20"/>
                <w:szCs w:val="20"/>
              </w:rPr>
              <w:t>Implementation of the Basin Plan</w:t>
            </w:r>
          </w:p>
        </w:tc>
        <w:tc>
          <w:tcPr>
            <w:tcW w:w="2551" w:type="dxa"/>
            <w:vMerge w:val="restart"/>
            <w:tcBorders>
              <w:left w:val="single" w:sz="8" w:space="0" w:color="4F81BD"/>
              <w:right w:val="single" w:sz="8" w:space="0" w:color="4F81BD"/>
            </w:tcBorders>
            <w:shd w:val="clear" w:color="auto" w:fill="F2F2F2" w:themeFill="background1" w:themeFillShade="F2"/>
          </w:tcPr>
          <w:p w14:paraId="75A4C692" w14:textId="6B808852" w:rsidR="00857616" w:rsidRPr="004C4B9D" w:rsidRDefault="00474DFF" w:rsidP="00857616">
            <w:pPr>
              <w:pStyle w:val="Tableformat"/>
              <w:rPr>
                <w:bCs/>
                <w:color w:val="auto"/>
                <w:sz w:val="20"/>
                <w:szCs w:val="20"/>
              </w:rPr>
            </w:pPr>
            <w:r>
              <w:rPr>
                <w:bCs/>
                <w:color w:val="auto"/>
                <w:sz w:val="20"/>
                <w:szCs w:val="20"/>
              </w:rPr>
              <w:t>4</w:t>
            </w:r>
            <w:r w:rsidR="00857616">
              <w:rPr>
                <w:bCs/>
                <w:color w:val="auto"/>
                <w:sz w:val="20"/>
                <w:szCs w:val="20"/>
              </w:rPr>
              <w:t xml:space="preserve">. </w:t>
            </w:r>
            <w:r w:rsidR="00857616" w:rsidRPr="004C4B9D">
              <w:rPr>
                <w:bCs/>
                <w:color w:val="auto"/>
                <w:sz w:val="20"/>
                <w:szCs w:val="20"/>
              </w:rPr>
              <w:t>Implement the SDLAM program, where not funded under other agreements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62B577" w14:textId="3CFAB1B1" w:rsidR="00857616" w:rsidRPr="008224F9" w:rsidRDefault="00474DFF" w:rsidP="00857616">
            <w:pPr>
              <w:pStyle w:val="Tableformat"/>
              <w:rPr>
                <w:bCs/>
                <w:color w:val="auto"/>
                <w:sz w:val="20"/>
                <w:szCs w:val="20"/>
              </w:rPr>
            </w:pPr>
            <w:r>
              <w:rPr>
                <w:bCs/>
                <w:color w:val="auto"/>
                <w:sz w:val="20"/>
                <w:szCs w:val="20"/>
              </w:rPr>
              <w:t>4</w:t>
            </w:r>
            <w:r w:rsidR="00857616" w:rsidRPr="008224F9">
              <w:rPr>
                <w:bCs/>
                <w:color w:val="auto"/>
                <w:sz w:val="20"/>
                <w:szCs w:val="20"/>
              </w:rPr>
              <w:t>.a Actively work with the Commonwealth to optimise and address risks to SDLAM program outcomes, including:</w:t>
            </w:r>
          </w:p>
          <w:p w14:paraId="5ED87BC2" w14:textId="77777777" w:rsidR="00857616" w:rsidRPr="008224F9" w:rsidRDefault="00857616" w:rsidP="00857616">
            <w:pPr>
              <w:pStyle w:val="Tableformat"/>
              <w:rPr>
                <w:bCs/>
                <w:color w:val="auto"/>
                <w:sz w:val="20"/>
                <w:szCs w:val="20"/>
              </w:rPr>
            </w:pPr>
            <w:r w:rsidRPr="008224F9">
              <w:rPr>
                <w:bCs/>
                <w:color w:val="auto"/>
                <w:sz w:val="20"/>
                <w:szCs w:val="20"/>
              </w:rPr>
              <w:t>- the establishment of a process to formally amend project scope</w:t>
            </w:r>
          </w:p>
          <w:p w14:paraId="3210A00A" w14:textId="77777777" w:rsidR="00857616" w:rsidRPr="008224F9" w:rsidRDefault="00857616" w:rsidP="00857616">
            <w:pPr>
              <w:pStyle w:val="Tableformat"/>
              <w:rPr>
                <w:bCs/>
                <w:color w:val="auto"/>
                <w:sz w:val="20"/>
                <w:szCs w:val="20"/>
              </w:rPr>
            </w:pPr>
            <w:r w:rsidRPr="008224F9">
              <w:rPr>
                <w:bCs/>
                <w:color w:val="auto"/>
                <w:sz w:val="20"/>
                <w:szCs w:val="20"/>
              </w:rPr>
              <w:t>- resolution of critical policy issues to enable agreement to Stage 2 funding arrangements</w:t>
            </w:r>
          </w:p>
          <w:p w14:paraId="42D85BF3" w14:textId="77777777" w:rsidR="00857616" w:rsidRPr="008224F9" w:rsidRDefault="00857616" w:rsidP="00857616">
            <w:pPr>
              <w:pStyle w:val="Tableformat"/>
              <w:rPr>
                <w:bCs/>
                <w:color w:val="auto"/>
                <w:sz w:val="20"/>
                <w:szCs w:val="20"/>
              </w:rPr>
            </w:pPr>
            <w:r w:rsidRPr="008224F9">
              <w:rPr>
                <w:bCs/>
                <w:color w:val="auto"/>
                <w:sz w:val="20"/>
                <w:szCs w:val="20"/>
              </w:rPr>
              <w:t>- fast-tracking relevant projects</w:t>
            </w:r>
          </w:p>
          <w:p w14:paraId="014C5B96" w14:textId="77777777" w:rsidR="00857616" w:rsidRPr="004C4B9D" w:rsidRDefault="00857616" w:rsidP="00857616">
            <w:pPr>
              <w:pStyle w:val="Tableformat"/>
              <w:rPr>
                <w:bCs/>
                <w:color w:val="auto"/>
                <w:sz w:val="20"/>
                <w:szCs w:val="20"/>
              </w:rPr>
            </w:pPr>
            <w:r w:rsidRPr="008224F9">
              <w:rPr>
                <w:bCs/>
                <w:color w:val="auto"/>
                <w:sz w:val="20"/>
                <w:szCs w:val="20"/>
              </w:rPr>
              <w:t>- investigating the potential for existing, enhanced projects to contribute to Basin Plan outcomes</w:t>
            </w:r>
            <w:r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6248F4"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95B312" w14:textId="787FAF89"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2CBF5991" w14:textId="77777777" w:rsidTr="00EF4CDB">
        <w:tc>
          <w:tcPr>
            <w:tcW w:w="1560" w:type="dxa"/>
            <w:vMerge/>
            <w:tcBorders>
              <w:left w:val="single" w:sz="8" w:space="0" w:color="4F81BD"/>
              <w:right w:val="single" w:sz="8" w:space="0" w:color="4F81BD"/>
            </w:tcBorders>
            <w:shd w:val="clear" w:color="auto" w:fill="F2F2F2" w:themeFill="background1" w:themeFillShade="F2"/>
          </w:tcPr>
          <w:p w14:paraId="168C1941" w14:textId="77777777" w:rsidR="00857616" w:rsidRPr="004C4B9D" w:rsidRDefault="00857616" w:rsidP="00857616">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17B18139" w14:textId="77777777" w:rsidR="00857616" w:rsidRPr="004C4B9D"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FB71A70" w14:textId="557E0B9C" w:rsidR="00857616" w:rsidRPr="004C4B9D" w:rsidRDefault="00474DFF" w:rsidP="00857616">
            <w:pPr>
              <w:pStyle w:val="Tableformat"/>
              <w:rPr>
                <w:bCs/>
                <w:color w:val="auto"/>
                <w:sz w:val="20"/>
                <w:szCs w:val="20"/>
              </w:rPr>
            </w:pPr>
            <w:r>
              <w:rPr>
                <w:bCs/>
                <w:color w:val="auto"/>
                <w:sz w:val="20"/>
                <w:szCs w:val="20"/>
              </w:rPr>
              <w:t>4</w:t>
            </w:r>
            <w:r w:rsidR="00857616" w:rsidRPr="008224F9">
              <w:rPr>
                <w:bCs/>
                <w:color w:val="auto"/>
                <w:sz w:val="20"/>
                <w:szCs w:val="20"/>
              </w:rPr>
              <w:t>.b Identify, develop and progress required changes to the River Murray Operations Framework and Murray-Darling Basin Agreement. Any changes are to be agreed by all jurisdictions</w:t>
            </w:r>
            <w:r w:rsidR="00857616"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7DED09"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FB74DF" w14:textId="5F904ECA"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2C6E4607" w14:textId="77777777" w:rsidTr="00EF4CDB">
        <w:tc>
          <w:tcPr>
            <w:tcW w:w="1560" w:type="dxa"/>
            <w:vMerge/>
            <w:tcBorders>
              <w:left w:val="single" w:sz="8" w:space="0" w:color="4F81BD"/>
              <w:right w:val="single" w:sz="8" w:space="0" w:color="4F81BD"/>
            </w:tcBorders>
            <w:shd w:val="clear" w:color="auto" w:fill="F2F2F2" w:themeFill="background1" w:themeFillShade="F2"/>
          </w:tcPr>
          <w:p w14:paraId="43DBDF40" w14:textId="77777777" w:rsidR="00857616" w:rsidRPr="004C4B9D" w:rsidRDefault="00857616" w:rsidP="00857616">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65107057" w14:textId="77777777" w:rsidR="00857616" w:rsidRPr="004C4B9D"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2B2AE7E" w14:textId="3C8BF647" w:rsidR="00857616" w:rsidRPr="004C4B9D" w:rsidRDefault="00474DFF" w:rsidP="00512BED">
            <w:pPr>
              <w:pStyle w:val="Tableformat"/>
              <w:rPr>
                <w:bCs/>
                <w:color w:val="auto"/>
                <w:sz w:val="20"/>
                <w:szCs w:val="20"/>
              </w:rPr>
            </w:pPr>
            <w:r>
              <w:rPr>
                <w:bCs/>
                <w:color w:val="auto"/>
                <w:sz w:val="20"/>
                <w:szCs w:val="20"/>
              </w:rPr>
              <w:t>4</w:t>
            </w:r>
            <w:r w:rsidR="00857616" w:rsidRPr="008224F9">
              <w:rPr>
                <w:bCs/>
                <w:color w:val="auto"/>
                <w:sz w:val="20"/>
                <w:szCs w:val="20"/>
              </w:rPr>
              <w:t>.</w:t>
            </w:r>
            <w:r w:rsidR="00512BED">
              <w:rPr>
                <w:bCs/>
                <w:color w:val="auto"/>
                <w:sz w:val="20"/>
                <w:szCs w:val="20"/>
              </w:rPr>
              <w:t>c</w:t>
            </w:r>
            <w:r w:rsidR="00857616" w:rsidRPr="008224F9">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DCFF66"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3ECDE9" w14:textId="2661E4AE"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1FBC0B8D" w14:textId="77777777" w:rsidTr="00EF4CDB">
        <w:tc>
          <w:tcPr>
            <w:tcW w:w="1560" w:type="dxa"/>
            <w:vMerge/>
            <w:tcBorders>
              <w:left w:val="single" w:sz="8" w:space="0" w:color="4F81BD"/>
              <w:right w:val="single" w:sz="8" w:space="0" w:color="4F81BD"/>
            </w:tcBorders>
            <w:shd w:val="clear" w:color="auto" w:fill="F2F2F2" w:themeFill="background1" w:themeFillShade="F2"/>
          </w:tcPr>
          <w:p w14:paraId="49607A65" w14:textId="77777777" w:rsidR="00857616" w:rsidRPr="004C4B9D" w:rsidRDefault="00857616" w:rsidP="00857616">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1544525B" w14:textId="4085E471" w:rsidR="00857616" w:rsidRPr="004C4B9D" w:rsidRDefault="00474DFF" w:rsidP="00857616">
            <w:pPr>
              <w:pStyle w:val="Tableformat"/>
              <w:rPr>
                <w:bCs/>
                <w:color w:val="auto"/>
                <w:sz w:val="20"/>
                <w:szCs w:val="20"/>
              </w:rPr>
            </w:pPr>
            <w:r>
              <w:rPr>
                <w:bCs/>
                <w:color w:val="auto"/>
                <w:sz w:val="20"/>
                <w:szCs w:val="20"/>
              </w:rPr>
              <w:t>5</w:t>
            </w:r>
            <w:r w:rsidR="00857616" w:rsidRPr="008224F9">
              <w:rPr>
                <w:bCs/>
                <w:color w:val="auto"/>
                <w:sz w:val="20"/>
                <w:szCs w:val="20"/>
              </w:rPr>
              <w:t xml:space="preserve">. Contribute to delivery of the MDBA-led SDL Accounting Framework Improvement Strategy 2020-25 </w:t>
            </w:r>
            <w:r w:rsidR="007C3B81" w:rsidRPr="008224F9">
              <w:rPr>
                <w:bCs/>
                <w:color w:val="auto"/>
                <w:sz w:val="20"/>
                <w:szCs w:val="20"/>
              </w:rPr>
              <w:t>work plan</w:t>
            </w:r>
            <w:r w:rsidR="00857616" w:rsidRPr="008224F9">
              <w:rPr>
                <w:bCs/>
                <w:color w:val="auto"/>
                <w:sz w:val="20"/>
                <w:szCs w:val="20"/>
              </w:rPr>
              <w:t>, including supplying data and quality assurance documentation.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18227B" w14:textId="34682864" w:rsidR="00857616" w:rsidRPr="004C4B9D" w:rsidRDefault="00474DFF" w:rsidP="00C12CD8">
            <w:pPr>
              <w:pStyle w:val="Tableformat"/>
              <w:rPr>
                <w:bCs/>
                <w:color w:val="auto"/>
                <w:sz w:val="20"/>
                <w:szCs w:val="20"/>
              </w:rPr>
            </w:pPr>
            <w:r>
              <w:rPr>
                <w:bCs/>
                <w:color w:val="auto"/>
                <w:sz w:val="20"/>
                <w:szCs w:val="20"/>
              </w:rPr>
              <w:t>5</w:t>
            </w:r>
            <w:r w:rsidR="00857616" w:rsidRPr="008224F9">
              <w:rPr>
                <w:bCs/>
                <w:color w:val="auto"/>
                <w:sz w:val="20"/>
                <w:szCs w:val="20"/>
              </w:rPr>
              <w:t>.</w:t>
            </w:r>
            <w:r>
              <w:rPr>
                <w:bCs/>
                <w:color w:val="auto"/>
                <w:sz w:val="20"/>
                <w:szCs w:val="20"/>
              </w:rPr>
              <w:t>a</w:t>
            </w:r>
            <w:r w:rsidRPr="008224F9">
              <w:rPr>
                <w:bCs/>
                <w:color w:val="auto"/>
                <w:sz w:val="20"/>
                <w:szCs w:val="20"/>
              </w:rPr>
              <w:t xml:space="preserve"> </w:t>
            </w:r>
            <w:r w:rsidR="00857616" w:rsidRPr="008224F9">
              <w:rPr>
                <w:bCs/>
                <w:color w:val="auto"/>
                <w:sz w:val="20"/>
                <w:szCs w:val="20"/>
              </w:rPr>
              <w:t xml:space="preserve">Implement the SDL Accounting Framework Improvement Strategy </w:t>
            </w:r>
            <w:r w:rsidR="007C3B81" w:rsidRPr="008224F9">
              <w:rPr>
                <w:bCs/>
                <w:color w:val="auto"/>
                <w:sz w:val="20"/>
                <w:szCs w:val="20"/>
              </w:rPr>
              <w:t>work plan</w:t>
            </w:r>
            <w:r w:rsidR="00857616" w:rsidRPr="008224F9">
              <w:rPr>
                <w:bCs/>
                <w:color w:val="auto"/>
                <w:sz w:val="20"/>
                <w:szCs w:val="20"/>
              </w:rPr>
              <w:t xml:space="preserve"> led by the MDBA, as relevant to the jurisdiction</w:t>
            </w:r>
            <w:r w:rsidR="00857616"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EFB615"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28FE99" w14:textId="1AE24658"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0273BDD3" w14:textId="77777777" w:rsidTr="00EF4CDB">
        <w:tc>
          <w:tcPr>
            <w:tcW w:w="1560" w:type="dxa"/>
            <w:vMerge/>
            <w:tcBorders>
              <w:left w:val="single" w:sz="8" w:space="0" w:color="4F81BD"/>
              <w:right w:val="single" w:sz="8" w:space="0" w:color="4F81BD"/>
            </w:tcBorders>
            <w:shd w:val="clear" w:color="auto" w:fill="F2F2F2" w:themeFill="background1" w:themeFillShade="F2"/>
          </w:tcPr>
          <w:p w14:paraId="0C13DD25" w14:textId="77777777" w:rsidR="00857616" w:rsidRPr="004C4B9D" w:rsidRDefault="00857616" w:rsidP="00857616">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1177B67" w14:textId="75B1526A" w:rsidR="00857616" w:rsidRPr="004C4B9D" w:rsidRDefault="00474DFF" w:rsidP="00857616">
            <w:pPr>
              <w:pStyle w:val="Tableformat"/>
              <w:rPr>
                <w:bCs/>
                <w:color w:val="auto"/>
                <w:sz w:val="20"/>
                <w:szCs w:val="20"/>
              </w:rPr>
            </w:pPr>
            <w:r>
              <w:rPr>
                <w:bCs/>
                <w:color w:val="auto"/>
                <w:sz w:val="20"/>
                <w:szCs w:val="20"/>
              </w:rPr>
              <w:t>6</w:t>
            </w:r>
            <w:r w:rsidR="00857616">
              <w:rPr>
                <w:bCs/>
                <w:color w:val="auto"/>
                <w:sz w:val="20"/>
                <w:szCs w:val="20"/>
              </w:rPr>
              <w:t xml:space="preserve">. </w:t>
            </w:r>
            <w:r w:rsidR="00857616" w:rsidRPr="004C4B9D">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CE609A4" w14:textId="2EB3B268" w:rsidR="00857616" w:rsidRPr="004C4B9D" w:rsidRDefault="00474DFF" w:rsidP="00857616">
            <w:pPr>
              <w:pStyle w:val="Tableformat"/>
              <w:rPr>
                <w:bCs/>
                <w:color w:val="auto"/>
                <w:sz w:val="20"/>
                <w:szCs w:val="20"/>
              </w:rPr>
            </w:pPr>
            <w:r>
              <w:rPr>
                <w:bCs/>
                <w:color w:val="auto"/>
                <w:sz w:val="20"/>
                <w:szCs w:val="20"/>
              </w:rPr>
              <w:t>6</w:t>
            </w:r>
            <w:r w:rsidR="00857616" w:rsidRPr="008224F9">
              <w:rPr>
                <w:bCs/>
                <w:color w:val="auto"/>
                <w:sz w:val="20"/>
                <w:szCs w:val="20"/>
              </w:rPr>
              <w:t>.a Submit amendments to WRPs to the Commonwealth for approval where state water planning frameworks in WRPs become inconsistent with the Basin Plan</w:t>
            </w:r>
            <w:r w:rsidR="00857616"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0CAFB9"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BE0933" w14:textId="3ED00A09"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2E7E8923" w14:textId="77777777" w:rsidTr="00EF4CDB">
        <w:tc>
          <w:tcPr>
            <w:tcW w:w="1560" w:type="dxa"/>
            <w:vMerge/>
            <w:tcBorders>
              <w:left w:val="single" w:sz="8" w:space="0" w:color="4F81BD"/>
              <w:right w:val="single" w:sz="8" w:space="0" w:color="4F81BD"/>
            </w:tcBorders>
            <w:shd w:val="clear" w:color="auto" w:fill="F2F2F2" w:themeFill="background1" w:themeFillShade="F2"/>
          </w:tcPr>
          <w:p w14:paraId="2D460864" w14:textId="77777777" w:rsidR="00857616" w:rsidRPr="004C4B9D" w:rsidRDefault="00857616" w:rsidP="00857616">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72BCBBC5" w14:textId="4E1DD555" w:rsidR="00857616" w:rsidRPr="004C4B9D" w:rsidRDefault="00474DFF" w:rsidP="00857616">
            <w:pPr>
              <w:pStyle w:val="Tableformat"/>
              <w:rPr>
                <w:bCs/>
                <w:color w:val="auto"/>
                <w:sz w:val="20"/>
                <w:szCs w:val="20"/>
              </w:rPr>
            </w:pPr>
            <w:r>
              <w:rPr>
                <w:bCs/>
                <w:color w:val="auto"/>
                <w:sz w:val="20"/>
                <w:szCs w:val="20"/>
              </w:rPr>
              <w:t>7</w:t>
            </w:r>
            <w:r w:rsidR="00857616">
              <w:rPr>
                <w:bCs/>
                <w:color w:val="auto"/>
                <w:sz w:val="20"/>
                <w:szCs w:val="20"/>
              </w:rPr>
              <w:t xml:space="preserve">. </w:t>
            </w:r>
            <w:r w:rsidR="00857616" w:rsidRPr="004C4B9D">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7C646F" w14:textId="698E0474" w:rsidR="00857616" w:rsidRPr="004C4B9D" w:rsidRDefault="00474DFF" w:rsidP="00857616">
            <w:pPr>
              <w:pStyle w:val="Tableformat"/>
              <w:rPr>
                <w:bCs/>
                <w:color w:val="auto"/>
                <w:sz w:val="20"/>
                <w:szCs w:val="20"/>
              </w:rPr>
            </w:pPr>
            <w:r>
              <w:rPr>
                <w:bCs/>
                <w:color w:val="auto"/>
                <w:sz w:val="20"/>
                <w:szCs w:val="20"/>
              </w:rPr>
              <w:t>7</w:t>
            </w:r>
            <w:r w:rsidR="00857616">
              <w:rPr>
                <w:bCs/>
                <w:color w:val="auto"/>
                <w:sz w:val="20"/>
                <w:szCs w:val="20"/>
              </w:rPr>
              <w:t xml:space="preserve">.a </w:t>
            </w:r>
            <w:r w:rsidR="00857616" w:rsidRPr="004C4B9D">
              <w:rPr>
                <w:bCs/>
                <w:color w:val="auto"/>
                <w:sz w:val="20"/>
                <w:szCs w:val="20"/>
              </w:rPr>
              <w:t>Deliver Basin Plan reporting under Schedule 12, including reporting under Matters 8, 12, 18 and 19</w:t>
            </w:r>
            <w:r w:rsidR="00C12CD8">
              <w:rPr>
                <w:bCs/>
                <w:color w:val="auto"/>
                <w:sz w:val="20"/>
                <w:szCs w:val="20"/>
              </w:rPr>
              <w:t xml:space="preserve"> and 21 (compliance with water resource plans, such as but not limited to Parts 4, 6, 14)</w:t>
            </w:r>
            <w:r w:rsidR="00857616"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25D782"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C96042" w14:textId="2B3935C2" w:rsidR="00857616" w:rsidRPr="004C4B9D" w:rsidRDefault="00857616">
            <w:pPr>
              <w:pStyle w:val="Tableformat"/>
              <w:rPr>
                <w:bCs/>
                <w:color w:val="auto"/>
                <w:sz w:val="20"/>
                <w:szCs w:val="20"/>
              </w:rPr>
            </w:pPr>
            <w:r>
              <w:rPr>
                <w:bCs/>
                <w:color w:val="auto"/>
                <w:sz w:val="20"/>
                <w:szCs w:val="20"/>
              </w:rPr>
              <w:t>$</w:t>
            </w:r>
            <w:r w:rsidR="00A65773">
              <w:rPr>
                <w:bCs/>
                <w:color w:val="auto"/>
                <w:sz w:val="20"/>
                <w:szCs w:val="20"/>
              </w:rPr>
              <w:t>85,087</w:t>
            </w:r>
          </w:p>
        </w:tc>
      </w:tr>
      <w:tr w:rsidR="00857616" w:rsidRPr="004C4B9D" w14:paraId="6DA2F6E5" w14:textId="77777777" w:rsidTr="00EF4CDB">
        <w:tc>
          <w:tcPr>
            <w:tcW w:w="1560" w:type="dxa"/>
            <w:vMerge/>
            <w:tcBorders>
              <w:left w:val="single" w:sz="8" w:space="0" w:color="4F81BD"/>
              <w:right w:val="single" w:sz="8" w:space="0" w:color="4F81BD"/>
            </w:tcBorders>
            <w:shd w:val="clear" w:color="auto" w:fill="F2F2F2" w:themeFill="background1" w:themeFillShade="F2"/>
          </w:tcPr>
          <w:p w14:paraId="475FD04B" w14:textId="77777777" w:rsidR="00857616" w:rsidRPr="004C4B9D" w:rsidRDefault="00857616" w:rsidP="00857616">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41C69926" w14:textId="77777777" w:rsidR="00857616" w:rsidRPr="004C4B9D"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EE20B7" w14:textId="65B598A5" w:rsidR="00857616" w:rsidRPr="004C4B9D" w:rsidRDefault="00474DFF" w:rsidP="00857616">
            <w:pPr>
              <w:pStyle w:val="Tableformat"/>
              <w:rPr>
                <w:bCs/>
                <w:color w:val="auto"/>
                <w:sz w:val="20"/>
                <w:szCs w:val="20"/>
              </w:rPr>
            </w:pPr>
            <w:r>
              <w:rPr>
                <w:bCs/>
                <w:color w:val="auto"/>
                <w:sz w:val="20"/>
                <w:szCs w:val="20"/>
              </w:rPr>
              <w:t>7</w:t>
            </w:r>
            <w:r w:rsidR="00857616">
              <w:rPr>
                <w:bCs/>
                <w:color w:val="auto"/>
                <w:sz w:val="20"/>
                <w:szCs w:val="20"/>
              </w:rPr>
              <w:t xml:space="preserve">.b </w:t>
            </w:r>
            <w:r w:rsidR="00857616" w:rsidRPr="004C4B9D">
              <w:rPr>
                <w:bCs/>
                <w:color w:val="auto"/>
                <w:sz w:val="20"/>
                <w:szCs w:val="20"/>
              </w:rPr>
              <w:t xml:space="preserve">Deliver on </w:t>
            </w:r>
            <w:r w:rsidR="00857616">
              <w:rPr>
                <w:bCs/>
                <w:color w:val="auto"/>
                <w:sz w:val="20"/>
                <w:szCs w:val="20"/>
              </w:rPr>
              <w:t xml:space="preserve">agreed </w:t>
            </w:r>
            <w:r w:rsidR="00857616"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857616" w:rsidRPr="004C4B9D">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6A0B7D"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476964" w14:textId="7E701C6D" w:rsidR="00857616" w:rsidRPr="004C4B9D" w:rsidRDefault="00857616">
            <w:pPr>
              <w:pStyle w:val="Tableformat"/>
              <w:rPr>
                <w:bCs/>
                <w:color w:val="auto"/>
                <w:sz w:val="20"/>
                <w:szCs w:val="20"/>
              </w:rPr>
            </w:pPr>
            <w:r>
              <w:rPr>
                <w:bCs/>
                <w:color w:val="auto"/>
                <w:sz w:val="20"/>
                <w:szCs w:val="20"/>
              </w:rPr>
              <w:t>$</w:t>
            </w:r>
            <w:r w:rsidR="00960562">
              <w:rPr>
                <w:bCs/>
                <w:color w:val="auto"/>
                <w:sz w:val="20"/>
                <w:szCs w:val="20"/>
              </w:rPr>
              <w:t>85</w:t>
            </w:r>
            <w:r w:rsidR="00A65773">
              <w:rPr>
                <w:bCs/>
                <w:color w:val="auto"/>
                <w:sz w:val="20"/>
                <w:szCs w:val="20"/>
              </w:rPr>
              <w:t>,087</w:t>
            </w:r>
          </w:p>
        </w:tc>
      </w:tr>
      <w:tr w:rsidR="00857616" w:rsidRPr="004C4B9D" w14:paraId="52DBEABA" w14:textId="77777777" w:rsidTr="00EF4CDB">
        <w:tc>
          <w:tcPr>
            <w:tcW w:w="1560" w:type="dxa"/>
            <w:tcBorders>
              <w:top w:val="single" w:sz="8" w:space="0" w:color="4F81BD"/>
              <w:left w:val="single" w:sz="8" w:space="0" w:color="4F81BD"/>
              <w:right w:val="single" w:sz="8" w:space="0" w:color="4F81BD"/>
            </w:tcBorders>
            <w:shd w:val="clear" w:color="auto" w:fill="F2F2F2" w:themeFill="background1" w:themeFillShade="F2"/>
          </w:tcPr>
          <w:p w14:paraId="2E39CF39" w14:textId="77777777" w:rsidR="00857616" w:rsidRPr="004C4B9D" w:rsidRDefault="00857616" w:rsidP="00857616">
            <w:pPr>
              <w:pStyle w:val="Tableformat"/>
              <w:rPr>
                <w:bCs/>
                <w:color w:val="auto"/>
                <w:sz w:val="20"/>
                <w:szCs w:val="20"/>
              </w:rPr>
            </w:pPr>
            <w:r w:rsidRPr="004C4B9D">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CF9824" w14:textId="3DD5CAA3" w:rsidR="00857616" w:rsidRPr="004C4B9D" w:rsidRDefault="00A65773">
            <w:pPr>
              <w:pStyle w:val="Tableformat"/>
              <w:rPr>
                <w:bCs/>
                <w:color w:val="auto"/>
                <w:sz w:val="20"/>
                <w:szCs w:val="20"/>
              </w:rPr>
            </w:pPr>
            <w:r>
              <w:rPr>
                <w:bCs/>
                <w:color w:val="auto"/>
                <w:sz w:val="20"/>
                <w:szCs w:val="20"/>
              </w:rPr>
              <w:t>8</w:t>
            </w:r>
            <w:r w:rsidR="00857616">
              <w:rPr>
                <w:bCs/>
                <w:color w:val="auto"/>
                <w:sz w:val="20"/>
                <w:szCs w:val="20"/>
              </w:rPr>
              <w:t xml:space="preserve">. </w:t>
            </w:r>
            <w:r w:rsidR="00857616" w:rsidRPr="004C4B9D">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0CA680" w14:textId="20500B1A" w:rsidR="00857616" w:rsidRPr="004C4B9D" w:rsidRDefault="00A65773">
            <w:pPr>
              <w:pStyle w:val="Tableformat"/>
              <w:rPr>
                <w:bCs/>
                <w:color w:val="auto"/>
                <w:sz w:val="20"/>
                <w:szCs w:val="20"/>
              </w:rPr>
            </w:pPr>
            <w:r>
              <w:rPr>
                <w:bCs/>
                <w:color w:val="auto"/>
                <w:sz w:val="20"/>
                <w:szCs w:val="20"/>
              </w:rPr>
              <w:t>8</w:t>
            </w:r>
            <w:r w:rsidR="00857616" w:rsidRPr="008224F9">
              <w:rPr>
                <w:bCs/>
                <w:color w:val="auto"/>
                <w:sz w:val="20"/>
                <w:szCs w:val="20"/>
              </w:rPr>
              <w:t>.</w:t>
            </w:r>
            <w:r w:rsidR="00474DFF">
              <w:rPr>
                <w:bCs/>
                <w:color w:val="auto"/>
                <w:sz w:val="20"/>
                <w:szCs w:val="20"/>
              </w:rPr>
              <w:t>a</w:t>
            </w:r>
            <w:r w:rsidR="00474DFF" w:rsidRPr="008224F9">
              <w:rPr>
                <w:bCs/>
                <w:color w:val="auto"/>
                <w:sz w:val="20"/>
                <w:szCs w:val="20"/>
              </w:rPr>
              <w:t xml:space="preserve"> </w:t>
            </w:r>
            <w:r w:rsidR="00857616" w:rsidRPr="008224F9">
              <w:rPr>
                <w:bCs/>
                <w:color w:val="auto"/>
                <w:sz w:val="20"/>
                <w:szCs w:val="20"/>
              </w:rPr>
              <w:t>Implement agreed projects and programs arising from a finalised road map for Murray-Darling Basin water market reform</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5C3512"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6CD2B2" w14:textId="39C69D51"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0A7D2DD0" w14:textId="77777777" w:rsidTr="00EF4CD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59C8C958" w14:textId="77777777" w:rsidR="00857616" w:rsidRPr="004C4B9D" w:rsidRDefault="00857616" w:rsidP="00857616">
            <w:pPr>
              <w:pStyle w:val="Tableformat"/>
              <w:rPr>
                <w:bCs/>
                <w:color w:val="auto"/>
                <w:sz w:val="20"/>
                <w:szCs w:val="20"/>
              </w:rPr>
            </w:pPr>
            <w:r w:rsidRPr="004C4B9D">
              <w:rPr>
                <w:bCs/>
                <w:color w:val="auto"/>
                <w:sz w:val="20"/>
                <w:szCs w:val="20"/>
              </w:rPr>
              <w:t>Improved compliance and reporting</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E124C4" w14:textId="49CCD94C" w:rsidR="00857616" w:rsidRPr="004C4B9D" w:rsidRDefault="00A65773">
            <w:pPr>
              <w:pStyle w:val="Tableformat"/>
              <w:rPr>
                <w:bCs/>
                <w:color w:val="auto"/>
                <w:sz w:val="20"/>
                <w:szCs w:val="20"/>
              </w:rPr>
            </w:pPr>
            <w:r>
              <w:rPr>
                <w:bCs/>
                <w:color w:val="auto"/>
                <w:sz w:val="20"/>
                <w:szCs w:val="20"/>
              </w:rPr>
              <w:t>9</w:t>
            </w:r>
            <w:r w:rsidR="00857616">
              <w:rPr>
                <w:bCs/>
                <w:color w:val="auto"/>
                <w:sz w:val="20"/>
                <w:szCs w:val="20"/>
              </w:rPr>
              <w:t xml:space="preserve">. </w:t>
            </w:r>
            <w:r w:rsidR="00857616" w:rsidRPr="004C4B9D">
              <w:rPr>
                <w:bCs/>
                <w:color w:val="auto"/>
                <w:sz w:val="20"/>
                <w:szCs w:val="20"/>
              </w:rPr>
              <w:t xml:space="preserve">Implement revised Metrological Assurance Framework (MAF2)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4C26FC" w14:textId="3CF2BBC1" w:rsidR="00857616" w:rsidRPr="004C4B9D" w:rsidRDefault="00A65773">
            <w:pPr>
              <w:pStyle w:val="Tableformat"/>
              <w:rPr>
                <w:bCs/>
                <w:color w:val="auto"/>
                <w:sz w:val="20"/>
                <w:szCs w:val="20"/>
              </w:rPr>
            </w:pPr>
            <w:r>
              <w:rPr>
                <w:bCs/>
                <w:color w:val="auto"/>
                <w:sz w:val="20"/>
                <w:szCs w:val="20"/>
              </w:rPr>
              <w:t>9</w:t>
            </w:r>
            <w:r w:rsidR="00857616" w:rsidRPr="008224F9">
              <w:rPr>
                <w:bCs/>
                <w:color w:val="auto"/>
                <w:sz w:val="20"/>
                <w:szCs w:val="20"/>
              </w:rPr>
              <w:t>.</w:t>
            </w:r>
            <w:r w:rsidR="00474DFF">
              <w:rPr>
                <w:bCs/>
                <w:color w:val="auto"/>
                <w:sz w:val="20"/>
                <w:szCs w:val="20"/>
              </w:rPr>
              <w:t>a</w:t>
            </w:r>
            <w:r w:rsidR="00474DFF" w:rsidRPr="008224F9">
              <w:rPr>
                <w:bCs/>
                <w:color w:val="auto"/>
                <w:sz w:val="20"/>
                <w:szCs w:val="20"/>
              </w:rPr>
              <w:t xml:space="preserve"> </w:t>
            </w:r>
            <w:r w:rsidR="00857616" w:rsidRPr="008224F9">
              <w:rPr>
                <w:bCs/>
                <w:color w:val="auto"/>
                <w:sz w:val="20"/>
                <w:szCs w:val="20"/>
              </w:rPr>
              <w:t>Progress the integration of MAF2 requirements into the state’s metering compliance plan/policy in accordance with the implementation pla</w:t>
            </w:r>
            <w:r w:rsidR="00857616">
              <w:rPr>
                <w:bCs/>
                <w:color w:val="auto"/>
                <w:sz w:val="20"/>
                <w:szCs w:val="20"/>
              </w:rPr>
              <w:t>n</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80325E"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19090D" w14:textId="4719A96A"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784659F1" w14:textId="77777777" w:rsidTr="00EF4CDB">
        <w:tc>
          <w:tcPr>
            <w:tcW w:w="1560" w:type="dxa"/>
            <w:vMerge/>
            <w:tcBorders>
              <w:left w:val="single" w:sz="8" w:space="0" w:color="4F81BD"/>
              <w:right w:val="single" w:sz="8" w:space="0" w:color="4F81BD"/>
            </w:tcBorders>
            <w:shd w:val="clear" w:color="auto" w:fill="F2F2F2" w:themeFill="background1" w:themeFillShade="F2"/>
          </w:tcPr>
          <w:p w14:paraId="7F53423A" w14:textId="77777777" w:rsidR="00857616" w:rsidRPr="004C4B9D" w:rsidRDefault="00857616" w:rsidP="00857616">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382097B8" w14:textId="134C114B" w:rsidR="00857616" w:rsidRPr="004C4B9D" w:rsidRDefault="00A65773">
            <w:pPr>
              <w:pStyle w:val="Tableformat"/>
              <w:rPr>
                <w:bCs/>
                <w:color w:val="auto"/>
                <w:sz w:val="20"/>
                <w:szCs w:val="20"/>
              </w:rPr>
            </w:pPr>
            <w:r>
              <w:rPr>
                <w:bCs/>
                <w:color w:val="auto"/>
                <w:sz w:val="20"/>
                <w:szCs w:val="20"/>
              </w:rPr>
              <w:t>10</w:t>
            </w:r>
            <w:r w:rsidR="00857616">
              <w:rPr>
                <w:bCs/>
                <w:color w:val="auto"/>
                <w:sz w:val="20"/>
                <w:szCs w:val="20"/>
              </w:rPr>
              <w:t xml:space="preserve">. </w:t>
            </w:r>
            <w:r w:rsidR="00857616" w:rsidRPr="001920CF">
              <w:rPr>
                <w:bCs/>
                <w:color w:val="auto"/>
                <w:sz w:val="20"/>
                <w:szCs w:val="20"/>
              </w:rPr>
              <w:t>Work with the Inspector General of Water Compliance (IGWC) to provide clear compliance arrangements and reporting in the Murray-Darling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693001" w14:textId="755F6B4D" w:rsidR="00857616" w:rsidRPr="004C4B9D" w:rsidRDefault="00A65773">
            <w:pPr>
              <w:pStyle w:val="Tableformat"/>
              <w:rPr>
                <w:bCs/>
                <w:color w:val="auto"/>
                <w:sz w:val="20"/>
                <w:szCs w:val="20"/>
              </w:rPr>
            </w:pPr>
            <w:r>
              <w:rPr>
                <w:bCs/>
                <w:color w:val="auto"/>
                <w:sz w:val="20"/>
                <w:szCs w:val="20"/>
              </w:rPr>
              <w:t>10</w:t>
            </w:r>
            <w:r w:rsidR="00857616" w:rsidRPr="008224F9">
              <w:rPr>
                <w:bCs/>
                <w:color w:val="auto"/>
                <w:sz w:val="20"/>
                <w:szCs w:val="20"/>
              </w:rPr>
              <w:t>.</w:t>
            </w:r>
            <w:r w:rsidR="00474DFF">
              <w:rPr>
                <w:bCs/>
                <w:color w:val="auto"/>
                <w:sz w:val="20"/>
                <w:szCs w:val="20"/>
              </w:rPr>
              <w:t>a</w:t>
            </w:r>
            <w:r w:rsidR="00474DFF" w:rsidRPr="008224F9">
              <w:rPr>
                <w:bCs/>
                <w:color w:val="auto"/>
                <w:sz w:val="20"/>
                <w:szCs w:val="20"/>
              </w:rPr>
              <w:t xml:space="preserve"> </w:t>
            </w:r>
            <w:r w:rsidR="00857616" w:rsidRPr="008224F9">
              <w:rPr>
                <w:bCs/>
                <w:color w:val="auto"/>
                <w:sz w:val="20"/>
                <w:szCs w:val="20"/>
              </w:rPr>
              <w:t>Provide input to the IGWC on the development of standards and guidelines</w:t>
            </w:r>
            <w:r w:rsidR="00857616"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637F1D"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1052D3" w14:textId="68A45C49"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772BAE43" w14:textId="77777777" w:rsidTr="00EF4CDB">
        <w:tc>
          <w:tcPr>
            <w:tcW w:w="1560" w:type="dxa"/>
            <w:vMerge/>
            <w:tcBorders>
              <w:left w:val="single" w:sz="8" w:space="0" w:color="4F81BD"/>
              <w:right w:val="single" w:sz="8" w:space="0" w:color="4F81BD"/>
            </w:tcBorders>
            <w:shd w:val="clear" w:color="auto" w:fill="F2F2F2" w:themeFill="background1" w:themeFillShade="F2"/>
          </w:tcPr>
          <w:p w14:paraId="3DF564F7" w14:textId="77777777" w:rsidR="00857616" w:rsidRPr="004C4B9D" w:rsidRDefault="00857616" w:rsidP="00857616">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0A2F3FA9" w14:textId="77777777" w:rsidR="00857616" w:rsidRPr="001920CF"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A9E766" w14:textId="56A5F87E" w:rsidR="00857616" w:rsidRPr="004C4B9D" w:rsidRDefault="00A65773">
            <w:pPr>
              <w:pStyle w:val="Tableformat"/>
              <w:rPr>
                <w:bCs/>
                <w:color w:val="auto"/>
                <w:sz w:val="20"/>
                <w:szCs w:val="20"/>
              </w:rPr>
            </w:pPr>
            <w:r>
              <w:rPr>
                <w:bCs/>
                <w:color w:val="auto"/>
                <w:sz w:val="20"/>
                <w:szCs w:val="20"/>
              </w:rPr>
              <w:t>10</w:t>
            </w:r>
            <w:r w:rsidR="00857616" w:rsidRPr="008224F9">
              <w:rPr>
                <w:bCs/>
                <w:color w:val="auto"/>
                <w:sz w:val="20"/>
                <w:szCs w:val="20"/>
              </w:rPr>
              <w:t>.</w:t>
            </w:r>
            <w:r>
              <w:rPr>
                <w:bCs/>
                <w:color w:val="auto"/>
                <w:sz w:val="20"/>
                <w:szCs w:val="20"/>
              </w:rPr>
              <w:t>b</w:t>
            </w:r>
            <w:r w:rsidRPr="008224F9">
              <w:rPr>
                <w:bCs/>
                <w:color w:val="auto"/>
                <w:sz w:val="20"/>
                <w:szCs w:val="20"/>
              </w:rPr>
              <w:t xml:space="preserve"> </w:t>
            </w:r>
            <w:r w:rsidR="00857616" w:rsidRPr="008224F9">
              <w:rPr>
                <w:bCs/>
                <w:color w:val="auto"/>
                <w:sz w:val="20"/>
                <w:szCs w:val="20"/>
              </w:rPr>
              <w:t>Report to the IGWC against MAF2 Chapter 15 at least annually or in accordance with IGWC guidelines</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1F05F3" w14:textId="77777777" w:rsidR="00857616"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342993" w14:textId="383AE42C" w:rsidR="00857616"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56401564" w14:textId="77777777" w:rsidTr="00EF4CDB">
        <w:tc>
          <w:tcPr>
            <w:tcW w:w="1560" w:type="dxa"/>
            <w:vMerge/>
            <w:tcBorders>
              <w:left w:val="single" w:sz="8" w:space="0" w:color="4F81BD"/>
              <w:right w:val="single" w:sz="8" w:space="0" w:color="4F81BD"/>
            </w:tcBorders>
            <w:shd w:val="clear" w:color="auto" w:fill="F2F2F2" w:themeFill="background1" w:themeFillShade="F2"/>
          </w:tcPr>
          <w:p w14:paraId="61C93394" w14:textId="77777777" w:rsidR="00857616" w:rsidRPr="004C4B9D" w:rsidRDefault="00857616" w:rsidP="00857616">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7ECC9CB0" w14:textId="77777777" w:rsidR="00857616" w:rsidRPr="001920CF" w:rsidRDefault="00857616" w:rsidP="0085761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A409AC" w14:textId="102C05FC" w:rsidR="00857616" w:rsidRPr="008224F9" w:rsidRDefault="00474DFF">
            <w:pPr>
              <w:pStyle w:val="Tableformat"/>
              <w:rPr>
                <w:bCs/>
                <w:color w:val="auto"/>
                <w:sz w:val="20"/>
                <w:szCs w:val="20"/>
              </w:rPr>
            </w:pPr>
            <w:r>
              <w:rPr>
                <w:bCs/>
                <w:color w:val="auto"/>
                <w:sz w:val="20"/>
                <w:szCs w:val="20"/>
              </w:rPr>
              <w:t>1</w:t>
            </w:r>
            <w:r w:rsidR="00A65773">
              <w:rPr>
                <w:bCs/>
                <w:color w:val="auto"/>
                <w:sz w:val="20"/>
                <w:szCs w:val="20"/>
              </w:rPr>
              <w:t>0</w:t>
            </w:r>
            <w:r w:rsidR="00857616" w:rsidRPr="004D079A">
              <w:rPr>
                <w:bCs/>
                <w:color w:val="auto"/>
                <w:sz w:val="20"/>
                <w:szCs w:val="20"/>
              </w:rPr>
              <w:t>.</w:t>
            </w:r>
            <w:r w:rsidR="00A65773">
              <w:rPr>
                <w:bCs/>
                <w:color w:val="auto"/>
                <w:sz w:val="20"/>
                <w:szCs w:val="20"/>
              </w:rPr>
              <w:t>c</w:t>
            </w:r>
            <w:r w:rsidR="00A65773" w:rsidRPr="004D079A">
              <w:rPr>
                <w:bCs/>
                <w:color w:val="auto"/>
                <w:sz w:val="20"/>
                <w:szCs w:val="20"/>
              </w:rPr>
              <w:t xml:space="preserve"> </w:t>
            </w:r>
            <w:r w:rsidR="00857616" w:rsidRPr="004D079A">
              <w:rPr>
                <w:bCs/>
                <w:color w:val="auto"/>
                <w:sz w:val="20"/>
                <w:szCs w:val="20"/>
              </w:rPr>
              <w:t>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13B72B" w14:textId="77777777" w:rsidR="00857616"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66C27D" w14:textId="03EE427B" w:rsidR="00857616"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00AA6271" w14:textId="77777777" w:rsidTr="00EF4CDB">
        <w:tc>
          <w:tcPr>
            <w:tcW w:w="1560" w:type="dxa"/>
            <w:vMerge/>
            <w:tcBorders>
              <w:left w:val="single" w:sz="8" w:space="0" w:color="4F81BD"/>
              <w:right w:val="single" w:sz="8" w:space="0" w:color="4F81BD"/>
            </w:tcBorders>
            <w:shd w:val="clear" w:color="auto" w:fill="F2F2F2" w:themeFill="background1" w:themeFillShade="F2"/>
          </w:tcPr>
          <w:p w14:paraId="73819150" w14:textId="77777777" w:rsidR="00857616" w:rsidRPr="004C4B9D" w:rsidRDefault="00857616" w:rsidP="00857616">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4CB0B128" w14:textId="5136EBAD" w:rsidR="00857616" w:rsidRPr="004C4B9D" w:rsidRDefault="00A65773">
            <w:pPr>
              <w:pStyle w:val="Tableformat"/>
              <w:rPr>
                <w:bCs/>
                <w:color w:val="auto"/>
                <w:sz w:val="20"/>
                <w:szCs w:val="20"/>
              </w:rPr>
            </w:pPr>
            <w:r>
              <w:rPr>
                <w:bCs/>
                <w:color w:val="auto"/>
                <w:sz w:val="20"/>
                <w:szCs w:val="20"/>
              </w:rPr>
              <w:t>11</w:t>
            </w:r>
            <w:r w:rsidR="00857616">
              <w:rPr>
                <w:bCs/>
                <w:color w:val="auto"/>
                <w:sz w:val="20"/>
                <w:szCs w:val="20"/>
              </w:rPr>
              <w:t xml:space="preserve">. </w:t>
            </w:r>
            <w:r w:rsidR="00857616" w:rsidRPr="004C4B9D">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89388E" w14:textId="0A5DB37C" w:rsidR="00857616" w:rsidRPr="004C4B9D" w:rsidRDefault="00A65773">
            <w:pPr>
              <w:pStyle w:val="Tableformat"/>
              <w:rPr>
                <w:bCs/>
                <w:color w:val="auto"/>
                <w:sz w:val="20"/>
                <w:szCs w:val="20"/>
              </w:rPr>
            </w:pPr>
            <w:r>
              <w:rPr>
                <w:bCs/>
                <w:color w:val="auto"/>
                <w:sz w:val="20"/>
                <w:szCs w:val="20"/>
              </w:rPr>
              <w:t>11</w:t>
            </w:r>
            <w:r w:rsidR="00857616" w:rsidRPr="004D079A">
              <w:rPr>
                <w:bCs/>
                <w:color w:val="auto"/>
                <w:sz w:val="20"/>
                <w:szCs w:val="20"/>
              </w:rPr>
              <w:t>.</w:t>
            </w:r>
            <w:r>
              <w:rPr>
                <w:bCs/>
                <w:color w:val="auto"/>
                <w:sz w:val="20"/>
                <w:szCs w:val="20"/>
              </w:rPr>
              <w:t>a</w:t>
            </w:r>
            <w:r w:rsidRPr="004D079A">
              <w:rPr>
                <w:bCs/>
                <w:color w:val="auto"/>
                <w:sz w:val="20"/>
                <w:szCs w:val="20"/>
              </w:rPr>
              <w:t xml:space="preserve"> </w:t>
            </w:r>
            <w:r w:rsidR="00857616" w:rsidRPr="004D079A">
              <w:rPr>
                <w:bCs/>
                <w:color w:val="auto"/>
                <w:sz w:val="20"/>
                <w:szCs w:val="20"/>
              </w:rPr>
              <w:t>Provide information on metering and telemetry thresholds to an independent analysis lead by the IGWC, including participation in the identification of Basin-wide minimum standards, and communicate on thresholds and standards</w:t>
            </w:r>
            <w:r w:rsidR="00857616"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4B5E13"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64EB78" w14:textId="47BB6567" w:rsidR="00857616" w:rsidRPr="004C4B9D" w:rsidRDefault="00857616" w:rsidP="00857616">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2647C4E6" w14:textId="77777777" w:rsidTr="00EF4CDB">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238F48AB" w14:textId="77777777" w:rsidR="00857616" w:rsidRPr="004C4B9D" w:rsidRDefault="00857616" w:rsidP="00857616">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E383C4" w14:textId="2CE6B329" w:rsidR="00857616" w:rsidRPr="004C4B9D" w:rsidRDefault="00A65773">
            <w:pPr>
              <w:pStyle w:val="Tableformat"/>
              <w:rPr>
                <w:bCs/>
                <w:color w:val="auto"/>
                <w:sz w:val="20"/>
                <w:szCs w:val="20"/>
              </w:rPr>
            </w:pPr>
            <w:r>
              <w:rPr>
                <w:bCs/>
                <w:color w:val="auto"/>
                <w:sz w:val="20"/>
                <w:szCs w:val="20"/>
              </w:rPr>
              <w:t>12</w:t>
            </w:r>
            <w:r w:rsidR="00857616">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42CBA9" w14:textId="6077ACB6" w:rsidR="00857616" w:rsidRPr="004C4B9D" w:rsidRDefault="00A65773">
            <w:pPr>
              <w:pStyle w:val="Tableformat"/>
              <w:rPr>
                <w:bCs/>
                <w:color w:val="auto"/>
                <w:sz w:val="20"/>
                <w:szCs w:val="20"/>
              </w:rPr>
            </w:pPr>
            <w:r>
              <w:rPr>
                <w:bCs/>
                <w:color w:val="auto"/>
                <w:sz w:val="20"/>
                <w:szCs w:val="20"/>
              </w:rPr>
              <w:t>12</w:t>
            </w:r>
            <w:r w:rsidR="00857616" w:rsidRPr="004D079A">
              <w:rPr>
                <w:bCs/>
                <w:color w:val="auto"/>
                <w:sz w:val="20"/>
                <w:szCs w:val="20"/>
              </w:rPr>
              <w:t>.a Provide information to the IGWC as requested and in accordance with agreed MOU/guidelines to enable oversight of Compliance Compact commitments</w:t>
            </w:r>
            <w:r w:rsidR="00857616" w:rsidRPr="00165E29">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E8BDF45" w14:textId="77777777" w:rsidR="00857616"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0141D8" w14:textId="6A29B6A1" w:rsidR="00857616" w:rsidRDefault="00857616" w:rsidP="00733283">
            <w:pPr>
              <w:pStyle w:val="Tableformat"/>
              <w:rPr>
                <w:bCs/>
                <w:color w:val="auto"/>
                <w:sz w:val="20"/>
                <w:szCs w:val="20"/>
              </w:rPr>
            </w:pPr>
            <w:r>
              <w:rPr>
                <w:bCs/>
                <w:color w:val="auto"/>
                <w:sz w:val="20"/>
                <w:szCs w:val="20"/>
              </w:rPr>
              <w:t>$</w:t>
            </w:r>
            <w:r w:rsidR="00733283">
              <w:rPr>
                <w:bCs/>
                <w:color w:val="auto"/>
                <w:sz w:val="20"/>
                <w:szCs w:val="20"/>
              </w:rPr>
              <w:t>56,725</w:t>
            </w:r>
          </w:p>
        </w:tc>
      </w:tr>
      <w:tr w:rsidR="00857616" w:rsidRPr="004C4B9D" w14:paraId="4171AB22" w14:textId="77777777" w:rsidTr="00EF4CDB">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5985B2" w14:textId="77777777" w:rsidR="00857616" w:rsidRPr="004C4B9D" w:rsidRDefault="00857616" w:rsidP="00857616">
            <w:pPr>
              <w:pStyle w:val="Tableformat"/>
              <w:rPr>
                <w:bCs/>
                <w:color w:val="auto"/>
                <w:sz w:val="20"/>
                <w:szCs w:val="20"/>
              </w:rPr>
            </w:pPr>
            <w:r w:rsidRPr="004C4B9D">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6AC4D9" w14:textId="5D5029A2" w:rsidR="00857616" w:rsidRPr="004C4B9D" w:rsidRDefault="00474DFF" w:rsidP="00857616">
            <w:pPr>
              <w:pStyle w:val="Tableformat"/>
              <w:rPr>
                <w:bCs/>
                <w:color w:val="auto"/>
                <w:sz w:val="20"/>
                <w:szCs w:val="20"/>
              </w:rPr>
            </w:pPr>
            <w:r>
              <w:rPr>
                <w:bCs/>
                <w:color w:val="auto"/>
                <w:sz w:val="20"/>
                <w:szCs w:val="20"/>
              </w:rPr>
              <w:t>13</w:t>
            </w:r>
            <w:r w:rsidR="00857616">
              <w:rPr>
                <w:bCs/>
                <w:color w:val="auto"/>
                <w:sz w:val="20"/>
                <w:szCs w:val="20"/>
              </w:rPr>
              <w:t xml:space="preserve">. </w:t>
            </w:r>
            <w:r w:rsidR="00857616" w:rsidRPr="004C4B9D">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0E81BC" w14:textId="675A2250" w:rsidR="00857616" w:rsidRPr="004C4B9D" w:rsidRDefault="00474DFF" w:rsidP="00857616">
            <w:pPr>
              <w:pStyle w:val="Tableformat"/>
              <w:rPr>
                <w:bCs/>
                <w:color w:val="auto"/>
                <w:sz w:val="20"/>
                <w:szCs w:val="20"/>
              </w:rPr>
            </w:pPr>
            <w:r>
              <w:rPr>
                <w:bCs/>
                <w:color w:val="auto"/>
                <w:sz w:val="20"/>
                <w:szCs w:val="20"/>
              </w:rPr>
              <w:t>13</w:t>
            </w:r>
            <w:r w:rsidR="00857616" w:rsidRPr="004D079A">
              <w:rPr>
                <w:bCs/>
                <w:color w:val="auto"/>
                <w:sz w:val="20"/>
                <w:szCs w:val="20"/>
              </w:rPr>
              <w:t>.a Report on improvements made on strategic consultation, engagement and coordination with Basin communities, in collaboration with the Commonwealth and other Basin governments</w:t>
            </w:r>
            <w:r w:rsidR="00857616"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93FF62" w14:textId="77777777" w:rsidR="00857616" w:rsidRPr="004C4B9D" w:rsidRDefault="00857616" w:rsidP="00857616">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B936A2" w14:textId="32D7B415" w:rsidR="00857616" w:rsidRPr="004C4B9D" w:rsidRDefault="00857616">
            <w:pPr>
              <w:pStyle w:val="Tableformat"/>
              <w:rPr>
                <w:bCs/>
                <w:color w:val="auto"/>
                <w:sz w:val="20"/>
                <w:szCs w:val="20"/>
              </w:rPr>
            </w:pPr>
            <w:r>
              <w:rPr>
                <w:bCs/>
                <w:color w:val="auto"/>
                <w:sz w:val="20"/>
                <w:szCs w:val="20"/>
              </w:rPr>
              <w:t>$53,</w:t>
            </w:r>
            <w:r w:rsidR="00733283">
              <w:rPr>
                <w:bCs/>
                <w:color w:val="auto"/>
                <w:sz w:val="20"/>
                <w:szCs w:val="20"/>
              </w:rPr>
              <w:t>76</w:t>
            </w:r>
            <w:r w:rsidR="00260B08">
              <w:rPr>
                <w:bCs/>
                <w:color w:val="auto"/>
                <w:sz w:val="20"/>
                <w:szCs w:val="20"/>
              </w:rPr>
              <w:t>1</w:t>
            </w:r>
          </w:p>
        </w:tc>
      </w:tr>
      <w:tr w:rsidR="00F96842" w:rsidRPr="00DD56FE" w14:paraId="141E6F20" w14:textId="77777777" w:rsidTr="00EF4CDB">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47FEF040" w14:textId="10A6D7FF" w:rsidR="00F96842" w:rsidRPr="00DD56FE" w:rsidRDefault="00F96842" w:rsidP="00F96842">
            <w:pPr>
              <w:pStyle w:val="Tableformat"/>
              <w:jc w:val="right"/>
              <w:rPr>
                <w:bCs/>
                <w:i/>
                <w:iCs w:val="0"/>
                <w:color w:val="auto"/>
                <w:sz w:val="20"/>
                <w:szCs w:val="20"/>
              </w:rPr>
            </w:pPr>
            <w:r w:rsidRPr="00DD56FE">
              <w:rPr>
                <w:bCs/>
                <w:i/>
                <w:iCs w:val="0"/>
                <w:color w:val="auto"/>
                <w:sz w:val="20"/>
                <w:szCs w:val="20"/>
              </w:rPr>
              <w:t>Total payment for South Australia</w:t>
            </w:r>
            <w:r>
              <w:rPr>
                <w:bCs/>
                <w:i/>
                <w:iCs w:val="0"/>
                <w:color w:val="auto"/>
                <w:sz w:val="20"/>
                <w:szCs w:val="20"/>
              </w:rPr>
              <w:t xml:space="preserve"> for Year 2</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5398ED" w14:textId="67FEF5F4" w:rsidR="00F96842" w:rsidRPr="00DD56FE" w:rsidRDefault="00F96842" w:rsidP="00F96842">
            <w:pPr>
              <w:pStyle w:val="Tableformat"/>
              <w:rPr>
                <w:bCs/>
                <w:color w:val="auto"/>
                <w:sz w:val="20"/>
                <w:szCs w:val="20"/>
              </w:rPr>
            </w:pPr>
            <w:r w:rsidRPr="00DD56FE">
              <w:rPr>
                <w:bCs/>
                <w:color w:val="auto"/>
                <w:sz w:val="20"/>
                <w:szCs w:val="20"/>
              </w:rPr>
              <w:t>$</w:t>
            </w:r>
            <w:r>
              <w:rPr>
                <w:bCs/>
                <w:color w:val="auto"/>
                <w:sz w:val="20"/>
                <w:szCs w:val="20"/>
              </w:rPr>
              <w:t>1,397,25</w:t>
            </w:r>
            <w:r w:rsidRPr="00DD56FE">
              <w:rPr>
                <w:bCs/>
                <w:color w:val="auto"/>
                <w:sz w:val="20"/>
                <w:szCs w:val="20"/>
              </w:rPr>
              <w:t>0</w:t>
            </w:r>
          </w:p>
        </w:tc>
      </w:tr>
    </w:tbl>
    <w:p w14:paraId="66B651FE" w14:textId="4F1F8027" w:rsidR="00EA16B8" w:rsidRDefault="00EA16B8">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8"/>
        <w:gridCol w:w="2581"/>
        <w:gridCol w:w="3586"/>
        <w:gridCol w:w="1328"/>
        <w:gridCol w:w="1134"/>
      </w:tblGrid>
      <w:tr w:rsidR="00EA16B8" w:rsidRPr="00F00A18" w14:paraId="3E40CB87" w14:textId="77777777" w:rsidTr="00AE67DC">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B747887" w14:textId="77777777" w:rsidR="00EA16B8" w:rsidRPr="00F00A18" w:rsidRDefault="00EA16B8" w:rsidP="006F3A9B">
            <w:pPr>
              <w:pStyle w:val="Tableformat"/>
              <w:tabs>
                <w:tab w:val="left" w:pos="6043"/>
              </w:tabs>
              <w:rPr>
                <w:b/>
                <w:color w:val="auto"/>
              </w:rPr>
            </w:pPr>
            <w:r>
              <w:rPr>
                <w:b/>
                <w:color w:val="auto"/>
              </w:rPr>
              <w:t>Table 2D</w:t>
            </w:r>
            <w:r w:rsidRPr="00F00A18">
              <w:rPr>
                <w:b/>
                <w:color w:val="auto"/>
              </w:rPr>
              <w:t xml:space="preserve">: </w:t>
            </w:r>
            <w:r>
              <w:rPr>
                <w:b/>
                <w:color w:val="auto"/>
              </w:rPr>
              <w:t xml:space="preserve">South Australia </w:t>
            </w:r>
            <w:r w:rsidRPr="00F00A18">
              <w:rPr>
                <w:b/>
                <w:color w:val="auto"/>
              </w:rPr>
              <w:t>– Performance requirements, reporting and payment summary</w:t>
            </w:r>
          </w:p>
        </w:tc>
      </w:tr>
      <w:tr w:rsidR="00EA16B8" w:rsidRPr="00F00A18" w14:paraId="0B5C519B" w14:textId="77777777" w:rsidTr="00AE67DC">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6CCD6E1" w14:textId="6C5D49B2" w:rsidR="00EA16B8" w:rsidRDefault="00EA16B8" w:rsidP="006F3A9B">
            <w:pPr>
              <w:pStyle w:val="Tableformat"/>
              <w:tabs>
                <w:tab w:val="left" w:pos="6043"/>
              </w:tabs>
              <w:rPr>
                <w:b/>
                <w:color w:val="auto"/>
              </w:rPr>
            </w:pPr>
            <w:r>
              <w:rPr>
                <w:b/>
                <w:color w:val="auto"/>
              </w:rPr>
              <w:t>Year 3: 2023-2024</w:t>
            </w:r>
          </w:p>
        </w:tc>
      </w:tr>
      <w:tr w:rsidR="00EA16B8" w:rsidRPr="00FD6EB4" w14:paraId="0B9351DF" w14:textId="77777777" w:rsidTr="00AE67DC">
        <w:tc>
          <w:tcPr>
            <w:tcW w:w="1578" w:type="dxa"/>
            <w:shd w:val="clear" w:color="auto" w:fill="F2F2F2" w:themeFill="background1" w:themeFillShade="F2"/>
          </w:tcPr>
          <w:p w14:paraId="6FB34EF1" w14:textId="77777777" w:rsidR="00EA16B8" w:rsidRPr="00FD6EB4" w:rsidRDefault="00EA16B8"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81" w:type="dxa"/>
            <w:shd w:val="clear" w:color="auto" w:fill="F2F2F2" w:themeFill="background1" w:themeFillShade="F2"/>
          </w:tcPr>
          <w:p w14:paraId="4CE87720" w14:textId="77777777" w:rsidR="00EA16B8" w:rsidRPr="00FD6EB4" w:rsidRDefault="00EA16B8" w:rsidP="006F3A9B">
            <w:pPr>
              <w:pStyle w:val="Tableformat"/>
              <w:rPr>
                <w:b/>
                <w:color w:val="auto"/>
                <w:sz w:val="22"/>
                <w:szCs w:val="22"/>
              </w:rPr>
            </w:pPr>
            <w:r w:rsidRPr="00FD6EB4">
              <w:rPr>
                <w:b/>
                <w:color w:val="auto"/>
                <w:sz w:val="22"/>
                <w:szCs w:val="22"/>
              </w:rPr>
              <w:t>Performance milestones</w:t>
            </w:r>
          </w:p>
        </w:tc>
        <w:tc>
          <w:tcPr>
            <w:tcW w:w="3586" w:type="dxa"/>
            <w:shd w:val="clear" w:color="auto" w:fill="F2F2F2" w:themeFill="background1" w:themeFillShade="F2"/>
          </w:tcPr>
          <w:p w14:paraId="0D2EDEF8" w14:textId="77777777" w:rsidR="00EA16B8" w:rsidRPr="00FD6EB4" w:rsidRDefault="00EA16B8" w:rsidP="006F3A9B">
            <w:pPr>
              <w:pStyle w:val="Tableformat"/>
              <w:rPr>
                <w:b/>
                <w:color w:val="auto"/>
                <w:sz w:val="22"/>
                <w:szCs w:val="22"/>
              </w:rPr>
            </w:pPr>
            <w:r w:rsidRPr="00FD6EB4">
              <w:rPr>
                <w:b/>
                <w:color w:val="auto"/>
                <w:sz w:val="22"/>
                <w:szCs w:val="22"/>
              </w:rPr>
              <w:t>Key Performance Indicators</w:t>
            </w:r>
          </w:p>
        </w:tc>
        <w:tc>
          <w:tcPr>
            <w:tcW w:w="1328" w:type="dxa"/>
            <w:shd w:val="clear" w:color="auto" w:fill="F2F2F2" w:themeFill="background1" w:themeFillShade="F2"/>
          </w:tcPr>
          <w:p w14:paraId="5A2C897D" w14:textId="77777777" w:rsidR="00EA16B8" w:rsidRPr="00FD6EB4" w:rsidRDefault="00EA16B8"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79A35F7E" w14:textId="77777777" w:rsidR="00EA16B8" w:rsidRPr="00FD6EB4" w:rsidRDefault="00EA16B8" w:rsidP="006F3A9B">
            <w:pPr>
              <w:pStyle w:val="Tableformat"/>
              <w:rPr>
                <w:b/>
                <w:color w:val="auto"/>
                <w:sz w:val="22"/>
                <w:szCs w:val="22"/>
              </w:rPr>
            </w:pPr>
            <w:r w:rsidRPr="00FD6EB4">
              <w:rPr>
                <w:b/>
                <w:color w:val="auto"/>
                <w:sz w:val="22"/>
                <w:szCs w:val="22"/>
              </w:rPr>
              <w:t>Payment</w:t>
            </w:r>
          </w:p>
        </w:tc>
      </w:tr>
      <w:tr w:rsidR="00FD0DF5" w:rsidRPr="004C4B9D" w14:paraId="472FCDF5" w14:textId="77777777" w:rsidTr="00AE67DC">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1246B26D" w14:textId="77777777" w:rsidR="00FD0DF5" w:rsidRPr="004C4B9D" w:rsidRDefault="00FD0DF5" w:rsidP="00FD0DF5">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3D37C8F4" w14:textId="77777777" w:rsidR="00FD0DF5" w:rsidRPr="004C4B9D" w:rsidRDefault="00FD0DF5" w:rsidP="00FD0DF5">
            <w:pPr>
              <w:pStyle w:val="Tableformat"/>
              <w:rPr>
                <w:bCs/>
                <w:color w:val="auto"/>
                <w:sz w:val="20"/>
                <w:szCs w:val="20"/>
              </w:rPr>
            </w:pPr>
            <w:r w:rsidRPr="00C35DA5">
              <w:rPr>
                <w:bCs/>
                <w:color w:val="auto"/>
                <w:sz w:val="20"/>
                <w:szCs w:val="20"/>
              </w:rPr>
              <w:t>1. 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524CA9">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250BD0" w14:textId="77777777" w:rsidR="00FD0DF5" w:rsidRPr="004C4B9D" w:rsidRDefault="00FD0DF5" w:rsidP="00FD0DF5">
            <w:pPr>
              <w:pStyle w:val="Tableformat"/>
              <w:rPr>
                <w:bCs/>
                <w:color w:val="auto"/>
                <w:sz w:val="20"/>
                <w:szCs w:val="20"/>
              </w:rPr>
            </w:pPr>
            <w:r w:rsidRPr="00C35DA5">
              <w:rPr>
                <w:bCs/>
                <w:color w:val="auto"/>
                <w:sz w:val="20"/>
                <w:szCs w:val="20"/>
              </w:rPr>
              <w:t>1.a Work with the Commonwealth on water recovery projects, including setting up governance arrangements and schedules as appropriate, conducting outreach and engagement with irrigation networks and transforming entitlements as appropriate.</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42F5DE"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BDF0E2E" w14:textId="19856594" w:rsidR="00FD0DF5" w:rsidRPr="004C4B9D" w:rsidRDefault="00FD0DF5" w:rsidP="00FD0DF5">
            <w:pPr>
              <w:pStyle w:val="Tableformat"/>
              <w:rPr>
                <w:bCs/>
                <w:color w:val="auto"/>
                <w:sz w:val="20"/>
                <w:szCs w:val="20"/>
              </w:rPr>
            </w:pPr>
            <w:r>
              <w:rPr>
                <w:bCs/>
                <w:color w:val="auto"/>
                <w:sz w:val="20"/>
                <w:szCs w:val="20"/>
              </w:rPr>
              <w:t>$155,250</w:t>
            </w:r>
          </w:p>
        </w:tc>
      </w:tr>
      <w:tr w:rsidR="00AE67DC" w14:paraId="76504C6B" w14:textId="77777777" w:rsidTr="00AE67DC">
        <w:tc>
          <w:tcPr>
            <w:tcW w:w="1578" w:type="dxa"/>
            <w:vMerge/>
            <w:tcBorders>
              <w:left w:val="single" w:sz="8" w:space="0" w:color="4F81BD"/>
              <w:right w:val="single" w:sz="8" w:space="0" w:color="4F81BD"/>
            </w:tcBorders>
            <w:shd w:val="clear" w:color="auto" w:fill="F2F2F2" w:themeFill="background1" w:themeFillShade="F2"/>
          </w:tcPr>
          <w:p w14:paraId="0FFD0247" w14:textId="77777777" w:rsidR="00AE67DC" w:rsidRPr="004C4B9D" w:rsidRDefault="00AE67DC" w:rsidP="006F3A9B">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784D2233" w14:textId="77777777" w:rsidR="00AE67DC" w:rsidRPr="004C4B9D" w:rsidRDefault="00AE67DC" w:rsidP="006F3A9B">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225F883" w14:textId="18244D84" w:rsidR="00AE67DC" w:rsidRPr="002911F1" w:rsidRDefault="00AE67DC" w:rsidP="006F3A9B">
            <w:pPr>
              <w:pStyle w:val="Tableformat"/>
              <w:rPr>
                <w:bCs/>
                <w:color w:val="auto"/>
                <w:sz w:val="20"/>
                <w:szCs w:val="20"/>
              </w:rPr>
            </w:pPr>
            <w:r w:rsidRPr="00C35DA5">
              <w:rPr>
                <w:bCs/>
                <w:color w:val="auto"/>
                <w:sz w:val="20"/>
                <w:szCs w:val="20"/>
              </w:rPr>
              <w:t>1.b Submit applications for the Off-farm Efficiency Program under state-led arrangements</w:t>
            </w:r>
            <w:r w:rsidR="00946BEF">
              <w:rPr>
                <w:bCs/>
                <w:color w:val="auto"/>
                <w:sz w:val="20"/>
                <w:szCs w:val="20"/>
              </w:rPr>
              <w:t>,</w:t>
            </w:r>
            <w:r w:rsidR="00946BEF" w:rsidRPr="00946BEF">
              <w:rPr>
                <w:bCs/>
                <w:color w:val="auto"/>
                <w:sz w:val="20"/>
                <w:szCs w:val="20"/>
              </w:rPr>
              <w:t xml:space="preserve"> to meet legislative delivery timeframes,</w:t>
            </w:r>
            <w:r w:rsidRPr="00C35DA5">
              <w:rPr>
                <w:bCs/>
                <w:color w:val="auto"/>
                <w:sz w:val="20"/>
                <w:szCs w:val="20"/>
              </w:rPr>
              <w:t xml:space="preserve"> using the Ministerial Council </w:t>
            </w:r>
            <w:r w:rsidR="007C3B81" w:rsidRPr="00C35DA5">
              <w:rPr>
                <w:bCs/>
                <w:color w:val="auto"/>
                <w:sz w:val="20"/>
                <w:szCs w:val="20"/>
              </w:rPr>
              <w:t>stock take</w:t>
            </w:r>
            <w:r w:rsidRPr="00C35DA5">
              <w:rPr>
                <w:bCs/>
                <w:color w:val="auto"/>
                <w:sz w:val="20"/>
                <w:szCs w:val="20"/>
              </w:rPr>
              <w:t xml:space="preserve"> as a starting point. Business case applications will include socio-economic analysis and proposals for transfer of water entitlements</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BB8857" w14:textId="77777777" w:rsidR="00AE67DC" w:rsidRDefault="00AE67DC" w:rsidP="006F3A9B">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6A47C6" w14:textId="7998841E" w:rsidR="00AE67DC" w:rsidRDefault="00AE67DC" w:rsidP="006F3A9B">
            <w:pPr>
              <w:pStyle w:val="Tableformat"/>
              <w:rPr>
                <w:bCs/>
                <w:color w:val="auto"/>
                <w:sz w:val="20"/>
                <w:szCs w:val="20"/>
              </w:rPr>
            </w:pPr>
            <w:r>
              <w:rPr>
                <w:bCs/>
                <w:color w:val="auto"/>
                <w:sz w:val="20"/>
                <w:szCs w:val="20"/>
              </w:rPr>
              <w:t>$</w:t>
            </w:r>
            <w:r w:rsidR="00FD0DF5">
              <w:rPr>
                <w:bCs/>
                <w:color w:val="auto"/>
                <w:sz w:val="20"/>
                <w:szCs w:val="20"/>
              </w:rPr>
              <w:t>155,250</w:t>
            </w:r>
          </w:p>
        </w:tc>
      </w:tr>
      <w:tr w:rsidR="00FD0DF5" w:rsidRPr="004C4B9D" w14:paraId="2A2D40A0" w14:textId="77777777" w:rsidTr="00AE67DC">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0190AEBE" w14:textId="77777777" w:rsidR="00FD0DF5" w:rsidRPr="004C4B9D" w:rsidRDefault="00FD0DF5" w:rsidP="00FD0DF5">
            <w:pPr>
              <w:pStyle w:val="Tableformat"/>
              <w:rPr>
                <w:bCs/>
                <w:color w:val="auto"/>
                <w:sz w:val="20"/>
                <w:szCs w:val="20"/>
              </w:rPr>
            </w:pPr>
            <w:r w:rsidRPr="004C4B9D">
              <w:rPr>
                <w:bCs/>
                <w:color w:val="auto"/>
                <w:sz w:val="20"/>
                <w:szCs w:val="20"/>
              </w:rPr>
              <w:t>Coordinated environmental water use</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8C6AE5" w14:textId="43BE8A28" w:rsidR="00FD0DF5" w:rsidRPr="004C4B9D" w:rsidRDefault="00CF7243" w:rsidP="00FD0DF5">
            <w:pPr>
              <w:pStyle w:val="Tableformat"/>
              <w:rPr>
                <w:bCs/>
                <w:color w:val="auto"/>
                <w:sz w:val="20"/>
                <w:szCs w:val="20"/>
              </w:rPr>
            </w:pPr>
            <w:r>
              <w:rPr>
                <w:bCs/>
                <w:color w:val="auto"/>
                <w:sz w:val="20"/>
                <w:szCs w:val="20"/>
              </w:rPr>
              <w:t>2</w:t>
            </w:r>
            <w:r w:rsidR="00FD0DF5">
              <w:rPr>
                <w:bCs/>
                <w:color w:val="auto"/>
                <w:sz w:val="20"/>
                <w:szCs w:val="20"/>
              </w:rPr>
              <w:t xml:space="preserve">. </w:t>
            </w:r>
            <w:r w:rsidR="00FD0DF5" w:rsidRPr="004C4B9D">
              <w:rPr>
                <w:bCs/>
                <w:color w:val="auto"/>
                <w:sz w:val="20"/>
                <w:szCs w:val="20"/>
              </w:rPr>
              <w:t>Deliver an agreed Basin-wide Environmental Water Protection Strategy and Implementation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ED8BB0" w14:textId="4EF84CA0" w:rsidR="00FD0DF5" w:rsidRPr="004C4B9D" w:rsidRDefault="00CF7243" w:rsidP="00AB066B">
            <w:pPr>
              <w:pStyle w:val="Tableformat"/>
              <w:rPr>
                <w:bCs/>
                <w:color w:val="auto"/>
                <w:sz w:val="20"/>
                <w:szCs w:val="20"/>
              </w:rPr>
            </w:pPr>
            <w:r>
              <w:rPr>
                <w:bCs/>
                <w:color w:val="auto"/>
                <w:sz w:val="20"/>
                <w:szCs w:val="20"/>
              </w:rPr>
              <w:t>2</w:t>
            </w:r>
            <w:r w:rsidR="00FD0DF5" w:rsidRPr="00C35DA5">
              <w:rPr>
                <w:bCs/>
                <w:color w:val="auto"/>
                <w:sz w:val="20"/>
                <w:szCs w:val="20"/>
              </w:rPr>
              <w:t>.</w:t>
            </w:r>
            <w:r>
              <w:rPr>
                <w:bCs/>
                <w:color w:val="auto"/>
                <w:sz w:val="20"/>
                <w:szCs w:val="20"/>
              </w:rPr>
              <w:t>a</w:t>
            </w:r>
            <w:r w:rsidRPr="00C35DA5">
              <w:rPr>
                <w:bCs/>
                <w:color w:val="auto"/>
                <w:sz w:val="20"/>
                <w:szCs w:val="20"/>
              </w:rPr>
              <w:t xml:space="preserve"> </w:t>
            </w:r>
            <w:r w:rsidR="00FD0DF5" w:rsidRPr="00C35DA5">
              <w:rPr>
                <w:bCs/>
                <w:color w:val="auto"/>
                <w:sz w:val="20"/>
                <w:szCs w:val="20"/>
              </w:rPr>
              <w:t xml:space="preserve">Deliver and implement the agreed </w:t>
            </w:r>
            <w:r w:rsidR="007C3B81" w:rsidRPr="00C35DA5">
              <w:rPr>
                <w:bCs/>
                <w:color w:val="auto"/>
                <w:sz w:val="20"/>
                <w:szCs w:val="20"/>
              </w:rPr>
              <w:t>work plan</w:t>
            </w:r>
            <w:r w:rsidR="00FD0DF5" w:rsidRPr="00C35DA5">
              <w:rPr>
                <w:bCs/>
                <w:color w:val="auto"/>
                <w:sz w:val="20"/>
                <w:szCs w:val="20"/>
              </w:rPr>
              <w:t xml:space="preserve"> of the priority collaborative activities of the Environmental Water Protection Strategy, where relevant to the jurisdiction</w:t>
            </w:r>
            <w:r w:rsidR="00FD0DF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14C2A0"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7B7B12" w14:textId="26A07762"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578E2F87" w14:textId="77777777" w:rsidTr="00AE67DC">
        <w:tc>
          <w:tcPr>
            <w:tcW w:w="1578" w:type="dxa"/>
            <w:vMerge/>
            <w:tcBorders>
              <w:left w:val="single" w:sz="8" w:space="0" w:color="4F81BD"/>
              <w:right w:val="single" w:sz="8" w:space="0" w:color="4F81BD"/>
            </w:tcBorders>
            <w:shd w:val="clear" w:color="auto" w:fill="F2F2F2" w:themeFill="background1" w:themeFillShade="F2"/>
          </w:tcPr>
          <w:p w14:paraId="251500DC" w14:textId="77777777" w:rsidR="00FD0DF5" w:rsidRPr="004C4B9D" w:rsidRDefault="00FD0DF5" w:rsidP="00FD0DF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31CEBD62" w14:textId="7510BB99" w:rsidR="00FD0DF5" w:rsidRPr="004C4B9D" w:rsidRDefault="00CF7243" w:rsidP="00FD0DF5">
            <w:pPr>
              <w:pStyle w:val="Tableformat"/>
              <w:rPr>
                <w:bCs/>
                <w:color w:val="auto"/>
                <w:sz w:val="20"/>
                <w:szCs w:val="20"/>
              </w:rPr>
            </w:pPr>
            <w:r>
              <w:rPr>
                <w:bCs/>
                <w:color w:val="auto"/>
                <w:sz w:val="20"/>
                <w:szCs w:val="20"/>
              </w:rPr>
              <w:t>3</w:t>
            </w:r>
            <w:r w:rsidR="00FD0DF5" w:rsidRPr="00C35DA5">
              <w:rPr>
                <w:bCs/>
                <w:color w:val="auto"/>
                <w:sz w:val="20"/>
                <w:szCs w:val="20"/>
              </w:rPr>
              <w:t>. Improve environmental watering plans and strategies, including by updating Long-Term Watering Plans (LTWPs) within agreed timeframes</w:t>
            </w:r>
            <w:r w:rsidR="00FD0DF5" w:rsidRPr="004C4B9D">
              <w:rPr>
                <w:bCs/>
                <w:color w:val="auto"/>
                <w:sz w:val="20"/>
                <w:szCs w:val="20"/>
              </w:rPr>
              <w:t xml:space="preserve">.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441AB0" w14:textId="11E06780" w:rsidR="00FD0DF5" w:rsidRPr="004C4B9D" w:rsidRDefault="00CF7243" w:rsidP="00FD0DF5">
            <w:pPr>
              <w:pStyle w:val="Tableformat"/>
              <w:rPr>
                <w:bCs/>
                <w:color w:val="auto"/>
                <w:sz w:val="20"/>
                <w:szCs w:val="20"/>
              </w:rPr>
            </w:pPr>
            <w:r>
              <w:rPr>
                <w:bCs/>
                <w:color w:val="auto"/>
                <w:sz w:val="20"/>
                <w:szCs w:val="20"/>
              </w:rPr>
              <w:t>3</w:t>
            </w:r>
            <w:r w:rsidR="00FD0DF5" w:rsidRPr="00C35DA5">
              <w:rPr>
                <w:bCs/>
                <w:color w:val="auto"/>
                <w:sz w:val="20"/>
                <w:szCs w:val="20"/>
              </w:rPr>
              <w:t xml:space="preserve">.a Engage with </w:t>
            </w:r>
            <w:r w:rsidR="00795920">
              <w:rPr>
                <w:bCs/>
                <w:color w:val="auto"/>
                <w:sz w:val="20"/>
                <w:szCs w:val="20"/>
              </w:rPr>
              <w:t>all stakeholders</w:t>
            </w:r>
            <w:r w:rsidR="00FD0DF5" w:rsidRPr="00C35DA5">
              <w:rPr>
                <w:bCs/>
                <w:color w:val="auto"/>
                <w:sz w:val="20"/>
                <w:szCs w:val="20"/>
              </w:rPr>
              <w:t>, in the development of annual environmental water plans or priorities; and in the implementation, review and update of LTWPs, where relevant to the jurisdiction</w:t>
            </w:r>
            <w:r w:rsidR="00FD0DF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C0B3B8"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BB7541" w14:textId="68EF61E1"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65CCDB25" w14:textId="77777777" w:rsidTr="00AE67DC">
        <w:tc>
          <w:tcPr>
            <w:tcW w:w="1578" w:type="dxa"/>
            <w:vMerge/>
            <w:tcBorders>
              <w:left w:val="single" w:sz="8" w:space="0" w:color="4F81BD"/>
              <w:right w:val="single" w:sz="8" w:space="0" w:color="4F81BD"/>
            </w:tcBorders>
            <w:shd w:val="clear" w:color="auto" w:fill="F2F2F2" w:themeFill="background1" w:themeFillShade="F2"/>
          </w:tcPr>
          <w:p w14:paraId="04C243FC" w14:textId="77777777" w:rsidR="00FD0DF5" w:rsidRPr="004C4B9D" w:rsidRDefault="00FD0DF5" w:rsidP="00FD0DF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2BB6CA47" w14:textId="77777777" w:rsidR="00FD0DF5" w:rsidRPr="004C4B9D"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7AD452" w14:textId="428AE069" w:rsidR="00FD0DF5" w:rsidRPr="004C4B9D" w:rsidRDefault="00CF7243" w:rsidP="00FD0DF5">
            <w:pPr>
              <w:pStyle w:val="Tableformat"/>
              <w:rPr>
                <w:bCs/>
                <w:color w:val="auto"/>
                <w:sz w:val="20"/>
                <w:szCs w:val="20"/>
              </w:rPr>
            </w:pPr>
            <w:r>
              <w:rPr>
                <w:bCs/>
                <w:color w:val="auto"/>
                <w:sz w:val="20"/>
                <w:szCs w:val="20"/>
              </w:rPr>
              <w:t>3</w:t>
            </w:r>
            <w:r w:rsidR="00FD0DF5" w:rsidRPr="00C35DA5">
              <w:rPr>
                <w:bCs/>
                <w:color w:val="auto"/>
                <w:sz w:val="20"/>
                <w:szCs w:val="20"/>
              </w:rPr>
              <w:t>.b Provide input to third edition of the Basin-wide Environmental Watering Strategy, including input on climate adaptation approaches and techniques</w:t>
            </w:r>
            <w:r w:rsidR="00FD0DF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300F0D"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BE4794" w14:textId="64CFF6A8"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0E1C5DE6" w14:textId="77777777" w:rsidTr="00AE67DC">
        <w:tc>
          <w:tcPr>
            <w:tcW w:w="1578" w:type="dxa"/>
            <w:vMerge/>
            <w:tcBorders>
              <w:left w:val="single" w:sz="8" w:space="0" w:color="4F81BD"/>
              <w:bottom w:val="single" w:sz="8" w:space="0" w:color="4F81BD"/>
              <w:right w:val="single" w:sz="8" w:space="0" w:color="4F81BD"/>
            </w:tcBorders>
            <w:shd w:val="clear" w:color="auto" w:fill="F2F2F2" w:themeFill="background1" w:themeFillShade="F2"/>
          </w:tcPr>
          <w:p w14:paraId="7F00074F" w14:textId="77777777" w:rsidR="00FD0DF5" w:rsidRPr="004C4B9D" w:rsidRDefault="00FD0DF5" w:rsidP="00FD0DF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3F255EFB" w14:textId="77777777" w:rsidR="00FD0DF5" w:rsidRPr="004C4B9D"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B991A3" w14:textId="1936750F" w:rsidR="00FD0DF5" w:rsidRPr="004C4B9D" w:rsidRDefault="00CF7243" w:rsidP="00FD0DF5">
            <w:pPr>
              <w:pStyle w:val="Tableformat"/>
              <w:rPr>
                <w:bCs/>
                <w:color w:val="auto"/>
                <w:sz w:val="20"/>
                <w:szCs w:val="20"/>
              </w:rPr>
            </w:pPr>
            <w:r>
              <w:rPr>
                <w:bCs/>
                <w:color w:val="auto"/>
                <w:sz w:val="20"/>
                <w:szCs w:val="20"/>
              </w:rPr>
              <w:t>3</w:t>
            </w:r>
            <w:r w:rsidR="00FD0DF5" w:rsidRPr="00C35DA5">
              <w:rPr>
                <w:bCs/>
                <w:color w:val="auto"/>
                <w:sz w:val="20"/>
                <w:szCs w:val="20"/>
              </w:rPr>
              <w:t>.c Update LTWPs (or alternatively agreed tool) in line with the third edition of the Basin-wide environmental watering strategy within agreed timeframes</w:t>
            </w:r>
            <w:r w:rsidR="00FD0DF5" w:rsidRPr="004C4B9D">
              <w:rPr>
                <w:bCs/>
                <w:color w:val="auto"/>
                <w:sz w:val="20"/>
                <w:szCs w:val="20"/>
              </w:rPr>
              <w:t xml:space="preserve">. </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14D482"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B296534" w14:textId="593574BF"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6D480C6B" w14:textId="77777777" w:rsidTr="00AE67DC">
        <w:tc>
          <w:tcPr>
            <w:tcW w:w="1578" w:type="dxa"/>
            <w:vMerge w:val="restart"/>
            <w:tcBorders>
              <w:left w:val="single" w:sz="8" w:space="0" w:color="4F81BD"/>
              <w:right w:val="single" w:sz="8" w:space="0" w:color="4F81BD"/>
            </w:tcBorders>
            <w:shd w:val="clear" w:color="auto" w:fill="F2F2F2" w:themeFill="background1" w:themeFillShade="F2"/>
          </w:tcPr>
          <w:p w14:paraId="714B0A82" w14:textId="77777777" w:rsidR="00FD0DF5" w:rsidRPr="004C4B9D" w:rsidRDefault="00FD0DF5" w:rsidP="00FD0DF5">
            <w:pPr>
              <w:pStyle w:val="Tableformat"/>
              <w:rPr>
                <w:bCs/>
                <w:color w:val="auto"/>
                <w:sz w:val="20"/>
                <w:szCs w:val="20"/>
              </w:rPr>
            </w:pPr>
            <w:r w:rsidRPr="004C4B9D">
              <w:rPr>
                <w:bCs/>
                <w:color w:val="auto"/>
                <w:sz w:val="20"/>
                <w:szCs w:val="20"/>
              </w:rPr>
              <w:t>Implementation of the Basin Plan</w:t>
            </w:r>
          </w:p>
        </w:tc>
        <w:tc>
          <w:tcPr>
            <w:tcW w:w="2581" w:type="dxa"/>
            <w:vMerge w:val="restart"/>
            <w:tcBorders>
              <w:left w:val="single" w:sz="8" w:space="0" w:color="4F81BD"/>
              <w:right w:val="single" w:sz="8" w:space="0" w:color="4F81BD"/>
            </w:tcBorders>
            <w:shd w:val="clear" w:color="auto" w:fill="F2F2F2" w:themeFill="background1" w:themeFillShade="F2"/>
          </w:tcPr>
          <w:p w14:paraId="66DF01C7" w14:textId="72CCBB58" w:rsidR="00FD0DF5" w:rsidRPr="004C4B9D" w:rsidRDefault="00CF7243" w:rsidP="00FD0DF5">
            <w:pPr>
              <w:pStyle w:val="Tableformat"/>
              <w:rPr>
                <w:bCs/>
                <w:color w:val="auto"/>
                <w:sz w:val="20"/>
                <w:szCs w:val="20"/>
              </w:rPr>
            </w:pPr>
            <w:r>
              <w:rPr>
                <w:bCs/>
                <w:color w:val="auto"/>
                <w:sz w:val="20"/>
                <w:szCs w:val="20"/>
              </w:rPr>
              <w:t>4</w:t>
            </w:r>
            <w:r w:rsidR="00FD0DF5">
              <w:rPr>
                <w:bCs/>
                <w:color w:val="auto"/>
                <w:sz w:val="20"/>
                <w:szCs w:val="20"/>
              </w:rPr>
              <w:t xml:space="preserve">. </w:t>
            </w:r>
            <w:r w:rsidR="00FD0DF5" w:rsidRPr="004C4B9D">
              <w:rPr>
                <w:bCs/>
                <w:color w:val="auto"/>
                <w:sz w:val="20"/>
                <w:szCs w:val="20"/>
              </w:rPr>
              <w:t>Implement the SDLAM program, where not funded under other agreements.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542682" w14:textId="333C17C1" w:rsidR="00FD0DF5" w:rsidRPr="00C35DA5" w:rsidRDefault="00CF7243" w:rsidP="00FD0DF5">
            <w:pPr>
              <w:pStyle w:val="Tableformat"/>
              <w:rPr>
                <w:bCs/>
                <w:color w:val="auto"/>
                <w:sz w:val="20"/>
                <w:szCs w:val="20"/>
              </w:rPr>
            </w:pPr>
            <w:r>
              <w:rPr>
                <w:bCs/>
                <w:color w:val="auto"/>
                <w:sz w:val="20"/>
                <w:szCs w:val="20"/>
              </w:rPr>
              <w:t>4</w:t>
            </w:r>
            <w:r w:rsidR="00FD0DF5" w:rsidRPr="00C35DA5">
              <w:rPr>
                <w:bCs/>
                <w:color w:val="auto"/>
                <w:sz w:val="20"/>
                <w:szCs w:val="20"/>
              </w:rPr>
              <w:t>.a Actively work with the Commonwealth to optimise and address risks to SDLAM program outcomes, including:</w:t>
            </w:r>
          </w:p>
          <w:p w14:paraId="7B55FC53" w14:textId="77777777" w:rsidR="00FD0DF5" w:rsidRPr="00C35DA5" w:rsidRDefault="00FD0DF5" w:rsidP="00FD0DF5">
            <w:pPr>
              <w:pStyle w:val="Tableformat"/>
              <w:rPr>
                <w:bCs/>
                <w:color w:val="auto"/>
                <w:sz w:val="20"/>
                <w:szCs w:val="20"/>
              </w:rPr>
            </w:pPr>
            <w:r w:rsidRPr="00C35DA5">
              <w:rPr>
                <w:bCs/>
                <w:color w:val="auto"/>
                <w:sz w:val="20"/>
                <w:szCs w:val="20"/>
              </w:rPr>
              <w:t>- the establishment of a process to formally amend project scope</w:t>
            </w:r>
          </w:p>
          <w:p w14:paraId="2CBDF7B6" w14:textId="77777777" w:rsidR="00FD0DF5" w:rsidRPr="00C35DA5" w:rsidRDefault="00FD0DF5" w:rsidP="00FD0DF5">
            <w:pPr>
              <w:pStyle w:val="Tableformat"/>
              <w:rPr>
                <w:bCs/>
                <w:color w:val="auto"/>
                <w:sz w:val="20"/>
                <w:szCs w:val="20"/>
              </w:rPr>
            </w:pPr>
            <w:r w:rsidRPr="00C35DA5">
              <w:rPr>
                <w:bCs/>
                <w:color w:val="auto"/>
                <w:sz w:val="20"/>
                <w:szCs w:val="20"/>
              </w:rPr>
              <w:t>- resolution of critical policy issues to enable agreement to Stage 2 funding arrangements</w:t>
            </w:r>
          </w:p>
          <w:p w14:paraId="0ED4C8D4" w14:textId="77777777" w:rsidR="00FD0DF5" w:rsidRPr="00C35DA5" w:rsidRDefault="00FD0DF5" w:rsidP="00FD0DF5">
            <w:pPr>
              <w:pStyle w:val="Tableformat"/>
              <w:rPr>
                <w:bCs/>
                <w:color w:val="auto"/>
                <w:sz w:val="20"/>
                <w:szCs w:val="20"/>
              </w:rPr>
            </w:pPr>
            <w:r w:rsidRPr="00C35DA5">
              <w:rPr>
                <w:bCs/>
                <w:color w:val="auto"/>
                <w:sz w:val="20"/>
                <w:szCs w:val="20"/>
              </w:rPr>
              <w:t>- fast-tracking relevant projects</w:t>
            </w:r>
          </w:p>
          <w:p w14:paraId="142919FA" w14:textId="77777777" w:rsidR="00FD0DF5" w:rsidRPr="004C4B9D" w:rsidRDefault="00FD0DF5" w:rsidP="00FD0DF5">
            <w:pPr>
              <w:pStyle w:val="Tableformat"/>
              <w:rPr>
                <w:bCs/>
                <w:color w:val="auto"/>
                <w:sz w:val="20"/>
                <w:szCs w:val="20"/>
              </w:rPr>
            </w:pPr>
            <w:r w:rsidRPr="00C35DA5">
              <w:rPr>
                <w:bCs/>
                <w:color w:val="auto"/>
                <w:sz w:val="20"/>
                <w:szCs w:val="20"/>
              </w:rPr>
              <w:t>- investigating the potential for existing, enhanced projects to contribute to Basin Plan outcomes</w:t>
            </w:r>
            <w:r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D63EB3"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301951" w14:textId="23681976"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79C4CCF0" w14:textId="77777777" w:rsidTr="00AE67DC">
        <w:tc>
          <w:tcPr>
            <w:tcW w:w="1578" w:type="dxa"/>
            <w:vMerge/>
            <w:tcBorders>
              <w:left w:val="single" w:sz="8" w:space="0" w:color="4F81BD"/>
              <w:right w:val="single" w:sz="8" w:space="0" w:color="4F81BD"/>
            </w:tcBorders>
            <w:shd w:val="clear" w:color="auto" w:fill="F2F2F2" w:themeFill="background1" w:themeFillShade="F2"/>
          </w:tcPr>
          <w:p w14:paraId="00115677" w14:textId="77777777" w:rsidR="00FD0DF5" w:rsidRPr="004C4B9D" w:rsidRDefault="00FD0DF5" w:rsidP="00FD0DF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342ED4CB" w14:textId="77777777" w:rsidR="00FD0DF5" w:rsidRPr="004C4B9D"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A6471E" w14:textId="6BA58F3E" w:rsidR="00FD0DF5" w:rsidRPr="004C4B9D" w:rsidRDefault="00CF7243" w:rsidP="00FD0DF5">
            <w:pPr>
              <w:pStyle w:val="Tableformat"/>
              <w:rPr>
                <w:bCs/>
                <w:color w:val="auto"/>
                <w:sz w:val="20"/>
                <w:szCs w:val="20"/>
              </w:rPr>
            </w:pPr>
            <w:r>
              <w:rPr>
                <w:bCs/>
                <w:color w:val="auto"/>
                <w:sz w:val="20"/>
                <w:szCs w:val="20"/>
              </w:rPr>
              <w:t>4</w:t>
            </w:r>
            <w:r w:rsidR="00FD0DF5" w:rsidRPr="00C35DA5">
              <w:rPr>
                <w:bCs/>
                <w:color w:val="auto"/>
                <w:sz w:val="20"/>
                <w:szCs w:val="20"/>
              </w:rPr>
              <w:t>.b Identify, develop and progress required changes to the River Murray Operations Framework and Murray-Darling Basin Agreement. Any changes are to be agreed by all jurisdictions</w:t>
            </w:r>
            <w:r w:rsidR="00FD0DF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030312"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9993B9" w14:textId="49753363"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24A961F0" w14:textId="77777777" w:rsidTr="00AE67DC">
        <w:tc>
          <w:tcPr>
            <w:tcW w:w="1578" w:type="dxa"/>
            <w:vMerge/>
            <w:tcBorders>
              <w:left w:val="single" w:sz="8" w:space="0" w:color="4F81BD"/>
              <w:right w:val="single" w:sz="8" w:space="0" w:color="4F81BD"/>
            </w:tcBorders>
            <w:shd w:val="clear" w:color="auto" w:fill="F2F2F2" w:themeFill="background1" w:themeFillShade="F2"/>
          </w:tcPr>
          <w:p w14:paraId="0DF6FDE4" w14:textId="77777777" w:rsidR="00FD0DF5" w:rsidRPr="004C4B9D" w:rsidRDefault="00FD0DF5" w:rsidP="00FD0DF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5776BA1E" w14:textId="77777777" w:rsidR="00FD0DF5" w:rsidRPr="004C4B9D"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CEE3C6" w14:textId="65123E47" w:rsidR="00FD0DF5" w:rsidRPr="004C4B9D" w:rsidRDefault="00CF7243" w:rsidP="00512BED">
            <w:pPr>
              <w:pStyle w:val="Tableformat"/>
              <w:rPr>
                <w:bCs/>
                <w:color w:val="auto"/>
                <w:sz w:val="20"/>
                <w:szCs w:val="20"/>
              </w:rPr>
            </w:pPr>
            <w:r>
              <w:rPr>
                <w:bCs/>
                <w:color w:val="auto"/>
                <w:sz w:val="20"/>
                <w:szCs w:val="20"/>
              </w:rPr>
              <w:t>4</w:t>
            </w:r>
            <w:r w:rsidR="00FD0DF5" w:rsidRPr="00C35DA5">
              <w:rPr>
                <w:bCs/>
                <w:color w:val="auto"/>
                <w:sz w:val="20"/>
                <w:szCs w:val="20"/>
              </w:rPr>
              <w:t>.</w:t>
            </w:r>
            <w:r w:rsidR="00512BED">
              <w:rPr>
                <w:bCs/>
                <w:color w:val="auto"/>
                <w:sz w:val="20"/>
                <w:szCs w:val="20"/>
              </w:rPr>
              <w:t>c</w:t>
            </w:r>
            <w:r w:rsidR="00FD0DF5" w:rsidRPr="00C35DA5">
              <w:rPr>
                <w:bCs/>
                <w:color w:val="auto"/>
                <w:sz w:val="20"/>
                <w:szCs w:val="20"/>
              </w:rPr>
              <w:t xml:space="preserve"> 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FD0DF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04D25D"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006EC71" w14:textId="4F4820DF"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15307FB2" w14:textId="77777777" w:rsidTr="00AE67DC">
        <w:tc>
          <w:tcPr>
            <w:tcW w:w="1578" w:type="dxa"/>
            <w:vMerge/>
            <w:tcBorders>
              <w:left w:val="single" w:sz="8" w:space="0" w:color="4F81BD"/>
              <w:right w:val="single" w:sz="8" w:space="0" w:color="4F81BD"/>
            </w:tcBorders>
            <w:shd w:val="clear" w:color="auto" w:fill="F2F2F2" w:themeFill="background1" w:themeFillShade="F2"/>
          </w:tcPr>
          <w:p w14:paraId="4269F698" w14:textId="77777777" w:rsidR="00FD0DF5" w:rsidRPr="004C4B9D" w:rsidRDefault="00FD0DF5" w:rsidP="00FD0DF5">
            <w:pPr>
              <w:pStyle w:val="Tableformat"/>
              <w:rPr>
                <w:bCs/>
                <w:color w:val="auto"/>
                <w:sz w:val="20"/>
                <w:szCs w:val="20"/>
              </w:rPr>
            </w:pPr>
          </w:p>
        </w:tc>
        <w:tc>
          <w:tcPr>
            <w:tcW w:w="2581" w:type="dxa"/>
            <w:tcBorders>
              <w:top w:val="single" w:sz="8" w:space="0" w:color="4F81BD"/>
              <w:left w:val="single" w:sz="8" w:space="0" w:color="4F81BD"/>
              <w:right w:val="single" w:sz="8" w:space="0" w:color="4F81BD"/>
            </w:tcBorders>
            <w:shd w:val="clear" w:color="auto" w:fill="F2F2F2" w:themeFill="background1" w:themeFillShade="F2"/>
          </w:tcPr>
          <w:p w14:paraId="76260EDD" w14:textId="39B9C0D5" w:rsidR="00FD0DF5" w:rsidRPr="004C4B9D" w:rsidRDefault="00CF7243" w:rsidP="00FD0DF5">
            <w:pPr>
              <w:pStyle w:val="Tableformat"/>
              <w:rPr>
                <w:bCs/>
                <w:color w:val="auto"/>
                <w:sz w:val="20"/>
                <w:szCs w:val="20"/>
              </w:rPr>
            </w:pPr>
            <w:r>
              <w:rPr>
                <w:bCs/>
                <w:color w:val="auto"/>
                <w:sz w:val="20"/>
                <w:szCs w:val="20"/>
              </w:rPr>
              <w:t>5</w:t>
            </w:r>
            <w:r w:rsidR="00FD0DF5" w:rsidRPr="00C35DA5">
              <w:rPr>
                <w:bCs/>
                <w:color w:val="auto"/>
                <w:sz w:val="20"/>
                <w:szCs w:val="20"/>
              </w:rPr>
              <w:t xml:space="preserve">. Contribute to delivery of the MDBA-led SDL Accounting Framework Improvement Strategy 2020-25 </w:t>
            </w:r>
            <w:r w:rsidR="007C3B81" w:rsidRPr="00C35DA5">
              <w:rPr>
                <w:bCs/>
                <w:color w:val="auto"/>
                <w:sz w:val="20"/>
                <w:szCs w:val="20"/>
              </w:rPr>
              <w:t>work plan</w:t>
            </w:r>
            <w:r w:rsidR="00FD0DF5" w:rsidRPr="00C35DA5">
              <w:rPr>
                <w:bCs/>
                <w:color w:val="auto"/>
                <w:sz w:val="20"/>
                <w:szCs w:val="20"/>
              </w:rPr>
              <w:t>, including supplying data and quality assurance documentation</w:t>
            </w:r>
            <w:r w:rsidR="00FD0DF5">
              <w:rPr>
                <w:bCs/>
                <w:color w:val="auto"/>
                <w:sz w:val="20"/>
                <w:szCs w:val="20"/>
              </w:rPr>
              <w: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1538D6" w14:textId="3A3C2C6E" w:rsidR="00FD0DF5" w:rsidRPr="004C4B9D" w:rsidRDefault="00CF7243" w:rsidP="00AB066B">
            <w:pPr>
              <w:pStyle w:val="Tableformat"/>
              <w:rPr>
                <w:bCs/>
                <w:color w:val="auto"/>
                <w:sz w:val="20"/>
                <w:szCs w:val="20"/>
              </w:rPr>
            </w:pPr>
            <w:r>
              <w:rPr>
                <w:bCs/>
                <w:color w:val="auto"/>
                <w:sz w:val="20"/>
                <w:szCs w:val="20"/>
              </w:rPr>
              <w:t>5</w:t>
            </w:r>
            <w:r w:rsidR="00FD0DF5" w:rsidRPr="00C35DA5">
              <w:rPr>
                <w:bCs/>
                <w:color w:val="auto"/>
                <w:sz w:val="20"/>
                <w:szCs w:val="20"/>
              </w:rPr>
              <w:t>.</w:t>
            </w:r>
            <w:r>
              <w:rPr>
                <w:bCs/>
                <w:color w:val="auto"/>
                <w:sz w:val="20"/>
                <w:szCs w:val="20"/>
              </w:rPr>
              <w:t>a</w:t>
            </w:r>
            <w:r w:rsidRPr="00C35DA5">
              <w:rPr>
                <w:bCs/>
                <w:color w:val="auto"/>
                <w:sz w:val="20"/>
                <w:szCs w:val="20"/>
              </w:rPr>
              <w:t xml:space="preserve"> </w:t>
            </w:r>
            <w:r w:rsidR="00FD0DF5" w:rsidRPr="00C35DA5">
              <w:rPr>
                <w:bCs/>
                <w:color w:val="auto"/>
                <w:sz w:val="20"/>
                <w:szCs w:val="20"/>
              </w:rPr>
              <w:t xml:space="preserve">Implement the SDL Accounting Framework Improvement Strategy </w:t>
            </w:r>
            <w:r w:rsidR="007C3B81" w:rsidRPr="00C35DA5">
              <w:rPr>
                <w:bCs/>
                <w:color w:val="auto"/>
                <w:sz w:val="20"/>
                <w:szCs w:val="20"/>
              </w:rPr>
              <w:t>work plan</w:t>
            </w:r>
            <w:r w:rsidR="00FD0DF5" w:rsidRPr="00C35DA5">
              <w:rPr>
                <w:bCs/>
                <w:color w:val="auto"/>
                <w:sz w:val="20"/>
                <w:szCs w:val="20"/>
              </w:rPr>
              <w:t xml:space="preserve"> led by the MDBA, as relevant to the jurisdiction</w:t>
            </w:r>
            <w:r w:rsidR="00FD0DF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3229A8"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974E98B" w14:textId="3181533A"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55A6A78C" w14:textId="77777777" w:rsidTr="00AE67DC">
        <w:tc>
          <w:tcPr>
            <w:tcW w:w="1578" w:type="dxa"/>
            <w:vMerge/>
            <w:tcBorders>
              <w:left w:val="single" w:sz="8" w:space="0" w:color="4F81BD"/>
              <w:right w:val="single" w:sz="8" w:space="0" w:color="4F81BD"/>
            </w:tcBorders>
            <w:shd w:val="clear" w:color="auto" w:fill="F2F2F2" w:themeFill="background1" w:themeFillShade="F2"/>
          </w:tcPr>
          <w:p w14:paraId="009F8F6F" w14:textId="77777777" w:rsidR="00FD0DF5" w:rsidRPr="004C4B9D" w:rsidRDefault="00FD0DF5" w:rsidP="00FD0DF5">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4E388B" w14:textId="496294B0" w:rsidR="00FD0DF5" w:rsidRPr="004C4B9D" w:rsidRDefault="00CF7243" w:rsidP="00FD0DF5">
            <w:pPr>
              <w:pStyle w:val="Tableformat"/>
              <w:rPr>
                <w:bCs/>
                <w:color w:val="auto"/>
                <w:sz w:val="20"/>
                <w:szCs w:val="20"/>
              </w:rPr>
            </w:pPr>
            <w:r>
              <w:rPr>
                <w:bCs/>
                <w:color w:val="auto"/>
                <w:sz w:val="20"/>
                <w:szCs w:val="20"/>
              </w:rPr>
              <w:t>6</w:t>
            </w:r>
            <w:r w:rsidR="00FD0DF5">
              <w:rPr>
                <w:bCs/>
                <w:color w:val="auto"/>
                <w:sz w:val="20"/>
                <w:szCs w:val="20"/>
              </w:rPr>
              <w:t xml:space="preserve">. </w:t>
            </w:r>
            <w:r w:rsidR="00FD0DF5" w:rsidRPr="004C4B9D">
              <w:rPr>
                <w:bCs/>
                <w:color w:val="auto"/>
                <w:sz w:val="20"/>
                <w:szCs w:val="20"/>
              </w:rPr>
              <w:t>Ensure State water planning frameworks that are included in Water Resource Plans remain consistent with the Basin Plan.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7DBEE36" w14:textId="65EEFBC0" w:rsidR="00FD0DF5" w:rsidRPr="004C4B9D" w:rsidRDefault="00CF7243" w:rsidP="00FD0DF5">
            <w:pPr>
              <w:pStyle w:val="Tableformat"/>
              <w:rPr>
                <w:bCs/>
                <w:color w:val="auto"/>
                <w:sz w:val="20"/>
                <w:szCs w:val="20"/>
              </w:rPr>
            </w:pPr>
            <w:r>
              <w:rPr>
                <w:bCs/>
                <w:color w:val="auto"/>
                <w:sz w:val="20"/>
                <w:szCs w:val="20"/>
              </w:rPr>
              <w:t>6</w:t>
            </w:r>
            <w:r w:rsidR="00FD0DF5" w:rsidRPr="00C35DA5">
              <w:rPr>
                <w:bCs/>
                <w:color w:val="auto"/>
                <w:sz w:val="20"/>
                <w:szCs w:val="20"/>
              </w:rPr>
              <w:t>.a Submit amendments to WRPs to the Commonwealth for approval where state water planning frameworks in WRPs become inconsistent with the Basin Plan</w:t>
            </w:r>
            <w:r w:rsidR="00FD0DF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4E580D"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94E1C8" w14:textId="1C3CF076"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7A4C8D72" w14:textId="77777777" w:rsidTr="00AE67DC">
        <w:tc>
          <w:tcPr>
            <w:tcW w:w="1578" w:type="dxa"/>
            <w:vMerge/>
            <w:tcBorders>
              <w:left w:val="single" w:sz="8" w:space="0" w:color="4F81BD"/>
              <w:right w:val="single" w:sz="8" w:space="0" w:color="4F81BD"/>
            </w:tcBorders>
            <w:shd w:val="clear" w:color="auto" w:fill="F2F2F2" w:themeFill="background1" w:themeFillShade="F2"/>
          </w:tcPr>
          <w:p w14:paraId="7576834B" w14:textId="77777777" w:rsidR="00FD0DF5" w:rsidRPr="004C4B9D" w:rsidRDefault="00FD0DF5" w:rsidP="00FD0DF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5E97C17D" w14:textId="68E18E12" w:rsidR="00FD0DF5" w:rsidRPr="004C4B9D" w:rsidRDefault="00CF7243" w:rsidP="00FD0DF5">
            <w:pPr>
              <w:pStyle w:val="Tableformat"/>
              <w:rPr>
                <w:bCs/>
                <w:color w:val="auto"/>
                <w:sz w:val="20"/>
                <w:szCs w:val="20"/>
              </w:rPr>
            </w:pPr>
            <w:r>
              <w:rPr>
                <w:bCs/>
                <w:color w:val="auto"/>
                <w:sz w:val="20"/>
                <w:szCs w:val="20"/>
              </w:rPr>
              <w:t>7</w:t>
            </w:r>
            <w:r w:rsidR="00FD0DF5">
              <w:rPr>
                <w:bCs/>
                <w:color w:val="auto"/>
                <w:sz w:val="20"/>
                <w:szCs w:val="20"/>
              </w:rPr>
              <w:t xml:space="preserve">. </w:t>
            </w:r>
            <w:r w:rsidR="00FD0DF5" w:rsidRPr="004C4B9D">
              <w:rPr>
                <w:bCs/>
                <w:color w:val="auto"/>
                <w:sz w:val="20"/>
                <w:szCs w:val="20"/>
              </w:rPr>
              <w:t>Deliver required Basin Plan monitoring, evaluation, science and reporting.</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E6D251" w14:textId="30143303" w:rsidR="00FD0DF5" w:rsidRPr="004C4B9D" w:rsidRDefault="00CF7243" w:rsidP="00FD0DF5">
            <w:pPr>
              <w:pStyle w:val="Tableformat"/>
              <w:rPr>
                <w:bCs/>
                <w:color w:val="auto"/>
                <w:sz w:val="20"/>
                <w:szCs w:val="20"/>
              </w:rPr>
            </w:pPr>
            <w:r>
              <w:rPr>
                <w:bCs/>
                <w:color w:val="auto"/>
                <w:sz w:val="20"/>
                <w:szCs w:val="20"/>
              </w:rPr>
              <w:t>7</w:t>
            </w:r>
            <w:r w:rsidR="00FD0DF5">
              <w:rPr>
                <w:bCs/>
                <w:color w:val="auto"/>
                <w:sz w:val="20"/>
                <w:szCs w:val="20"/>
              </w:rPr>
              <w:t xml:space="preserve">.a </w:t>
            </w:r>
            <w:r w:rsidR="00FD0DF5" w:rsidRPr="004C4B9D">
              <w:rPr>
                <w:bCs/>
                <w:color w:val="auto"/>
                <w:sz w:val="20"/>
                <w:szCs w:val="20"/>
              </w:rPr>
              <w:t>Deliver Basin Plan reporting under Schedule 12, including reporting under Matters 8, 12, 18 and 19</w:t>
            </w:r>
            <w:r w:rsidR="00107ADE">
              <w:rPr>
                <w:bCs/>
                <w:color w:val="auto"/>
                <w:sz w:val="20"/>
                <w:szCs w:val="20"/>
              </w:rPr>
              <w:t xml:space="preserve"> and 21 (compliance with water resource plans, such as but not limited to Parts 4, 6, 14)</w:t>
            </w:r>
            <w:r w:rsidR="00FD0DF5" w:rsidRPr="004C4B9D">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81F5B91"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08CA7A" w14:textId="1F73FBC3" w:rsidR="00FD0DF5" w:rsidRPr="004C4B9D" w:rsidRDefault="00FD0DF5">
            <w:pPr>
              <w:pStyle w:val="Tableformat"/>
              <w:rPr>
                <w:bCs/>
                <w:color w:val="auto"/>
                <w:sz w:val="20"/>
                <w:szCs w:val="20"/>
              </w:rPr>
            </w:pPr>
            <w:r>
              <w:rPr>
                <w:bCs/>
                <w:color w:val="auto"/>
                <w:sz w:val="20"/>
                <w:szCs w:val="20"/>
              </w:rPr>
              <w:t>$</w:t>
            </w:r>
            <w:r w:rsidR="000F66AC">
              <w:rPr>
                <w:bCs/>
                <w:color w:val="auto"/>
                <w:sz w:val="20"/>
                <w:szCs w:val="20"/>
              </w:rPr>
              <w:t>122,913</w:t>
            </w:r>
          </w:p>
        </w:tc>
      </w:tr>
      <w:tr w:rsidR="00FD0DF5" w:rsidRPr="004C4B9D" w14:paraId="494BE203" w14:textId="77777777" w:rsidTr="00AE67DC">
        <w:tc>
          <w:tcPr>
            <w:tcW w:w="1578" w:type="dxa"/>
            <w:vMerge/>
            <w:tcBorders>
              <w:left w:val="single" w:sz="8" w:space="0" w:color="4F81BD"/>
              <w:right w:val="single" w:sz="8" w:space="0" w:color="4F81BD"/>
            </w:tcBorders>
            <w:shd w:val="clear" w:color="auto" w:fill="F2F2F2" w:themeFill="background1" w:themeFillShade="F2"/>
          </w:tcPr>
          <w:p w14:paraId="65DB5A87" w14:textId="77777777" w:rsidR="00FD0DF5" w:rsidRPr="004C4B9D" w:rsidRDefault="00FD0DF5" w:rsidP="00FD0DF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2B2CE0A9" w14:textId="77777777" w:rsidR="00FD0DF5" w:rsidRPr="004C4B9D"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B37148" w14:textId="4EB42ACE" w:rsidR="00FD0DF5" w:rsidRPr="004C4B9D" w:rsidRDefault="00CF7243" w:rsidP="00FD0DF5">
            <w:pPr>
              <w:pStyle w:val="Tableformat"/>
              <w:rPr>
                <w:bCs/>
                <w:color w:val="auto"/>
                <w:sz w:val="20"/>
                <w:szCs w:val="20"/>
              </w:rPr>
            </w:pPr>
            <w:r>
              <w:rPr>
                <w:bCs/>
                <w:color w:val="auto"/>
                <w:sz w:val="20"/>
                <w:szCs w:val="20"/>
              </w:rPr>
              <w:t>7</w:t>
            </w:r>
            <w:r w:rsidR="00FD0DF5">
              <w:rPr>
                <w:bCs/>
                <w:color w:val="auto"/>
                <w:sz w:val="20"/>
                <w:szCs w:val="20"/>
              </w:rPr>
              <w:t xml:space="preserve">.b </w:t>
            </w:r>
            <w:r w:rsidR="00FD0DF5" w:rsidRPr="004C4B9D">
              <w:rPr>
                <w:bCs/>
                <w:color w:val="auto"/>
                <w:sz w:val="20"/>
                <w:szCs w:val="20"/>
              </w:rPr>
              <w:t xml:space="preserve">Deliver on </w:t>
            </w:r>
            <w:r w:rsidR="00FD0DF5">
              <w:rPr>
                <w:bCs/>
                <w:color w:val="auto"/>
                <w:sz w:val="20"/>
                <w:szCs w:val="20"/>
              </w:rPr>
              <w:t xml:space="preserve">agreed </w:t>
            </w:r>
            <w:r w:rsidR="00FD0DF5"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FD0DF5" w:rsidRPr="004C4B9D">
              <w:rPr>
                <w:bCs/>
                <w:color w:val="auto"/>
                <w:sz w:val="20"/>
                <w:szCs w:val="20"/>
              </w:rPr>
              <w:t xml:space="preserve"> as endorsed by BOCA.</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0DD8B5"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3F73D8" w14:textId="1E1CD603" w:rsidR="00FD0DF5" w:rsidRPr="004C4B9D" w:rsidRDefault="00FD0DF5">
            <w:pPr>
              <w:pStyle w:val="Tableformat"/>
              <w:rPr>
                <w:bCs/>
                <w:color w:val="auto"/>
                <w:sz w:val="20"/>
                <w:szCs w:val="20"/>
              </w:rPr>
            </w:pPr>
            <w:r>
              <w:rPr>
                <w:bCs/>
                <w:color w:val="auto"/>
                <w:sz w:val="20"/>
                <w:szCs w:val="20"/>
              </w:rPr>
              <w:t>$</w:t>
            </w:r>
            <w:r w:rsidR="000F66AC">
              <w:rPr>
                <w:bCs/>
                <w:color w:val="auto"/>
                <w:sz w:val="20"/>
                <w:szCs w:val="20"/>
              </w:rPr>
              <w:t>122,913</w:t>
            </w:r>
          </w:p>
        </w:tc>
      </w:tr>
      <w:tr w:rsidR="00FD0DF5" w:rsidRPr="004C4B9D" w14:paraId="0527F8A2" w14:textId="77777777" w:rsidTr="00AE67DC">
        <w:tc>
          <w:tcPr>
            <w:tcW w:w="1578" w:type="dxa"/>
            <w:tcBorders>
              <w:top w:val="single" w:sz="8" w:space="0" w:color="4F81BD"/>
              <w:left w:val="single" w:sz="8" w:space="0" w:color="4F81BD"/>
              <w:right w:val="single" w:sz="8" w:space="0" w:color="4F81BD"/>
            </w:tcBorders>
            <w:shd w:val="clear" w:color="auto" w:fill="F2F2F2" w:themeFill="background1" w:themeFillShade="F2"/>
          </w:tcPr>
          <w:p w14:paraId="07C611B2" w14:textId="77777777" w:rsidR="00FD0DF5" w:rsidRPr="004C4B9D" w:rsidRDefault="00FD0DF5" w:rsidP="00FD0DF5">
            <w:pPr>
              <w:pStyle w:val="Tableformat"/>
              <w:rPr>
                <w:bCs/>
                <w:color w:val="auto"/>
                <w:sz w:val="20"/>
                <w:szCs w:val="20"/>
              </w:rPr>
            </w:pPr>
            <w:r w:rsidRPr="004C4B9D">
              <w:rPr>
                <w:bCs/>
                <w:color w:val="auto"/>
                <w:sz w:val="20"/>
                <w:szCs w:val="20"/>
              </w:rPr>
              <w:t>Water market improvement</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A187F8" w14:textId="7B01626A" w:rsidR="00FD0DF5" w:rsidRPr="004C4B9D" w:rsidRDefault="000F66AC">
            <w:pPr>
              <w:pStyle w:val="Tableformat"/>
              <w:rPr>
                <w:bCs/>
                <w:color w:val="auto"/>
                <w:sz w:val="20"/>
                <w:szCs w:val="20"/>
              </w:rPr>
            </w:pPr>
            <w:r>
              <w:rPr>
                <w:bCs/>
                <w:color w:val="auto"/>
                <w:sz w:val="20"/>
                <w:szCs w:val="20"/>
              </w:rPr>
              <w:t>8</w:t>
            </w:r>
            <w:r w:rsidR="00FD0DF5">
              <w:rPr>
                <w:bCs/>
                <w:color w:val="auto"/>
                <w:sz w:val="20"/>
                <w:szCs w:val="20"/>
              </w:rPr>
              <w:t xml:space="preserve">. </w:t>
            </w:r>
            <w:r w:rsidR="00FD0DF5" w:rsidRPr="004C4B9D">
              <w:rPr>
                <w:bCs/>
                <w:color w:val="auto"/>
                <w:sz w:val="20"/>
                <w:szCs w:val="20"/>
              </w:rPr>
              <w:t>Improve water market trading arrangements across the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EA18AC" w14:textId="4B04AA1E" w:rsidR="00FD0DF5" w:rsidRPr="004C4B9D" w:rsidRDefault="000F66AC">
            <w:pPr>
              <w:pStyle w:val="Tableformat"/>
              <w:rPr>
                <w:bCs/>
                <w:color w:val="auto"/>
                <w:sz w:val="20"/>
                <w:szCs w:val="20"/>
              </w:rPr>
            </w:pPr>
            <w:r>
              <w:rPr>
                <w:bCs/>
                <w:color w:val="auto"/>
                <w:sz w:val="20"/>
                <w:szCs w:val="20"/>
              </w:rPr>
              <w:t>8</w:t>
            </w:r>
            <w:r w:rsidR="00FD0DF5" w:rsidRPr="00C35DA5">
              <w:rPr>
                <w:bCs/>
                <w:color w:val="auto"/>
                <w:sz w:val="20"/>
                <w:szCs w:val="20"/>
              </w:rPr>
              <w:t>.</w:t>
            </w:r>
            <w:r w:rsidR="00CF7243">
              <w:rPr>
                <w:bCs/>
                <w:color w:val="auto"/>
                <w:sz w:val="20"/>
                <w:szCs w:val="20"/>
              </w:rPr>
              <w:t>a</w:t>
            </w:r>
            <w:r w:rsidR="00CF7243" w:rsidRPr="00C35DA5">
              <w:rPr>
                <w:bCs/>
                <w:color w:val="auto"/>
                <w:sz w:val="20"/>
                <w:szCs w:val="20"/>
              </w:rPr>
              <w:t xml:space="preserve"> </w:t>
            </w:r>
            <w:r w:rsidR="00FD0DF5" w:rsidRPr="00C35DA5">
              <w:rPr>
                <w:bCs/>
                <w:color w:val="auto"/>
                <w:sz w:val="20"/>
                <w:szCs w:val="20"/>
              </w:rPr>
              <w:t>Implement agreed projects and programs arising from a finalised road map for Murray-Darling Basin water market reform</w:t>
            </w:r>
            <w:r w:rsidR="00FD0DF5" w:rsidRPr="002911F1">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C167AF"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B37F50" w14:textId="0CFF2694"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64685D2D" w14:textId="77777777" w:rsidTr="00AE67DC">
        <w:tc>
          <w:tcPr>
            <w:tcW w:w="1578" w:type="dxa"/>
            <w:vMerge w:val="restart"/>
            <w:tcBorders>
              <w:top w:val="single" w:sz="8" w:space="0" w:color="4F81BD"/>
              <w:left w:val="single" w:sz="8" w:space="0" w:color="4F81BD"/>
              <w:right w:val="single" w:sz="8" w:space="0" w:color="4F81BD"/>
            </w:tcBorders>
            <w:shd w:val="clear" w:color="auto" w:fill="F2F2F2" w:themeFill="background1" w:themeFillShade="F2"/>
          </w:tcPr>
          <w:p w14:paraId="697A06C9" w14:textId="77777777" w:rsidR="00FD0DF5" w:rsidRPr="004C4B9D" w:rsidRDefault="00FD0DF5" w:rsidP="00FD0DF5">
            <w:pPr>
              <w:pStyle w:val="Tableformat"/>
              <w:rPr>
                <w:bCs/>
                <w:color w:val="auto"/>
                <w:sz w:val="20"/>
                <w:szCs w:val="20"/>
              </w:rPr>
            </w:pPr>
            <w:r w:rsidRPr="004C4B9D">
              <w:rPr>
                <w:bCs/>
                <w:color w:val="auto"/>
                <w:sz w:val="20"/>
                <w:szCs w:val="20"/>
              </w:rPr>
              <w:t>Improved compliance and reporting</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963461B" w14:textId="14566EFF" w:rsidR="00FD0DF5" w:rsidRPr="004C4B9D" w:rsidRDefault="000F66AC">
            <w:pPr>
              <w:pStyle w:val="Tableformat"/>
              <w:rPr>
                <w:bCs/>
                <w:color w:val="auto"/>
                <w:sz w:val="20"/>
                <w:szCs w:val="20"/>
              </w:rPr>
            </w:pPr>
            <w:r>
              <w:rPr>
                <w:bCs/>
                <w:color w:val="auto"/>
                <w:sz w:val="20"/>
                <w:szCs w:val="20"/>
              </w:rPr>
              <w:t>9</w:t>
            </w:r>
            <w:r w:rsidR="00FD0DF5">
              <w:rPr>
                <w:bCs/>
                <w:color w:val="auto"/>
                <w:sz w:val="20"/>
                <w:szCs w:val="20"/>
              </w:rPr>
              <w:t xml:space="preserve">. </w:t>
            </w:r>
            <w:r w:rsidR="00FD0DF5" w:rsidRPr="004C4B9D">
              <w:rPr>
                <w:bCs/>
                <w:color w:val="auto"/>
                <w:sz w:val="20"/>
                <w:szCs w:val="20"/>
              </w:rPr>
              <w:t xml:space="preserve">Implement revised Metrological Assurance Framework (MAF2) </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8541AA" w14:textId="15BDCD33" w:rsidR="00FD0DF5" w:rsidRPr="004C4B9D" w:rsidRDefault="000F66AC">
            <w:pPr>
              <w:pStyle w:val="Tableformat"/>
              <w:rPr>
                <w:bCs/>
                <w:color w:val="auto"/>
                <w:sz w:val="20"/>
                <w:szCs w:val="20"/>
              </w:rPr>
            </w:pPr>
            <w:r>
              <w:rPr>
                <w:bCs/>
                <w:color w:val="auto"/>
                <w:sz w:val="20"/>
                <w:szCs w:val="20"/>
              </w:rPr>
              <w:t>9</w:t>
            </w:r>
            <w:r w:rsidR="00FD0DF5">
              <w:rPr>
                <w:bCs/>
                <w:color w:val="auto"/>
                <w:sz w:val="20"/>
                <w:szCs w:val="20"/>
              </w:rPr>
              <w:t>.</w:t>
            </w:r>
            <w:r w:rsidR="00CF7243">
              <w:rPr>
                <w:bCs/>
                <w:color w:val="auto"/>
                <w:sz w:val="20"/>
                <w:szCs w:val="20"/>
              </w:rPr>
              <w:t xml:space="preserve">a </w:t>
            </w:r>
            <w:r w:rsidR="00FD0DF5" w:rsidRPr="002911F1">
              <w:rPr>
                <w:bCs/>
                <w:color w:val="auto"/>
                <w:sz w:val="20"/>
                <w:szCs w:val="20"/>
              </w:rPr>
              <w:t>Complete implementation of MAF2 requirements.</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34F804"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21B8274" w14:textId="2D75CD1C"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rsidRPr="004C4B9D" w14:paraId="05750AA3" w14:textId="77777777" w:rsidTr="00AE67DC">
        <w:tc>
          <w:tcPr>
            <w:tcW w:w="1578" w:type="dxa"/>
            <w:vMerge/>
            <w:tcBorders>
              <w:left w:val="single" w:sz="8" w:space="0" w:color="4F81BD"/>
              <w:right w:val="single" w:sz="8" w:space="0" w:color="4F81BD"/>
            </w:tcBorders>
            <w:shd w:val="clear" w:color="auto" w:fill="F2F2F2" w:themeFill="background1" w:themeFillShade="F2"/>
          </w:tcPr>
          <w:p w14:paraId="12CB7AAA" w14:textId="77777777" w:rsidR="00FD0DF5" w:rsidRPr="004C4B9D" w:rsidRDefault="00FD0DF5" w:rsidP="00FD0DF5">
            <w:pPr>
              <w:pStyle w:val="Tableformat"/>
              <w:rPr>
                <w:bCs/>
                <w:color w:val="auto"/>
                <w:sz w:val="20"/>
                <w:szCs w:val="20"/>
              </w:rPr>
            </w:pPr>
          </w:p>
        </w:tc>
        <w:tc>
          <w:tcPr>
            <w:tcW w:w="2581" w:type="dxa"/>
            <w:vMerge w:val="restart"/>
            <w:tcBorders>
              <w:top w:val="single" w:sz="8" w:space="0" w:color="4F81BD"/>
              <w:left w:val="single" w:sz="8" w:space="0" w:color="4F81BD"/>
              <w:right w:val="single" w:sz="8" w:space="0" w:color="4F81BD"/>
            </w:tcBorders>
            <w:shd w:val="clear" w:color="auto" w:fill="F2F2F2" w:themeFill="background1" w:themeFillShade="F2"/>
          </w:tcPr>
          <w:p w14:paraId="232D9424" w14:textId="1114E159" w:rsidR="00FD0DF5" w:rsidRPr="004C4B9D" w:rsidRDefault="000F66AC">
            <w:pPr>
              <w:pStyle w:val="Tableformat"/>
              <w:rPr>
                <w:bCs/>
                <w:color w:val="auto"/>
                <w:sz w:val="20"/>
                <w:szCs w:val="20"/>
              </w:rPr>
            </w:pPr>
            <w:r>
              <w:rPr>
                <w:bCs/>
                <w:color w:val="auto"/>
                <w:sz w:val="20"/>
                <w:szCs w:val="20"/>
              </w:rPr>
              <w:t>10</w:t>
            </w:r>
            <w:r w:rsidR="00FD0DF5">
              <w:rPr>
                <w:bCs/>
                <w:color w:val="auto"/>
                <w:sz w:val="20"/>
                <w:szCs w:val="20"/>
              </w:rPr>
              <w:t xml:space="preserve">. </w:t>
            </w:r>
            <w:r w:rsidR="00FD0DF5" w:rsidRPr="004649CE">
              <w:rPr>
                <w:bCs/>
                <w:color w:val="auto"/>
                <w:sz w:val="20"/>
                <w:szCs w:val="20"/>
              </w:rPr>
              <w:t>Work with the Inspector General of Water Compliance (IGWC) to provide clear compliance arrangements and reporting in the Murray-Darling Basin.</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98EE64" w14:textId="13D397CC" w:rsidR="00FD0DF5" w:rsidRPr="004C4B9D" w:rsidRDefault="000F66AC">
            <w:pPr>
              <w:pStyle w:val="Tableformat"/>
              <w:rPr>
                <w:bCs/>
                <w:color w:val="auto"/>
                <w:sz w:val="20"/>
                <w:szCs w:val="20"/>
              </w:rPr>
            </w:pPr>
            <w:r>
              <w:rPr>
                <w:bCs/>
                <w:color w:val="auto"/>
                <w:sz w:val="20"/>
                <w:szCs w:val="20"/>
              </w:rPr>
              <w:t>10</w:t>
            </w:r>
            <w:r w:rsidR="00FD0DF5" w:rsidRPr="00A4556C">
              <w:rPr>
                <w:bCs/>
                <w:color w:val="auto"/>
                <w:sz w:val="20"/>
                <w:szCs w:val="20"/>
              </w:rPr>
              <w:t>.</w:t>
            </w:r>
            <w:r w:rsidR="00CF7243">
              <w:rPr>
                <w:bCs/>
                <w:color w:val="auto"/>
                <w:sz w:val="20"/>
                <w:szCs w:val="20"/>
              </w:rPr>
              <w:t>a</w:t>
            </w:r>
            <w:r w:rsidR="00CF7243" w:rsidRPr="00A4556C">
              <w:rPr>
                <w:bCs/>
                <w:color w:val="auto"/>
                <w:sz w:val="20"/>
                <w:szCs w:val="20"/>
              </w:rPr>
              <w:t xml:space="preserve"> </w:t>
            </w:r>
            <w:r w:rsidR="00FD0DF5" w:rsidRPr="00A4556C">
              <w:rPr>
                <w:bCs/>
                <w:color w:val="auto"/>
                <w:sz w:val="20"/>
                <w:szCs w:val="20"/>
              </w:rPr>
              <w:t>Provide input to the IGWC on the development of standards and guidelines</w:t>
            </w:r>
            <w:r w:rsidR="00FD0DF5">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FE267A" w14:textId="77777777" w:rsidR="00FD0DF5" w:rsidRPr="004C4B9D"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170058" w14:textId="37733950" w:rsidR="00FD0DF5" w:rsidRPr="004C4B9D"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14:paraId="22A86F3D" w14:textId="77777777" w:rsidTr="00AE67DC">
        <w:tc>
          <w:tcPr>
            <w:tcW w:w="1578" w:type="dxa"/>
            <w:vMerge/>
            <w:tcBorders>
              <w:left w:val="single" w:sz="8" w:space="0" w:color="4F81BD"/>
              <w:right w:val="single" w:sz="8" w:space="0" w:color="4F81BD"/>
            </w:tcBorders>
            <w:shd w:val="clear" w:color="auto" w:fill="F2F2F2" w:themeFill="background1" w:themeFillShade="F2"/>
          </w:tcPr>
          <w:p w14:paraId="7625BA72" w14:textId="77777777" w:rsidR="00FD0DF5" w:rsidRPr="004C4B9D" w:rsidRDefault="00FD0DF5" w:rsidP="00FD0DF5">
            <w:pPr>
              <w:pStyle w:val="Tableformat"/>
              <w:rPr>
                <w:bCs/>
                <w:color w:val="auto"/>
                <w:sz w:val="20"/>
                <w:szCs w:val="20"/>
              </w:rPr>
            </w:pPr>
          </w:p>
        </w:tc>
        <w:tc>
          <w:tcPr>
            <w:tcW w:w="2581" w:type="dxa"/>
            <w:vMerge/>
            <w:tcBorders>
              <w:left w:val="single" w:sz="8" w:space="0" w:color="4F81BD"/>
              <w:right w:val="single" w:sz="8" w:space="0" w:color="4F81BD"/>
            </w:tcBorders>
            <w:shd w:val="clear" w:color="auto" w:fill="F2F2F2" w:themeFill="background1" w:themeFillShade="F2"/>
          </w:tcPr>
          <w:p w14:paraId="206EA033" w14:textId="77777777" w:rsidR="00FD0DF5" w:rsidRPr="004649CE"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0496DF" w14:textId="00E37172" w:rsidR="00FD0DF5" w:rsidRPr="004C4B9D" w:rsidRDefault="000F66AC">
            <w:pPr>
              <w:pStyle w:val="Tableformat"/>
              <w:rPr>
                <w:bCs/>
                <w:color w:val="auto"/>
                <w:sz w:val="20"/>
                <w:szCs w:val="20"/>
              </w:rPr>
            </w:pPr>
            <w:r>
              <w:rPr>
                <w:bCs/>
                <w:color w:val="auto"/>
                <w:sz w:val="20"/>
                <w:szCs w:val="20"/>
              </w:rPr>
              <w:t>10</w:t>
            </w:r>
            <w:r w:rsidR="00FD0DF5" w:rsidRPr="00A4556C">
              <w:rPr>
                <w:bCs/>
                <w:color w:val="auto"/>
                <w:sz w:val="20"/>
                <w:szCs w:val="20"/>
              </w:rPr>
              <w:t>.</w:t>
            </w:r>
            <w:r w:rsidR="00CF7243">
              <w:rPr>
                <w:bCs/>
                <w:color w:val="auto"/>
                <w:sz w:val="20"/>
                <w:szCs w:val="20"/>
              </w:rPr>
              <w:t>b</w:t>
            </w:r>
            <w:r w:rsidR="00CF7243" w:rsidRPr="00A4556C">
              <w:rPr>
                <w:bCs/>
                <w:color w:val="auto"/>
                <w:sz w:val="20"/>
                <w:szCs w:val="20"/>
              </w:rPr>
              <w:t xml:space="preserve"> </w:t>
            </w:r>
            <w:r w:rsidR="00FD0DF5" w:rsidRPr="00A4556C">
              <w:rPr>
                <w:bCs/>
                <w:color w:val="auto"/>
                <w:sz w:val="20"/>
                <w:szCs w:val="20"/>
              </w:rPr>
              <w:t>Report to the IGWC against MAF2 Chapter 15 at least annually or in accordance with IGWC guidelines</w:t>
            </w:r>
            <w:r w:rsidR="00FD0DF5" w:rsidRPr="004649CE">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1CDAC0" w14:textId="77777777" w:rsidR="00FD0DF5"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00ED9D" w14:textId="3083E2EE" w:rsidR="00FD0DF5"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14:paraId="7D2A592F" w14:textId="77777777" w:rsidTr="00AE67DC">
        <w:tc>
          <w:tcPr>
            <w:tcW w:w="1578" w:type="dxa"/>
            <w:vMerge/>
            <w:tcBorders>
              <w:left w:val="single" w:sz="8" w:space="0" w:color="4F81BD"/>
              <w:right w:val="single" w:sz="8" w:space="0" w:color="4F81BD"/>
            </w:tcBorders>
            <w:shd w:val="clear" w:color="auto" w:fill="F2F2F2" w:themeFill="background1" w:themeFillShade="F2"/>
          </w:tcPr>
          <w:p w14:paraId="32C02A6A" w14:textId="77777777" w:rsidR="00FD0DF5" w:rsidRPr="004C4B9D" w:rsidRDefault="00FD0DF5" w:rsidP="00FD0DF5">
            <w:pPr>
              <w:pStyle w:val="Tableformat"/>
              <w:rPr>
                <w:bCs/>
                <w:color w:val="auto"/>
                <w:sz w:val="20"/>
                <w:szCs w:val="20"/>
              </w:rPr>
            </w:pPr>
          </w:p>
        </w:tc>
        <w:tc>
          <w:tcPr>
            <w:tcW w:w="2581" w:type="dxa"/>
            <w:vMerge/>
            <w:tcBorders>
              <w:left w:val="single" w:sz="8" w:space="0" w:color="4F81BD"/>
              <w:bottom w:val="single" w:sz="8" w:space="0" w:color="4F81BD"/>
              <w:right w:val="single" w:sz="8" w:space="0" w:color="4F81BD"/>
            </w:tcBorders>
            <w:shd w:val="clear" w:color="auto" w:fill="F2F2F2" w:themeFill="background1" w:themeFillShade="F2"/>
          </w:tcPr>
          <w:p w14:paraId="1127E147" w14:textId="77777777" w:rsidR="00FD0DF5" w:rsidRPr="004649CE" w:rsidRDefault="00FD0DF5" w:rsidP="00FD0DF5">
            <w:pPr>
              <w:pStyle w:val="Tableformat"/>
              <w:rPr>
                <w:bCs/>
                <w:color w:val="auto"/>
                <w:sz w:val="20"/>
                <w:szCs w:val="20"/>
              </w:rPr>
            </w:pP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FA202F" w14:textId="025E4886" w:rsidR="00FD0DF5" w:rsidRPr="00A4556C" w:rsidRDefault="000F66AC">
            <w:pPr>
              <w:pStyle w:val="Tableformat"/>
              <w:rPr>
                <w:bCs/>
                <w:color w:val="auto"/>
                <w:sz w:val="20"/>
                <w:szCs w:val="20"/>
              </w:rPr>
            </w:pPr>
            <w:r>
              <w:rPr>
                <w:bCs/>
                <w:color w:val="auto"/>
                <w:sz w:val="20"/>
                <w:szCs w:val="20"/>
              </w:rPr>
              <w:t>10</w:t>
            </w:r>
            <w:r w:rsidR="00FD0DF5" w:rsidRPr="00A4556C">
              <w:rPr>
                <w:bCs/>
                <w:color w:val="auto"/>
                <w:sz w:val="20"/>
                <w:szCs w:val="20"/>
              </w:rPr>
              <w:t>.</w:t>
            </w:r>
            <w:r w:rsidR="00CF7243">
              <w:rPr>
                <w:bCs/>
                <w:color w:val="auto"/>
                <w:sz w:val="20"/>
                <w:szCs w:val="20"/>
              </w:rPr>
              <w:t>c</w:t>
            </w:r>
            <w:r w:rsidR="00CF7243" w:rsidRPr="00A4556C">
              <w:rPr>
                <w:bCs/>
                <w:color w:val="auto"/>
                <w:sz w:val="20"/>
                <w:szCs w:val="20"/>
              </w:rPr>
              <w:t xml:space="preserve"> </w:t>
            </w:r>
            <w:r w:rsidR="00FD0DF5" w:rsidRPr="00A4556C">
              <w:rPr>
                <w:bCs/>
                <w:color w:val="auto"/>
                <w:sz w:val="20"/>
                <w:szCs w:val="20"/>
              </w:rPr>
              <w:t>Provide performance data to the IGWC subject to agreed reporting guidelines (annually).</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3B1782D" w14:textId="77777777" w:rsidR="00FD0DF5"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5C2CAA" w14:textId="7610FA31" w:rsidR="00FD0DF5" w:rsidRDefault="00FD0DF5" w:rsidP="00FD0DF5">
            <w:pPr>
              <w:pStyle w:val="Tableformat"/>
              <w:rPr>
                <w:bCs/>
                <w:color w:val="auto"/>
                <w:sz w:val="20"/>
                <w:szCs w:val="20"/>
              </w:rPr>
            </w:pPr>
            <w:r>
              <w:rPr>
                <w:bCs/>
                <w:color w:val="auto"/>
                <w:sz w:val="20"/>
                <w:szCs w:val="20"/>
              </w:rPr>
              <w:t>$</w:t>
            </w:r>
            <w:r w:rsidR="00AB066B">
              <w:rPr>
                <w:bCs/>
                <w:color w:val="auto"/>
                <w:sz w:val="20"/>
                <w:szCs w:val="20"/>
              </w:rPr>
              <w:t>81,942</w:t>
            </w:r>
          </w:p>
        </w:tc>
      </w:tr>
      <w:tr w:rsidR="00FD0DF5" w14:paraId="23BFE0B3" w14:textId="77777777" w:rsidTr="00AE67DC">
        <w:tc>
          <w:tcPr>
            <w:tcW w:w="1578" w:type="dxa"/>
            <w:vMerge/>
            <w:tcBorders>
              <w:left w:val="single" w:sz="8" w:space="0" w:color="4F81BD"/>
              <w:bottom w:val="single" w:sz="8" w:space="0" w:color="4F81BD"/>
              <w:right w:val="single" w:sz="8" w:space="0" w:color="4F81BD"/>
            </w:tcBorders>
            <w:shd w:val="clear" w:color="auto" w:fill="F2F2F2" w:themeFill="background1" w:themeFillShade="F2"/>
          </w:tcPr>
          <w:p w14:paraId="5CAC61B3" w14:textId="77777777" w:rsidR="00FD0DF5" w:rsidRPr="004C4B9D" w:rsidRDefault="00FD0DF5" w:rsidP="00FD0DF5">
            <w:pPr>
              <w:pStyle w:val="Tableformat"/>
              <w:rPr>
                <w:bCs/>
                <w:color w:val="auto"/>
                <w:sz w:val="20"/>
                <w:szCs w:val="20"/>
              </w:rPr>
            </w:pP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C2CF328" w14:textId="392228B5" w:rsidR="00FD0DF5" w:rsidRPr="004C4B9D" w:rsidRDefault="000F66AC">
            <w:pPr>
              <w:pStyle w:val="Tableformat"/>
              <w:rPr>
                <w:bCs/>
                <w:color w:val="auto"/>
                <w:sz w:val="20"/>
                <w:szCs w:val="20"/>
              </w:rPr>
            </w:pPr>
            <w:r>
              <w:rPr>
                <w:bCs/>
                <w:color w:val="auto"/>
                <w:sz w:val="20"/>
                <w:szCs w:val="20"/>
              </w:rPr>
              <w:t>11</w:t>
            </w:r>
            <w:r w:rsidR="00FD0DF5">
              <w:rPr>
                <w:bCs/>
                <w:color w:val="auto"/>
                <w:sz w:val="20"/>
                <w:szCs w:val="20"/>
              </w:rPr>
              <w:t>. Compliance Compact oversight</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792B49" w14:textId="52B0991F" w:rsidR="00FD0DF5" w:rsidRPr="004C4B9D" w:rsidRDefault="000F66AC">
            <w:pPr>
              <w:pStyle w:val="Tableformat"/>
              <w:rPr>
                <w:bCs/>
                <w:color w:val="auto"/>
                <w:sz w:val="20"/>
                <w:szCs w:val="20"/>
              </w:rPr>
            </w:pPr>
            <w:r>
              <w:rPr>
                <w:bCs/>
                <w:color w:val="auto"/>
                <w:sz w:val="20"/>
                <w:szCs w:val="20"/>
              </w:rPr>
              <w:t>11</w:t>
            </w:r>
            <w:r w:rsidR="00FD0DF5" w:rsidRPr="00A4556C">
              <w:rPr>
                <w:bCs/>
                <w:color w:val="auto"/>
                <w:sz w:val="20"/>
                <w:szCs w:val="20"/>
              </w:rPr>
              <w:t>.a Provide information to the IGWC as requested and in accordance with agreed MOU/guidelines to enable oversight of Compliance Compact commitments</w:t>
            </w:r>
            <w:r w:rsidR="00FD0DF5" w:rsidRPr="00BE1502">
              <w:rPr>
                <w:bCs/>
                <w:color w:val="auto"/>
                <w:sz w:val="20"/>
                <w:szCs w:val="20"/>
              </w:rPr>
              <w:t>.</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7E5CA0" w14:textId="77777777" w:rsidR="00FD0DF5" w:rsidRDefault="00FD0DF5" w:rsidP="00FD0DF5">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B41613" w14:textId="5BEF2E06" w:rsidR="00FD0DF5" w:rsidRDefault="00FD0DF5" w:rsidP="00AB066B">
            <w:pPr>
              <w:pStyle w:val="Tableformat"/>
              <w:rPr>
                <w:bCs/>
                <w:color w:val="auto"/>
                <w:sz w:val="20"/>
                <w:szCs w:val="20"/>
              </w:rPr>
            </w:pPr>
            <w:r>
              <w:rPr>
                <w:bCs/>
                <w:color w:val="auto"/>
                <w:sz w:val="20"/>
                <w:szCs w:val="20"/>
              </w:rPr>
              <w:t>$</w:t>
            </w:r>
            <w:r w:rsidR="00AB066B">
              <w:rPr>
                <w:bCs/>
                <w:color w:val="auto"/>
                <w:sz w:val="20"/>
                <w:szCs w:val="20"/>
              </w:rPr>
              <w:t>81,942</w:t>
            </w:r>
          </w:p>
        </w:tc>
      </w:tr>
      <w:tr w:rsidR="00AE67DC" w:rsidRPr="004C4B9D" w14:paraId="20225090" w14:textId="77777777" w:rsidTr="00AE67DC">
        <w:tc>
          <w:tcPr>
            <w:tcW w:w="157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1BE801" w14:textId="77777777" w:rsidR="00AE67DC" w:rsidRPr="004C4B9D" w:rsidRDefault="00AE67DC" w:rsidP="006F3A9B">
            <w:pPr>
              <w:pStyle w:val="Tableformat"/>
              <w:rPr>
                <w:bCs/>
                <w:color w:val="auto"/>
                <w:sz w:val="20"/>
                <w:szCs w:val="20"/>
              </w:rPr>
            </w:pPr>
            <w:r w:rsidRPr="004C4B9D">
              <w:rPr>
                <w:bCs/>
                <w:color w:val="auto"/>
                <w:sz w:val="20"/>
                <w:szCs w:val="20"/>
              </w:rPr>
              <w:t>Enhanced and coordinated consultation and engagement with all Basin communities</w:t>
            </w:r>
          </w:p>
        </w:tc>
        <w:tc>
          <w:tcPr>
            <w:tcW w:w="258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A031F3" w14:textId="12F3A576" w:rsidR="00AE67DC" w:rsidRPr="004C4B9D" w:rsidRDefault="000F66AC">
            <w:pPr>
              <w:pStyle w:val="Tableformat"/>
              <w:rPr>
                <w:bCs/>
                <w:color w:val="auto"/>
                <w:sz w:val="20"/>
                <w:szCs w:val="20"/>
              </w:rPr>
            </w:pPr>
            <w:r>
              <w:rPr>
                <w:bCs/>
                <w:color w:val="auto"/>
                <w:sz w:val="20"/>
                <w:szCs w:val="20"/>
              </w:rPr>
              <w:t>12</w:t>
            </w:r>
            <w:r w:rsidR="00AE67DC">
              <w:rPr>
                <w:bCs/>
                <w:color w:val="auto"/>
                <w:sz w:val="20"/>
                <w:szCs w:val="20"/>
              </w:rPr>
              <w:t xml:space="preserve">. </w:t>
            </w:r>
            <w:r w:rsidR="00AE67DC" w:rsidRPr="004C4B9D">
              <w:rPr>
                <w:bCs/>
                <w:color w:val="auto"/>
                <w:sz w:val="20"/>
                <w:szCs w:val="20"/>
              </w:rPr>
              <w:t>Improve consultation and strategic engagement in collaboration with the Commonwealth and other Basin governments.</w:t>
            </w:r>
          </w:p>
        </w:tc>
        <w:tc>
          <w:tcPr>
            <w:tcW w:w="35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CA90AFA" w14:textId="553D5A99" w:rsidR="00AE67DC" w:rsidRPr="004C4B9D" w:rsidRDefault="000F66AC">
            <w:pPr>
              <w:pStyle w:val="Tableformat"/>
              <w:rPr>
                <w:bCs/>
                <w:color w:val="auto"/>
                <w:sz w:val="20"/>
                <w:szCs w:val="20"/>
              </w:rPr>
            </w:pPr>
            <w:r>
              <w:rPr>
                <w:bCs/>
                <w:color w:val="auto"/>
                <w:sz w:val="20"/>
                <w:szCs w:val="20"/>
              </w:rPr>
              <w:t>12</w:t>
            </w:r>
            <w:r w:rsidR="00AE67DC">
              <w:rPr>
                <w:bCs/>
                <w:color w:val="auto"/>
                <w:sz w:val="20"/>
                <w:szCs w:val="20"/>
              </w:rPr>
              <w:t xml:space="preserve">.a </w:t>
            </w:r>
            <w:r w:rsidR="00AE67DC" w:rsidRPr="004C4B9D">
              <w:rPr>
                <w:bCs/>
                <w:color w:val="auto"/>
                <w:sz w:val="20"/>
                <w:szCs w:val="20"/>
              </w:rPr>
              <w:t xml:space="preserve">Report on improvements made on strategic consultation, engagement and coordination with Basin communities, in collaboration with the Commonwealth and other Basin governments. </w:t>
            </w:r>
          </w:p>
        </w:tc>
        <w:tc>
          <w:tcPr>
            <w:tcW w:w="132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16C82D" w14:textId="77777777" w:rsidR="00AE67DC" w:rsidRPr="004C4B9D" w:rsidRDefault="00AE67DC" w:rsidP="006F3A9B">
            <w:pPr>
              <w:pStyle w:val="Tableformat"/>
              <w:rPr>
                <w:bCs/>
                <w:color w:val="auto"/>
                <w:sz w:val="20"/>
                <w:szCs w:val="20"/>
              </w:rPr>
            </w:pPr>
            <w:r>
              <w:rPr>
                <w:bCs/>
                <w:color w:val="auto"/>
                <w:sz w:val="20"/>
                <w:szCs w:val="20"/>
              </w:rPr>
              <w:t>31 March 2024</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0A3865" w14:textId="2DC98F00" w:rsidR="00AE67DC" w:rsidRPr="004C4B9D" w:rsidRDefault="00AE67DC" w:rsidP="00AB066B">
            <w:pPr>
              <w:pStyle w:val="Tableformat"/>
              <w:rPr>
                <w:bCs/>
                <w:color w:val="auto"/>
                <w:sz w:val="20"/>
                <w:szCs w:val="20"/>
              </w:rPr>
            </w:pPr>
            <w:r>
              <w:rPr>
                <w:bCs/>
                <w:color w:val="auto"/>
                <w:sz w:val="20"/>
                <w:szCs w:val="20"/>
              </w:rPr>
              <w:t>$</w:t>
            </w:r>
            <w:r w:rsidR="00FD0DF5">
              <w:rPr>
                <w:bCs/>
                <w:color w:val="auto"/>
                <w:sz w:val="20"/>
                <w:szCs w:val="20"/>
              </w:rPr>
              <w:t>77,</w:t>
            </w:r>
            <w:r w:rsidR="00AB066B">
              <w:rPr>
                <w:bCs/>
                <w:color w:val="auto"/>
                <w:sz w:val="20"/>
                <w:szCs w:val="20"/>
              </w:rPr>
              <w:t>544</w:t>
            </w:r>
          </w:p>
        </w:tc>
      </w:tr>
      <w:tr w:rsidR="00217BEB" w:rsidRPr="00DD56FE" w14:paraId="07F40718" w14:textId="77777777" w:rsidTr="00AE67DC">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0D2ECC05" w14:textId="4E58FAA3" w:rsidR="00217BEB" w:rsidRPr="00DD56FE" w:rsidRDefault="00217BEB" w:rsidP="00217BEB">
            <w:pPr>
              <w:pStyle w:val="Tableformat"/>
              <w:jc w:val="right"/>
              <w:rPr>
                <w:bCs/>
                <w:i/>
                <w:iCs w:val="0"/>
                <w:color w:val="auto"/>
                <w:sz w:val="20"/>
                <w:szCs w:val="20"/>
              </w:rPr>
            </w:pPr>
            <w:r w:rsidRPr="00DD56FE">
              <w:rPr>
                <w:bCs/>
                <w:i/>
                <w:iCs w:val="0"/>
                <w:color w:val="auto"/>
                <w:sz w:val="20"/>
                <w:szCs w:val="20"/>
              </w:rPr>
              <w:t>Total payment for South Australia</w:t>
            </w:r>
            <w:r>
              <w:rPr>
                <w:bCs/>
                <w:i/>
                <w:iCs w:val="0"/>
                <w:color w:val="auto"/>
                <w:sz w:val="20"/>
                <w:szCs w:val="20"/>
              </w:rPr>
              <w:t xml:space="preserve"> for Year 3</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7558C4B" w14:textId="77777777" w:rsidR="00217BEB" w:rsidRPr="00DD56FE" w:rsidRDefault="00217BEB" w:rsidP="00217BEB">
            <w:pPr>
              <w:pStyle w:val="Tableformat"/>
              <w:rPr>
                <w:bCs/>
                <w:color w:val="auto"/>
                <w:sz w:val="20"/>
                <w:szCs w:val="20"/>
              </w:rPr>
            </w:pPr>
            <w:r w:rsidRPr="00DD56FE">
              <w:rPr>
                <w:bCs/>
                <w:color w:val="auto"/>
                <w:sz w:val="20"/>
                <w:szCs w:val="20"/>
              </w:rPr>
              <w:t>$</w:t>
            </w:r>
            <w:r>
              <w:rPr>
                <w:bCs/>
                <w:color w:val="auto"/>
                <w:sz w:val="20"/>
                <w:szCs w:val="20"/>
              </w:rPr>
              <w:t>1,863,0</w:t>
            </w:r>
            <w:r w:rsidRPr="00DD56FE">
              <w:rPr>
                <w:bCs/>
                <w:color w:val="auto"/>
                <w:sz w:val="20"/>
                <w:szCs w:val="20"/>
              </w:rPr>
              <w:t>00</w:t>
            </w:r>
          </w:p>
        </w:tc>
      </w:tr>
    </w:tbl>
    <w:p w14:paraId="2E769899" w14:textId="77777777" w:rsidR="00597195" w:rsidRDefault="00597195">
      <w:pPr>
        <w:rPr>
          <w:iCs/>
        </w:rPr>
      </w:pPr>
    </w:p>
    <w:p w14:paraId="37C2267E" w14:textId="77777777" w:rsidR="00597195" w:rsidRDefault="00597195">
      <w:pPr>
        <w:rPr>
          <w:iCs/>
        </w:rPr>
      </w:pPr>
    </w:p>
    <w:p w14:paraId="2E4B8EDC" w14:textId="77777777" w:rsidR="00597195" w:rsidRDefault="00597195" w:rsidP="00597195">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23B454A8" w14:textId="77777777" w:rsidR="00597195" w:rsidRPr="00F00A18" w:rsidRDefault="00597195" w:rsidP="00597195">
      <w:pPr>
        <w:rPr>
          <w:lang w:val="en-GB"/>
        </w:rPr>
      </w:pPr>
    </w:p>
    <w:tbl>
      <w:tblPr>
        <w:tblW w:w="9356" w:type="dxa"/>
        <w:jc w:val="center"/>
        <w:tblLayout w:type="fixed"/>
        <w:tblLook w:val="01E0" w:firstRow="1" w:lastRow="1" w:firstColumn="1" w:lastColumn="1" w:noHBand="0" w:noVBand="0"/>
      </w:tblPr>
      <w:tblGrid>
        <w:gridCol w:w="3686"/>
        <w:gridCol w:w="1984"/>
        <w:gridCol w:w="3686"/>
      </w:tblGrid>
      <w:tr w:rsidR="00597195" w:rsidRPr="00F00A18" w14:paraId="73D2E1F3" w14:textId="77777777" w:rsidTr="006F3A9B">
        <w:trPr>
          <w:cantSplit/>
          <w:jc w:val="center"/>
        </w:trPr>
        <w:tc>
          <w:tcPr>
            <w:tcW w:w="3686" w:type="dxa"/>
          </w:tcPr>
          <w:p w14:paraId="5820767D" w14:textId="77777777" w:rsidR="00597195" w:rsidRPr="00F00A18" w:rsidRDefault="00597195" w:rsidP="006F3A9B">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706E81DC" w14:textId="77777777" w:rsidR="00597195" w:rsidRPr="00F00A18" w:rsidRDefault="00597195" w:rsidP="006F3A9B">
            <w:pPr>
              <w:pStyle w:val="LineForSignature"/>
              <w:rPr>
                <w:color w:val="auto"/>
              </w:rPr>
            </w:pPr>
            <w:r w:rsidRPr="00F00A18">
              <w:rPr>
                <w:color w:val="auto"/>
              </w:rPr>
              <w:br/>
            </w:r>
            <w:r w:rsidRPr="00F00A18">
              <w:rPr>
                <w:color w:val="auto"/>
              </w:rPr>
              <w:tab/>
            </w:r>
          </w:p>
          <w:p w14:paraId="5A78B6B4" w14:textId="77777777" w:rsidR="00597195" w:rsidRPr="00E061F4" w:rsidRDefault="00597195" w:rsidP="006F3A9B">
            <w:pPr>
              <w:pStyle w:val="SingleParagraph"/>
              <w:rPr>
                <w:rStyle w:val="Bold"/>
                <w:color w:val="auto"/>
              </w:rPr>
            </w:pPr>
            <w:r w:rsidRPr="00E061F4">
              <w:rPr>
                <w:rStyle w:val="Bold"/>
                <w:color w:val="auto"/>
              </w:rPr>
              <w:t>The Honourable Keith Pitt MP</w:t>
            </w:r>
          </w:p>
          <w:p w14:paraId="6405F2E0" w14:textId="77777777" w:rsidR="00597195" w:rsidRPr="00F00A18" w:rsidRDefault="00597195" w:rsidP="006F3A9B">
            <w:pPr>
              <w:pStyle w:val="Position"/>
              <w:rPr>
                <w:color w:val="auto"/>
                <w:lang w:val="en-GB"/>
              </w:rPr>
            </w:pPr>
            <w:r w:rsidRPr="00E061F4">
              <w:rPr>
                <w:color w:val="auto"/>
                <w:lang w:val="en-GB"/>
              </w:rPr>
              <w:t>Minister for Resources</w:t>
            </w:r>
            <w:r>
              <w:rPr>
                <w:color w:val="auto"/>
                <w:lang w:val="en-GB"/>
              </w:rPr>
              <w:t xml:space="preserve"> and</w:t>
            </w:r>
            <w:r w:rsidRPr="00E061F4">
              <w:rPr>
                <w:color w:val="auto"/>
                <w:lang w:val="en-GB"/>
              </w:rPr>
              <w:t xml:space="preserve"> Water</w:t>
            </w:r>
            <w:r w:rsidRPr="00F00A18">
              <w:rPr>
                <w:color w:val="auto"/>
                <w:lang w:val="en-GB"/>
              </w:rPr>
              <w:t xml:space="preserve"> </w:t>
            </w:r>
          </w:p>
          <w:p w14:paraId="53437342" w14:textId="77777777" w:rsidR="00597195" w:rsidRPr="00F00A18" w:rsidRDefault="00597195" w:rsidP="006F3A9B">
            <w:pPr>
              <w:pStyle w:val="SingleParagraph"/>
              <w:tabs>
                <w:tab w:val="num" w:pos="1134"/>
              </w:tabs>
              <w:spacing w:after="240"/>
              <w:rPr>
                <w:b/>
                <w:color w:val="auto"/>
                <w:lang w:val="en-GB"/>
              </w:rPr>
            </w:pPr>
            <w:r w:rsidRPr="00F00A18">
              <w:rPr>
                <w:color w:val="auto"/>
                <w:lang w:val="en-GB"/>
              </w:rPr>
              <w:t>[Day]  [Month]  [Year]</w:t>
            </w:r>
          </w:p>
        </w:tc>
        <w:tc>
          <w:tcPr>
            <w:tcW w:w="1984" w:type="dxa"/>
            <w:tcMar>
              <w:left w:w="0" w:type="dxa"/>
              <w:right w:w="0" w:type="dxa"/>
            </w:tcMar>
          </w:tcPr>
          <w:p w14:paraId="5DA99CCB" w14:textId="77777777" w:rsidR="00597195" w:rsidRPr="00F00A18" w:rsidRDefault="00597195" w:rsidP="006F3A9B">
            <w:pPr>
              <w:rPr>
                <w:rFonts w:ascii="Book Antiqua" w:hAnsi="Book Antiqua"/>
                <w:lang w:val="en-GB"/>
              </w:rPr>
            </w:pPr>
          </w:p>
        </w:tc>
        <w:tc>
          <w:tcPr>
            <w:tcW w:w="3686" w:type="dxa"/>
          </w:tcPr>
          <w:p w14:paraId="4EF0EE36" w14:textId="60AD90DB" w:rsidR="00597195" w:rsidRPr="00F00A18" w:rsidRDefault="00597195" w:rsidP="006F3A9B">
            <w:pPr>
              <w:pStyle w:val="Signed"/>
              <w:rPr>
                <w:color w:val="auto"/>
              </w:rPr>
            </w:pPr>
            <w:r w:rsidRPr="00F00A18">
              <w:rPr>
                <w:rStyle w:val="SignedBold"/>
                <w:color w:val="auto"/>
              </w:rPr>
              <w:t>Signed</w:t>
            </w:r>
            <w:r w:rsidRPr="00F00A18">
              <w:rPr>
                <w:i w:val="0"/>
                <w:color w:val="auto"/>
              </w:rPr>
              <w:t xml:space="preserve"> </w:t>
            </w:r>
            <w:r w:rsidRPr="00F00A18">
              <w:rPr>
                <w:color w:val="auto"/>
              </w:rPr>
              <w:t xml:space="preserve">for and on behalf of </w:t>
            </w:r>
            <w:r>
              <w:rPr>
                <w:color w:val="auto"/>
              </w:rPr>
              <w:t>South Australia</w:t>
            </w:r>
            <w:r w:rsidRPr="00F00A18">
              <w:rPr>
                <w:color w:val="auto"/>
              </w:rPr>
              <w:t xml:space="preserve"> by</w:t>
            </w:r>
          </w:p>
          <w:p w14:paraId="0BEF7EFD" w14:textId="77777777" w:rsidR="00597195" w:rsidRPr="00F00A18" w:rsidRDefault="00597195" w:rsidP="006F3A9B">
            <w:pPr>
              <w:pStyle w:val="LineForSignature"/>
              <w:rPr>
                <w:color w:val="auto"/>
              </w:rPr>
            </w:pPr>
            <w:r w:rsidRPr="00F00A18">
              <w:rPr>
                <w:color w:val="auto"/>
              </w:rPr>
              <w:br/>
            </w:r>
            <w:r w:rsidRPr="00F00A18">
              <w:rPr>
                <w:color w:val="auto"/>
              </w:rPr>
              <w:tab/>
            </w:r>
          </w:p>
          <w:p w14:paraId="7DE75C90" w14:textId="5152BF7A" w:rsidR="00597195" w:rsidRPr="004F4727" w:rsidRDefault="00597195" w:rsidP="006F3A9B">
            <w:pPr>
              <w:pStyle w:val="SingleParagraph"/>
              <w:rPr>
                <w:rStyle w:val="Bold"/>
                <w:color w:val="auto"/>
              </w:rPr>
            </w:pPr>
            <w:r>
              <w:rPr>
                <w:rStyle w:val="Bold"/>
                <w:color w:val="auto"/>
              </w:rPr>
              <w:t>The Honourable David Speirs MP</w:t>
            </w:r>
          </w:p>
          <w:p w14:paraId="2FD70A68" w14:textId="41450CC6" w:rsidR="00597195" w:rsidRPr="00F00A18" w:rsidRDefault="00597195" w:rsidP="006F3A9B">
            <w:pPr>
              <w:pStyle w:val="Position"/>
              <w:rPr>
                <w:color w:val="auto"/>
                <w:lang w:val="en-GB"/>
              </w:rPr>
            </w:pPr>
            <w:r w:rsidRPr="004F4727">
              <w:rPr>
                <w:color w:val="auto"/>
                <w:lang w:val="en-GB"/>
              </w:rPr>
              <w:t xml:space="preserve">Minister for </w:t>
            </w:r>
            <w:r w:rsidR="00447038">
              <w:rPr>
                <w:color w:val="auto"/>
                <w:lang w:val="en-GB"/>
              </w:rPr>
              <w:t>Environment</w:t>
            </w:r>
            <w:r>
              <w:rPr>
                <w:color w:val="auto"/>
                <w:lang w:val="en-GB"/>
              </w:rPr>
              <w:t xml:space="preserve"> and Water</w:t>
            </w:r>
          </w:p>
          <w:p w14:paraId="67B708A0" w14:textId="77777777" w:rsidR="00597195" w:rsidRPr="00F00A18" w:rsidRDefault="00597195" w:rsidP="006F3A9B">
            <w:pPr>
              <w:rPr>
                <w:rFonts w:ascii="Book Antiqua" w:hAnsi="Book Antiqua"/>
                <w:lang w:val="en-GB"/>
              </w:rPr>
            </w:pPr>
            <w:r w:rsidRPr="00F00A18">
              <w:rPr>
                <w:lang w:val="en-GB"/>
              </w:rPr>
              <w:t>[Day]  [Month]  [Year]</w:t>
            </w:r>
          </w:p>
        </w:tc>
      </w:tr>
    </w:tbl>
    <w:p w14:paraId="2CCC3D42" w14:textId="16C8FDED" w:rsidR="00EA16B8" w:rsidRDefault="00EA16B8">
      <w:r>
        <w:rPr>
          <w:iCs/>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12"/>
        <w:gridCol w:w="2539"/>
        <w:gridCol w:w="3686"/>
        <w:gridCol w:w="1276"/>
        <w:gridCol w:w="1134"/>
      </w:tblGrid>
      <w:tr w:rsidR="00447038" w:rsidRPr="00F00A18" w14:paraId="69D1E083" w14:textId="77777777" w:rsidTr="00DD584F">
        <w:tc>
          <w:tcPr>
            <w:tcW w:w="10207" w:type="dxa"/>
            <w:gridSpan w:val="6"/>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68224FE" w14:textId="33481797" w:rsidR="00447038" w:rsidRPr="00F00A18" w:rsidRDefault="00447038" w:rsidP="006F3A9B">
            <w:pPr>
              <w:pStyle w:val="Tableformat"/>
              <w:tabs>
                <w:tab w:val="left" w:pos="6043"/>
              </w:tabs>
              <w:rPr>
                <w:b/>
                <w:color w:val="auto"/>
              </w:rPr>
            </w:pPr>
            <w:r>
              <w:rPr>
                <w:b/>
                <w:color w:val="auto"/>
              </w:rPr>
              <w:t>Table 2E</w:t>
            </w:r>
            <w:r w:rsidRPr="00F00A18">
              <w:rPr>
                <w:b/>
                <w:color w:val="auto"/>
              </w:rPr>
              <w:t xml:space="preserve">: </w:t>
            </w:r>
            <w:r>
              <w:rPr>
                <w:b/>
                <w:color w:val="auto"/>
              </w:rPr>
              <w:t xml:space="preserve">Australian Capital Territory </w:t>
            </w:r>
            <w:r w:rsidRPr="00F00A18">
              <w:rPr>
                <w:b/>
                <w:color w:val="auto"/>
              </w:rPr>
              <w:t>– Performance requirements, reporting and payment summary</w:t>
            </w:r>
          </w:p>
        </w:tc>
      </w:tr>
      <w:tr w:rsidR="00447038" w:rsidRPr="00F00A18" w14:paraId="764E17D4" w14:textId="77777777" w:rsidTr="00DD584F">
        <w:tc>
          <w:tcPr>
            <w:tcW w:w="10207" w:type="dxa"/>
            <w:gridSpan w:val="6"/>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39F034B" w14:textId="268F981C" w:rsidR="00447038" w:rsidRDefault="00447038" w:rsidP="006F3A9B">
            <w:pPr>
              <w:pStyle w:val="Tableformat"/>
              <w:tabs>
                <w:tab w:val="left" w:pos="6043"/>
              </w:tabs>
              <w:rPr>
                <w:b/>
                <w:color w:val="auto"/>
              </w:rPr>
            </w:pPr>
            <w:r>
              <w:rPr>
                <w:b/>
                <w:color w:val="auto"/>
              </w:rPr>
              <w:t>Year 1: 2021-2022</w:t>
            </w:r>
          </w:p>
        </w:tc>
      </w:tr>
      <w:tr w:rsidR="00447038" w:rsidRPr="00FD6EB4" w14:paraId="73E351E3" w14:textId="77777777" w:rsidTr="00DD584F">
        <w:tc>
          <w:tcPr>
            <w:tcW w:w="1560" w:type="dxa"/>
            <w:shd w:val="clear" w:color="auto" w:fill="F2F2F2" w:themeFill="background1" w:themeFillShade="F2"/>
          </w:tcPr>
          <w:p w14:paraId="2CF51A13" w14:textId="77777777" w:rsidR="00447038" w:rsidRPr="00FD6EB4" w:rsidRDefault="00447038"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gridSpan w:val="2"/>
            <w:shd w:val="clear" w:color="auto" w:fill="F2F2F2" w:themeFill="background1" w:themeFillShade="F2"/>
          </w:tcPr>
          <w:p w14:paraId="51F620B2" w14:textId="77777777" w:rsidR="00447038" w:rsidRPr="00FD6EB4" w:rsidRDefault="00447038" w:rsidP="006F3A9B">
            <w:pPr>
              <w:pStyle w:val="Tableformat"/>
              <w:rPr>
                <w:b/>
                <w:color w:val="auto"/>
                <w:sz w:val="22"/>
                <w:szCs w:val="22"/>
              </w:rPr>
            </w:pPr>
            <w:r w:rsidRPr="00FD6EB4">
              <w:rPr>
                <w:b/>
                <w:color w:val="auto"/>
                <w:sz w:val="22"/>
                <w:szCs w:val="22"/>
              </w:rPr>
              <w:t>Performance milestones</w:t>
            </w:r>
          </w:p>
        </w:tc>
        <w:tc>
          <w:tcPr>
            <w:tcW w:w="3686" w:type="dxa"/>
            <w:shd w:val="clear" w:color="auto" w:fill="F2F2F2" w:themeFill="background1" w:themeFillShade="F2"/>
          </w:tcPr>
          <w:p w14:paraId="6A5125AD" w14:textId="77777777" w:rsidR="00447038" w:rsidRPr="00FD6EB4" w:rsidRDefault="00447038" w:rsidP="006F3A9B">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461F55F5" w14:textId="77777777" w:rsidR="00447038" w:rsidRPr="00FD6EB4" w:rsidRDefault="00447038"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3B31785D" w14:textId="77777777" w:rsidR="00447038" w:rsidRPr="00FD6EB4" w:rsidRDefault="00447038" w:rsidP="006F3A9B">
            <w:pPr>
              <w:pStyle w:val="Tableformat"/>
              <w:rPr>
                <w:b/>
                <w:color w:val="auto"/>
                <w:sz w:val="22"/>
                <w:szCs w:val="22"/>
              </w:rPr>
            </w:pPr>
            <w:r w:rsidRPr="00FD6EB4">
              <w:rPr>
                <w:b/>
                <w:color w:val="auto"/>
                <w:sz w:val="22"/>
                <w:szCs w:val="22"/>
              </w:rPr>
              <w:t>Payment</w:t>
            </w:r>
          </w:p>
        </w:tc>
      </w:tr>
      <w:tr w:rsidR="00FD0DF5" w:rsidRPr="00DA6A97" w14:paraId="0A86E57A" w14:textId="77777777" w:rsidTr="00DD584F">
        <w:tc>
          <w:tcPr>
            <w:tcW w:w="1560" w:type="dxa"/>
            <w:tcBorders>
              <w:top w:val="single" w:sz="8" w:space="0" w:color="4F81BD"/>
              <w:left w:val="single" w:sz="8" w:space="0" w:color="4F81BD"/>
              <w:right w:val="single" w:sz="8" w:space="0" w:color="4F81BD"/>
            </w:tcBorders>
            <w:shd w:val="clear" w:color="auto" w:fill="F2F2F2" w:themeFill="background1" w:themeFillShade="F2"/>
          </w:tcPr>
          <w:p w14:paraId="7F721664" w14:textId="77777777" w:rsidR="00FD0DF5" w:rsidRPr="00DA6A97" w:rsidRDefault="00FD0DF5" w:rsidP="006F3A9B">
            <w:pPr>
              <w:pStyle w:val="Tableformat"/>
              <w:rPr>
                <w:bCs/>
                <w:color w:val="auto"/>
                <w:sz w:val="20"/>
                <w:szCs w:val="20"/>
              </w:rPr>
            </w:pPr>
            <w:r w:rsidRPr="00DA6A97">
              <w:rPr>
                <w:bCs/>
                <w:color w:val="auto"/>
                <w:sz w:val="20"/>
                <w:szCs w:val="20"/>
              </w:rPr>
              <w:t xml:space="preserve">Water </w:t>
            </w:r>
            <w:r>
              <w:rPr>
                <w:bCs/>
                <w:color w:val="auto"/>
                <w:sz w:val="20"/>
                <w:szCs w:val="20"/>
              </w:rPr>
              <w:t>r</w:t>
            </w:r>
            <w:r w:rsidRPr="00DA6A97">
              <w:rPr>
                <w:bCs/>
                <w:color w:val="auto"/>
                <w:sz w:val="20"/>
                <w:szCs w:val="20"/>
              </w:rPr>
              <w:t>ecovery</w:t>
            </w:r>
          </w:p>
        </w:tc>
        <w:tc>
          <w:tcPr>
            <w:tcW w:w="2551" w:type="dxa"/>
            <w:gridSpan w:val="2"/>
            <w:tcBorders>
              <w:top w:val="single" w:sz="8" w:space="0" w:color="4F81BD"/>
              <w:left w:val="single" w:sz="8" w:space="0" w:color="4F81BD"/>
              <w:right w:val="single" w:sz="8" w:space="0" w:color="4F81BD"/>
            </w:tcBorders>
            <w:shd w:val="clear" w:color="auto" w:fill="F2F2F2" w:themeFill="background1" w:themeFillShade="F2"/>
          </w:tcPr>
          <w:p w14:paraId="56D20266" w14:textId="77777777" w:rsidR="00FD0DF5" w:rsidRPr="00DA6A97" w:rsidRDefault="00FD0DF5" w:rsidP="006F3A9B">
            <w:pPr>
              <w:pStyle w:val="Tableformat"/>
              <w:rPr>
                <w:bCs/>
                <w:color w:val="auto"/>
                <w:sz w:val="20"/>
                <w:szCs w:val="20"/>
              </w:rPr>
            </w:pPr>
            <w:r>
              <w:rPr>
                <w:bCs/>
                <w:color w:val="auto"/>
                <w:sz w:val="20"/>
                <w:szCs w:val="20"/>
              </w:rPr>
              <w:t xml:space="preserve">1. </w:t>
            </w:r>
            <w:r w:rsidRPr="00AC6E08">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1B2D780" w14:textId="77777777" w:rsidR="00FD0DF5" w:rsidRPr="00DA6A97" w:rsidRDefault="00FD0DF5" w:rsidP="006F3A9B">
            <w:pPr>
              <w:pStyle w:val="Tableformat"/>
              <w:rPr>
                <w:bCs/>
                <w:color w:val="auto"/>
                <w:sz w:val="20"/>
                <w:szCs w:val="20"/>
              </w:rPr>
            </w:pPr>
            <w:r>
              <w:rPr>
                <w:bCs/>
                <w:color w:val="auto"/>
                <w:sz w:val="20"/>
                <w:szCs w:val="20"/>
              </w:rPr>
              <w:t xml:space="preserve">1.a </w:t>
            </w:r>
            <w:r w:rsidRPr="00AC6E08">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02182C" w14:textId="77777777" w:rsidR="00FD0DF5" w:rsidRPr="00DA6A97" w:rsidRDefault="00FD0DF5" w:rsidP="006F3A9B">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66458C" w14:textId="2564F5CC" w:rsidR="00FD0DF5" w:rsidRPr="00DA6A97" w:rsidRDefault="00FD0DF5" w:rsidP="006F3A9B">
            <w:pPr>
              <w:pStyle w:val="Tableformat"/>
              <w:rPr>
                <w:bCs/>
                <w:color w:val="auto"/>
                <w:sz w:val="20"/>
                <w:szCs w:val="20"/>
              </w:rPr>
            </w:pPr>
            <w:r>
              <w:rPr>
                <w:bCs/>
                <w:color w:val="auto"/>
                <w:sz w:val="20"/>
                <w:szCs w:val="20"/>
              </w:rPr>
              <w:t>$</w:t>
            </w:r>
            <w:r w:rsidR="00142996">
              <w:rPr>
                <w:bCs/>
                <w:color w:val="auto"/>
                <w:sz w:val="20"/>
                <w:szCs w:val="20"/>
              </w:rPr>
              <w:t>7</w:t>
            </w:r>
            <w:r w:rsidR="001F7696">
              <w:rPr>
                <w:bCs/>
                <w:color w:val="auto"/>
                <w:sz w:val="20"/>
                <w:szCs w:val="20"/>
              </w:rPr>
              <w:t>6,350</w:t>
            </w:r>
          </w:p>
        </w:tc>
      </w:tr>
      <w:tr w:rsidR="00142996" w:rsidRPr="00DA6A97" w14:paraId="533FAD20" w14:textId="77777777" w:rsidTr="00DD584F">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0875EA10" w14:textId="77777777" w:rsidR="00142996" w:rsidRPr="00DA6A97" w:rsidRDefault="00142996" w:rsidP="00142996">
            <w:pPr>
              <w:pStyle w:val="Tableformat"/>
              <w:rPr>
                <w:bCs/>
                <w:color w:val="auto"/>
                <w:sz w:val="20"/>
                <w:szCs w:val="20"/>
              </w:rPr>
            </w:pPr>
            <w:r w:rsidRPr="00DA6A97">
              <w:rPr>
                <w:bCs/>
                <w:color w:val="auto"/>
                <w:sz w:val="20"/>
                <w:szCs w:val="20"/>
              </w:rPr>
              <w:t>Coordinated environmental water use</w:t>
            </w:r>
          </w:p>
        </w:tc>
        <w:tc>
          <w:tcPr>
            <w:tcW w:w="2551"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A1166B" w14:textId="287FD0AA" w:rsidR="00142996" w:rsidRPr="00DA6A97" w:rsidRDefault="0051346F" w:rsidP="00142996">
            <w:pPr>
              <w:pStyle w:val="Tableformat"/>
              <w:rPr>
                <w:bCs/>
                <w:color w:val="auto"/>
                <w:sz w:val="20"/>
                <w:szCs w:val="20"/>
              </w:rPr>
            </w:pPr>
            <w:r>
              <w:rPr>
                <w:bCs/>
                <w:color w:val="auto"/>
                <w:sz w:val="20"/>
                <w:szCs w:val="20"/>
              </w:rPr>
              <w:t>2</w:t>
            </w:r>
            <w:r w:rsidR="00142996">
              <w:rPr>
                <w:bCs/>
                <w:color w:val="auto"/>
                <w:sz w:val="20"/>
                <w:szCs w:val="20"/>
              </w:rPr>
              <w:t xml:space="preserve">. </w:t>
            </w:r>
            <w:r w:rsidR="00142996" w:rsidRPr="00DA6A97">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E5DFF5" w14:textId="7BD7351A" w:rsidR="00142996" w:rsidRPr="00DA6A97" w:rsidRDefault="0051346F" w:rsidP="00142996">
            <w:pPr>
              <w:pStyle w:val="Tableformat"/>
              <w:rPr>
                <w:bCs/>
                <w:color w:val="auto"/>
                <w:sz w:val="20"/>
                <w:szCs w:val="20"/>
              </w:rPr>
            </w:pPr>
            <w:r>
              <w:rPr>
                <w:bCs/>
                <w:color w:val="auto"/>
                <w:sz w:val="20"/>
                <w:szCs w:val="20"/>
              </w:rPr>
              <w:t>2</w:t>
            </w:r>
            <w:r w:rsidR="00142996" w:rsidRPr="00C26E8B">
              <w:rPr>
                <w:bCs/>
                <w:color w:val="auto"/>
                <w:sz w:val="20"/>
                <w:szCs w:val="20"/>
              </w:rPr>
              <w:t xml:space="preserve">.a Through the Environmental Water Committee, define and agree a </w:t>
            </w:r>
            <w:r w:rsidR="007C3B81" w:rsidRPr="00C26E8B">
              <w:rPr>
                <w:bCs/>
                <w:color w:val="auto"/>
                <w:sz w:val="20"/>
                <w:szCs w:val="20"/>
              </w:rPr>
              <w:t>work plan</w:t>
            </w:r>
            <w:r w:rsidR="00142996" w:rsidRPr="00C26E8B">
              <w:rPr>
                <w:bCs/>
                <w:color w:val="auto"/>
                <w:sz w:val="20"/>
                <w:szCs w:val="20"/>
              </w:rPr>
              <w:t xml:space="preserve"> of priority collaborative activities to deliver the Environmental Water Protection Strategy, where relevant to the jurisdiction</w:t>
            </w:r>
            <w:r w:rsidR="00142996" w:rsidRPr="00AC6E0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CDB915" w14:textId="77777777" w:rsidR="00142996" w:rsidRPr="00DA6A97" w:rsidRDefault="00142996" w:rsidP="001429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4236DE" w14:textId="1C7FF31F" w:rsidR="00142996" w:rsidRPr="00DA6A97" w:rsidRDefault="00142996" w:rsidP="001429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0F8520DE" w14:textId="77777777" w:rsidTr="00DD584F">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4CE19398" w14:textId="77777777" w:rsidR="001F7696" w:rsidRPr="00DA6A97" w:rsidRDefault="001F7696" w:rsidP="001F7696">
            <w:pPr>
              <w:pStyle w:val="Tableformat"/>
              <w:rPr>
                <w:bCs/>
                <w:color w:val="auto"/>
                <w:sz w:val="20"/>
                <w:szCs w:val="20"/>
              </w:rPr>
            </w:pPr>
          </w:p>
        </w:tc>
        <w:tc>
          <w:tcPr>
            <w:tcW w:w="2551"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E80870" w14:textId="739EB025" w:rsidR="001F7696" w:rsidRPr="00DA6A97" w:rsidRDefault="0051346F" w:rsidP="001F7696">
            <w:pPr>
              <w:pStyle w:val="Tableformat"/>
              <w:rPr>
                <w:bCs/>
                <w:color w:val="auto"/>
                <w:sz w:val="20"/>
                <w:szCs w:val="20"/>
              </w:rPr>
            </w:pPr>
            <w:r>
              <w:rPr>
                <w:bCs/>
                <w:color w:val="auto"/>
                <w:sz w:val="20"/>
                <w:szCs w:val="20"/>
              </w:rPr>
              <w:t>3</w:t>
            </w:r>
            <w:r w:rsidR="001F7696">
              <w:rPr>
                <w:bCs/>
                <w:color w:val="auto"/>
                <w:sz w:val="20"/>
                <w:szCs w:val="20"/>
              </w:rPr>
              <w:t xml:space="preserve">. </w:t>
            </w:r>
            <w:r w:rsidR="001F7696" w:rsidRPr="00DA6A97">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985879" w14:textId="6E8E1765" w:rsidR="001F7696" w:rsidRPr="00DA6A97" w:rsidRDefault="0051346F" w:rsidP="001F7696">
            <w:pPr>
              <w:pStyle w:val="Tableformat"/>
              <w:rPr>
                <w:bCs/>
                <w:color w:val="auto"/>
                <w:sz w:val="20"/>
                <w:szCs w:val="20"/>
              </w:rPr>
            </w:pPr>
            <w:r>
              <w:rPr>
                <w:bCs/>
                <w:color w:val="auto"/>
                <w:sz w:val="20"/>
                <w:szCs w:val="20"/>
              </w:rPr>
              <w:t>3</w:t>
            </w:r>
            <w:r w:rsidR="001F7696" w:rsidRPr="00C26E8B">
              <w:rPr>
                <w:bCs/>
                <w:color w:val="auto"/>
                <w:sz w:val="20"/>
                <w:szCs w:val="20"/>
              </w:rPr>
              <w:t xml:space="preserve">.a Engage with </w:t>
            </w:r>
            <w:r w:rsidR="00795920">
              <w:rPr>
                <w:bCs/>
                <w:color w:val="auto"/>
                <w:sz w:val="20"/>
                <w:szCs w:val="20"/>
              </w:rPr>
              <w:t>all stakeholders</w:t>
            </w:r>
            <w:r w:rsidR="001F7696" w:rsidRPr="00C26E8B">
              <w:rPr>
                <w:bCs/>
                <w:color w:val="auto"/>
                <w:sz w:val="20"/>
                <w:szCs w:val="20"/>
              </w:rPr>
              <w:t>, in the development of annual environmental water plans or priorities; and in the implementation, review and update of LTWPs, where relevant to the jurisdiction</w:t>
            </w:r>
            <w:r w:rsidR="001F7696"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87051A"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DBACE9" w14:textId="5C247E91"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6EC05160" w14:textId="77777777" w:rsidTr="00DD584F">
        <w:tc>
          <w:tcPr>
            <w:tcW w:w="1560" w:type="dxa"/>
            <w:vMerge w:val="restart"/>
            <w:tcBorders>
              <w:left w:val="single" w:sz="8" w:space="0" w:color="4F81BD"/>
              <w:right w:val="single" w:sz="8" w:space="0" w:color="4F81BD"/>
            </w:tcBorders>
            <w:shd w:val="clear" w:color="auto" w:fill="F2F2F2" w:themeFill="background1" w:themeFillShade="F2"/>
          </w:tcPr>
          <w:p w14:paraId="088C3874" w14:textId="77777777" w:rsidR="001F7696" w:rsidRPr="00DA6A97" w:rsidRDefault="001F7696" w:rsidP="001F7696">
            <w:pPr>
              <w:pStyle w:val="Tableformat"/>
              <w:rPr>
                <w:bCs/>
                <w:color w:val="auto"/>
                <w:sz w:val="20"/>
                <w:szCs w:val="20"/>
              </w:rPr>
            </w:pPr>
            <w:r w:rsidRPr="00DA6A97">
              <w:rPr>
                <w:bCs/>
                <w:color w:val="auto"/>
                <w:sz w:val="20"/>
                <w:szCs w:val="20"/>
              </w:rPr>
              <w:t>Implementation of the Basin Plan</w:t>
            </w:r>
          </w:p>
        </w:tc>
        <w:tc>
          <w:tcPr>
            <w:tcW w:w="2551" w:type="dxa"/>
            <w:gridSpan w:val="2"/>
            <w:vMerge w:val="restart"/>
            <w:tcBorders>
              <w:left w:val="single" w:sz="8" w:space="0" w:color="4F81BD"/>
              <w:right w:val="single" w:sz="8" w:space="0" w:color="4F81BD"/>
            </w:tcBorders>
            <w:shd w:val="clear" w:color="auto" w:fill="F2F2F2" w:themeFill="background1" w:themeFillShade="F2"/>
          </w:tcPr>
          <w:p w14:paraId="065E5FAF" w14:textId="7F186AB2" w:rsidR="001F7696" w:rsidRPr="00DA6A97" w:rsidRDefault="0051346F" w:rsidP="001F7696">
            <w:pPr>
              <w:pStyle w:val="Tableformat"/>
              <w:rPr>
                <w:bCs/>
                <w:color w:val="auto"/>
                <w:sz w:val="20"/>
                <w:szCs w:val="20"/>
              </w:rPr>
            </w:pPr>
            <w:r>
              <w:rPr>
                <w:bCs/>
                <w:color w:val="auto"/>
                <w:sz w:val="20"/>
                <w:szCs w:val="20"/>
              </w:rPr>
              <w:t>4</w:t>
            </w:r>
            <w:r w:rsidR="001F7696">
              <w:rPr>
                <w:bCs/>
                <w:color w:val="auto"/>
                <w:sz w:val="20"/>
                <w:szCs w:val="20"/>
              </w:rPr>
              <w:t xml:space="preserve">. </w:t>
            </w:r>
            <w:r w:rsidR="001F7696" w:rsidRPr="00DA6A97">
              <w:rPr>
                <w:bCs/>
                <w:color w:val="auto"/>
                <w:sz w:val="20"/>
                <w:szCs w:val="20"/>
              </w:rPr>
              <w:t>Implement the SDLAM program, where not funded under other agreements.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A54593" w14:textId="42AC6B0C" w:rsidR="001F7696" w:rsidRPr="00DA6A97" w:rsidRDefault="0051346F" w:rsidP="0051346F">
            <w:pPr>
              <w:pStyle w:val="Tableformat"/>
              <w:rPr>
                <w:bCs/>
                <w:color w:val="auto"/>
                <w:sz w:val="20"/>
                <w:szCs w:val="20"/>
              </w:rPr>
            </w:pPr>
            <w:r>
              <w:rPr>
                <w:bCs/>
                <w:color w:val="auto"/>
                <w:sz w:val="20"/>
                <w:szCs w:val="20"/>
              </w:rPr>
              <w:t>4</w:t>
            </w:r>
            <w:r w:rsidR="001F7696" w:rsidRPr="00DD584F">
              <w:rPr>
                <w:bCs/>
                <w:color w:val="auto"/>
                <w:sz w:val="20"/>
                <w:szCs w:val="20"/>
              </w:rPr>
              <w:t>.</w:t>
            </w:r>
            <w:r>
              <w:rPr>
                <w:bCs/>
                <w:color w:val="auto"/>
                <w:sz w:val="20"/>
                <w:szCs w:val="20"/>
              </w:rPr>
              <w:t>a</w:t>
            </w:r>
            <w:r w:rsidRPr="00DD584F">
              <w:rPr>
                <w:bCs/>
                <w:color w:val="auto"/>
                <w:sz w:val="20"/>
                <w:szCs w:val="20"/>
              </w:rPr>
              <w:t xml:space="preserve"> </w:t>
            </w:r>
            <w:r w:rsidR="001F7696" w:rsidRPr="00DD584F">
              <w:rPr>
                <w:bCs/>
                <w:color w:val="auto"/>
                <w:sz w:val="20"/>
                <w:szCs w:val="20"/>
              </w:rPr>
              <w:t>Identify, develop and progress required changes to the River Murray Operations Framework and Murray-Darling Basin Agreement, where relevant to the ACT. Any changes are to be agreed by all jurisdictions.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56AD025"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C0210A" w14:textId="6B938BB7"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37F6C1C9" w14:textId="77777777" w:rsidTr="00DD584F">
        <w:tc>
          <w:tcPr>
            <w:tcW w:w="1560" w:type="dxa"/>
            <w:vMerge/>
            <w:tcBorders>
              <w:left w:val="single" w:sz="8" w:space="0" w:color="4F81BD"/>
              <w:right w:val="single" w:sz="8" w:space="0" w:color="4F81BD"/>
            </w:tcBorders>
            <w:shd w:val="clear" w:color="auto" w:fill="F2F2F2" w:themeFill="background1" w:themeFillShade="F2"/>
          </w:tcPr>
          <w:p w14:paraId="08893374"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bottom w:val="single" w:sz="8" w:space="0" w:color="4F81BD"/>
              <w:right w:val="single" w:sz="8" w:space="0" w:color="4F81BD"/>
            </w:tcBorders>
            <w:shd w:val="clear" w:color="auto" w:fill="F2F2F2" w:themeFill="background1" w:themeFillShade="F2"/>
          </w:tcPr>
          <w:p w14:paraId="12879487"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659B909" w14:textId="0FF9C57C" w:rsidR="001F7696" w:rsidRPr="00DA6A97" w:rsidRDefault="0051346F" w:rsidP="0051346F">
            <w:pPr>
              <w:pStyle w:val="Tableformat"/>
              <w:rPr>
                <w:bCs/>
                <w:color w:val="auto"/>
                <w:sz w:val="20"/>
                <w:szCs w:val="20"/>
              </w:rPr>
            </w:pPr>
            <w:r>
              <w:rPr>
                <w:bCs/>
                <w:color w:val="auto"/>
                <w:sz w:val="20"/>
                <w:szCs w:val="20"/>
              </w:rPr>
              <w:t>4</w:t>
            </w:r>
            <w:r w:rsidR="001F7696" w:rsidRPr="008773F1">
              <w:rPr>
                <w:bCs/>
                <w:color w:val="auto"/>
                <w:sz w:val="20"/>
                <w:szCs w:val="20"/>
              </w:rPr>
              <w:t>.</w:t>
            </w:r>
            <w:r>
              <w:rPr>
                <w:bCs/>
                <w:color w:val="auto"/>
                <w:sz w:val="20"/>
                <w:szCs w:val="20"/>
              </w:rPr>
              <w:t>b</w:t>
            </w:r>
            <w:r w:rsidRPr="008773F1">
              <w:rPr>
                <w:bCs/>
                <w:color w:val="auto"/>
                <w:sz w:val="20"/>
                <w:szCs w:val="20"/>
              </w:rPr>
              <w:t xml:space="preserve"> </w:t>
            </w:r>
            <w:r w:rsidR="001F7696" w:rsidRPr="008773F1">
              <w:rPr>
                <w:bCs/>
                <w:color w:val="auto"/>
                <w:sz w:val="20"/>
                <w:szCs w:val="20"/>
              </w:rPr>
              <w:t>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1F7696" w:rsidRPr="00D57F7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B1C7EBC"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36E4DD" w14:textId="7C19CF1B"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6B962F5F" w14:textId="77777777" w:rsidTr="00DD584F">
        <w:tc>
          <w:tcPr>
            <w:tcW w:w="1560" w:type="dxa"/>
            <w:vMerge/>
            <w:tcBorders>
              <w:left w:val="single" w:sz="8" w:space="0" w:color="4F81BD"/>
              <w:right w:val="single" w:sz="8" w:space="0" w:color="4F81BD"/>
            </w:tcBorders>
            <w:shd w:val="clear" w:color="auto" w:fill="F2F2F2" w:themeFill="background1" w:themeFillShade="F2"/>
          </w:tcPr>
          <w:p w14:paraId="5A52350C" w14:textId="77777777" w:rsidR="001F7696" w:rsidRPr="00DA6A97" w:rsidRDefault="001F7696" w:rsidP="001F7696">
            <w:pPr>
              <w:pStyle w:val="Tableformat"/>
              <w:rPr>
                <w:bCs/>
                <w:color w:val="auto"/>
                <w:sz w:val="20"/>
                <w:szCs w:val="20"/>
              </w:rPr>
            </w:pPr>
          </w:p>
        </w:tc>
        <w:tc>
          <w:tcPr>
            <w:tcW w:w="2551" w:type="dxa"/>
            <w:gridSpan w:val="2"/>
            <w:vMerge w:val="restart"/>
            <w:tcBorders>
              <w:top w:val="single" w:sz="8" w:space="0" w:color="4F81BD"/>
              <w:left w:val="single" w:sz="8" w:space="0" w:color="4F81BD"/>
              <w:right w:val="single" w:sz="8" w:space="0" w:color="4F81BD"/>
            </w:tcBorders>
            <w:shd w:val="clear" w:color="auto" w:fill="F2F2F2" w:themeFill="background1" w:themeFillShade="F2"/>
          </w:tcPr>
          <w:p w14:paraId="1EC9F330" w14:textId="17CA8E78" w:rsidR="001F7696" w:rsidRPr="00DA6A97" w:rsidRDefault="00512BED" w:rsidP="001F7696">
            <w:pPr>
              <w:pStyle w:val="Tableformat"/>
              <w:rPr>
                <w:bCs/>
                <w:color w:val="auto"/>
                <w:sz w:val="20"/>
                <w:szCs w:val="20"/>
              </w:rPr>
            </w:pPr>
            <w:r>
              <w:rPr>
                <w:bCs/>
                <w:color w:val="auto"/>
                <w:sz w:val="20"/>
                <w:szCs w:val="20"/>
              </w:rPr>
              <w:t>5</w:t>
            </w:r>
            <w:r w:rsidR="001F7696">
              <w:rPr>
                <w:bCs/>
                <w:color w:val="auto"/>
                <w:sz w:val="20"/>
                <w:szCs w:val="20"/>
              </w:rPr>
              <w:t>. Contribute to delivery of</w:t>
            </w:r>
            <w:r w:rsidR="001F7696" w:rsidRPr="00DA6A97">
              <w:rPr>
                <w:bCs/>
                <w:color w:val="auto"/>
                <w:sz w:val="20"/>
                <w:szCs w:val="20"/>
              </w:rPr>
              <w:t xml:space="preserve"> the MDBA-led SDL Accounting Framework Improvement Strategy 2020-25 </w:t>
            </w:r>
            <w:r w:rsidR="007C3B81" w:rsidRPr="00DA6A97">
              <w:rPr>
                <w:bCs/>
                <w:color w:val="auto"/>
                <w:sz w:val="20"/>
                <w:szCs w:val="20"/>
              </w:rPr>
              <w:t>work plan</w:t>
            </w:r>
            <w:r w:rsidR="001F7696" w:rsidRPr="00DA6A97">
              <w:rPr>
                <w:bCs/>
                <w:color w:val="auto"/>
                <w:sz w:val="20"/>
                <w:szCs w:val="20"/>
              </w:rPr>
              <w:t>, including supplying data and quality assurance documentation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4834C82" w14:textId="4ACA4F17" w:rsidR="001F7696" w:rsidRPr="00DA6A97" w:rsidRDefault="00512BED" w:rsidP="001F7696">
            <w:pPr>
              <w:pStyle w:val="Tableformat"/>
              <w:rPr>
                <w:bCs/>
                <w:color w:val="auto"/>
                <w:sz w:val="20"/>
                <w:szCs w:val="20"/>
              </w:rPr>
            </w:pPr>
            <w:r>
              <w:rPr>
                <w:bCs/>
                <w:color w:val="auto"/>
                <w:sz w:val="20"/>
                <w:szCs w:val="20"/>
              </w:rPr>
              <w:t>5</w:t>
            </w:r>
            <w:r w:rsidR="001F7696" w:rsidRPr="008773F1">
              <w:rPr>
                <w:bCs/>
                <w:color w:val="auto"/>
                <w:sz w:val="20"/>
                <w:szCs w:val="20"/>
              </w:rPr>
              <w:t xml:space="preserve">.a Contribute to developing a </w:t>
            </w:r>
            <w:r w:rsidR="007C3B81" w:rsidRPr="008773F1">
              <w:rPr>
                <w:bCs/>
                <w:color w:val="auto"/>
                <w:sz w:val="20"/>
                <w:szCs w:val="20"/>
              </w:rPr>
              <w:t>work plan</w:t>
            </w:r>
            <w:r w:rsidR="001F7696" w:rsidRPr="008773F1">
              <w:rPr>
                <w:bCs/>
                <w:color w:val="auto"/>
                <w:sz w:val="20"/>
                <w:szCs w:val="20"/>
              </w:rPr>
              <w:t xml:space="preserve"> to implement the SDL Accounting Framework Improvement Strategy 2020-25, led by the MDBA and agreed by BOC Alternates</w:t>
            </w:r>
            <w:r w:rsidR="001F7696"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C1AE96B"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F79B80A" w14:textId="4FE2BA44"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6FD627AD" w14:textId="77777777" w:rsidTr="00DD584F">
        <w:tc>
          <w:tcPr>
            <w:tcW w:w="1560" w:type="dxa"/>
            <w:vMerge/>
            <w:tcBorders>
              <w:left w:val="single" w:sz="8" w:space="0" w:color="4F81BD"/>
              <w:right w:val="single" w:sz="8" w:space="0" w:color="4F81BD"/>
            </w:tcBorders>
            <w:shd w:val="clear" w:color="auto" w:fill="F2F2F2" w:themeFill="background1" w:themeFillShade="F2"/>
          </w:tcPr>
          <w:p w14:paraId="7BA4443F"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bottom w:val="single" w:sz="8" w:space="0" w:color="4F81BD"/>
              <w:right w:val="single" w:sz="8" w:space="0" w:color="4F81BD"/>
            </w:tcBorders>
            <w:shd w:val="clear" w:color="auto" w:fill="F2F2F2" w:themeFill="background1" w:themeFillShade="F2"/>
          </w:tcPr>
          <w:p w14:paraId="67DB2516"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2AB51A" w14:textId="5BBE2C09" w:rsidR="001F7696" w:rsidRPr="00DA6A97" w:rsidRDefault="00512BED" w:rsidP="001F7696">
            <w:pPr>
              <w:pStyle w:val="Tableformat"/>
              <w:rPr>
                <w:bCs/>
                <w:color w:val="auto"/>
                <w:sz w:val="20"/>
                <w:szCs w:val="20"/>
              </w:rPr>
            </w:pPr>
            <w:r>
              <w:rPr>
                <w:bCs/>
                <w:color w:val="auto"/>
                <w:sz w:val="20"/>
                <w:szCs w:val="20"/>
              </w:rPr>
              <w:t>5</w:t>
            </w:r>
            <w:r w:rsidR="001F7696" w:rsidRPr="008773F1">
              <w:rPr>
                <w:bCs/>
                <w:color w:val="auto"/>
                <w:sz w:val="20"/>
                <w:szCs w:val="20"/>
              </w:rPr>
              <w:t xml:space="preserve">.b Implement the SDL Accounting Framework Improvement Strategy </w:t>
            </w:r>
            <w:r w:rsidR="007C3B81" w:rsidRPr="008773F1">
              <w:rPr>
                <w:bCs/>
                <w:color w:val="auto"/>
                <w:sz w:val="20"/>
                <w:szCs w:val="20"/>
              </w:rPr>
              <w:t>work plan</w:t>
            </w:r>
            <w:r w:rsidR="001F7696" w:rsidRPr="008773F1">
              <w:rPr>
                <w:bCs/>
                <w:color w:val="auto"/>
                <w:sz w:val="20"/>
                <w:szCs w:val="20"/>
              </w:rPr>
              <w:t xml:space="preserve"> led by the MDBA, as relevant to the jurisdictio</w:t>
            </w:r>
            <w:r w:rsidR="001F7696">
              <w:rPr>
                <w:bCs/>
                <w:color w:val="auto"/>
                <w:sz w:val="20"/>
                <w:szCs w:val="20"/>
              </w:rPr>
              <w:t>n</w:t>
            </w:r>
            <w:r w:rsidR="001F7696"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7286CE"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AA56F1" w14:textId="640F9BF4"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1ADEFA1E" w14:textId="77777777" w:rsidTr="00DD584F">
        <w:tc>
          <w:tcPr>
            <w:tcW w:w="1560" w:type="dxa"/>
            <w:vMerge/>
            <w:tcBorders>
              <w:left w:val="single" w:sz="8" w:space="0" w:color="4F81BD"/>
              <w:right w:val="single" w:sz="8" w:space="0" w:color="4F81BD"/>
            </w:tcBorders>
            <w:shd w:val="clear" w:color="auto" w:fill="F2F2F2" w:themeFill="background1" w:themeFillShade="F2"/>
          </w:tcPr>
          <w:p w14:paraId="05BD06AC" w14:textId="77777777" w:rsidR="001F7696" w:rsidRPr="00DA6A97" w:rsidRDefault="001F7696" w:rsidP="001F7696">
            <w:pPr>
              <w:pStyle w:val="Tableformat"/>
              <w:rPr>
                <w:bCs/>
                <w:color w:val="auto"/>
                <w:sz w:val="20"/>
                <w:szCs w:val="20"/>
              </w:rPr>
            </w:pPr>
          </w:p>
        </w:tc>
        <w:tc>
          <w:tcPr>
            <w:tcW w:w="2551"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B59A79" w14:textId="5B0666D0" w:rsidR="001F7696" w:rsidRPr="00DA6A97" w:rsidRDefault="00512BED" w:rsidP="001F7696">
            <w:pPr>
              <w:pStyle w:val="Tableformat"/>
              <w:rPr>
                <w:bCs/>
                <w:color w:val="auto"/>
                <w:sz w:val="20"/>
                <w:szCs w:val="20"/>
              </w:rPr>
            </w:pPr>
            <w:r>
              <w:rPr>
                <w:bCs/>
                <w:color w:val="auto"/>
                <w:sz w:val="20"/>
                <w:szCs w:val="20"/>
              </w:rPr>
              <w:t>6</w:t>
            </w:r>
            <w:r w:rsidR="001F7696">
              <w:rPr>
                <w:bCs/>
                <w:color w:val="auto"/>
                <w:sz w:val="20"/>
                <w:szCs w:val="20"/>
              </w:rPr>
              <w:t xml:space="preserve">. </w:t>
            </w:r>
            <w:r w:rsidR="001F7696" w:rsidRPr="00DA6A97">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4F3F152" w14:textId="02D3C890" w:rsidR="001F7696" w:rsidRPr="00DA6A97" w:rsidRDefault="00512BED" w:rsidP="001F7696">
            <w:pPr>
              <w:pStyle w:val="Tableformat"/>
              <w:rPr>
                <w:bCs/>
                <w:color w:val="auto"/>
                <w:sz w:val="20"/>
                <w:szCs w:val="20"/>
              </w:rPr>
            </w:pPr>
            <w:r>
              <w:rPr>
                <w:bCs/>
                <w:color w:val="auto"/>
                <w:sz w:val="20"/>
                <w:szCs w:val="20"/>
              </w:rPr>
              <w:t>6</w:t>
            </w:r>
            <w:r w:rsidR="001F7696" w:rsidRPr="008773F1">
              <w:rPr>
                <w:bCs/>
                <w:color w:val="auto"/>
                <w:sz w:val="20"/>
                <w:szCs w:val="20"/>
              </w:rPr>
              <w:t>.a Submit amendments to WRPs to the Commonwealth for approval where state water planning frameworks in WRPs become inconsistent with the Basin Plan</w:t>
            </w:r>
            <w:r w:rsidR="001F7696"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7D96B5"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0B4EE9" w14:textId="177DBB19"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73D56BD4" w14:textId="77777777" w:rsidTr="00DD584F">
        <w:tc>
          <w:tcPr>
            <w:tcW w:w="1560" w:type="dxa"/>
            <w:vMerge/>
            <w:tcBorders>
              <w:left w:val="single" w:sz="8" w:space="0" w:color="4F81BD"/>
              <w:right w:val="single" w:sz="8" w:space="0" w:color="4F81BD"/>
            </w:tcBorders>
            <w:shd w:val="clear" w:color="auto" w:fill="F2F2F2" w:themeFill="background1" w:themeFillShade="F2"/>
          </w:tcPr>
          <w:p w14:paraId="772E1096" w14:textId="77777777" w:rsidR="001F7696" w:rsidRPr="00DA6A97" w:rsidRDefault="001F7696" w:rsidP="001F7696">
            <w:pPr>
              <w:pStyle w:val="Tableformat"/>
              <w:rPr>
                <w:bCs/>
                <w:color w:val="auto"/>
                <w:sz w:val="20"/>
                <w:szCs w:val="20"/>
              </w:rPr>
            </w:pPr>
          </w:p>
        </w:tc>
        <w:tc>
          <w:tcPr>
            <w:tcW w:w="2551" w:type="dxa"/>
            <w:gridSpan w:val="2"/>
            <w:vMerge w:val="restart"/>
            <w:tcBorders>
              <w:top w:val="single" w:sz="8" w:space="0" w:color="4F81BD"/>
              <w:left w:val="single" w:sz="8" w:space="0" w:color="4F81BD"/>
              <w:right w:val="single" w:sz="8" w:space="0" w:color="4F81BD"/>
            </w:tcBorders>
            <w:shd w:val="clear" w:color="auto" w:fill="F2F2F2" w:themeFill="background1" w:themeFillShade="F2"/>
          </w:tcPr>
          <w:p w14:paraId="3D3F3378" w14:textId="07246412" w:rsidR="001F7696" w:rsidRPr="00DA6A97" w:rsidRDefault="00512BED" w:rsidP="001F7696">
            <w:pPr>
              <w:pStyle w:val="Tableformat"/>
              <w:rPr>
                <w:bCs/>
                <w:color w:val="auto"/>
                <w:sz w:val="20"/>
                <w:szCs w:val="20"/>
              </w:rPr>
            </w:pPr>
            <w:r>
              <w:rPr>
                <w:bCs/>
                <w:color w:val="auto"/>
                <w:sz w:val="20"/>
                <w:szCs w:val="20"/>
              </w:rPr>
              <w:t>7</w:t>
            </w:r>
            <w:r w:rsidR="001F7696">
              <w:rPr>
                <w:bCs/>
                <w:color w:val="auto"/>
                <w:sz w:val="20"/>
                <w:szCs w:val="20"/>
              </w:rPr>
              <w:t xml:space="preserve">. </w:t>
            </w:r>
            <w:r w:rsidR="001F7696" w:rsidRPr="00DA6A97">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A64881" w14:textId="5E99AC51" w:rsidR="001F7696" w:rsidRPr="00DA6A97" w:rsidRDefault="00512BED" w:rsidP="001F7696">
            <w:pPr>
              <w:pStyle w:val="Tableformat"/>
              <w:rPr>
                <w:bCs/>
                <w:color w:val="auto"/>
                <w:sz w:val="20"/>
                <w:szCs w:val="20"/>
              </w:rPr>
            </w:pPr>
            <w:r>
              <w:rPr>
                <w:bCs/>
                <w:color w:val="auto"/>
                <w:sz w:val="20"/>
                <w:szCs w:val="20"/>
              </w:rPr>
              <w:t>7</w:t>
            </w:r>
            <w:r w:rsidR="001F7696">
              <w:rPr>
                <w:bCs/>
                <w:color w:val="auto"/>
                <w:sz w:val="20"/>
                <w:szCs w:val="20"/>
              </w:rPr>
              <w:t xml:space="preserve">.a </w:t>
            </w:r>
            <w:r w:rsidR="001F7696" w:rsidRPr="00DA6A97">
              <w:rPr>
                <w:bCs/>
                <w:color w:val="auto"/>
                <w:sz w:val="20"/>
                <w:szCs w:val="20"/>
              </w:rPr>
              <w:t>Deliver Basin Plan reporting under Schedule 12, including reporting under Matters 8, 12, 18 and 19</w:t>
            </w:r>
            <w:r w:rsidR="00B27F6C">
              <w:rPr>
                <w:bCs/>
                <w:color w:val="auto"/>
                <w:sz w:val="20"/>
                <w:szCs w:val="20"/>
              </w:rPr>
              <w:t xml:space="preserve"> and 21 (compliance with water resource plans, such as but not limited to Parts 4, 6, 14)</w:t>
            </w:r>
            <w:r w:rsidR="001F7696" w:rsidRPr="00DA6A97">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384265"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3580C1C" w14:textId="2A56E6B6" w:rsidR="001F7696" w:rsidRPr="00DA6A97" w:rsidRDefault="001F7696">
            <w:pPr>
              <w:pStyle w:val="Tableformat"/>
              <w:rPr>
                <w:bCs/>
                <w:color w:val="auto"/>
                <w:sz w:val="20"/>
                <w:szCs w:val="20"/>
              </w:rPr>
            </w:pPr>
            <w:r w:rsidRPr="005B5CC2">
              <w:rPr>
                <w:bCs/>
                <w:color w:val="auto"/>
                <w:sz w:val="20"/>
                <w:szCs w:val="20"/>
              </w:rPr>
              <w:t>$</w:t>
            </w:r>
            <w:r w:rsidR="00B64BD6">
              <w:rPr>
                <w:bCs/>
                <w:color w:val="auto"/>
                <w:sz w:val="20"/>
                <w:szCs w:val="20"/>
              </w:rPr>
              <w:t>60,255</w:t>
            </w:r>
          </w:p>
        </w:tc>
      </w:tr>
      <w:tr w:rsidR="001F7696" w:rsidRPr="00DA6A97" w14:paraId="597EBFC9" w14:textId="77777777" w:rsidTr="00DD584F">
        <w:tc>
          <w:tcPr>
            <w:tcW w:w="1560" w:type="dxa"/>
            <w:vMerge/>
            <w:tcBorders>
              <w:left w:val="single" w:sz="8" w:space="0" w:color="4F81BD"/>
              <w:right w:val="single" w:sz="8" w:space="0" w:color="4F81BD"/>
            </w:tcBorders>
            <w:shd w:val="clear" w:color="auto" w:fill="F2F2F2" w:themeFill="background1" w:themeFillShade="F2"/>
          </w:tcPr>
          <w:p w14:paraId="5D96A62A"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bottom w:val="single" w:sz="8" w:space="0" w:color="4F81BD"/>
              <w:right w:val="single" w:sz="8" w:space="0" w:color="4F81BD"/>
            </w:tcBorders>
            <w:shd w:val="clear" w:color="auto" w:fill="F2F2F2" w:themeFill="background1" w:themeFillShade="F2"/>
          </w:tcPr>
          <w:p w14:paraId="777186BA"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4A75DF" w14:textId="6BF9E223" w:rsidR="001F7696" w:rsidRPr="00DA6A97" w:rsidRDefault="00512BED" w:rsidP="001F7696">
            <w:pPr>
              <w:pStyle w:val="Tableformat"/>
              <w:rPr>
                <w:bCs/>
                <w:color w:val="auto"/>
                <w:sz w:val="20"/>
                <w:szCs w:val="20"/>
              </w:rPr>
            </w:pPr>
            <w:r>
              <w:rPr>
                <w:bCs/>
                <w:color w:val="auto"/>
                <w:sz w:val="20"/>
                <w:szCs w:val="20"/>
              </w:rPr>
              <w:t>7</w:t>
            </w:r>
            <w:r w:rsidR="001F7696">
              <w:rPr>
                <w:bCs/>
                <w:color w:val="auto"/>
                <w:sz w:val="20"/>
                <w:szCs w:val="20"/>
              </w:rPr>
              <w:t xml:space="preserve">.b </w:t>
            </w:r>
            <w:r w:rsidR="001F7696" w:rsidRPr="00DA6A97">
              <w:rPr>
                <w:bCs/>
                <w:color w:val="auto"/>
                <w:sz w:val="20"/>
                <w:szCs w:val="20"/>
              </w:rPr>
              <w:t>Deliver on</w:t>
            </w:r>
            <w:r w:rsidR="001F7696">
              <w:rPr>
                <w:bCs/>
                <w:color w:val="auto"/>
                <w:sz w:val="20"/>
                <w:szCs w:val="20"/>
              </w:rPr>
              <w:t xml:space="preserve"> agreed</w:t>
            </w:r>
            <w:r w:rsidR="001F7696" w:rsidRPr="00DA6A97">
              <w:rPr>
                <w:bCs/>
                <w:color w:val="auto"/>
                <w:sz w:val="20"/>
                <w:szCs w:val="20"/>
              </w:rPr>
              <w:t xml:space="preserve"> strategic activities under the Basin Monitoring Evaluation and Reporting Working Group annual </w:t>
            </w:r>
            <w:r w:rsidR="007C3B81" w:rsidRPr="00DA6A97">
              <w:rPr>
                <w:bCs/>
                <w:color w:val="auto"/>
                <w:sz w:val="20"/>
                <w:szCs w:val="20"/>
              </w:rPr>
              <w:t>work plan</w:t>
            </w:r>
            <w:r w:rsidR="001F7696" w:rsidRPr="00DA6A97">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98BFDC"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051837" w14:textId="4ABF690E" w:rsidR="001F7696" w:rsidRPr="00DA6A97" w:rsidRDefault="001F7696">
            <w:pPr>
              <w:pStyle w:val="Tableformat"/>
              <w:rPr>
                <w:bCs/>
                <w:color w:val="auto"/>
                <w:sz w:val="20"/>
                <w:szCs w:val="20"/>
              </w:rPr>
            </w:pPr>
            <w:r w:rsidRPr="005B5CC2">
              <w:rPr>
                <w:bCs/>
                <w:color w:val="auto"/>
                <w:sz w:val="20"/>
                <w:szCs w:val="20"/>
              </w:rPr>
              <w:t>$</w:t>
            </w:r>
            <w:r w:rsidR="00B64BD6">
              <w:rPr>
                <w:bCs/>
                <w:color w:val="auto"/>
                <w:sz w:val="20"/>
                <w:szCs w:val="20"/>
              </w:rPr>
              <w:t>60,255</w:t>
            </w:r>
          </w:p>
        </w:tc>
      </w:tr>
      <w:tr w:rsidR="001F7696" w:rsidRPr="0091710A" w14:paraId="3AD7F31B" w14:textId="77777777" w:rsidTr="00DD584F">
        <w:tc>
          <w:tcPr>
            <w:tcW w:w="1572" w:type="dxa"/>
            <w:gridSpan w:val="2"/>
            <w:vMerge w:val="restart"/>
            <w:tcBorders>
              <w:top w:val="single" w:sz="8" w:space="0" w:color="4F81BD"/>
              <w:left w:val="single" w:sz="8" w:space="0" w:color="4F81BD"/>
              <w:right w:val="single" w:sz="8" w:space="0" w:color="4F81BD"/>
            </w:tcBorders>
            <w:shd w:val="clear" w:color="auto" w:fill="F2F2F2" w:themeFill="background1" w:themeFillShade="F2"/>
          </w:tcPr>
          <w:p w14:paraId="4E331DCF" w14:textId="77777777" w:rsidR="001F7696" w:rsidRPr="00DA6A97" w:rsidRDefault="001F7696" w:rsidP="001F7696">
            <w:pPr>
              <w:pStyle w:val="Tableformat"/>
              <w:rPr>
                <w:bCs/>
                <w:color w:val="auto"/>
                <w:sz w:val="20"/>
                <w:szCs w:val="20"/>
              </w:rPr>
            </w:pPr>
            <w:r w:rsidRPr="00DA6A97">
              <w:rPr>
                <w:bCs/>
                <w:color w:val="auto"/>
                <w:sz w:val="20"/>
                <w:szCs w:val="20"/>
              </w:rPr>
              <w:t>Water market improvement</w:t>
            </w:r>
          </w:p>
        </w:tc>
        <w:tc>
          <w:tcPr>
            <w:tcW w:w="253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0B5EC0" w14:textId="528C41F8" w:rsidR="001F7696" w:rsidRPr="00DA6A97" w:rsidRDefault="00512BED" w:rsidP="001F7696">
            <w:pPr>
              <w:pStyle w:val="Tableformat"/>
              <w:rPr>
                <w:bCs/>
                <w:color w:val="auto"/>
                <w:sz w:val="20"/>
                <w:szCs w:val="20"/>
              </w:rPr>
            </w:pPr>
            <w:r>
              <w:rPr>
                <w:bCs/>
                <w:color w:val="auto"/>
                <w:sz w:val="20"/>
                <w:szCs w:val="20"/>
              </w:rPr>
              <w:t>8</w:t>
            </w:r>
            <w:r w:rsidR="001F7696">
              <w:rPr>
                <w:bCs/>
                <w:color w:val="auto"/>
                <w:sz w:val="20"/>
                <w:szCs w:val="20"/>
              </w:rPr>
              <w:t xml:space="preserve">. </w:t>
            </w:r>
            <w:r w:rsidR="001F7696" w:rsidRPr="00DA6A97">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3EA957" w14:textId="5093D1CE" w:rsidR="001F7696" w:rsidRPr="00DA6A97" w:rsidRDefault="00512BED">
            <w:pPr>
              <w:pStyle w:val="Tableformat"/>
              <w:rPr>
                <w:bCs/>
                <w:color w:val="auto"/>
                <w:sz w:val="20"/>
                <w:szCs w:val="20"/>
              </w:rPr>
            </w:pPr>
            <w:r>
              <w:rPr>
                <w:bCs/>
                <w:color w:val="auto"/>
                <w:sz w:val="20"/>
                <w:szCs w:val="20"/>
              </w:rPr>
              <w:t>8</w:t>
            </w:r>
            <w:r w:rsidR="001F7696" w:rsidRPr="008773F1">
              <w:rPr>
                <w:bCs/>
                <w:color w:val="auto"/>
                <w:sz w:val="20"/>
                <w:szCs w:val="20"/>
              </w:rPr>
              <w:t>.a Contribute to the development of a road map for Murray-Darling Basin water market reform in response to the ACCC repor</w:t>
            </w:r>
            <w:r w:rsidR="001F7696">
              <w:rPr>
                <w:bCs/>
                <w:color w:val="auto"/>
                <w:sz w:val="20"/>
                <w:szCs w:val="20"/>
              </w:rPr>
              <w:t>t</w:t>
            </w:r>
            <w:r w:rsidR="001F7696"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F35449"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F53AA7" w14:textId="63155AD1"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91710A" w14:paraId="4E23582D" w14:textId="77777777" w:rsidTr="00DD584F">
        <w:tc>
          <w:tcPr>
            <w:tcW w:w="1572" w:type="dxa"/>
            <w:gridSpan w:val="2"/>
            <w:vMerge/>
            <w:tcBorders>
              <w:left w:val="single" w:sz="8" w:space="0" w:color="4F81BD"/>
              <w:bottom w:val="single" w:sz="8" w:space="0" w:color="4F81BD"/>
              <w:right w:val="single" w:sz="8" w:space="0" w:color="4F81BD"/>
            </w:tcBorders>
            <w:shd w:val="clear" w:color="auto" w:fill="F2F2F2" w:themeFill="background1" w:themeFillShade="F2"/>
          </w:tcPr>
          <w:p w14:paraId="099635DE" w14:textId="77777777" w:rsidR="001F7696" w:rsidRPr="00DA6A97" w:rsidRDefault="001F7696" w:rsidP="001F7696">
            <w:pPr>
              <w:pStyle w:val="Tableformat"/>
              <w:rPr>
                <w:bCs/>
                <w:color w:val="auto"/>
                <w:sz w:val="20"/>
                <w:szCs w:val="20"/>
              </w:rPr>
            </w:pPr>
          </w:p>
        </w:tc>
        <w:tc>
          <w:tcPr>
            <w:tcW w:w="253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29D3E11" w14:textId="73A9C965" w:rsidR="001F7696" w:rsidRPr="00DA6A97" w:rsidRDefault="00512BED">
            <w:pPr>
              <w:pStyle w:val="Tableformat"/>
              <w:rPr>
                <w:bCs/>
                <w:color w:val="auto"/>
                <w:sz w:val="20"/>
                <w:szCs w:val="20"/>
              </w:rPr>
            </w:pPr>
            <w:r>
              <w:rPr>
                <w:bCs/>
                <w:color w:val="auto"/>
                <w:sz w:val="20"/>
                <w:szCs w:val="20"/>
              </w:rPr>
              <w:t>9</w:t>
            </w:r>
            <w:r w:rsidR="001F7696">
              <w:rPr>
                <w:bCs/>
                <w:color w:val="auto"/>
                <w:sz w:val="20"/>
                <w:szCs w:val="20"/>
              </w:rPr>
              <w:t xml:space="preserve">. </w:t>
            </w:r>
            <w:r w:rsidR="001F7696" w:rsidRPr="00DA6A97">
              <w:rPr>
                <w:bCs/>
                <w:color w:val="auto"/>
                <w:sz w:val="20"/>
                <w:szCs w:val="20"/>
              </w:rPr>
              <w:t>Establish two-way entitlement and allocation trade between the ACT and NSW, to ensure protection of future environmental water downstream from the ACT.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6309C3" w14:textId="47422EFA" w:rsidR="001F7696" w:rsidRPr="00DA6A97" w:rsidRDefault="00512BED">
            <w:pPr>
              <w:pStyle w:val="Tableformat"/>
              <w:rPr>
                <w:bCs/>
                <w:color w:val="auto"/>
                <w:sz w:val="20"/>
                <w:szCs w:val="20"/>
              </w:rPr>
            </w:pPr>
            <w:r>
              <w:rPr>
                <w:bCs/>
                <w:color w:val="auto"/>
                <w:sz w:val="20"/>
                <w:szCs w:val="20"/>
              </w:rPr>
              <w:t>9</w:t>
            </w:r>
            <w:r w:rsidR="001F7696">
              <w:rPr>
                <w:bCs/>
                <w:color w:val="auto"/>
                <w:sz w:val="20"/>
                <w:szCs w:val="20"/>
              </w:rPr>
              <w:t>.</w:t>
            </w:r>
            <w:r w:rsidR="0051346F">
              <w:rPr>
                <w:bCs/>
                <w:color w:val="auto"/>
                <w:sz w:val="20"/>
                <w:szCs w:val="20"/>
              </w:rPr>
              <w:t xml:space="preserve">a </w:t>
            </w:r>
            <w:r w:rsidR="001F7696" w:rsidRPr="00DA6A97">
              <w:rPr>
                <w:bCs/>
                <w:color w:val="auto"/>
                <w:sz w:val="20"/>
                <w:szCs w:val="20"/>
              </w:rPr>
              <w:t xml:space="preserve">Implement the agreed work plan to establish a transfer and trade mechanism with </w:t>
            </w:r>
            <w:r w:rsidR="001F7696">
              <w:rPr>
                <w:bCs/>
                <w:color w:val="auto"/>
                <w:sz w:val="20"/>
                <w:szCs w:val="20"/>
              </w:rPr>
              <w:t>NSW</w:t>
            </w:r>
            <w:r w:rsidR="001F7696" w:rsidRPr="00DA6A97">
              <w:rPr>
                <w:bCs/>
                <w:color w:val="auto"/>
                <w:sz w:val="20"/>
                <w:szCs w:val="20"/>
              </w:rPr>
              <w:t>, noting that establishment of this mechanism is to be in accordance with the principles agreed on 01/09/2021.</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7A53C9"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ED069D" w14:textId="34C5B90A"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5C538BFD" w14:textId="77777777" w:rsidTr="00DD584F">
        <w:tc>
          <w:tcPr>
            <w:tcW w:w="1560" w:type="dxa"/>
            <w:vMerge w:val="restart"/>
            <w:tcBorders>
              <w:left w:val="single" w:sz="8" w:space="0" w:color="4F81BD"/>
              <w:right w:val="single" w:sz="8" w:space="0" w:color="4F81BD"/>
            </w:tcBorders>
            <w:shd w:val="clear" w:color="auto" w:fill="F2F2F2" w:themeFill="background1" w:themeFillShade="F2"/>
          </w:tcPr>
          <w:p w14:paraId="23664BBC" w14:textId="0F7BDD83" w:rsidR="001F7696" w:rsidRPr="00DA6A97" w:rsidRDefault="001F7696" w:rsidP="001F7696">
            <w:pPr>
              <w:pStyle w:val="Tableformat"/>
              <w:rPr>
                <w:bCs/>
                <w:color w:val="auto"/>
                <w:sz w:val="20"/>
                <w:szCs w:val="20"/>
              </w:rPr>
            </w:pPr>
            <w:r w:rsidRPr="00DA6A97">
              <w:rPr>
                <w:bCs/>
                <w:color w:val="auto"/>
                <w:sz w:val="20"/>
                <w:szCs w:val="20"/>
              </w:rPr>
              <w:t>Improved compliance and reporting</w:t>
            </w:r>
          </w:p>
        </w:tc>
        <w:tc>
          <w:tcPr>
            <w:tcW w:w="2551" w:type="dxa"/>
            <w:gridSpan w:val="2"/>
            <w:tcBorders>
              <w:top w:val="single" w:sz="8" w:space="0" w:color="4F81BD"/>
              <w:left w:val="single" w:sz="8" w:space="0" w:color="4F81BD"/>
              <w:right w:val="single" w:sz="8" w:space="0" w:color="4F81BD"/>
            </w:tcBorders>
            <w:shd w:val="clear" w:color="auto" w:fill="F2F2F2" w:themeFill="background1" w:themeFillShade="F2"/>
          </w:tcPr>
          <w:p w14:paraId="26744271" w14:textId="68FD6938" w:rsidR="001F7696" w:rsidRDefault="00512BED">
            <w:pPr>
              <w:pStyle w:val="Tableformat"/>
              <w:rPr>
                <w:bCs/>
                <w:color w:val="auto"/>
                <w:sz w:val="20"/>
                <w:szCs w:val="20"/>
              </w:rPr>
            </w:pPr>
            <w:r>
              <w:rPr>
                <w:bCs/>
                <w:color w:val="auto"/>
                <w:sz w:val="20"/>
                <w:szCs w:val="20"/>
              </w:rPr>
              <w:t>10</w:t>
            </w:r>
            <w:r w:rsidR="001F7696" w:rsidRPr="001F7696">
              <w:rPr>
                <w:bCs/>
                <w:color w:val="auto"/>
                <w:sz w:val="20"/>
                <w:szCs w:val="20"/>
              </w:rPr>
              <w:t>. Implement revised Metrological Assurance Framework (MAF2)</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25A60B" w14:textId="61CA492A" w:rsidR="001F7696" w:rsidRPr="008773F1" w:rsidRDefault="00512BED">
            <w:pPr>
              <w:pStyle w:val="Tableformat"/>
              <w:rPr>
                <w:bCs/>
                <w:color w:val="auto"/>
                <w:sz w:val="20"/>
                <w:szCs w:val="20"/>
              </w:rPr>
            </w:pPr>
            <w:r>
              <w:rPr>
                <w:bCs/>
                <w:color w:val="auto"/>
                <w:sz w:val="20"/>
                <w:szCs w:val="20"/>
              </w:rPr>
              <w:t>10</w:t>
            </w:r>
            <w:r w:rsidR="001F7696" w:rsidRPr="001F7696">
              <w:rPr>
                <w:bCs/>
                <w:color w:val="auto"/>
                <w:sz w:val="20"/>
                <w:szCs w:val="20"/>
              </w:rPr>
              <w:t>.a Develop an implementation plan that integrates MAF2 requirements into the state’s metering compliance plan/policy.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5FC84B" w14:textId="28B484FD" w:rsidR="001F7696"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93A5FD" w14:textId="3F34AD20" w:rsidR="001F7696" w:rsidRPr="005B5CC2"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62099988" w14:textId="77777777" w:rsidTr="00DD584F">
        <w:tc>
          <w:tcPr>
            <w:tcW w:w="1560" w:type="dxa"/>
            <w:vMerge/>
            <w:tcBorders>
              <w:left w:val="single" w:sz="8" w:space="0" w:color="4F81BD"/>
              <w:right w:val="single" w:sz="8" w:space="0" w:color="4F81BD"/>
            </w:tcBorders>
            <w:shd w:val="clear" w:color="auto" w:fill="F2F2F2" w:themeFill="background1" w:themeFillShade="F2"/>
          </w:tcPr>
          <w:p w14:paraId="0C07BF06" w14:textId="3E5078B4" w:rsidR="001F7696" w:rsidRPr="00DA6A97" w:rsidRDefault="001F7696" w:rsidP="001F7696">
            <w:pPr>
              <w:pStyle w:val="Tableformat"/>
              <w:rPr>
                <w:bCs/>
                <w:color w:val="auto"/>
                <w:sz w:val="20"/>
                <w:szCs w:val="20"/>
              </w:rPr>
            </w:pPr>
          </w:p>
        </w:tc>
        <w:tc>
          <w:tcPr>
            <w:tcW w:w="2551" w:type="dxa"/>
            <w:gridSpan w:val="2"/>
            <w:vMerge w:val="restart"/>
            <w:tcBorders>
              <w:top w:val="single" w:sz="8" w:space="0" w:color="4F81BD"/>
              <w:left w:val="single" w:sz="8" w:space="0" w:color="4F81BD"/>
              <w:right w:val="single" w:sz="8" w:space="0" w:color="4F81BD"/>
            </w:tcBorders>
            <w:shd w:val="clear" w:color="auto" w:fill="F2F2F2" w:themeFill="background1" w:themeFillShade="F2"/>
          </w:tcPr>
          <w:p w14:paraId="2037FBFC" w14:textId="446682B5" w:rsidR="001F7696" w:rsidRPr="00DA6A97" w:rsidRDefault="00512BED">
            <w:pPr>
              <w:pStyle w:val="Tableformat"/>
              <w:rPr>
                <w:bCs/>
                <w:color w:val="auto"/>
                <w:sz w:val="20"/>
                <w:szCs w:val="20"/>
              </w:rPr>
            </w:pPr>
            <w:r>
              <w:rPr>
                <w:bCs/>
                <w:color w:val="auto"/>
                <w:sz w:val="20"/>
                <w:szCs w:val="20"/>
              </w:rPr>
              <w:t>11</w:t>
            </w:r>
            <w:r w:rsidR="001F7696">
              <w:rPr>
                <w:bCs/>
                <w:color w:val="auto"/>
                <w:sz w:val="20"/>
                <w:szCs w:val="20"/>
              </w:rPr>
              <w:t xml:space="preserve">. </w:t>
            </w:r>
            <w:r w:rsidR="001F7696" w:rsidRPr="004D3DF8">
              <w:rPr>
                <w:bCs/>
                <w:color w:val="auto"/>
                <w:sz w:val="20"/>
                <w:szCs w:val="20"/>
              </w:rPr>
              <w:t>Work with the Inspector General of Water Compliance (IGWC) to provide clear compliance arrangements and reporting in the Murray</w:t>
            </w:r>
            <w:r w:rsidR="001F7696">
              <w:rPr>
                <w:bCs/>
                <w:color w:val="auto"/>
                <w:sz w:val="20"/>
                <w:szCs w:val="20"/>
              </w:rPr>
              <w:t>–</w:t>
            </w:r>
            <w:r w:rsidR="001F7696" w:rsidRPr="004D3DF8">
              <w:rPr>
                <w:bCs/>
                <w:color w:val="auto"/>
                <w:sz w:val="20"/>
                <w:szCs w:val="20"/>
              </w:rPr>
              <w:t>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CAABDF" w14:textId="109CA505" w:rsidR="001F7696" w:rsidRPr="00DA6A97" w:rsidRDefault="00512BED">
            <w:pPr>
              <w:pStyle w:val="Tableformat"/>
              <w:rPr>
                <w:bCs/>
                <w:color w:val="auto"/>
                <w:sz w:val="20"/>
                <w:szCs w:val="20"/>
              </w:rPr>
            </w:pPr>
            <w:r>
              <w:rPr>
                <w:bCs/>
                <w:color w:val="auto"/>
                <w:sz w:val="20"/>
                <w:szCs w:val="20"/>
              </w:rPr>
              <w:t>11</w:t>
            </w:r>
            <w:r w:rsidR="001F7696" w:rsidRPr="008773F1">
              <w:rPr>
                <w:bCs/>
                <w:color w:val="auto"/>
                <w:sz w:val="20"/>
                <w:szCs w:val="20"/>
              </w:rPr>
              <w:t>.a Contribute to the establishment of MoUs and/or protocols with the IGWC where relevant to the jurisdiction</w:t>
            </w:r>
            <w:r w:rsidR="001F7696"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303BC3"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71990F" w14:textId="01E56204"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735F42AF" w14:textId="77777777" w:rsidTr="00DD584F">
        <w:tc>
          <w:tcPr>
            <w:tcW w:w="1560" w:type="dxa"/>
            <w:vMerge/>
            <w:tcBorders>
              <w:left w:val="single" w:sz="8" w:space="0" w:color="4F81BD"/>
              <w:right w:val="single" w:sz="8" w:space="0" w:color="4F81BD"/>
            </w:tcBorders>
            <w:shd w:val="clear" w:color="auto" w:fill="F2F2F2" w:themeFill="background1" w:themeFillShade="F2"/>
          </w:tcPr>
          <w:p w14:paraId="2553E261"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right w:val="single" w:sz="8" w:space="0" w:color="4F81BD"/>
            </w:tcBorders>
            <w:shd w:val="clear" w:color="auto" w:fill="F2F2F2" w:themeFill="background1" w:themeFillShade="F2"/>
          </w:tcPr>
          <w:p w14:paraId="1E207344"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F2AAE1" w14:textId="5B1A0378" w:rsidR="001F7696" w:rsidRPr="00DA6A97" w:rsidRDefault="00512BED">
            <w:pPr>
              <w:pStyle w:val="Tableformat"/>
              <w:rPr>
                <w:bCs/>
                <w:color w:val="auto"/>
                <w:sz w:val="20"/>
                <w:szCs w:val="20"/>
              </w:rPr>
            </w:pPr>
            <w:r>
              <w:rPr>
                <w:bCs/>
                <w:color w:val="auto"/>
                <w:sz w:val="20"/>
                <w:szCs w:val="20"/>
              </w:rPr>
              <w:t>11</w:t>
            </w:r>
            <w:r w:rsidR="001F7696" w:rsidRPr="008773F1">
              <w:rPr>
                <w:bCs/>
                <w:color w:val="auto"/>
                <w:sz w:val="20"/>
                <w:szCs w:val="20"/>
              </w:rPr>
              <w:t>.b Provide input to the IGWC on the development of standards and guidelines</w:t>
            </w:r>
            <w:r w:rsidR="001F7696" w:rsidRPr="00DA6A97">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9255E6"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F6426E" w14:textId="06106F82"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14:paraId="7277B362" w14:textId="77777777" w:rsidTr="00DD584F">
        <w:tc>
          <w:tcPr>
            <w:tcW w:w="1560" w:type="dxa"/>
            <w:vMerge/>
            <w:tcBorders>
              <w:left w:val="single" w:sz="8" w:space="0" w:color="4F81BD"/>
              <w:right w:val="single" w:sz="8" w:space="0" w:color="4F81BD"/>
            </w:tcBorders>
            <w:shd w:val="clear" w:color="auto" w:fill="F2F2F2" w:themeFill="background1" w:themeFillShade="F2"/>
          </w:tcPr>
          <w:p w14:paraId="288E33C7"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right w:val="single" w:sz="8" w:space="0" w:color="4F81BD"/>
            </w:tcBorders>
            <w:shd w:val="clear" w:color="auto" w:fill="F2F2F2" w:themeFill="background1" w:themeFillShade="F2"/>
          </w:tcPr>
          <w:p w14:paraId="72652B09"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30FEFE" w14:textId="3914959E" w:rsidR="001F7696" w:rsidRPr="00DA6A97" w:rsidRDefault="00512BED">
            <w:pPr>
              <w:pStyle w:val="Tableformat"/>
              <w:rPr>
                <w:bCs/>
                <w:color w:val="auto"/>
                <w:sz w:val="20"/>
                <w:szCs w:val="20"/>
              </w:rPr>
            </w:pPr>
            <w:r>
              <w:rPr>
                <w:bCs/>
                <w:color w:val="auto"/>
                <w:sz w:val="20"/>
                <w:szCs w:val="20"/>
              </w:rPr>
              <w:t>11</w:t>
            </w:r>
            <w:r w:rsidR="001F7696" w:rsidRPr="008773F1">
              <w:rPr>
                <w:bCs/>
                <w:color w:val="auto"/>
                <w:sz w:val="20"/>
                <w:szCs w:val="20"/>
              </w:rPr>
              <w:t>.c Report to the IGWC against MAF2 Chapter 15 at least annually or in accordance with IGWC guidelines</w:t>
            </w:r>
            <w:r w:rsidR="001F7696" w:rsidRPr="004D3DF8">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B32087" w14:textId="77777777" w:rsidR="001F7696"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F3B51A" w14:textId="20048FF4" w:rsidR="001F7696"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14:paraId="7B423330" w14:textId="77777777" w:rsidTr="00DD584F">
        <w:tc>
          <w:tcPr>
            <w:tcW w:w="1560" w:type="dxa"/>
            <w:vMerge/>
            <w:tcBorders>
              <w:left w:val="single" w:sz="8" w:space="0" w:color="4F81BD"/>
              <w:right w:val="single" w:sz="8" w:space="0" w:color="4F81BD"/>
            </w:tcBorders>
            <w:shd w:val="clear" w:color="auto" w:fill="F2F2F2" w:themeFill="background1" w:themeFillShade="F2"/>
          </w:tcPr>
          <w:p w14:paraId="7529AA10" w14:textId="77777777" w:rsidR="001F7696" w:rsidRPr="00DA6A97" w:rsidRDefault="001F7696" w:rsidP="001F7696">
            <w:pPr>
              <w:pStyle w:val="Tableformat"/>
              <w:rPr>
                <w:bCs/>
                <w:color w:val="auto"/>
                <w:sz w:val="20"/>
                <w:szCs w:val="20"/>
              </w:rPr>
            </w:pPr>
          </w:p>
        </w:tc>
        <w:tc>
          <w:tcPr>
            <w:tcW w:w="2551" w:type="dxa"/>
            <w:gridSpan w:val="2"/>
            <w:vMerge/>
            <w:tcBorders>
              <w:left w:val="single" w:sz="8" w:space="0" w:color="4F81BD"/>
              <w:bottom w:val="single" w:sz="8" w:space="0" w:color="4F81BD"/>
              <w:right w:val="single" w:sz="8" w:space="0" w:color="4F81BD"/>
            </w:tcBorders>
            <w:shd w:val="clear" w:color="auto" w:fill="F2F2F2" w:themeFill="background1" w:themeFillShade="F2"/>
          </w:tcPr>
          <w:p w14:paraId="5A6E2491" w14:textId="77777777" w:rsidR="001F7696" w:rsidRPr="00DA6A97" w:rsidRDefault="001F7696" w:rsidP="001F7696">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E7DB926" w14:textId="6D36F9EC" w:rsidR="001F7696" w:rsidRPr="008773F1" w:rsidRDefault="00512BED">
            <w:pPr>
              <w:pStyle w:val="Tableformat"/>
              <w:rPr>
                <w:bCs/>
                <w:color w:val="auto"/>
                <w:sz w:val="20"/>
                <w:szCs w:val="20"/>
              </w:rPr>
            </w:pPr>
            <w:r>
              <w:rPr>
                <w:bCs/>
                <w:color w:val="auto"/>
                <w:sz w:val="20"/>
                <w:szCs w:val="20"/>
              </w:rPr>
              <w:t>11</w:t>
            </w:r>
            <w:r w:rsidR="001F7696" w:rsidRPr="008773F1">
              <w:rPr>
                <w:bCs/>
                <w:color w:val="auto"/>
                <w:sz w:val="20"/>
                <w:szCs w:val="20"/>
              </w:rPr>
              <w:t>.d 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34C4EA" w14:textId="77777777" w:rsidR="001F7696"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B73243E" w14:textId="7D296214" w:rsidR="001F7696"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41702630" w14:textId="77777777" w:rsidTr="00DD584F">
        <w:tc>
          <w:tcPr>
            <w:tcW w:w="1560" w:type="dxa"/>
            <w:vMerge/>
            <w:tcBorders>
              <w:left w:val="single" w:sz="8" w:space="0" w:color="4F81BD"/>
              <w:right w:val="single" w:sz="8" w:space="0" w:color="4F81BD"/>
            </w:tcBorders>
            <w:shd w:val="clear" w:color="auto" w:fill="F2F2F2" w:themeFill="background1" w:themeFillShade="F2"/>
          </w:tcPr>
          <w:p w14:paraId="35B2C262" w14:textId="77777777" w:rsidR="001F7696" w:rsidRPr="00DA6A97" w:rsidRDefault="001F7696" w:rsidP="001F7696">
            <w:pPr>
              <w:pStyle w:val="Tableformat"/>
              <w:rPr>
                <w:bCs/>
                <w:color w:val="auto"/>
                <w:sz w:val="20"/>
                <w:szCs w:val="20"/>
              </w:rPr>
            </w:pPr>
          </w:p>
        </w:tc>
        <w:tc>
          <w:tcPr>
            <w:tcW w:w="2551" w:type="dxa"/>
            <w:gridSpan w:val="2"/>
            <w:tcBorders>
              <w:top w:val="single" w:sz="8" w:space="0" w:color="4F81BD"/>
              <w:left w:val="single" w:sz="8" w:space="0" w:color="4F81BD"/>
              <w:right w:val="single" w:sz="8" w:space="0" w:color="4F81BD"/>
            </w:tcBorders>
            <w:shd w:val="clear" w:color="auto" w:fill="F2F2F2" w:themeFill="background1" w:themeFillShade="F2"/>
          </w:tcPr>
          <w:p w14:paraId="25D7EC84" w14:textId="0A88C306" w:rsidR="001F7696" w:rsidRPr="00DA6A97" w:rsidRDefault="00512BED">
            <w:pPr>
              <w:pStyle w:val="Tableformat"/>
              <w:rPr>
                <w:bCs/>
                <w:color w:val="auto"/>
                <w:sz w:val="20"/>
                <w:szCs w:val="20"/>
              </w:rPr>
            </w:pPr>
            <w:r>
              <w:rPr>
                <w:bCs/>
                <w:color w:val="auto"/>
                <w:sz w:val="20"/>
                <w:szCs w:val="20"/>
              </w:rPr>
              <w:t>12</w:t>
            </w:r>
            <w:r w:rsidR="001F7696">
              <w:rPr>
                <w:bCs/>
                <w:color w:val="auto"/>
                <w:sz w:val="20"/>
                <w:szCs w:val="20"/>
              </w:rPr>
              <w:t xml:space="preserve">. </w:t>
            </w:r>
            <w:r w:rsidR="001F7696" w:rsidRPr="00DA6A97">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993F4B" w14:textId="4AD1A582" w:rsidR="001F7696" w:rsidRPr="00DA6A97" w:rsidRDefault="00512BED">
            <w:pPr>
              <w:pStyle w:val="Tableformat"/>
              <w:rPr>
                <w:bCs/>
                <w:color w:val="auto"/>
                <w:sz w:val="20"/>
                <w:szCs w:val="20"/>
              </w:rPr>
            </w:pPr>
            <w:r>
              <w:rPr>
                <w:bCs/>
                <w:color w:val="auto"/>
                <w:sz w:val="20"/>
                <w:szCs w:val="20"/>
              </w:rPr>
              <w:t>12</w:t>
            </w:r>
            <w:r w:rsidR="001F7696" w:rsidRPr="0085140F">
              <w:rPr>
                <w:bCs/>
                <w:color w:val="auto"/>
                <w:sz w:val="20"/>
                <w:szCs w:val="20"/>
              </w:rPr>
              <w:t>.a Develop a set of metrics to be used to communicate and report on water compliance performance and effort across the Basin</w:t>
            </w:r>
            <w:r w:rsidR="001F7696" w:rsidRPr="007F24DE">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1E1B0D"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00B6C4" w14:textId="5A29F358" w:rsidR="001F7696" w:rsidRPr="00DA6A97" w:rsidRDefault="001F7696" w:rsidP="001F7696">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14:paraId="5A62139D" w14:textId="77777777" w:rsidTr="00DD584F">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0675E6FE" w14:textId="77777777" w:rsidR="001F7696" w:rsidRPr="00DA6A97" w:rsidRDefault="001F7696" w:rsidP="001F7696">
            <w:pPr>
              <w:pStyle w:val="Tableformat"/>
              <w:rPr>
                <w:bCs/>
                <w:color w:val="auto"/>
                <w:sz w:val="20"/>
                <w:szCs w:val="20"/>
              </w:rPr>
            </w:pPr>
          </w:p>
        </w:tc>
        <w:tc>
          <w:tcPr>
            <w:tcW w:w="2551"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42B52CC" w14:textId="32C43861" w:rsidR="001F7696" w:rsidRPr="00DA6A97" w:rsidRDefault="00512BED">
            <w:pPr>
              <w:pStyle w:val="Tableformat"/>
              <w:rPr>
                <w:bCs/>
                <w:color w:val="auto"/>
                <w:sz w:val="20"/>
                <w:szCs w:val="20"/>
              </w:rPr>
            </w:pPr>
            <w:r>
              <w:rPr>
                <w:bCs/>
                <w:color w:val="auto"/>
                <w:sz w:val="20"/>
                <w:szCs w:val="20"/>
              </w:rPr>
              <w:t>13</w:t>
            </w:r>
            <w:r w:rsidR="001F7696">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14429D" w14:textId="17FF4DC8" w:rsidR="001F7696" w:rsidRPr="00DA6A97" w:rsidRDefault="00512BED">
            <w:pPr>
              <w:pStyle w:val="Tableformat"/>
              <w:rPr>
                <w:bCs/>
                <w:color w:val="auto"/>
                <w:sz w:val="20"/>
                <w:szCs w:val="20"/>
              </w:rPr>
            </w:pPr>
            <w:r>
              <w:rPr>
                <w:bCs/>
                <w:color w:val="auto"/>
                <w:sz w:val="20"/>
                <w:szCs w:val="20"/>
              </w:rPr>
              <w:t>13</w:t>
            </w:r>
            <w:r w:rsidR="001F7696" w:rsidRPr="0085140F">
              <w:rPr>
                <w:bCs/>
                <w:color w:val="auto"/>
                <w:sz w:val="20"/>
                <w:szCs w:val="20"/>
              </w:rPr>
              <w:t>.a Provide information to the IGWC as requested and in accordance with agreed MOU/guidelines to enable oversight of Compliance Compact commitments.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4C4718" w14:textId="77777777" w:rsidR="001F7696"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503731" w14:textId="7A21C202" w:rsidR="001F7696" w:rsidRDefault="001F7696" w:rsidP="00B81127">
            <w:pPr>
              <w:pStyle w:val="Tableformat"/>
              <w:rPr>
                <w:bCs/>
                <w:color w:val="auto"/>
                <w:sz w:val="20"/>
                <w:szCs w:val="20"/>
              </w:rPr>
            </w:pPr>
            <w:r w:rsidRPr="005B5CC2">
              <w:rPr>
                <w:bCs/>
                <w:color w:val="auto"/>
                <w:sz w:val="20"/>
                <w:szCs w:val="20"/>
              </w:rPr>
              <w:t>$</w:t>
            </w:r>
            <w:r w:rsidR="00B81127">
              <w:rPr>
                <w:bCs/>
                <w:color w:val="auto"/>
                <w:sz w:val="20"/>
                <w:szCs w:val="20"/>
              </w:rPr>
              <w:t>40,170</w:t>
            </w:r>
          </w:p>
        </w:tc>
      </w:tr>
      <w:tr w:rsidR="001F7696" w:rsidRPr="00DA6A97" w14:paraId="0950971B" w14:textId="77777777" w:rsidTr="00DD584F">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F974C72" w14:textId="77777777" w:rsidR="001F7696" w:rsidRPr="00DA6A97" w:rsidRDefault="001F7696" w:rsidP="001F7696">
            <w:pPr>
              <w:pStyle w:val="Tableformat"/>
              <w:rPr>
                <w:bCs/>
                <w:color w:val="auto"/>
                <w:sz w:val="20"/>
                <w:szCs w:val="20"/>
              </w:rPr>
            </w:pPr>
            <w:r w:rsidRPr="00DA6A97">
              <w:rPr>
                <w:bCs/>
                <w:color w:val="auto"/>
                <w:sz w:val="20"/>
                <w:szCs w:val="20"/>
              </w:rPr>
              <w:t>Enhanced and coordinated consultation and engagement with all Basin communities</w:t>
            </w:r>
          </w:p>
        </w:tc>
        <w:tc>
          <w:tcPr>
            <w:tcW w:w="2551"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5C9D29" w14:textId="20288089" w:rsidR="001F7696" w:rsidRPr="00DA6A97" w:rsidRDefault="00512BED">
            <w:pPr>
              <w:pStyle w:val="Tableformat"/>
              <w:rPr>
                <w:bCs/>
                <w:color w:val="auto"/>
                <w:sz w:val="20"/>
                <w:szCs w:val="20"/>
              </w:rPr>
            </w:pPr>
            <w:r>
              <w:rPr>
                <w:bCs/>
                <w:color w:val="auto"/>
                <w:sz w:val="20"/>
                <w:szCs w:val="20"/>
              </w:rPr>
              <w:t>14</w:t>
            </w:r>
            <w:r w:rsidR="001F7696">
              <w:rPr>
                <w:bCs/>
                <w:color w:val="auto"/>
                <w:sz w:val="20"/>
                <w:szCs w:val="20"/>
              </w:rPr>
              <w:t xml:space="preserve">. </w:t>
            </w:r>
            <w:r w:rsidR="001F7696" w:rsidRPr="00DA6A97">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E060F86" w14:textId="44F6BCC9" w:rsidR="001F7696" w:rsidRPr="00DA6A97" w:rsidRDefault="00512BED">
            <w:pPr>
              <w:pStyle w:val="Tableformat"/>
              <w:rPr>
                <w:bCs/>
                <w:color w:val="auto"/>
                <w:sz w:val="20"/>
                <w:szCs w:val="20"/>
              </w:rPr>
            </w:pPr>
            <w:r>
              <w:rPr>
                <w:bCs/>
                <w:color w:val="auto"/>
                <w:sz w:val="20"/>
                <w:szCs w:val="20"/>
              </w:rPr>
              <w:t>14</w:t>
            </w:r>
            <w:r w:rsidR="001F7696">
              <w:rPr>
                <w:bCs/>
                <w:color w:val="auto"/>
                <w:sz w:val="20"/>
                <w:szCs w:val="20"/>
              </w:rPr>
              <w:t xml:space="preserve">.a </w:t>
            </w:r>
            <w:r w:rsidR="001F7696" w:rsidRPr="00DA6A97">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98E7B85" w14:textId="77777777" w:rsidR="001F7696" w:rsidRPr="00DA6A97" w:rsidRDefault="001F7696" w:rsidP="001F7696">
            <w:pPr>
              <w:pStyle w:val="Tableformat"/>
              <w:rPr>
                <w:bCs/>
                <w:color w:val="auto"/>
                <w:sz w:val="20"/>
                <w:szCs w:val="20"/>
              </w:rPr>
            </w:pPr>
            <w:r>
              <w:rPr>
                <w:bCs/>
                <w:color w:val="auto"/>
                <w:sz w:val="20"/>
                <w:szCs w:val="20"/>
              </w:rPr>
              <w:t>31 March 2022</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257042" w14:textId="4667EA95" w:rsidR="001F7696" w:rsidRPr="00DA6A97" w:rsidRDefault="001F7696" w:rsidP="00B81127">
            <w:pPr>
              <w:pStyle w:val="Tableformat"/>
              <w:rPr>
                <w:bCs/>
                <w:color w:val="auto"/>
                <w:sz w:val="20"/>
                <w:szCs w:val="20"/>
              </w:rPr>
            </w:pPr>
            <w:r w:rsidRPr="005B5CC2">
              <w:rPr>
                <w:bCs/>
                <w:color w:val="auto"/>
                <w:sz w:val="20"/>
                <w:szCs w:val="20"/>
              </w:rPr>
              <w:t>$</w:t>
            </w:r>
            <w:r w:rsidR="00B81127">
              <w:rPr>
                <w:bCs/>
                <w:color w:val="auto"/>
                <w:sz w:val="20"/>
                <w:szCs w:val="20"/>
              </w:rPr>
              <w:t>38,420</w:t>
            </w:r>
          </w:p>
        </w:tc>
      </w:tr>
      <w:tr w:rsidR="001F7696" w:rsidRPr="00DD56FE" w14:paraId="7044AF10" w14:textId="77777777" w:rsidTr="00DD584F">
        <w:trPr>
          <w:trHeight w:val="447"/>
        </w:trPr>
        <w:tc>
          <w:tcPr>
            <w:tcW w:w="9073" w:type="dxa"/>
            <w:gridSpan w:val="5"/>
            <w:tcBorders>
              <w:left w:val="single" w:sz="8" w:space="0" w:color="4F81BD"/>
              <w:bottom w:val="single" w:sz="8" w:space="0" w:color="4F81BD"/>
              <w:right w:val="single" w:sz="8" w:space="0" w:color="4F81BD"/>
            </w:tcBorders>
            <w:shd w:val="clear" w:color="auto" w:fill="F2F2F2" w:themeFill="background1" w:themeFillShade="F2"/>
          </w:tcPr>
          <w:p w14:paraId="24550C95" w14:textId="7857B504" w:rsidR="001F7696" w:rsidRPr="00DD56FE" w:rsidRDefault="001F7696" w:rsidP="001F7696">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the Australian Capital Territory for Year 1</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D06F24" w14:textId="06B07A21" w:rsidR="001F7696" w:rsidRPr="00DD56FE" w:rsidRDefault="001F7696" w:rsidP="001F7696">
            <w:pPr>
              <w:pStyle w:val="Tableformat"/>
              <w:rPr>
                <w:bCs/>
                <w:color w:val="auto"/>
                <w:sz w:val="20"/>
                <w:szCs w:val="20"/>
              </w:rPr>
            </w:pPr>
            <w:r w:rsidRPr="00DD56FE">
              <w:rPr>
                <w:bCs/>
                <w:color w:val="auto"/>
                <w:sz w:val="20"/>
                <w:szCs w:val="20"/>
              </w:rPr>
              <w:t>$</w:t>
            </w:r>
            <w:r>
              <w:rPr>
                <w:bCs/>
                <w:color w:val="auto"/>
                <w:sz w:val="20"/>
                <w:szCs w:val="20"/>
              </w:rPr>
              <w:t>878,0</w:t>
            </w:r>
            <w:r w:rsidRPr="00DD56FE">
              <w:rPr>
                <w:bCs/>
                <w:color w:val="auto"/>
                <w:sz w:val="20"/>
                <w:szCs w:val="20"/>
              </w:rPr>
              <w:t>00</w:t>
            </w:r>
          </w:p>
        </w:tc>
      </w:tr>
    </w:tbl>
    <w:p w14:paraId="40C229C2" w14:textId="154CED2E" w:rsidR="00931AA8" w:rsidRDefault="00931AA8" w:rsidP="00931AA8">
      <w:pPr>
        <w:rPr>
          <w:lang w:val="en-GB"/>
        </w:rPr>
      </w:pPr>
    </w:p>
    <w:p w14:paraId="18F23865" w14:textId="78641FFB" w:rsidR="008547CF" w:rsidRDefault="008547CF" w:rsidP="00931AA8">
      <w:pPr>
        <w:rPr>
          <w:lang w:val="en-GB"/>
        </w:rPr>
      </w:pPr>
      <w:r>
        <w:rPr>
          <w:lang w:val="en-GB"/>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0"/>
        <w:gridCol w:w="2551"/>
        <w:gridCol w:w="3686"/>
        <w:gridCol w:w="1276"/>
        <w:gridCol w:w="1134"/>
      </w:tblGrid>
      <w:tr w:rsidR="008547CF" w:rsidRPr="00F00A18" w14:paraId="50F54420" w14:textId="77777777" w:rsidTr="006F3A9B">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0CAD90B" w14:textId="77777777" w:rsidR="008547CF" w:rsidRPr="00F00A18" w:rsidRDefault="008547CF" w:rsidP="006F3A9B">
            <w:pPr>
              <w:pStyle w:val="Tableformat"/>
              <w:tabs>
                <w:tab w:val="left" w:pos="6043"/>
              </w:tabs>
              <w:rPr>
                <w:b/>
                <w:color w:val="auto"/>
              </w:rPr>
            </w:pPr>
            <w:r>
              <w:rPr>
                <w:b/>
                <w:color w:val="auto"/>
              </w:rPr>
              <w:t>Table 2E</w:t>
            </w:r>
            <w:r w:rsidRPr="00F00A18">
              <w:rPr>
                <w:b/>
                <w:color w:val="auto"/>
              </w:rPr>
              <w:t xml:space="preserve">: </w:t>
            </w:r>
            <w:r>
              <w:rPr>
                <w:b/>
                <w:color w:val="auto"/>
              </w:rPr>
              <w:t xml:space="preserve">Australian Capital Territory </w:t>
            </w:r>
            <w:r w:rsidRPr="00F00A18">
              <w:rPr>
                <w:b/>
                <w:color w:val="auto"/>
              </w:rPr>
              <w:t>– Performance requirements, reporting and payment summary</w:t>
            </w:r>
          </w:p>
        </w:tc>
      </w:tr>
      <w:tr w:rsidR="008547CF" w:rsidRPr="00F00A18" w14:paraId="7069E947" w14:textId="77777777" w:rsidTr="006F3A9B">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C436440" w14:textId="75B924A3" w:rsidR="008547CF" w:rsidRDefault="008547CF" w:rsidP="006F3A9B">
            <w:pPr>
              <w:pStyle w:val="Tableformat"/>
              <w:tabs>
                <w:tab w:val="left" w:pos="6043"/>
              </w:tabs>
              <w:rPr>
                <w:b/>
                <w:color w:val="auto"/>
              </w:rPr>
            </w:pPr>
            <w:r>
              <w:rPr>
                <w:b/>
                <w:color w:val="auto"/>
              </w:rPr>
              <w:t>Year 2: 2022-2023</w:t>
            </w:r>
          </w:p>
        </w:tc>
      </w:tr>
      <w:tr w:rsidR="008547CF" w:rsidRPr="00FD6EB4" w14:paraId="1ED0DF47" w14:textId="77777777" w:rsidTr="00964F8C">
        <w:tc>
          <w:tcPr>
            <w:tcW w:w="1560" w:type="dxa"/>
            <w:shd w:val="clear" w:color="auto" w:fill="F2F2F2" w:themeFill="background1" w:themeFillShade="F2"/>
          </w:tcPr>
          <w:p w14:paraId="2A2736B7" w14:textId="77777777" w:rsidR="008547CF" w:rsidRPr="00FD6EB4" w:rsidRDefault="008547CF"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51" w:type="dxa"/>
            <w:shd w:val="clear" w:color="auto" w:fill="F2F2F2" w:themeFill="background1" w:themeFillShade="F2"/>
          </w:tcPr>
          <w:p w14:paraId="3D6ACFF1" w14:textId="77777777" w:rsidR="008547CF" w:rsidRPr="00FD6EB4" w:rsidRDefault="008547CF" w:rsidP="006F3A9B">
            <w:pPr>
              <w:pStyle w:val="Tableformat"/>
              <w:rPr>
                <w:b/>
                <w:color w:val="auto"/>
                <w:sz w:val="22"/>
                <w:szCs w:val="22"/>
              </w:rPr>
            </w:pPr>
            <w:r w:rsidRPr="00FD6EB4">
              <w:rPr>
                <w:b/>
                <w:color w:val="auto"/>
                <w:sz w:val="22"/>
                <w:szCs w:val="22"/>
              </w:rPr>
              <w:t>Performance milestones</w:t>
            </w:r>
          </w:p>
        </w:tc>
        <w:tc>
          <w:tcPr>
            <w:tcW w:w="3686" w:type="dxa"/>
            <w:shd w:val="clear" w:color="auto" w:fill="F2F2F2" w:themeFill="background1" w:themeFillShade="F2"/>
          </w:tcPr>
          <w:p w14:paraId="45B812A3" w14:textId="77777777" w:rsidR="008547CF" w:rsidRPr="00FD6EB4" w:rsidRDefault="008547CF" w:rsidP="006F3A9B">
            <w:pPr>
              <w:pStyle w:val="Tableformat"/>
              <w:rPr>
                <w:b/>
                <w:color w:val="auto"/>
                <w:sz w:val="22"/>
                <w:szCs w:val="22"/>
              </w:rPr>
            </w:pPr>
            <w:r w:rsidRPr="00FD6EB4">
              <w:rPr>
                <w:b/>
                <w:color w:val="auto"/>
                <w:sz w:val="22"/>
                <w:szCs w:val="22"/>
              </w:rPr>
              <w:t>Key Performance Indicators</w:t>
            </w:r>
          </w:p>
        </w:tc>
        <w:tc>
          <w:tcPr>
            <w:tcW w:w="1276" w:type="dxa"/>
            <w:shd w:val="clear" w:color="auto" w:fill="F2F2F2" w:themeFill="background1" w:themeFillShade="F2"/>
          </w:tcPr>
          <w:p w14:paraId="41AFD8FF" w14:textId="77777777" w:rsidR="008547CF" w:rsidRPr="00FD6EB4" w:rsidRDefault="008547CF"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4" w:type="dxa"/>
            <w:tcBorders>
              <w:bottom w:val="single" w:sz="8" w:space="0" w:color="4F81BD"/>
            </w:tcBorders>
            <w:shd w:val="clear" w:color="auto" w:fill="F2F2F2" w:themeFill="background1" w:themeFillShade="F2"/>
          </w:tcPr>
          <w:p w14:paraId="12248A0D" w14:textId="77777777" w:rsidR="008547CF" w:rsidRPr="00FD6EB4" w:rsidRDefault="008547CF" w:rsidP="006F3A9B">
            <w:pPr>
              <w:pStyle w:val="Tableformat"/>
              <w:rPr>
                <w:b/>
                <w:color w:val="auto"/>
                <w:sz w:val="22"/>
                <w:szCs w:val="22"/>
              </w:rPr>
            </w:pPr>
            <w:r w:rsidRPr="00FD6EB4">
              <w:rPr>
                <w:b/>
                <w:color w:val="auto"/>
                <w:sz w:val="22"/>
                <w:szCs w:val="22"/>
              </w:rPr>
              <w:t>Payment</w:t>
            </w:r>
          </w:p>
        </w:tc>
      </w:tr>
      <w:tr w:rsidR="00791DE9" w:rsidRPr="004C4B9D" w14:paraId="0146AF68" w14:textId="77777777" w:rsidTr="00964F8C">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1AC84366" w14:textId="77777777" w:rsidR="00791DE9" w:rsidRPr="004C4B9D" w:rsidRDefault="00791DE9" w:rsidP="00791DE9">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0FCE5C3A" w14:textId="77777777" w:rsidR="00791DE9" w:rsidRPr="004C4B9D" w:rsidRDefault="00791DE9" w:rsidP="00791DE9">
            <w:pPr>
              <w:pStyle w:val="Tableformat"/>
              <w:rPr>
                <w:bCs/>
                <w:color w:val="auto"/>
                <w:sz w:val="20"/>
                <w:szCs w:val="20"/>
              </w:rPr>
            </w:pPr>
            <w:r>
              <w:rPr>
                <w:bCs/>
                <w:color w:val="auto"/>
                <w:sz w:val="20"/>
                <w:szCs w:val="20"/>
              </w:rPr>
              <w:t xml:space="preserve">1. </w:t>
            </w:r>
            <w:r w:rsidRPr="001D7426">
              <w:rPr>
                <w:bCs/>
                <w:color w:val="auto"/>
                <w:sz w:val="20"/>
                <w:szCs w:val="20"/>
              </w:rPr>
              <w:t>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4C4B9D">
              <w:rPr>
                <w:bCs/>
                <w:color w:val="auto"/>
                <w:sz w:val="20"/>
                <w:szCs w:val="20"/>
              </w:rPr>
              <w: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B4CB13" w14:textId="77777777" w:rsidR="00791DE9" w:rsidRPr="004C4B9D" w:rsidRDefault="00791DE9" w:rsidP="00791DE9">
            <w:pPr>
              <w:pStyle w:val="Tableformat"/>
              <w:rPr>
                <w:bCs/>
                <w:color w:val="auto"/>
                <w:sz w:val="20"/>
                <w:szCs w:val="20"/>
              </w:rPr>
            </w:pPr>
            <w:r>
              <w:rPr>
                <w:bCs/>
                <w:color w:val="auto"/>
                <w:sz w:val="20"/>
                <w:szCs w:val="20"/>
              </w:rPr>
              <w:t xml:space="preserve">1.a </w:t>
            </w:r>
            <w:r w:rsidRPr="004C4B9D">
              <w:rPr>
                <w:bCs/>
                <w:color w:val="auto"/>
                <w:sz w:val="20"/>
                <w:szCs w:val="20"/>
              </w:rPr>
              <w:t>Work with the Commonwealth on water recovery projects, including setting up governance arrangements and schedules as appropriate, conducting outreach and engagement with irrigation networks and transforming entitlements as appropriate.</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DF85FA"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E2374DB" w14:textId="1FE427BE" w:rsidR="00791DE9" w:rsidRPr="004C4B9D" w:rsidRDefault="00791DE9" w:rsidP="00791DE9">
            <w:pPr>
              <w:pStyle w:val="Tableformat"/>
              <w:rPr>
                <w:bCs/>
                <w:color w:val="auto"/>
                <w:sz w:val="20"/>
                <w:szCs w:val="20"/>
              </w:rPr>
            </w:pPr>
            <w:r>
              <w:rPr>
                <w:bCs/>
                <w:color w:val="auto"/>
                <w:sz w:val="20"/>
                <w:szCs w:val="20"/>
              </w:rPr>
              <w:t>$48,780</w:t>
            </w:r>
          </w:p>
        </w:tc>
      </w:tr>
      <w:tr w:rsidR="00791DE9" w:rsidRPr="004C4B9D" w14:paraId="59A603D1" w14:textId="77777777" w:rsidTr="00964F8C">
        <w:tc>
          <w:tcPr>
            <w:tcW w:w="1560" w:type="dxa"/>
            <w:vMerge/>
            <w:tcBorders>
              <w:left w:val="single" w:sz="8" w:space="0" w:color="4F81BD"/>
              <w:right w:val="single" w:sz="8" w:space="0" w:color="4F81BD"/>
            </w:tcBorders>
            <w:shd w:val="clear" w:color="auto" w:fill="F2F2F2" w:themeFill="background1" w:themeFillShade="F2"/>
          </w:tcPr>
          <w:p w14:paraId="5FB187D9" w14:textId="77777777" w:rsidR="00791DE9" w:rsidRPr="004C4B9D" w:rsidRDefault="00791DE9" w:rsidP="00791DE9">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38B581BA" w14:textId="77777777" w:rsidR="00791DE9" w:rsidRPr="004C4B9D"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3E8AA6" w14:textId="1B9F32D1" w:rsidR="00791DE9" w:rsidRPr="004C4B9D" w:rsidRDefault="00791DE9" w:rsidP="00341790">
            <w:pPr>
              <w:pStyle w:val="Tableformat"/>
              <w:rPr>
                <w:bCs/>
                <w:color w:val="auto"/>
                <w:sz w:val="20"/>
                <w:szCs w:val="20"/>
              </w:rPr>
            </w:pPr>
            <w:r w:rsidRPr="00791DE9">
              <w:rPr>
                <w:bCs/>
                <w:color w:val="auto"/>
                <w:sz w:val="20"/>
                <w:szCs w:val="20"/>
              </w:rPr>
              <w:t>1.</w:t>
            </w:r>
            <w:r w:rsidR="008117F3">
              <w:rPr>
                <w:bCs/>
                <w:color w:val="auto"/>
                <w:sz w:val="20"/>
                <w:szCs w:val="20"/>
              </w:rPr>
              <w:t>b</w:t>
            </w:r>
            <w:r w:rsidR="008117F3" w:rsidRPr="00791DE9">
              <w:rPr>
                <w:bCs/>
                <w:color w:val="auto"/>
                <w:sz w:val="20"/>
                <w:szCs w:val="20"/>
              </w:rPr>
              <w:t xml:space="preserve"> </w:t>
            </w:r>
            <w:r w:rsidRPr="00791DE9">
              <w:rPr>
                <w:bCs/>
                <w:color w:val="auto"/>
                <w:sz w:val="20"/>
                <w:szCs w:val="20"/>
              </w:rPr>
              <w:t>Submit a plan and proposal for bridging-the-gap projects to the Commonwealth.</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59C01F"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62C397B" w14:textId="2EC05F2A" w:rsidR="00791DE9" w:rsidRPr="004C4B9D" w:rsidRDefault="00791DE9" w:rsidP="00791DE9">
            <w:pPr>
              <w:pStyle w:val="Tableformat"/>
              <w:rPr>
                <w:bCs/>
                <w:color w:val="auto"/>
                <w:sz w:val="20"/>
                <w:szCs w:val="20"/>
              </w:rPr>
            </w:pPr>
            <w:r>
              <w:rPr>
                <w:bCs/>
                <w:color w:val="auto"/>
                <w:sz w:val="20"/>
                <w:szCs w:val="20"/>
              </w:rPr>
              <w:t>$48,780</w:t>
            </w:r>
          </w:p>
        </w:tc>
      </w:tr>
      <w:tr w:rsidR="00964F8C" w:rsidRPr="004C4B9D" w14:paraId="2C72B74F" w14:textId="77777777" w:rsidTr="00964F8C">
        <w:tc>
          <w:tcPr>
            <w:tcW w:w="1560" w:type="dxa"/>
            <w:vMerge/>
            <w:tcBorders>
              <w:left w:val="single" w:sz="8" w:space="0" w:color="4F81BD"/>
              <w:right w:val="single" w:sz="8" w:space="0" w:color="4F81BD"/>
            </w:tcBorders>
            <w:shd w:val="clear" w:color="auto" w:fill="F2F2F2" w:themeFill="background1" w:themeFillShade="F2"/>
          </w:tcPr>
          <w:p w14:paraId="50ED447D" w14:textId="77777777" w:rsidR="00964F8C" w:rsidRPr="004C4B9D" w:rsidRDefault="00964F8C" w:rsidP="006F3A9B">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396947E7" w14:textId="77777777" w:rsidR="00964F8C" w:rsidRPr="004C4B9D" w:rsidRDefault="00964F8C" w:rsidP="006F3A9B">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6F83041" w14:textId="456D49DA" w:rsidR="00964F8C" w:rsidRPr="004C4B9D" w:rsidRDefault="00964F8C" w:rsidP="00341790">
            <w:pPr>
              <w:pStyle w:val="Tableformat"/>
              <w:rPr>
                <w:bCs/>
                <w:color w:val="auto"/>
                <w:sz w:val="20"/>
                <w:szCs w:val="20"/>
              </w:rPr>
            </w:pPr>
            <w:r w:rsidRPr="00627469">
              <w:rPr>
                <w:bCs/>
                <w:color w:val="auto"/>
                <w:sz w:val="20"/>
                <w:szCs w:val="20"/>
              </w:rPr>
              <w:t>1.</w:t>
            </w:r>
            <w:r w:rsidR="008117F3">
              <w:rPr>
                <w:bCs/>
                <w:color w:val="auto"/>
                <w:sz w:val="20"/>
                <w:szCs w:val="20"/>
              </w:rPr>
              <w:t>c</w:t>
            </w:r>
            <w:r w:rsidR="008117F3" w:rsidRPr="00627469">
              <w:rPr>
                <w:bCs/>
                <w:color w:val="auto"/>
                <w:sz w:val="20"/>
                <w:szCs w:val="20"/>
              </w:rPr>
              <w:t xml:space="preserve"> </w:t>
            </w:r>
            <w:r w:rsidRPr="00627469">
              <w:rPr>
                <w:bCs/>
                <w:color w:val="auto"/>
                <w:sz w:val="20"/>
                <w:szCs w:val="20"/>
              </w:rPr>
              <w:t>Report to the Commonwealth on progress towards bridging-the-gap by June 2022</w:t>
            </w:r>
            <w:r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5FDE17" w14:textId="77777777" w:rsidR="00964F8C" w:rsidRPr="004C4B9D" w:rsidRDefault="00964F8C" w:rsidP="006F3A9B">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D80633" w14:textId="00FF8926" w:rsidR="00964F8C" w:rsidRPr="004C4B9D" w:rsidRDefault="00964F8C" w:rsidP="006F3A9B">
            <w:pPr>
              <w:pStyle w:val="Tableformat"/>
              <w:rPr>
                <w:bCs/>
                <w:color w:val="auto"/>
                <w:sz w:val="20"/>
                <w:szCs w:val="20"/>
              </w:rPr>
            </w:pPr>
            <w:r>
              <w:rPr>
                <w:bCs/>
                <w:color w:val="auto"/>
                <w:sz w:val="20"/>
                <w:szCs w:val="20"/>
              </w:rPr>
              <w:t>$</w:t>
            </w:r>
            <w:r w:rsidR="00791DE9">
              <w:rPr>
                <w:bCs/>
                <w:color w:val="auto"/>
                <w:sz w:val="20"/>
                <w:szCs w:val="20"/>
              </w:rPr>
              <w:t>48,780</w:t>
            </w:r>
          </w:p>
        </w:tc>
      </w:tr>
      <w:tr w:rsidR="00791DE9" w:rsidRPr="004C4B9D" w14:paraId="55BDD3FA" w14:textId="77777777" w:rsidTr="00964F8C">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47EF10F0" w14:textId="77777777" w:rsidR="00791DE9" w:rsidRPr="004C4B9D" w:rsidRDefault="00791DE9" w:rsidP="00791DE9">
            <w:pPr>
              <w:pStyle w:val="Tableformat"/>
              <w:rPr>
                <w:bCs/>
                <w:color w:val="auto"/>
                <w:sz w:val="20"/>
                <w:szCs w:val="20"/>
              </w:rPr>
            </w:pPr>
            <w:r w:rsidRPr="004C4B9D">
              <w:rPr>
                <w:bCs/>
                <w:color w:val="auto"/>
                <w:sz w:val="20"/>
                <w:szCs w:val="20"/>
              </w:rPr>
              <w:t>Coordinated environmental water use</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69ACB7" w14:textId="0CB70671" w:rsidR="00791DE9" w:rsidRPr="004C4B9D" w:rsidRDefault="008117F3" w:rsidP="00791DE9">
            <w:pPr>
              <w:pStyle w:val="Tableformat"/>
              <w:rPr>
                <w:bCs/>
                <w:color w:val="auto"/>
                <w:sz w:val="20"/>
                <w:szCs w:val="20"/>
              </w:rPr>
            </w:pPr>
            <w:r>
              <w:rPr>
                <w:bCs/>
                <w:color w:val="auto"/>
                <w:sz w:val="20"/>
                <w:szCs w:val="20"/>
              </w:rPr>
              <w:t>2</w:t>
            </w:r>
            <w:r w:rsidR="00791DE9">
              <w:rPr>
                <w:bCs/>
                <w:color w:val="auto"/>
                <w:sz w:val="20"/>
                <w:szCs w:val="20"/>
              </w:rPr>
              <w:t xml:space="preserve">. </w:t>
            </w:r>
            <w:r w:rsidR="00791DE9" w:rsidRPr="004C4B9D">
              <w:rPr>
                <w:bCs/>
                <w:color w:val="auto"/>
                <w:sz w:val="20"/>
                <w:szCs w:val="20"/>
              </w:rPr>
              <w:t>Deliver an agreed Basin-wide Environmental Water Protection Strategy and Implementation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613C70B" w14:textId="28B36C0B" w:rsidR="00791DE9" w:rsidRPr="004C4B9D" w:rsidRDefault="008117F3" w:rsidP="00341790">
            <w:pPr>
              <w:pStyle w:val="Tableformat"/>
              <w:rPr>
                <w:bCs/>
                <w:color w:val="auto"/>
                <w:sz w:val="20"/>
                <w:szCs w:val="20"/>
              </w:rPr>
            </w:pPr>
            <w:r>
              <w:rPr>
                <w:bCs/>
                <w:color w:val="auto"/>
                <w:sz w:val="20"/>
                <w:szCs w:val="20"/>
              </w:rPr>
              <w:t>2</w:t>
            </w:r>
            <w:r w:rsidR="00791DE9" w:rsidRPr="00627469">
              <w:rPr>
                <w:bCs/>
                <w:color w:val="auto"/>
                <w:sz w:val="20"/>
                <w:szCs w:val="20"/>
              </w:rPr>
              <w:t>.</w:t>
            </w:r>
            <w:r>
              <w:rPr>
                <w:bCs/>
                <w:color w:val="auto"/>
                <w:sz w:val="20"/>
                <w:szCs w:val="20"/>
              </w:rPr>
              <w:t>a</w:t>
            </w:r>
            <w:r w:rsidRPr="00627469">
              <w:rPr>
                <w:bCs/>
                <w:color w:val="auto"/>
                <w:sz w:val="20"/>
                <w:szCs w:val="20"/>
              </w:rPr>
              <w:t xml:space="preserve"> </w:t>
            </w:r>
            <w:r w:rsidR="00791DE9" w:rsidRPr="00627469">
              <w:rPr>
                <w:bCs/>
                <w:color w:val="auto"/>
                <w:sz w:val="20"/>
                <w:szCs w:val="20"/>
              </w:rPr>
              <w:t xml:space="preserve">Deliver and implement the agreed </w:t>
            </w:r>
            <w:r w:rsidR="007C3B81" w:rsidRPr="00627469">
              <w:rPr>
                <w:bCs/>
                <w:color w:val="auto"/>
                <w:sz w:val="20"/>
                <w:szCs w:val="20"/>
              </w:rPr>
              <w:t>work plan</w:t>
            </w:r>
            <w:r w:rsidR="00791DE9" w:rsidRPr="00627469">
              <w:rPr>
                <w:bCs/>
                <w:color w:val="auto"/>
                <w:sz w:val="20"/>
                <w:szCs w:val="20"/>
              </w:rPr>
              <w:t xml:space="preserve"> of the priority collaborative activities of the Environmental Water Protection Strategy, where relevant to the jurisdiction</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FC7AD50"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50B85F" w14:textId="0644BD56"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308E88DF" w14:textId="77777777" w:rsidTr="00964F8C">
        <w:tc>
          <w:tcPr>
            <w:tcW w:w="1560" w:type="dxa"/>
            <w:vMerge/>
            <w:tcBorders>
              <w:left w:val="single" w:sz="8" w:space="0" w:color="4F81BD"/>
              <w:right w:val="single" w:sz="8" w:space="0" w:color="4F81BD"/>
            </w:tcBorders>
            <w:shd w:val="clear" w:color="auto" w:fill="F2F2F2" w:themeFill="background1" w:themeFillShade="F2"/>
          </w:tcPr>
          <w:p w14:paraId="6E79F1E3" w14:textId="77777777" w:rsidR="00791DE9" w:rsidRPr="004C4B9D" w:rsidRDefault="00791DE9" w:rsidP="00791DE9">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57418A06" w14:textId="16204FD5" w:rsidR="00791DE9" w:rsidRPr="004C4B9D" w:rsidRDefault="008117F3" w:rsidP="00791DE9">
            <w:pPr>
              <w:pStyle w:val="Tableformat"/>
              <w:rPr>
                <w:bCs/>
                <w:color w:val="auto"/>
                <w:sz w:val="20"/>
                <w:szCs w:val="20"/>
              </w:rPr>
            </w:pPr>
            <w:r>
              <w:rPr>
                <w:bCs/>
                <w:color w:val="auto"/>
                <w:sz w:val="20"/>
                <w:szCs w:val="20"/>
              </w:rPr>
              <w:t>3</w:t>
            </w:r>
            <w:r w:rsidR="00791DE9">
              <w:rPr>
                <w:bCs/>
                <w:color w:val="auto"/>
                <w:sz w:val="20"/>
                <w:szCs w:val="20"/>
              </w:rPr>
              <w:t xml:space="preserve">. </w:t>
            </w:r>
            <w:r w:rsidR="00791DE9" w:rsidRPr="004C4B9D">
              <w:rPr>
                <w:bCs/>
                <w:color w:val="auto"/>
                <w:sz w:val="20"/>
                <w:szCs w:val="20"/>
              </w:rPr>
              <w:t xml:space="preserve">Improve environmental watering plans and strategies, including by updating Long-Term Watering Plans (LTWPs) within agreed timeframes.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858EC10" w14:textId="439C5AD6" w:rsidR="00791DE9" w:rsidRPr="004C4B9D" w:rsidRDefault="008117F3" w:rsidP="00791DE9">
            <w:pPr>
              <w:pStyle w:val="Tableformat"/>
              <w:rPr>
                <w:bCs/>
                <w:color w:val="auto"/>
                <w:sz w:val="20"/>
                <w:szCs w:val="20"/>
              </w:rPr>
            </w:pPr>
            <w:r>
              <w:rPr>
                <w:bCs/>
                <w:color w:val="auto"/>
                <w:sz w:val="20"/>
                <w:szCs w:val="20"/>
              </w:rPr>
              <w:t>3</w:t>
            </w:r>
            <w:r w:rsidR="00791DE9" w:rsidRPr="008224F9">
              <w:rPr>
                <w:bCs/>
                <w:color w:val="auto"/>
                <w:sz w:val="20"/>
                <w:szCs w:val="20"/>
              </w:rPr>
              <w:t xml:space="preserve">.a Engage with </w:t>
            </w:r>
            <w:r w:rsidR="00795920">
              <w:rPr>
                <w:bCs/>
                <w:color w:val="auto"/>
                <w:sz w:val="20"/>
                <w:szCs w:val="20"/>
              </w:rPr>
              <w:t>all stakeholders</w:t>
            </w:r>
            <w:r w:rsidR="00791DE9" w:rsidRPr="008224F9">
              <w:rPr>
                <w:bCs/>
                <w:color w:val="auto"/>
                <w:sz w:val="20"/>
                <w:szCs w:val="20"/>
              </w:rPr>
              <w:t>, in the development of annual environmental water plans or priorities; and in the implementation, review and update of LTWPs, where relevant to the jurisdiction</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664DA28"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6122125" w14:textId="605595C9"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348836A3" w14:textId="77777777" w:rsidTr="00964F8C">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67259360" w14:textId="77777777" w:rsidR="00791DE9" w:rsidRPr="004C4B9D" w:rsidRDefault="00791DE9" w:rsidP="00791DE9">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2793A4D7" w14:textId="77777777" w:rsidR="00791DE9" w:rsidRPr="004C4B9D"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279336" w14:textId="4E603C40" w:rsidR="00791DE9" w:rsidRPr="004C4B9D" w:rsidRDefault="008117F3" w:rsidP="00791DE9">
            <w:pPr>
              <w:pStyle w:val="Tableformat"/>
              <w:rPr>
                <w:bCs/>
                <w:color w:val="auto"/>
                <w:sz w:val="20"/>
                <w:szCs w:val="20"/>
              </w:rPr>
            </w:pPr>
            <w:r>
              <w:rPr>
                <w:bCs/>
                <w:color w:val="auto"/>
                <w:sz w:val="20"/>
                <w:szCs w:val="20"/>
              </w:rPr>
              <w:t>3</w:t>
            </w:r>
            <w:r w:rsidR="00791DE9" w:rsidRPr="008224F9">
              <w:rPr>
                <w:bCs/>
                <w:color w:val="auto"/>
                <w:sz w:val="20"/>
                <w:szCs w:val="20"/>
              </w:rPr>
              <w:t>.b Provide input to third edition of the Basin-wide Environmental Watering Strategy, including input on climate adaptation approaches and techniques</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4766EC"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441938" w14:textId="5CF4433B"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74FF8EC5" w14:textId="77777777" w:rsidTr="00964F8C">
        <w:tc>
          <w:tcPr>
            <w:tcW w:w="1560" w:type="dxa"/>
            <w:vMerge w:val="restart"/>
            <w:tcBorders>
              <w:left w:val="single" w:sz="8" w:space="0" w:color="4F81BD"/>
              <w:right w:val="single" w:sz="8" w:space="0" w:color="4F81BD"/>
            </w:tcBorders>
            <w:shd w:val="clear" w:color="auto" w:fill="F2F2F2" w:themeFill="background1" w:themeFillShade="F2"/>
          </w:tcPr>
          <w:p w14:paraId="68A4D504" w14:textId="77777777" w:rsidR="00791DE9" w:rsidRPr="004C4B9D" w:rsidRDefault="00791DE9" w:rsidP="00791DE9">
            <w:pPr>
              <w:pStyle w:val="Tableformat"/>
              <w:rPr>
                <w:bCs/>
                <w:color w:val="auto"/>
                <w:sz w:val="20"/>
                <w:szCs w:val="20"/>
              </w:rPr>
            </w:pPr>
            <w:r w:rsidRPr="004C4B9D">
              <w:rPr>
                <w:bCs/>
                <w:color w:val="auto"/>
                <w:sz w:val="20"/>
                <w:szCs w:val="20"/>
              </w:rPr>
              <w:t>Implementation of the Basin Plan</w:t>
            </w:r>
          </w:p>
        </w:tc>
        <w:tc>
          <w:tcPr>
            <w:tcW w:w="2551" w:type="dxa"/>
            <w:vMerge w:val="restart"/>
            <w:tcBorders>
              <w:left w:val="single" w:sz="8" w:space="0" w:color="4F81BD"/>
              <w:right w:val="single" w:sz="8" w:space="0" w:color="4F81BD"/>
            </w:tcBorders>
            <w:shd w:val="clear" w:color="auto" w:fill="F2F2F2" w:themeFill="background1" w:themeFillShade="F2"/>
          </w:tcPr>
          <w:p w14:paraId="168CF770" w14:textId="21C4226D" w:rsidR="00791DE9" w:rsidRPr="004C4B9D" w:rsidRDefault="008117F3" w:rsidP="00791DE9">
            <w:pPr>
              <w:pStyle w:val="Tableformat"/>
              <w:rPr>
                <w:bCs/>
                <w:color w:val="auto"/>
                <w:sz w:val="20"/>
                <w:szCs w:val="20"/>
              </w:rPr>
            </w:pPr>
            <w:r>
              <w:rPr>
                <w:bCs/>
                <w:color w:val="auto"/>
                <w:sz w:val="20"/>
                <w:szCs w:val="20"/>
              </w:rPr>
              <w:t>4</w:t>
            </w:r>
            <w:r w:rsidR="00791DE9">
              <w:rPr>
                <w:bCs/>
                <w:color w:val="auto"/>
                <w:sz w:val="20"/>
                <w:szCs w:val="20"/>
              </w:rPr>
              <w:t xml:space="preserve">. </w:t>
            </w:r>
            <w:r w:rsidR="00791DE9" w:rsidRPr="004C4B9D">
              <w:rPr>
                <w:bCs/>
                <w:color w:val="auto"/>
                <w:sz w:val="20"/>
                <w:szCs w:val="20"/>
              </w:rPr>
              <w:t>Implement the SDLAM program, where not funded under other agreements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F62590" w14:textId="731315AC" w:rsidR="00791DE9" w:rsidRPr="004C4B9D" w:rsidRDefault="008117F3" w:rsidP="00341790">
            <w:pPr>
              <w:pStyle w:val="Tableformat"/>
              <w:rPr>
                <w:bCs/>
                <w:color w:val="auto"/>
                <w:sz w:val="20"/>
                <w:szCs w:val="20"/>
              </w:rPr>
            </w:pPr>
            <w:r>
              <w:rPr>
                <w:bCs/>
                <w:color w:val="auto"/>
                <w:sz w:val="20"/>
                <w:szCs w:val="20"/>
              </w:rPr>
              <w:t>4</w:t>
            </w:r>
            <w:r w:rsidR="00791DE9" w:rsidRPr="00964F8C">
              <w:rPr>
                <w:bCs/>
                <w:color w:val="auto"/>
                <w:sz w:val="20"/>
                <w:szCs w:val="20"/>
              </w:rPr>
              <w:t>.</w:t>
            </w:r>
            <w:r>
              <w:rPr>
                <w:bCs/>
                <w:color w:val="auto"/>
                <w:sz w:val="20"/>
                <w:szCs w:val="20"/>
              </w:rPr>
              <w:t>a</w:t>
            </w:r>
            <w:r w:rsidRPr="00964F8C">
              <w:rPr>
                <w:bCs/>
                <w:color w:val="auto"/>
                <w:sz w:val="20"/>
                <w:szCs w:val="20"/>
              </w:rPr>
              <w:t xml:space="preserve"> </w:t>
            </w:r>
            <w:r w:rsidR="00791DE9" w:rsidRPr="00964F8C">
              <w:rPr>
                <w:bCs/>
                <w:color w:val="auto"/>
                <w:sz w:val="20"/>
                <w:szCs w:val="20"/>
              </w:rPr>
              <w:t>Identify, develop and progress required changes to the River Murray Operations Framework and Murray-Darling Basin Agreement, where relevant to the ACT. Any changes are to be agreed by all jurisdictions.</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0BBC02"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538897E" w14:textId="3E336BE2"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1442DE13" w14:textId="77777777" w:rsidTr="00964F8C">
        <w:tc>
          <w:tcPr>
            <w:tcW w:w="1560" w:type="dxa"/>
            <w:vMerge/>
            <w:tcBorders>
              <w:left w:val="single" w:sz="8" w:space="0" w:color="4F81BD"/>
              <w:right w:val="single" w:sz="8" w:space="0" w:color="4F81BD"/>
            </w:tcBorders>
            <w:shd w:val="clear" w:color="auto" w:fill="F2F2F2" w:themeFill="background1" w:themeFillShade="F2"/>
          </w:tcPr>
          <w:p w14:paraId="720F1AA8" w14:textId="77777777" w:rsidR="00791DE9" w:rsidRPr="004C4B9D" w:rsidRDefault="00791DE9" w:rsidP="00791DE9">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487E871B" w14:textId="77777777" w:rsidR="00791DE9" w:rsidRPr="004C4B9D"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911FC30" w14:textId="0B77EFD0" w:rsidR="00791DE9" w:rsidRPr="004C4B9D" w:rsidRDefault="008117F3" w:rsidP="00341790">
            <w:pPr>
              <w:pStyle w:val="Tableformat"/>
              <w:rPr>
                <w:bCs/>
                <w:color w:val="auto"/>
                <w:sz w:val="20"/>
                <w:szCs w:val="20"/>
              </w:rPr>
            </w:pPr>
            <w:r>
              <w:rPr>
                <w:bCs/>
                <w:color w:val="auto"/>
                <w:sz w:val="20"/>
                <w:szCs w:val="20"/>
              </w:rPr>
              <w:t>4</w:t>
            </w:r>
            <w:r w:rsidR="00791DE9" w:rsidRPr="008224F9">
              <w:rPr>
                <w:bCs/>
                <w:color w:val="auto"/>
                <w:sz w:val="20"/>
                <w:szCs w:val="20"/>
              </w:rPr>
              <w:t>.</w:t>
            </w:r>
            <w:r>
              <w:rPr>
                <w:bCs/>
                <w:color w:val="auto"/>
                <w:sz w:val="20"/>
                <w:szCs w:val="20"/>
              </w:rPr>
              <w:t>b</w:t>
            </w:r>
            <w:r w:rsidRPr="008224F9">
              <w:rPr>
                <w:bCs/>
                <w:color w:val="auto"/>
                <w:sz w:val="20"/>
                <w:szCs w:val="20"/>
              </w:rPr>
              <w:t xml:space="preserve"> </w:t>
            </w:r>
            <w:r w:rsidR="00791DE9" w:rsidRPr="008224F9">
              <w:rPr>
                <w:bCs/>
                <w:color w:val="auto"/>
                <w:sz w:val="20"/>
                <w:szCs w:val="20"/>
              </w:rPr>
              <w:t>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2048E10"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CAC060" w14:textId="1337B749"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7123CC6C" w14:textId="77777777" w:rsidTr="00964F8C">
        <w:tc>
          <w:tcPr>
            <w:tcW w:w="1560" w:type="dxa"/>
            <w:vMerge/>
            <w:tcBorders>
              <w:left w:val="single" w:sz="8" w:space="0" w:color="4F81BD"/>
              <w:right w:val="single" w:sz="8" w:space="0" w:color="4F81BD"/>
            </w:tcBorders>
            <w:shd w:val="clear" w:color="auto" w:fill="F2F2F2" w:themeFill="background1" w:themeFillShade="F2"/>
          </w:tcPr>
          <w:p w14:paraId="5E1C4FF2" w14:textId="77777777" w:rsidR="00791DE9" w:rsidRPr="004C4B9D" w:rsidRDefault="00791DE9" w:rsidP="00791DE9">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7F33D88B" w14:textId="39B7AD13" w:rsidR="00791DE9" w:rsidRPr="004C4B9D" w:rsidRDefault="008117F3" w:rsidP="00791DE9">
            <w:pPr>
              <w:pStyle w:val="Tableformat"/>
              <w:rPr>
                <w:bCs/>
                <w:color w:val="auto"/>
                <w:sz w:val="20"/>
                <w:szCs w:val="20"/>
              </w:rPr>
            </w:pPr>
            <w:r>
              <w:rPr>
                <w:bCs/>
                <w:color w:val="auto"/>
                <w:sz w:val="20"/>
                <w:szCs w:val="20"/>
              </w:rPr>
              <w:t>5</w:t>
            </w:r>
            <w:r w:rsidR="00791DE9" w:rsidRPr="008224F9">
              <w:rPr>
                <w:bCs/>
                <w:color w:val="auto"/>
                <w:sz w:val="20"/>
                <w:szCs w:val="20"/>
              </w:rPr>
              <w:t xml:space="preserve">. Contribute to delivery of the MDBA-led SDL Accounting Framework Improvement Strategy 2020-25 </w:t>
            </w:r>
            <w:r w:rsidR="007C3B81" w:rsidRPr="008224F9">
              <w:rPr>
                <w:bCs/>
                <w:color w:val="auto"/>
                <w:sz w:val="20"/>
                <w:szCs w:val="20"/>
              </w:rPr>
              <w:t>work plan</w:t>
            </w:r>
            <w:r w:rsidR="00791DE9" w:rsidRPr="008224F9">
              <w:rPr>
                <w:bCs/>
                <w:color w:val="auto"/>
                <w:sz w:val="20"/>
                <w:szCs w:val="20"/>
              </w:rPr>
              <w:t>, including supplying data and quality assurance documentation.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074057" w14:textId="676D6BB6" w:rsidR="00791DE9" w:rsidRPr="004C4B9D" w:rsidRDefault="008117F3" w:rsidP="00341790">
            <w:pPr>
              <w:pStyle w:val="Tableformat"/>
              <w:rPr>
                <w:bCs/>
                <w:color w:val="auto"/>
                <w:sz w:val="20"/>
                <w:szCs w:val="20"/>
              </w:rPr>
            </w:pPr>
            <w:r>
              <w:rPr>
                <w:bCs/>
                <w:color w:val="auto"/>
                <w:sz w:val="20"/>
                <w:szCs w:val="20"/>
              </w:rPr>
              <w:t>5</w:t>
            </w:r>
            <w:r w:rsidR="00791DE9" w:rsidRPr="008224F9">
              <w:rPr>
                <w:bCs/>
                <w:color w:val="auto"/>
                <w:sz w:val="20"/>
                <w:szCs w:val="20"/>
              </w:rPr>
              <w:t>.</w:t>
            </w:r>
            <w:r>
              <w:rPr>
                <w:bCs/>
                <w:color w:val="auto"/>
                <w:sz w:val="20"/>
                <w:szCs w:val="20"/>
              </w:rPr>
              <w:t>a</w:t>
            </w:r>
            <w:r w:rsidRPr="008224F9">
              <w:rPr>
                <w:bCs/>
                <w:color w:val="auto"/>
                <w:sz w:val="20"/>
                <w:szCs w:val="20"/>
              </w:rPr>
              <w:t xml:space="preserve"> </w:t>
            </w:r>
            <w:r w:rsidR="00791DE9" w:rsidRPr="008224F9">
              <w:rPr>
                <w:bCs/>
                <w:color w:val="auto"/>
                <w:sz w:val="20"/>
                <w:szCs w:val="20"/>
              </w:rPr>
              <w:t xml:space="preserve">Implement the SDL Accounting Framework Improvement Strategy </w:t>
            </w:r>
            <w:r w:rsidR="007C3B81" w:rsidRPr="008224F9">
              <w:rPr>
                <w:bCs/>
                <w:color w:val="auto"/>
                <w:sz w:val="20"/>
                <w:szCs w:val="20"/>
              </w:rPr>
              <w:t>work plan</w:t>
            </w:r>
            <w:r w:rsidR="00791DE9" w:rsidRPr="008224F9">
              <w:rPr>
                <w:bCs/>
                <w:color w:val="auto"/>
                <w:sz w:val="20"/>
                <w:szCs w:val="20"/>
              </w:rPr>
              <w:t xml:space="preserve"> led by the MDBA, as relevant to the jurisdiction</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83BF630"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606C34" w14:textId="6BCA1608"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5FBC5804" w14:textId="77777777" w:rsidTr="00964F8C">
        <w:tc>
          <w:tcPr>
            <w:tcW w:w="1560" w:type="dxa"/>
            <w:vMerge/>
            <w:tcBorders>
              <w:left w:val="single" w:sz="8" w:space="0" w:color="4F81BD"/>
              <w:right w:val="single" w:sz="8" w:space="0" w:color="4F81BD"/>
            </w:tcBorders>
            <w:shd w:val="clear" w:color="auto" w:fill="F2F2F2" w:themeFill="background1" w:themeFillShade="F2"/>
          </w:tcPr>
          <w:p w14:paraId="05663AA8" w14:textId="77777777" w:rsidR="00791DE9" w:rsidRPr="004C4B9D" w:rsidRDefault="00791DE9" w:rsidP="00791DE9">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DE4F667" w14:textId="42BC26D8" w:rsidR="00791DE9" w:rsidRPr="004C4B9D" w:rsidRDefault="008117F3" w:rsidP="00791DE9">
            <w:pPr>
              <w:pStyle w:val="Tableformat"/>
              <w:rPr>
                <w:bCs/>
                <w:color w:val="auto"/>
                <w:sz w:val="20"/>
                <w:szCs w:val="20"/>
              </w:rPr>
            </w:pPr>
            <w:r>
              <w:rPr>
                <w:bCs/>
                <w:color w:val="auto"/>
                <w:sz w:val="20"/>
                <w:szCs w:val="20"/>
              </w:rPr>
              <w:t>6</w:t>
            </w:r>
            <w:r w:rsidR="00791DE9">
              <w:rPr>
                <w:bCs/>
                <w:color w:val="auto"/>
                <w:sz w:val="20"/>
                <w:szCs w:val="20"/>
              </w:rPr>
              <w:t xml:space="preserve">. </w:t>
            </w:r>
            <w:r w:rsidR="00791DE9" w:rsidRPr="004C4B9D">
              <w:rPr>
                <w:bCs/>
                <w:color w:val="auto"/>
                <w:sz w:val="20"/>
                <w:szCs w:val="20"/>
              </w:rPr>
              <w:t>Ensure State water planning frameworks that are included in Water Resource Plans remain consistent with the Basin Plan.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3CDB02D" w14:textId="472B02B6" w:rsidR="00791DE9" w:rsidRPr="004C4B9D" w:rsidRDefault="008117F3" w:rsidP="00791DE9">
            <w:pPr>
              <w:pStyle w:val="Tableformat"/>
              <w:rPr>
                <w:bCs/>
                <w:color w:val="auto"/>
                <w:sz w:val="20"/>
                <w:szCs w:val="20"/>
              </w:rPr>
            </w:pPr>
            <w:r>
              <w:rPr>
                <w:bCs/>
                <w:color w:val="auto"/>
                <w:sz w:val="20"/>
                <w:szCs w:val="20"/>
              </w:rPr>
              <w:t>6</w:t>
            </w:r>
            <w:r w:rsidR="00791DE9" w:rsidRPr="008224F9">
              <w:rPr>
                <w:bCs/>
                <w:color w:val="auto"/>
                <w:sz w:val="20"/>
                <w:szCs w:val="20"/>
              </w:rPr>
              <w:t>.a Submit amendments to WRPs to the Commonwealth for approval where state water planning frameworks in WRPs become inconsistent with the Basin Plan</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4EC7142"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C1D2B0" w14:textId="5813DC94"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735A3C79" w14:textId="77777777" w:rsidTr="00964F8C">
        <w:tc>
          <w:tcPr>
            <w:tcW w:w="1560" w:type="dxa"/>
            <w:vMerge/>
            <w:tcBorders>
              <w:left w:val="single" w:sz="8" w:space="0" w:color="4F81BD"/>
              <w:right w:val="single" w:sz="8" w:space="0" w:color="4F81BD"/>
            </w:tcBorders>
            <w:shd w:val="clear" w:color="auto" w:fill="F2F2F2" w:themeFill="background1" w:themeFillShade="F2"/>
          </w:tcPr>
          <w:p w14:paraId="5789867D" w14:textId="77777777" w:rsidR="00791DE9" w:rsidRPr="004C4B9D" w:rsidRDefault="00791DE9" w:rsidP="00791DE9">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51F95EF9" w14:textId="0D01F927" w:rsidR="00791DE9" w:rsidRPr="004C4B9D" w:rsidRDefault="008117F3" w:rsidP="00791DE9">
            <w:pPr>
              <w:pStyle w:val="Tableformat"/>
              <w:rPr>
                <w:bCs/>
                <w:color w:val="auto"/>
                <w:sz w:val="20"/>
                <w:szCs w:val="20"/>
              </w:rPr>
            </w:pPr>
            <w:r>
              <w:rPr>
                <w:bCs/>
                <w:color w:val="auto"/>
                <w:sz w:val="20"/>
                <w:szCs w:val="20"/>
              </w:rPr>
              <w:t>7</w:t>
            </w:r>
            <w:r w:rsidR="00791DE9">
              <w:rPr>
                <w:bCs/>
                <w:color w:val="auto"/>
                <w:sz w:val="20"/>
                <w:szCs w:val="20"/>
              </w:rPr>
              <w:t xml:space="preserve">. </w:t>
            </w:r>
            <w:r w:rsidR="00791DE9" w:rsidRPr="004C4B9D">
              <w:rPr>
                <w:bCs/>
                <w:color w:val="auto"/>
                <w:sz w:val="20"/>
                <w:szCs w:val="20"/>
              </w:rPr>
              <w:t>Deliver required Basin Plan monitoring, evaluation, science and reporting.</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6BD5012" w14:textId="1FC0096A" w:rsidR="00791DE9" w:rsidRPr="004C4B9D" w:rsidRDefault="008117F3" w:rsidP="00341790">
            <w:pPr>
              <w:pStyle w:val="Tableformat"/>
              <w:rPr>
                <w:bCs/>
                <w:color w:val="auto"/>
                <w:sz w:val="20"/>
                <w:szCs w:val="20"/>
              </w:rPr>
            </w:pPr>
            <w:r>
              <w:rPr>
                <w:bCs/>
                <w:color w:val="auto"/>
                <w:sz w:val="20"/>
                <w:szCs w:val="20"/>
              </w:rPr>
              <w:t>7</w:t>
            </w:r>
            <w:r w:rsidR="00791DE9">
              <w:rPr>
                <w:bCs/>
                <w:color w:val="auto"/>
                <w:sz w:val="20"/>
                <w:szCs w:val="20"/>
              </w:rPr>
              <w:t xml:space="preserve">.a </w:t>
            </w:r>
            <w:r w:rsidR="00791DE9" w:rsidRPr="004C4B9D">
              <w:rPr>
                <w:bCs/>
                <w:color w:val="auto"/>
                <w:sz w:val="20"/>
                <w:szCs w:val="20"/>
              </w:rPr>
              <w:t>Deliver Basin Plan reporting under Schedule 12, including reporting under Matters 8, 12, 18 and 19</w:t>
            </w:r>
            <w:r>
              <w:rPr>
                <w:bCs/>
                <w:color w:val="auto"/>
                <w:sz w:val="20"/>
                <w:szCs w:val="20"/>
              </w:rPr>
              <w:t xml:space="preserve"> and 21 (compliance with water resource plans, such as but not limited to Parts 4, 6, 14)</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B5A5AC"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A176DF" w14:textId="1E5844A2" w:rsidR="00791DE9" w:rsidRPr="004C4B9D" w:rsidRDefault="00791DE9">
            <w:pPr>
              <w:pStyle w:val="Tableformat"/>
              <w:rPr>
                <w:bCs/>
                <w:color w:val="auto"/>
                <w:sz w:val="20"/>
                <w:szCs w:val="20"/>
              </w:rPr>
            </w:pPr>
            <w:r>
              <w:rPr>
                <w:bCs/>
                <w:color w:val="auto"/>
                <w:sz w:val="20"/>
                <w:szCs w:val="20"/>
              </w:rPr>
              <w:t>$</w:t>
            </w:r>
            <w:r w:rsidR="00C93BD3">
              <w:rPr>
                <w:bCs/>
                <w:color w:val="auto"/>
                <w:sz w:val="20"/>
                <w:szCs w:val="20"/>
              </w:rPr>
              <w:t>38,509</w:t>
            </w:r>
          </w:p>
        </w:tc>
      </w:tr>
      <w:tr w:rsidR="00791DE9" w:rsidRPr="004C4B9D" w14:paraId="6CEC445B" w14:textId="77777777" w:rsidTr="00964F8C">
        <w:tc>
          <w:tcPr>
            <w:tcW w:w="1560" w:type="dxa"/>
            <w:vMerge/>
            <w:tcBorders>
              <w:left w:val="single" w:sz="8" w:space="0" w:color="4F81BD"/>
              <w:right w:val="single" w:sz="8" w:space="0" w:color="4F81BD"/>
            </w:tcBorders>
            <w:shd w:val="clear" w:color="auto" w:fill="F2F2F2" w:themeFill="background1" w:themeFillShade="F2"/>
          </w:tcPr>
          <w:p w14:paraId="67CEEAA3" w14:textId="77777777" w:rsidR="00791DE9" w:rsidRPr="004C4B9D" w:rsidRDefault="00791DE9" w:rsidP="00791DE9">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080C52A6" w14:textId="77777777" w:rsidR="00791DE9" w:rsidRPr="004C4B9D"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BCB5F34" w14:textId="32F9A694" w:rsidR="00791DE9" w:rsidRPr="004C4B9D" w:rsidRDefault="008117F3" w:rsidP="00791DE9">
            <w:pPr>
              <w:pStyle w:val="Tableformat"/>
              <w:rPr>
                <w:bCs/>
                <w:color w:val="auto"/>
                <w:sz w:val="20"/>
                <w:szCs w:val="20"/>
              </w:rPr>
            </w:pPr>
            <w:r>
              <w:rPr>
                <w:bCs/>
                <w:color w:val="auto"/>
                <w:sz w:val="20"/>
                <w:szCs w:val="20"/>
              </w:rPr>
              <w:t>7</w:t>
            </w:r>
            <w:r w:rsidR="00791DE9">
              <w:rPr>
                <w:bCs/>
                <w:color w:val="auto"/>
                <w:sz w:val="20"/>
                <w:szCs w:val="20"/>
              </w:rPr>
              <w:t xml:space="preserve">.b </w:t>
            </w:r>
            <w:r w:rsidR="00791DE9" w:rsidRPr="004C4B9D">
              <w:rPr>
                <w:bCs/>
                <w:color w:val="auto"/>
                <w:sz w:val="20"/>
                <w:szCs w:val="20"/>
              </w:rPr>
              <w:t xml:space="preserve">Deliver on </w:t>
            </w:r>
            <w:r w:rsidR="00791DE9">
              <w:rPr>
                <w:bCs/>
                <w:color w:val="auto"/>
                <w:sz w:val="20"/>
                <w:szCs w:val="20"/>
              </w:rPr>
              <w:t xml:space="preserve">agreed </w:t>
            </w:r>
            <w:r w:rsidR="00791DE9"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791DE9" w:rsidRPr="004C4B9D">
              <w:rPr>
                <w:bCs/>
                <w:color w:val="auto"/>
                <w:sz w:val="20"/>
                <w:szCs w:val="20"/>
              </w:rPr>
              <w:t xml:space="preserve"> as endorsed by BOCA.</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41030DF"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C2FB2D5" w14:textId="584DFA6E" w:rsidR="00791DE9" w:rsidRPr="004C4B9D" w:rsidRDefault="00791DE9">
            <w:pPr>
              <w:pStyle w:val="Tableformat"/>
              <w:rPr>
                <w:bCs/>
                <w:color w:val="auto"/>
                <w:sz w:val="20"/>
                <w:szCs w:val="20"/>
              </w:rPr>
            </w:pPr>
            <w:r>
              <w:rPr>
                <w:bCs/>
                <w:color w:val="auto"/>
                <w:sz w:val="20"/>
                <w:szCs w:val="20"/>
              </w:rPr>
              <w:t>$</w:t>
            </w:r>
            <w:r w:rsidR="00C93BD3">
              <w:rPr>
                <w:bCs/>
                <w:color w:val="auto"/>
                <w:sz w:val="20"/>
                <w:szCs w:val="20"/>
              </w:rPr>
              <w:t>38,509</w:t>
            </w:r>
          </w:p>
        </w:tc>
      </w:tr>
      <w:tr w:rsidR="00791DE9" w:rsidRPr="004C4B9D" w14:paraId="31378FF7" w14:textId="77777777" w:rsidTr="00964F8C">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2D6DBACC" w14:textId="77777777" w:rsidR="00791DE9" w:rsidRPr="004C4B9D" w:rsidRDefault="00791DE9" w:rsidP="00791DE9">
            <w:pPr>
              <w:pStyle w:val="Tableformat"/>
              <w:rPr>
                <w:bCs/>
                <w:color w:val="auto"/>
                <w:sz w:val="20"/>
                <w:szCs w:val="20"/>
              </w:rPr>
            </w:pPr>
            <w:r w:rsidRPr="004C4B9D">
              <w:rPr>
                <w:bCs/>
                <w:color w:val="auto"/>
                <w:sz w:val="20"/>
                <w:szCs w:val="20"/>
              </w:rPr>
              <w:t>Water market improvement</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A40298" w14:textId="3D286A8A" w:rsidR="00791DE9" w:rsidRPr="004C4B9D" w:rsidRDefault="00C93BD3">
            <w:pPr>
              <w:pStyle w:val="Tableformat"/>
              <w:rPr>
                <w:bCs/>
                <w:color w:val="auto"/>
                <w:sz w:val="20"/>
                <w:szCs w:val="20"/>
              </w:rPr>
            </w:pPr>
            <w:r>
              <w:rPr>
                <w:bCs/>
                <w:color w:val="auto"/>
                <w:sz w:val="20"/>
                <w:szCs w:val="20"/>
              </w:rPr>
              <w:t>8</w:t>
            </w:r>
            <w:r w:rsidR="00791DE9">
              <w:rPr>
                <w:bCs/>
                <w:color w:val="auto"/>
                <w:sz w:val="20"/>
                <w:szCs w:val="20"/>
              </w:rPr>
              <w:t xml:space="preserve">. </w:t>
            </w:r>
            <w:r w:rsidR="00791DE9" w:rsidRPr="004C4B9D">
              <w:rPr>
                <w:bCs/>
                <w:color w:val="auto"/>
                <w:sz w:val="20"/>
                <w:szCs w:val="20"/>
              </w:rPr>
              <w:t>Improve water market trading arrangements across the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0045CEE" w14:textId="783A4451" w:rsidR="00791DE9" w:rsidRPr="004C4B9D" w:rsidRDefault="00C93BD3">
            <w:pPr>
              <w:pStyle w:val="Tableformat"/>
              <w:rPr>
                <w:bCs/>
                <w:color w:val="auto"/>
                <w:sz w:val="20"/>
                <w:szCs w:val="20"/>
              </w:rPr>
            </w:pPr>
            <w:r>
              <w:rPr>
                <w:bCs/>
                <w:color w:val="auto"/>
                <w:sz w:val="20"/>
                <w:szCs w:val="20"/>
              </w:rPr>
              <w:t>8</w:t>
            </w:r>
            <w:r w:rsidR="00791DE9" w:rsidRPr="008224F9">
              <w:rPr>
                <w:bCs/>
                <w:color w:val="auto"/>
                <w:sz w:val="20"/>
                <w:szCs w:val="20"/>
              </w:rPr>
              <w:t>.</w:t>
            </w:r>
            <w:r w:rsidR="008117F3">
              <w:rPr>
                <w:bCs/>
                <w:color w:val="auto"/>
                <w:sz w:val="20"/>
                <w:szCs w:val="20"/>
              </w:rPr>
              <w:t>a</w:t>
            </w:r>
            <w:r w:rsidR="008117F3" w:rsidRPr="008224F9">
              <w:rPr>
                <w:bCs/>
                <w:color w:val="auto"/>
                <w:sz w:val="20"/>
                <w:szCs w:val="20"/>
              </w:rPr>
              <w:t xml:space="preserve"> </w:t>
            </w:r>
            <w:r w:rsidR="00791DE9" w:rsidRPr="008224F9">
              <w:rPr>
                <w:bCs/>
                <w:color w:val="auto"/>
                <w:sz w:val="20"/>
                <w:szCs w:val="20"/>
              </w:rPr>
              <w:t>Implement agreed projects and programs arising from a finalised road map for Murray-Darling Basin water market reform</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6DFCE4"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8B75EA" w14:textId="6E5BC81E"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7B11EDCA" w14:textId="77777777" w:rsidTr="00964F8C">
        <w:tc>
          <w:tcPr>
            <w:tcW w:w="1560" w:type="dxa"/>
            <w:vMerge/>
            <w:tcBorders>
              <w:left w:val="single" w:sz="8" w:space="0" w:color="4F81BD"/>
              <w:right w:val="single" w:sz="8" w:space="0" w:color="4F81BD"/>
            </w:tcBorders>
            <w:shd w:val="clear" w:color="auto" w:fill="F2F2F2" w:themeFill="background1" w:themeFillShade="F2"/>
          </w:tcPr>
          <w:p w14:paraId="3B9AB73F" w14:textId="77777777" w:rsidR="00791DE9" w:rsidRPr="004C4B9D" w:rsidRDefault="00791DE9" w:rsidP="00791DE9">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3974AE6C" w14:textId="255217FE" w:rsidR="00791DE9" w:rsidRPr="004C4B9D" w:rsidRDefault="00C93BD3">
            <w:pPr>
              <w:pStyle w:val="Tableformat"/>
              <w:rPr>
                <w:bCs/>
                <w:color w:val="auto"/>
                <w:sz w:val="20"/>
                <w:szCs w:val="20"/>
              </w:rPr>
            </w:pPr>
            <w:r>
              <w:rPr>
                <w:bCs/>
                <w:color w:val="auto"/>
                <w:sz w:val="20"/>
                <w:szCs w:val="20"/>
              </w:rPr>
              <w:t>9</w:t>
            </w:r>
            <w:r w:rsidR="00791DE9">
              <w:rPr>
                <w:bCs/>
                <w:color w:val="auto"/>
                <w:sz w:val="20"/>
                <w:szCs w:val="20"/>
              </w:rPr>
              <w:t xml:space="preserve">. </w:t>
            </w:r>
            <w:r w:rsidR="00791DE9" w:rsidRPr="004C4B9D">
              <w:rPr>
                <w:bCs/>
                <w:color w:val="auto"/>
                <w:sz w:val="20"/>
                <w:szCs w:val="20"/>
              </w:rPr>
              <w:t>Establish two-way entitlement and allocation trade between the ACT and NSW, to ensure protection of future environmental water downstream from the ACT.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C544A76" w14:textId="657C5E5D" w:rsidR="00791DE9" w:rsidRPr="004C4B9D" w:rsidRDefault="00C93BD3">
            <w:pPr>
              <w:pStyle w:val="Tableformat"/>
              <w:rPr>
                <w:bCs/>
                <w:color w:val="auto"/>
                <w:sz w:val="20"/>
                <w:szCs w:val="20"/>
              </w:rPr>
            </w:pPr>
            <w:r>
              <w:rPr>
                <w:bCs/>
                <w:color w:val="auto"/>
                <w:sz w:val="20"/>
                <w:szCs w:val="20"/>
              </w:rPr>
              <w:t>9</w:t>
            </w:r>
            <w:r w:rsidR="00791DE9" w:rsidRPr="008224F9">
              <w:rPr>
                <w:bCs/>
                <w:color w:val="auto"/>
                <w:sz w:val="20"/>
                <w:szCs w:val="20"/>
              </w:rPr>
              <w:t>.</w:t>
            </w:r>
            <w:r w:rsidR="008117F3">
              <w:rPr>
                <w:bCs/>
                <w:color w:val="auto"/>
                <w:sz w:val="20"/>
                <w:szCs w:val="20"/>
              </w:rPr>
              <w:t>a</w:t>
            </w:r>
            <w:r w:rsidR="008117F3" w:rsidRPr="008224F9">
              <w:rPr>
                <w:bCs/>
                <w:color w:val="auto"/>
                <w:sz w:val="20"/>
                <w:szCs w:val="20"/>
              </w:rPr>
              <w:t xml:space="preserve"> </w:t>
            </w:r>
            <w:r w:rsidR="00791DE9" w:rsidRPr="008224F9">
              <w:rPr>
                <w:bCs/>
                <w:color w:val="auto"/>
                <w:sz w:val="20"/>
                <w:szCs w:val="20"/>
              </w:rPr>
              <w:t xml:space="preserve">Implement the agreed work plan to establish a transfer and trade mechanism with </w:t>
            </w:r>
            <w:r w:rsidR="00791DE9">
              <w:rPr>
                <w:bCs/>
                <w:color w:val="auto"/>
                <w:sz w:val="20"/>
                <w:szCs w:val="20"/>
              </w:rPr>
              <w:t>NSW</w:t>
            </w:r>
            <w:r w:rsidR="00791DE9" w:rsidRPr="008224F9">
              <w:rPr>
                <w:bCs/>
                <w:color w:val="auto"/>
                <w:sz w:val="20"/>
                <w:szCs w:val="20"/>
              </w:rPr>
              <w:t>, noting that establishment of this mechanism is to be in accordance with the principles agreed on 01/09/2021</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B979EA"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E86F92C" w14:textId="6F3CFC6F"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0C33F8CA" w14:textId="77777777" w:rsidTr="00964F8C">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79DC524B" w14:textId="77777777" w:rsidR="00791DE9" w:rsidRPr="004C4B9D" w:rsidRDefault="00791DE9" w:rsidP="00791DE9">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144E0774" w14:textId="77777777" w:rsidR="00791DE9" w:rsidRPr="004C4B9D"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0809887" w14:textId="15339651" w:rsidR="00791DE9" w:rsidRPr="004C4B9D" w:rsidRDefault="00C93BD3">
            <w:pPr>
              <w:pStyle w:val="Tableformat"/>
              <w:rPr>
                <w:bCs/>
                <w:color w:val="auto"/>
                <w:sz w:val="20"/>
                <w:szCs w:val="20"/>
              </w:rPr>
            </w:pPr>
            <w:r>
              <w:rPr>
                <w:bCs/>
                <w:color w:val="auto"/>
                <w:sz w:val="20"/>
                <w:szCs w:val="20"/>
              </w:rPr>
              <w:t>9</w:t>
            </w:r>
            <w:r w:rsidR="00791DE9" w:rsidRPr="008224F9">
              <w:rPr>
                <w:bCs/>
                <w:color w:val="auto"/>
                <w:sz w:val="20"/>
                <w:szCs w:val="20"/>
              </w:rPr>
              <w:t>.</w:t>
            </w:r>
            <w:r w:rsidR="008117F3">
              <w:rPr>
                <w:bCs/>
                <w:color w:val="auto"/>
                <w:sz w:val="20"/>
                <w:szCs w:val="20"/>
              </w:rPr>
              <w:t>b</w:t>
            </w:r>
            <w:r w:rsidR="008117F3" w:rsidRPr="008224F9">
              <w:rPr>
                <w:bCs/>
                <w:color w:val="auto"/>
                <w:sz w:val="20"/>
                <w:szCs w:val="20"/>
              </w:rPr>
              <w:t xml:space="preserve"> </w:t>
            </w:r>
            <w:r w:rsidR="00791DE9">
              <w:rPr>
                <w:bCs/>
                <w:color w:val="auto"/>
                <w:sz w:val="20"/>
                <w:szCs w:val="20"/>
              </w:rPr>
              <w:t>Trial, test and e</w:t>
            </w:r>
            <w:r w:rsidR="00791DE9" w:rsidRPr="008224F9">
              <w:rPr>
                <w:bCs/>
                <w:color w:val="auto"/>
                <w:sz w:val="20"/>
                <w:szCs w:val="20"/>
              </w:rPr>
              <w:t xml:space="preserve">stablish the transfer and trade mechanism with </w:t>
            </w:r>
            <w:r w:rsidR="00791DE9">
              <w:rPr>
                <w:bCs/>
                <w:color w:val="auto"/>
                <w:sz w:val="20"/>
                <w:szCs w:val="20"/>
              </w:rPr>
              <w:t>NSW</w:t>
            </w:r>
            <w:r w:rsidR="00791DE9" w:rsidRPr="008224F9">
              <w:rPr>
                <w:bCs/>
                <w:color w:val="auto"/>
                <w:sz w:val="20"/>
                <w:szCs w:val="20"/>
              </w:rPr>
              <w:t xml:space="preserve"> developed in accordance with the principles agreed on 01/09/2021</w:t>
            </w:r>
            <w:r w:rsidR="00791DE9" w:rsidRPr="004C4B9D">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0682D0A"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794A2BD" w14:textId="771A4D55"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06DA4E7C" w14:textId="77777777" w:rsidTr="006F3A9B">
        <w:tc>
          <w:tcPr>
            <w:tcW w:w="1560" w:type="dxa"/>
            <w:vMerge w:val="restart"/>
            <w:tcBorders>
              <w:top w:val="single" w:sz="8" w:space="0" w:color="4F81BD"/>
              <w:left w:val="single" w:sz="8" w:space="0" w:color="4F81BD"/>
              <w:right w:val="single" w:sz="8" w:space="0" w:color="4F81BD"/>
            </w:tcBorders>
            <w:shd w:val="clear" w:color="auto" w:fill="F2F2F2" w:themeFill="background1" w:themeFillShade="F2"/>
          </w:tcPr>
          <w:p w14:paraId="40DC25D7" w14:textId="77777777" w:rsidR="00791DE9" w:rsidRPr="004C4B9D" w:rsidRDefault="00791DE9" w:rsidP="00791DE9">
            <w:pPr>
              <w:pStyle w:val="Tableformat"/>
              <w:rPr>
                <w:bCs/>
                <w:color w:val="auto"/>
                <w:sz w:val="20"/>
                <w:szCs w:val="20"/>
              </w:rPr>
            </w:pPr>
            <w:r w:rsidRPr="004C4B9D">
              <w:rPr>
                <w:bCs/>
                <w:color w:val="auto"/>
                <w:sz w:val="20"/>
                <w:szCs w:val="20"/>
              </w:rPr>
              <w:t>Improved compliance and reporting</w:t>
            </w: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58A47562" w14:textId="23C0FA5D" w:rsidR="00791DE9" w:rsidRPr="004C4B9D" w:rsidRDefault="00C93BD3">
            <w:pPr>
              <w:pStyle w:val="Tableformat"/>
              <w:rPr>
                <w:bCs/>
                <w:color w:val="auto"/>
                <w:sz w:val="20"/>
                <w:szCs w:val="20"/>
              </w:rPr>
            </w:pPr>
            <w:r>
              <w:rPr>
                <w:bCs/>
                <w:color w:val="auto"/>
                <w:sz w:val="20"/>
                <w:szCs w:val="20"/>
              </w:rPr>
              <w:t>10</w:t>
            </w:r>
            <w:r w:rsidR="00791DE9">
              <w:rPr>
                <w:bCs/>
                <w:color w:val="auto"/>
                <w:sz w:val="20"/>
                <w:szCs w:val="20"/>
              </w:rPr>
              <w:t xml:space="preserve">. </w:t>
            </w:r>
            <w:r w:rsidR="00791DE9" w:rsidRPr="004C4B9D">
              <w:rPr>
                <w:bCs/>
                <w:color w:val="auto"/>
                <w:sz w:val="20"/>
                <w:szCs w:val="20"/>
              </w:rPr>
              <w:t xml:space="preserve">Implement revised Metrological Assurance Framework (MAF2)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83806FF" w14:textId="59D50AB9" w:rsidR="00791DE9" w:rsidRPr="004C4B9D" w:rsidRDefault="00C93BD3">
            <w:pPr>
              <w:pStyle w:val="Tableformat"/>
              <w:rPr>
                <w:bCs/>
                <w:color w:val="auto"/>
                <w:sz w:val="20"/>
                <w:szCs w:val="20"/>
              </w:rPr>
            </w:pPr>
            <w:r>
              <w:rPr>
                <w:bCs/>
                <w:color w:val="auto"/>
                <w:sz w:val="20"/>
                <w:szCs w:val="20"/>
              </w:rPr>
              <w:t>10</w:t>
            </w:r>
            <w:r w:rsidR="00791DE9" w:rsidRPr="008224F9">
              <w:rPr>
                <w:bCs/>
                <w:color w:val="auto"/>
                <w:sz w:val="20"/>
                <w:szCs w:val="20"/>
              </w:rPr>
              <w:t>.</w:t>
            </w:r>
            <w:r w:rsidR="008117F3">
              <w:rPr>
                <w:bCs/>
                <w:color w:val="auto"/>
                <w:sz w:val="20"/>
                <w:szCs w:val="20"/>
              </w:rPr>
              <w:t>a</w:t>
            </w:r>
            <w:r w:rsidR="008117F3" w:rsidRPr="008224F9">
              <w:rPr>
                <w:bCs/>
                <w:color w:val="auto"/>
                <w:sz w:val="20"/>
                <w:szCs w:val="20"/>
              </w:rPr>
              <w:t xml:space="preserve"> </w:t>
            </w:r>
            <w:r w:rsidR="00791DE9" w:rsidRPr="008224F9">
              <w:rPr>
                <w:bCs/>
                <w:color w:val="auto"/>
                <w:sz w:val="20"/>
                <w:szCs w:val="20"/>
              </w:rPr>
              <w:t>Progress the integration of MAF2 requirements into the state’s metering compliance plan/policy in accordance with the implementation pla</w:t>
            </w:r>
            <w:r w:rsidR="00791DE9">
              <w:rPr>
                <w:bCs/>
                <w:color w:val="auto"/>
                <w:sz w:val="20"/>
                <w:szCs w:val="20"/>
              </w:rPr>
              <w:t>n</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87128AC"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83225A1" w14:textId="5D0936C5"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17AD4DC2" w14:textId="77777777" w:rsidTr="00964F8C">
        <w:tc>
          <w:tcPr>
            <w:tcW w:w="1560" w:type="dxa"/>
            <w:vMerge/>
            <w:tcBorders>
              <w:left w:val="single" w:sz="8" w:space="0" w:color="4F81BD"/>
              <w:right w:val="single" w:sz="8" w:space="0" w:color="4F81BD"/>
            </w:tcBorders>
            <w:shd w:val="clear" w:color="auto" w:fill="F2F2F2" w:themeFill="background1" w:themeFillShade="F2"/>
          </w:tcPr>
          <w:p w14:paraId="000198FB" w14:textId="77777777" w:rsidR="00791DE9" w:rsidRPr="004C4B9D" w:rsidRDefault="00791DE9" w:rsidP="00791DE9">
            <w:pPr>
              <w:pStyle w:val="Tableformat"/>
              <w:rPr>
                <w:bCs/>
                <w:color w:val="auto"/>
                <w:sz w:val="20"/>
                <w:szCs w:val="20"/>
              </w:rPr>
            </w:pPr>
          </w:p>
        </w:tc>
        <w:tc>
          <w:tcPr>
            <w:tcW w:w="2551" w:type="dxa"/>
            <w:vMerge w:val="restart"/>
            <w:tcBorders>
              <w:top w:val="single" w:sz="8" w:space="0" w:color="4F81BD"/>
              <w:left w:val="single" w:sz="8" w:space="0" w:color="4F81BD"/>
              <w:right w:val="single" w:sz="8" w:space="0" w:color="4F81BD"/>
            </w:tcBorders>
            <w:shd w:val="clear" w:color="auto" w:fill="F2F2F2" w:themeFill="background1" w:themeFillShade="F2"/>
          </w:tcPr>
          <w:p w14:paraId="585695EC" w14:textId="668092C7" w:rsidR="00791DE9" w:rsidRPr="004C4B9D" w:rsidRDefault="00C93BD3">
            <w:pPr>
              <w:pStyle w:val="Tableformat"/>
              <w:rPr>
                <w:bCs/>
                <w:color w:val="auto"/>
                <w:sz w:val="20"/>
                <w:szCs w:val="20"/>
              </w:rPr>
            </w:pPr>
            <w:r>
              <w:rPr>
                <w:bCs/>
                <w:color w:val="auto"/>
                <w:sz w:val="20"/>
                <w:szCs w:val="20"/>
              </w:rPr>
              <w:t>11</w:t>
            </w:r>
            <w:r w:rsidR="00791DE9">
              <w:rPr>
                <w:bCs/>
                <w:color w:val="auto"/>
                <w:sz w:val="20"/>
                <w:szCs w:val="20"/>
              </w:rPr>
              <w:t xml:space="preserve">. </w:t>
            </w:r>
            <w:r w:rsidR="00791DE9" w:rsidRPr="001920CF">
              <w:rPr>
                <w:bCs/>
                <w:color w:val="auto"/>
                <w:sz w:val="20"/>
                <w:szCs w:val="20"/>
              </w:rPr>
              <w:t>Work with the Inspector General of Water Compliance (IGWC) to provide clear compliance arrangements and reporting in the Murray-Darling Basin.</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CC2562E" w14:textId="5D2EE41C" w:rsidR="00791DE9" w:rsidRPr="004C4B9D" w:rsidRDefault="00C93BD3">
            <w:pPr>
              <w:pStyle w:val="Tableformat"/>
              <w:rPr>
                <w:bCs/>
                <w:color w:val="auto"/>
                <w:sz w:val="20"/>
                <w:szCs w:val="20"/>
              </w:rPr>
            </w:pPr>
            <w:r>
              <w:rPr>
                <w:bCs/>
                <w:color w:val="auto"/>
                <w:sz w:val="20"/>
                <w:szCs w:val="20"/>
              </w:rPr>
              <w:t>11</w:t>
            </w:r>
            <w:r w:rsidR="00791DE9" w:rsidRPr="008224F9">
              <w:rPr>
                <w:bCs/>
                <w:color w:val="auto"/>
                <w:sz w:val="20"/>
                <w:szCs w:val="20"/>
              </w:rPr>
              <w:t>.</w:t>
            </w:r>
            <w:r w:rsidR="008117F3">
              <w:rPr>
                <w:bCs/>
                <w:color w:val="auto"/>
                <w:sz w:val="20"/>
                <w:szCs w:val="20"/>
              </w:rPr>
              <w:t>a</w:t>
            </w:r>
            <w:r w:rsidR="008117F3" w:rsidRPr="008224F9">
              <w:rPr>
                <w:bCs/>
                <w:color w:val="auto"/>
                <w:sz w:val="20"/>
                <w:szCs w:val="20"/>
              </w:rPr>
              <w:t xml:space="preserve"> </w:t>
            </w:r>
            <w:r w:rsidR="00791DE9" w:rsidRPr="008224F9">
              <w:rPr>
                <w:bCs/>
                <w:color w:val="auto"/>
                <w:sz w:val="20"/>
                <w:szCs w:val="20"/>
              </w:rPr>
              <w:t>Provide input to the IGWC on the development of standards and guidelines</w:t>
            </w:r>
            <w:r w:rsidR="00791DE9"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670E314"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3C42ADF" w14:textId="6AF1F9B6"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14:paraId="6820AE0A" w14:textId="77777777" w:rsidTr="00964F8C">
        <w:tc>
          <w:tcPr>
            <w:tcW w:w="1560" w:type="dxa"/>
            <w:vMerge/>
            <w:tcBorders>
              <w:left w:val="single" w:sz="8" w:space="0" w:color="4F81BD"/>
              <w:right w:val="single" w:sz="8" w:space="0" w:color="4F81BD"/>
            </w:tcBorders>
            <w:shd w:val="clear" w:color="auto" w:fill="F2F2F2" w:themeFill="background1" w:themeFillShade="F2"/>
          </w:tcPr>
          <w:p w14:paraId="6E8CCD69" w14:textId="77777777" w:rsidR="00791DE9" w:rsidRPr="004C4B9D" w:rsidRDefault="00791DE9" w:rsidP="00791DE9">
            <w:pPr>
              <w:pStyle w:val="Tableformat"/>
              <w:rPr>
                <w:bCs/>
                <w:color w:val="auto"/>
                <w:sz w:val="20"/>
                <w:szCs w:val="20"/>
              </w:rPr>
            </w:pPr>
          </w:p>
        </w:tc>
        <w:tc>
          <w:tcPr>
            <w:tcW w:w="2551" w:type="dxa"/>
            <w:vMerge/>
            <w:tcBorders>
              <w:left w:val="single" w:sz="8" w:space="0" w:color="4F81BD"/>
              <w:right w:val="single" w:sz="8" w:space="0" w:color="4F81BD"/>
            </w:tcBorders>
            <w:shd w:val="clear" w:color="auto" w:fill="F2F2F2" w:themeFill="background1" w:themeFillShade="F2"/>
          </w:tcPr>
          <w:p w14:paraId="2AB12F5B" w14:textId="77777777" w:rsidR="00791DE9" w:rsidRPr="001920CF"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72736C" w14:textId="4CD7CA3B" w:rsidR="00791DE9" w:rsidRPr="004C4B9D" w:rsidRDefault="00C93BD3">
            <w:pPr>
              <w:pStyle w:val="Tableformat"/>
              <w:rPr>
                <w:bCs/>
                <w:color w:val="auto"/>
                <w:sz w:val="20"/>
                <w:szCs w:val="20"/>
              </w:rPr>
            </w:pPr>
            <w:r>
              <w:rPr>
                <w:bCs/>
                <w:color w:val="auto"/>
                <w:sz w:val="20"/>
                <w:szCs w:val="20"/>
              </w:rPr>
              <w:t>11</w:t>
            </w:r>
            <w:r w:rsidR="00791DE9" w:rsidRPr="008224F9">
              <w:rPr>
                <w:bCs/>
                <w:color w:val="auto"/>
                <w:sz w:val="20"/>
                <w:szCs w:val="20"/>
              </w:rPr>
              <w:t>.</w:t>
            </w:r>
            <w:r w:rsidR="008117F3">
              <w:rPr>
                <w:bCs/>
                <w:color w:val="auto"/>
                <w:sz w:val="20"/>
                <w:szCs w:val="20"/>
              </w:rPr>
              <w:t>b</w:t>
            </w:r>
            <w:r w:rsidR="00512BED">
              <w:rPr>
                <w:bCs/>
                <w:color w:val="auto"/>
                <w:sz w:val="20"/>
                <w:szCs w:val="20"/>
              </w:rPr>
              <w:t xml:space="preserve"> </w:t>
            </w:r>
            <w:r w:rsidR="00791DE9" w:rsidRPr="008224F9">
              <w:rPr>
                <w:bCs/>
                <w:color w:val="auto"/>
                <w:sz w:val="20"/>
                <w:szCs w:val="20"/>
              </w:rPr>
              <w:t>Report to the IGWC against MAF2 Chapter 15 at least annually or in accordance with IGWC guidelines</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C2ED5F" w14:textId="77777777" w:rsidR="00791DE9"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192802" w14:textId="5A945F9A" w:rsidR="00791DE9"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14:paraId="449DA353" w14:textId="77777777" w:rsidTr="00964F8C">
        <w:tc>
          <w:tcPr>
            <w:tcW w:w="1560" w:type="dxa"/>
            <w:vMerge/>
            <w:tcBorders>
              <w:left w:val="single" w:sz="8" w:space="0" w:color="4F81BD"/>
              <w:right w:val="single" w:sz="8" w:space="0" w:color="4F81BD"/>
            </w:tcBorders>
            <w:shd w:val="clear" w:color="auto" w:fill="F2F2F2" w:themeFill="background1" w:themeFillShade="F2"/>
          </w:tcPr>
          <w:p w14:paraId="48C1A341" w14:textId="77777777" w:rsidR="00791DE9" w:rsidRPr="004C4B9D" w:rsidRDefault="00791DE9" w:rsidP="00791DE9">
            <w:pPr>
              <w:pStyle w:val="Tableformat"/>
              <w:rPr>
                <w:bCs/>
                <w:color w:val="auto"/>
                <w:sz w:val="20"/>
                <w:szCs w:val="20"/>
              </w:rPr>
            </w:pPr>
          </w:p>
        </w:tc>
        <w:tc>
          <w:tcPr>
            <w:tcW w:w="2551" w:type="dxa"/>
            <w:vMerge/>
            <w:tcBorders>
              <w:left w:val="single" w:sz="8" w:space="0" w:color="4F81BD"/>
              <w:bottom w:val="single" w:sz="8" w:space="0" w:color="4F81BD"/>
              <w:right w:val="single" w:sz="8" w:space="0" w:color="4F81BD"/>
            </w:tcBorders>
            <w:shd w:val="clear" w:color="auto" w:fill="F2F2F2" w:themeFill="background1" w:themeFillShade="F2"/>
          </w:tcPr>
          <w:p w14:paraId="47A0C47D" w14:textId="77777777" w:rsidR="00791DE9" w:rsidRPr="001920CF" w:rsidRDefault="00791DE9" w:rsidP="00791DE9">
            <w:pPr>
              <w:pStyle w:val="Tableformat"/>
              <w:rPr>
                <w:bCs/>
                <w:color w:val="auto"/>
                <w:sz w:val="20"/>
                <w:szCs w:val="20"/>
              </w:rPr>
            </w:pP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D9EBB02" w14:textId="1ACF6E2F" w:rsidR="00791DE9" w:rsidRPr="008224F9" w:rsidRDefault="00C93BD3">
            <w:pPr>
              <w:pStyle w:val="Tableformat"/>
              <w:rPr>
                <w:bCs/>
                <w:color w:val="auto"/>
                <w:sz w:val="20"/>
                <w:szCs w:val="20"/>
              </w:rPr>
            </w:pPr>
            <w:r>
              <w:rPr>
                <w:bCs/>
                <w:color w:val="auto"/>
                <w:sz w:val="20"/>
                <w:szCs w:val="20"/>
              </w:rPr>
              <w:t>11</w:t>
            </w:r>
            <w:r w:rsidR="00791DE9" w:rsidRPr="004D079A">
              <w:rPr>
                <w:bCs/>
                <w:color w:val="auto"/>
                <w:sz w:val="20"/>
                <w:szCs w:val="20"/>
              </w:rPr>
              <w:t>.</w:t>
            </w:r>
            <w:r w:rsidR="008117F3">
              <w:rPr>
                <w:bCs/>
                <w:color w:val="auto"/>
                <w:sz w:val="20"/>
                <w:szCs w:val="20"/>
              </w:rPr>
              <w:t>c</w:t>
            </w:r>
            <w:r w:rsidR="008117F3" w:rsidRPr="004D079A">
              <w:rPr>
                <w:bCs/>
                <w:color w:val="auto"/>
                <w:sz w:val="20"/>
                <w:szCs w:val="20"/>
              </w:rPr>
              <w:t xml:space="preserve"> </w:t>
            </w:r>
            <w:r w:rsidR="00791DE9" w:rsidRPr="004D079A">
              <w:rPr>
                <w:bCs/>
                <w:color w:val="auto"/>
                <w:sz w:val="20"/>
                <w:szCs w:val="20"/>
              </w:rPr>
              <w:t>Provide performance data to the IGWC subject to agreed reporting guidelines (annually)</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D79467E" w14:textId="77777777" w:rsidR="00791DE9"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9238E6" w14:textId="22C2D31F" w:rsidR="00791DE9"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04C2D69A" w14:textId="77777777" w:rsidTr="00964F8C">
        <w:tc>
          <w:tcPr>
            <w:tcW w:w="1560" w:type="dxa"/>
            <w:vMerge/>
            <w:tcBorders>
              <w:left w:val="single" w:sz="8" w:space="0" w:color="4F81BD"/>
              <w:right w:val="single" w:sz="8" w:space="0" w:color="4F81BD"/>
            </w:tcBorders>
            <w:shd w:val="clear" w:color="auto" w:fill="F2F2F2" w:themeFill="background1" w:themeFillShade="F2"/>
          </w:tcPr>
          <w:p w14:paraId="6E8F83D6" w14:textId="77777777" w:rsidR="00791DE9" w:rsidRPr="004C4B9D" w:rsidRDefault="00791DE9" w:rsidP="00791DE9">
            <w:pPr>
              <w:pStyle w:val="Tableformat"/>
              <w:rPr>
                <w:bCs/>
                <w:color w:val="auto"/>
                <w:sz w:val="20"/>
                <w:szCs w:val="20"/>
              </w:rPr>
            </w:pPr>
          </w:p>
        </w:tc>
        <w:tc>
          <w:tcPr>
            <w:tcW w:w="2551" w:type="dxa"/>
            <w:tcBorders>
              <w:top w:val="single" w:sz="8" w:space="0" w:color="4F81BD"/>
              <w:left w:val="single" w:sz="8" w:space="0" w:color="4F81BD"/>
              <w:right w:val="single" w:sz="8" w:space="0" w:color="4F81BD"/>
            </w:tcBorders>
            <w:shd w:val="clear" w:color="auto" w:fill="F2F2F2" w:themeFill="background1" w:themeFillShade="F2"/>
          </w:tcPr>
          <w:p w14:paraId="12C19D09" w14:textId="166C2BF9" w:rsidR="00791DE9" w:rsidRPr="004C4B9D" w:rsidRDefault="00C93BD3">
            <w:pPr>
              <w:pStyle w:val="Tableformat"/>
              <w:rPr>
                <w:bCs/>
                <w:color w:val="auto"/>
                <w:sz w:val="20"/>
                <w:szCs w:val="20"/>
              </w:rPr>
            </w:pPr>
            <w:r>
              <w:rPr>
                <w:bCs/>
                <w:color w:val="auto"/>
                <w:sz w:val="20"/>
                <w:szCs w:val="20"/>
              </w:rPr>
              <w:t>12</w:t>
            </w:r>
            <w:r w:rsidR="00791DE9">
              <w:rPr>
                <w:bCs/>
                <w:color w:val="auto"/>
                <w:sz w:val="20"/>
                <w:szCs w:val="20"/>
              </w:rPr>
              <w:t xml:space="preserve">. </w:t>
            </w:r>
            <w:r w:rsidR="00791DE9" w:rsidRPr="004C4B9D">
              <w:rPr>
                <w:bCs/>
                <w:color w:val="auto"/>
                <w:sz w:val="20"/>
                <w:szCs w:val="20"/>
              </w:rPr>
              <w:t xml:space="preserve">Response to the Compliance Compact Review </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B21227" w14:textId="7005495D" w:rsidR="00791DE9" w:rsidRPr="004C4B9D" w:rsidRDefault="00C93BD3">
            <w:pPr>
              <w:pStyle w:val="Tableformat"/>
              <w:rPr>
                <w:bCs/>
                <w:color w:val="auto"/>
                <w:sz w:val="20"/>
                <w:szCs w:val="20"/>
              </w:rPr>
            </w:pPr>
            <w:r>
              <w:rPr>
                <w:bCs/>
                <w:color w:val="auto"/>
                <w:sz w:val="20"/>
                <w:szCs w:val="20"/>
              </w:rPr>
              <w:t>12</w:t>
            </w:r>
            <w:r w:rsidR="00791DE9" w:rsidRPr="004D079A">
              <w:rPr>
                <w:bCs/>
                <w:color w:val="auto"/>
                <w:sz w:val="20"/>
                <w:szCs w:val="20"/>
              </w:rPr>
              <w:t>.</w:t>
            </w:r>
            <w:r w:rsidR="008117F3">
              <w:rPr>
                <w:bCs/>
                <w:color w:val="auto"/>
                <w:sz w:val="20"/>
                <w:szCs w:val="20"/>
              </w:rPr>
              <w:t>a</w:t>
            </w:r>
            <w:r w:rsidR="008117F3" w:rsidRPr="004D079A">
              <w:rPr>
                <w:bCs/>
                <w:color w:val="auto"/>
                <w:sz w:val="20"/>
                <w:szCs w:val="20"/>
              </w:rPr>
              <w:t xml:space="preserve"> </w:t>
            </w:r>
            <w:r w:rsidR="00791DE9" w:rsidRPr="004D079A">
              <w:rPr>
                <w:bCs/>
                <w:color w:val="auto"/>
                <w:sz w:val="20"/>
                <w:szCs w:val="20"/>
              </w:rPr>
              <w:t>Provide information on metering and telemetry thresholds to an independent analysis lead by the IGWC, including participation in the identification of Basin-wide minimum standards, and communicate on thresholds and standards</w:t>
            </w:r>
            <w:r w:rsidR="00791DE9" w:rsidRPr="001920CF">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26F1844"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B02C817" w14:textId="15DC7930" w:rsidR="00791DE9" w:rsidRPr="004C4B9D" w:rsidRDefault="00791DE9" w:rsidP="00791DE9">
            <w:pPr>
              <w:pStyle w:val="Tableformat"/>
              <w:rPr>
                <w:bCs/>
                <w:color w:val="auto"/>
                <w:sz w:val="20"/>
                <w:szCs w:val="20"/>
              </w:rPr>
            </w:pPr>
            <w:r>
              <w:rPr>
                <w:bCs/>
                <w:color w:val="auto"/>
                <w:sz w:val="20"/>
                <w:szCs w:val="20"/>
              </w:rPr>
              <w:t>$</w:t>
            </w:r>
            <w:r w:rsidR="00CA2D08">
              <w:rPr>
                <w:bCs/>
                <w:color w:val="auto"/>
                <w:sz w:val="20"/>
                <w:szCs w:val="20"/>
              </w:rPr>
              <w:t>25,673</w:t>
            </w:r>
          </w:p>
        </w:tc>
      </w:tr>
      <w:tr w:rsidR="00791DE9" w14:paraId="563B041E" w14:textId="77777777" w:rsidTr="00964F8C">
        <w:tc>
          <w:tcPr>
            <w:tcW w:w="1560" w:type="dxa"/>
            <w:vMerge/>
            <w:tcBorders>
              <w:left w:val="single" w:sz="8" w:space="0" w:color="4F81BD"/>
              <w:bottom w:val="single" w:sz="8" w:space="0" w:color="4F81BD"/>
              <w:right w:val="single" w:sz="8" w:space="0" w:color="4F81BD"/>
            </w:tcBorders>
            <w:shd w:val="clear" w:color="auto" w:fill="F2F2F2" w:themeFill="background1" w:themeFillShade="F2"/>
          </w:tcPr>
          <w:p w14:paraId="41AF86EB" w14:textId="77777777" w:rsidR="00791DE9" w:rsidRPr="004C4B9D" w:rsidRDefault="00791DE9" w:rsidP="00791DE9">
            <w:pPr>
              <w:pStyle w:val="Tableformat"/>
              <w:rPr>
                <w:bCs/>
                <w:color w:val="auto"/>
                <w:sz w:val="20"/>
                <w:szCs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D7CF53" w14:textId="1B783A45" w:rsidR="00791DE9" w:rsidRPr="004C4B9D" w:rsidRDefault="00C93BD3">
            <w:pPr>
              <w:pStyle w:val="Tableformat"/>
              <w:rPr>
                <w:bCs/>
                <w:color w:val="auto"/>
                <w:sz w:val="20"/>
                <w:szCs w:val="20"/>
              </w:rPr>
            </w:pPr>
            <w:r>
              <w:rPr>
                <w:bCs/>
                <w:color w:val="auto"/>
                <w:sz w:val="20"/>
                <w:szCs w:val="20"/>
              </w:rPr>
              <w:t>13</w:t>
            </w:r>
            <w:r w:rsidR="00791DE9">
              <w:rPr>
                <w:bCs/>
                <w:color w:val="auto"/>
                <w:sz w:val="20"/>
                <w:szCs w:val="20"/>
              </w:rPr>
              <w:t>. Compliance Compact oversight</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339507C" w14:textId="78FD091D" w:rsidR="00791DE9" w:rsidRPr="004C4B9D" w:rsidRDefault="00C93BD3">
            <w:pPr>
              <w:pStyle w:val="Tableformat"/>
              <w:rPr>
                <w:bCs/>
                <w:color w:val="auto"/>
                <w:sz w:val="20"/>
                <w:szCs w:val="20"/>
              </w:rPr>
            </w:pPr>
            <w:r>
              <w:rPr>
                <w:bCs/>
                <w:color w:val="auto"/>
                <w:sz w:val="20"/>
                <w:szCs w:val="20"/>
              </w:rPr>
              <w:t>13</w:t>
            </w:r>
            <w:r w:rsidR="00791DE9" w:rsidRPr="004D079A">
              <w:rPr>
                <w:bCs/>
                <w:color w:val="auto"/>
                <w:sz w:val="20"/>
                <w:szCs w:val="20"/>
              </w:rPr>
              <w:t>.a Provide information to the IGWC as requested and in accordance with agreed MOU/guidelines to enable oversight of Compliance Compact commitments</w:t>
            </w:r>
            <w:r w:rsidR="00791DE9" w:rsidRPr="00165E29">
              <w:rPr>
                <w:bCs/>
                <w:color w:val="auto"/>
                <w:sz w:val="20"/>
                <w:szCs w:val="20"/>
              </w:rPr>
              <w:t>.</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8D17AC5" w14:textId="77777777" w:rsidR="00791DE9"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75F833F" w14:textId="1E53895C" w:rsidR="00791DE9" w:rsidRDefault="00791DE9" w:rsidP="00CA2D08">
            <w:pPr>
              <w:pStyle w:val="Tableformat"/>
              <w:rPr>
                <w:bCs/>
                <w:color w:val="auto"/>
                <w:sz w:val="20"/>
                <w:szCs w:val="20"/>
              </w:rPr>
            </w:pPr>
            <w:r>
              <w:rPr>
                <w:bCs/>
                <w:color w:val="auto"/>
                <w:sz w:val="20"/>
                <w:szCs w:val="20"/>
              </w:rPr>
              <w:t>$</w:t>
            </w:r>
            <w:r w:rsidR="00CA2D08">
              <w:rPr>
                <w:bCs/>
                <w:color w:val="auto"/>
                <w:sz w:val="20"/>
                <w:szCs w:val="20"/>
              </w:rPr>
              <w:t>25,673</w:t>
            </w:r>
          </w:p>
        </w:tc>
      </w:tr>
      <w:tr w:rsidR="00791DE9" w:rsidRPr="004C4B9D" w14:paraId="1AD0BA4F" w14:textId="77777777" w:rsidTr="00964F8C">
        <w:tc>
          <w:tcPr>
            <w:tcW w:w="156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19D2E2" w14:textId="77777777" w:rsidR="00791DE9" w:rsidRPr="004C4B9D" w:rsidRDefault="00791DE9" w:rsidP="00791DE9">
            <w:pPr>
              <w:pStyle w:val="Tableformat"/>
              <w:rPr>
                <w:bCs/>
                <w:color w:val="auto"/>
                <w:sz w:val="20"/>
                <w:szCs w:val="20"/>
              </w:rPr>
            </w:pPr>
            <w:r w:rsidRPr="004C4B9D">
              <w:rPr>
                <w:bCs/>
                <w:color w:val="auto"/>
                <w:sz w:val="20"/>
                <w:szCs w:val="20"/>
              </w:rPr>
              <w:t>Enhanced and coordinated consultation and engagement with all Basin communities</w:t>
            </w:r>
          </w:p>
        </w:tc>
        <w:tc>
          <w:tcPr>
            <w:tcW w:w="255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BBF5BA" w14:textId="17254CE2" w:rsidR="00791DE9" w:rsidRPr="004C4B9D" w:rsidRDefault="00C93BD3">
            <w:pPr>
              <w:pStyle w:val="Tableformat"/>
              <w:rPr>
                <w:bCs/>
                <w:color w:val="auto"/>
                <w:sz w:val="20"/>
                <w:szCs w:val="20"/>
              </w:rPr>
            </w:pPr>
            <w:r>
              <w:rPr>
                <w:bCs/>
                <w:color w:val="auto"/>
                <w:sz w:val="20"/>
                <w:szCs w:val="20"/>
              </w:rPr>
              <w:t>14</w:t>
            </w:r>
            <w:r w:rsidR="00791DE9">
              <w:rPr>
                <w:bCs/>
                <w:color w:val="auto"/>
                <w:sz w:val="20"/>
                <w:szCs w:val="20"/>
              </w:rPr>
              <w:t xml:space="preserve">. </w:t>
            </w:r>
            <w:r w:rsidR="00791DE9" w:rsidRPr="004C4B9D">
              <w:rPr>
                <w:bCs/>
                <w:color w:val="auto"/>
                <w:sz w:val="20"/>
                <w:szCs w:val="20"/>
              </w:rPr>
              <w:t>Improve consultation and strategic engagement in collaboration with the Commonwealth and other Basin governments.</w:t>
            </w:r>
          </w:p>
        </w:tc>
        <w:tc>
          <w:tcPr>
            <w:tcW w:w="36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3CEC14E" w14:textId="4D969CD6" w:rsidR="00791DE9" w:rsidRPr="004C4B9D" w:rsidRDefault="00C93BD3">
            <w:pPr>
              <w:pStyle w:val="Tableformat"/>
              <w:rPr>
                <w:bCs/>
                <w:color w:val="auto"/>
                <w:sz w:val="20"/>
                <w:szCs w:val="20"/>
              </w:rPr>
            </w:pPr>
            <w:r>
              <w:rPr>
                <w:bCs/>
                <w:color w:val="auto"/>
                <w:sz w:val="20"/>
                <w:szCs w:val="20"/>
              </w:rPr>
              <w:t>14</w:t>
            </w:r>
            <w:r w:rsidR="00791DE9" w:rsidRPr="004D079A">
              <w:rPr>
                <w:bCs/>
                <w:color w:val="auto"/>
                <w:sz w:val="20"/>
                <w:szCs w:val="20"/>
              </w:rPr>
              <w:t>.a Report on improvements made on strategic consultation, engagement and coordination with Basin communities, in collaboration with the Commonwealth and other Basin governments</w:t>
            </w:r>
            <w:r w:rsidR="00791DE9" w:rsidRPr="004C4B9D">
              <w:rPr>
                <w:bCs/>
                <w:color w:val="auto"/>
                <w:sz w:val="20"/>
                <w:szCs w:val="20"/>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DDA93EC" w14:textId="77777777" w:rsidR="00791DE9" w:rsidRPr="004C4B9D" w:rsidRDefault="00791DE9" w:rsidP="00791DE9">
            <w:pPr>
              <w:pStyle w:val="Tableformat"/>
              <w:rPr>
                <w:bCs/>
                <w:color w:val="auto"/>
                <w:sz w:val="20"/>
                <w:szCs w:val="20"/>
              </w:rPr>
            </w:pPr>
            <w:r>
              <w:rPr>
                <w:bCs/>
                <w:color w:val="auto"/>
                <w:sz w:val="20"/>
                <w:szCs w:val="20"/>
              </w:rPr>
              <w:t>31 March 2023</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5697C41" w14:textId="23B21899" w:rsidR="00791DE9" w:rsidRPr="004C4B9D" w:rsidRDefault="00791DE9" w:rsidP="00CA2D08">
            <w:pPr>
              <w:pStyle w:val="Tableformat"/>
              <w:rPr>
                <w:bCs/>
                <w:color w:val="auto"/>
                <w:sz w:val="20"/>
                <w:szCs w:val="20"/>
              </w:rPr>
            </w:pPr>
            <w:r>
              <w:rPr>
                <w:bCs/>
                <w:color w:val="auto"/>
                <w:sz w:val="20"/>
                <w:szCs w:val="20"/>
              </w:rPr>
              <w:t>$</w:t>
            </w:r>
            <w:r w:rsidR="00CA2D08">
              <w:rPr>
                <w:bCs/>
                <w:color w:val="auto"/>
                <w:sz w:val="20"/>
                <w:szCs w:val="20"/>
              </w:rPr>
              <w:t>24,37</w:t>
            </w:r>
            <w:r w:rsidR="004924E3">
              <w:rPr>
                <w:bCs/>
                <w:color w:val="auto"/>
                <w:sz w:val="20"/>
                <w:szCs w:val="20"/>
              </w:rPr>
              <w:t>4</w:t>
            </w:r>
          </w:p>
        </w:tc>
      </w:tr>
      <w:tr w:rsidR="00964F8C" w:rsidRPr="00DD56FE" w14:paraId="2BDC99E3" w14:textId="77777777" w:rsidTr="00964F8C">
        <w:trPr>
          <w:trHeight w:val="447"/>
        </w:trPr>
        <w:tc>
          <w:tcPr>
            <w:tcW w:w="9073" w:type="dxa"/>
            <w:gridSpan w:val="4"/>
            <w:tcBorders>
              <w:left w:val="single" w:sz="8" w:space="0" w:color="4F81BD"/>
              <w:bottom w:val="single" w:sz="8" w:space="0" w:color="4F81BD"/>
              <w:right w:val="single" w:sz="8" w:space="0" w:color="4F81BD"/>
            </w:tcBorders>
            <w:shd w:val="clear" w:color="auto" w:fill="F2F2F2" w:themeFill="background1" w:themeFillShade="F2"/>
          </w:tcPr>
          <w:p w14:paraId="2EA9FB40" w14:textId="27553558" w:rsidR="00964F8C" w:rsidRPr="00DD56FE" w:rsidRDefault="00964F8C" w:rsidP="00964F8C">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the Australian Capital Territory for Year 2</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3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18936D" w14:textId="2AA34D0F" w:rsidR="00964F8C" w:rsidRPr="00DD56FE" w:rsidRDefault="00964F8C" w:rsidP="00964F8C">
            <w:pPr>
              <w:pStyle w:val="Tableformat"/>
              <w:rPr>
                <w:bCs/>
                <w:color w:val="auto"/>
                <w:sz w:val="20"/>
                <w:szCs w:val="20"/>
              </w:rPr>
            </w:pPr>
            <w:r w:rsidRPr="00DD56FE">
              <w:rPr>
                <w:bCs/>
                <w:color w:val="auto"/>
                <w:sz w:val="20"/>
                <w:szCs w:val="20"/>
              </w:rPr>
              <w:t>$</w:t>
            </w:r>
            <w:r>
              <w:rPr>
                <w:bCs/>
                <w:color w:val="auto"/>
                <w:sz w:val="20"/>
                <w:szCs w:val="20"/>
              </w:rPr>
              <w:t>658,5</w:t>
            </w:r>
            <w:r w:rsidRPr="00DD56FE">
              <w:rPr>
                <w:bCs/>
                <w:color w:val="auto"/>
                <w:sz w:val="20"/>
                <w:szCs w:val="20"/>
              </w:rPr>
              <w:t>00</w:t>
            </w:r>
          </w:p>
        </w:tc>
      </w:tr>
    </w:tbl>
    <w:p w14:paraId="342BD659" w14:textId="7E0D78F5" w:rsidR="00B60328" w:rsidRDefault="00B60328" w:rsidP="00931AA8">
      <w:pPr>
        <w:rPr>
          <w:lang w:val="en-GB"/>
        </w:rPr>
      </w:pPr>
      <w:r>
        <w:rPr>
          <w:lang w:val="en-GB"/>
        </w:rPr>
        <w:br w:type="page"/>
      </w:r>
    </w:p>
    <w:tbl>
      <w:tblPr>
        <w:tblW w:w="5244" w:type="pct"/>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74"/>
        <w:gridCol w:w="2582"/>
        <w:gridCol w:w="3641"/>
        <w:gridCol w:w="1275"/>
        <w:gridCol w:w="1135"/>
      </w:tblGrid>
      <w:tr w:rsidR="00767A48" w:rsidRPr="00F00A18" w14:paraId="43046795" w14:textId="77777777" w:rsidTr="00767A48">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D7CACF7" w14:textId="77777777" w:rsidR="00B60328" w:rsidRPr="00F00A18" w:rsidRDefault="00B60328" w:rsidP="006F3A9B">
            <w:pPr>
              <w:pStyle w:val="Tableformat"/>
              <w:tabs>
                <w:tab w:val="left" w:pos="6043"/>
              </w:tabs>
              <w:rPr>
                <w:b/>
                <w:color w:val="auto"/>
              </w:rPr>
            </w:pPr>
            <w:r>
              <w:rPr>
                <w:b/>
                <w:color w:val="auto"/>
              </w:rPr>
              <w:t>Table 2E</w:t>
            </w:r>
            <w:r w:rsidRPr="00F00A18">
              <w:rPr>
                <w:b/>
                <w:color w:val="auto"/>
              </w:rPr>
              <w:t xml:space="preserve">: </w:t>
            </w:r>
            <w:r>
              <w:rPr>
                <w:b/>
                <w:color w:val="auto"/>
              </w:rPr>
              <w:t xml:space="preserve">Australian Capital Territory </w:t>
            </w:r>
            <w:r w:rsidRPr="00F00A18">
              <w:rPr>
                <w:b/>
                <w:color w:val="auto"/>
              </w:rPr>
              <w:t>– Performance requirements, reporting and payment summary</w:t>
            </w:r>
          </w:p>
        </w:tc>
      </w:tr>
      <w:tr w:rsidR="00767A48" w:rsidRPr="00F00A18" w14:paraId="65BD040F" w14:textId="77777777" w:rsidTr="00767A48">
        <w:tc>
          <w:tcPr>
            <w:tcW w:w="10207"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B068F88" w14:textId="294BCA25" w:rsidR="00B60328" w:rsidRDefault="00B60328" w:rsidP="006F3A9B">
            <w:pPr>
              <w:pStyle w:val="Tableformat"/>
              <w:tabs>
                <w:tab w:val="left" w:pos="6043"/>
              </w:tabs>
              <w:rPr>
                <w:b/>
                <w:color w:val="auto"/>
              </w:rPr>
            </w:pPr>
            <w:r>
              <w:rPr>
                <w:b/>
                <w:color w:val="auto"/>
              </w:rPr>
              <w:t>Year 3: 2023-2024</w:t>
            </w:r>
          </w:p>
        </w:tc>
      </w:tr>
      <w:tr w:rsidR="00767A48" w:rsidRPr="00FD6EB4" w14:paraId="5CF82570" w14:textId="77777777" w:rsidTr="000044CA">
        <w:tc>
          <w:tcPr>
            <w:tcW w:w="1574" w:type="dxa"/>
            <w:shd w:val="clear" w:color="auto" w:fill="F2F2F2" w:themeFill="background1" w:themeFillShade="F2"/>
          </w:tcPr>
          <w:p w14:paraId="1F51A15F" w14:textId="77777777" w:rsidR="00B60328" w:rsidRPr="00FD6EB4" w:rsidRDefault="00B60328" w:rsidP="006F3A9B">
            <w:pPr>
              <w:pStyle w:val="Tableformat"/>
              <w:rPr>
                <w:b/>
                <w:color w:val="auto"/>
                <w:sz w:val="22"/>
                <w:szCs w:val="22"/>
              </w:rPr>
            </w:pPr>
            <w:r w:rsidRPr="00FD6EB4">
              <w:rPr>
                <w:b/>
                <w:color w:val="auto"/>
                <w:sz w:val="22"/>
                <w:szCs w:val="22"/>
              </w:rPr>
              <w:t>Output</w:t>
            </w:r>
            <w:r w:rsidRPr="00FD6EB4">
              <w:rPr>
                <w:b/>
                <w:color w:val="auto"/>
                <w:sz w:val="22"/>
                <w:szCs w:val="22"/>
              </w:rPr>
              <w:br/>
            </w:r>
          </w:p>
        </w:tc>
        <w:tc>
          <w:tcPr>
            <w:tcW w:w="2582" w:type="dxa"/>
            <w:shd w:val="clear" w:color="auto" w:fill="F2F2F2" w:themeFill="background1" w:themeFillShade="F2"/>
          </w:tcPr>
          <w:p w14:paraId="19A87EE6" w14:textId="77777777" w:rsidR="00B60328" w:rsidRPr="00FD6EB4" w:rsidRDefault="00B60328" w:rsidP="006F3A9B">
            <w:pPr>
              <w:pStyle w:val="Tableformat"/>
              <w:rPr>
                <w:b/>
                <w:color w:val="auto"/>
                <w:sz w:val="22"/>
                <w:szCs w:val="22"/>
              </w:rPr>
            </w:pPr>
            <w:r w:rsidRPr="00FD6EB4">
              <w:rPr>
                <w:b/>
                <w:color w:val="auto"/>
                <w:sz w:val="22"/>
                <w:szCs w:val="22"/>
              </w:rPr>
              <w:t>Performance milestones</w:t>
            </w:r>
          </w:p>
        </w:tc>
        <w:tc>
          <w:tcPr>
            <w:tcW w:w="3641" w:type="dxa"/>
            <w:shd w:val="clear" w:color="auto" w:fill="F2F2F2" w:themeFill="background1" w:themeFillShade="F2"/>
          </w:tcPr>
          <w:p w14:paraId="7018F8AC" w14:textId="77777777" w:rsidR="00B60328" w:rsidRPr="00FD6EB4" w:rsidRDefault="00B60328" w:rsidP="006F3A9B">
            <w:pPr>
              <w:pStyle w:val="Tableformat"/>
              <w:rPr>
                <w:b/>
                <w:color w:val="auto"/>
                <w:sz w:val="22"/>
                <w:szCs w:val="22"/>
              </w:rPr>
            </w:pPr>
            <w:r w:rsidRPr="00FD6EB4">
              <w:rPr>
                <w:b/>
                <w:color w:val="auto"/>
                <w:sz w:val="22"/>
                <w:szCs w:val="22"/>
              </w:rPr>
              <w:t>Key Performance Indicators</w:t>
            </w:r>
          </w:p>
        </w:tc>
        <w:tc>
          <w:tcPr>
            <w:tcW w:w="1275" w:type="dxa"/>
            <w:shd w:val="clear" w:color="auto" w:fill="F2F2F2" w:themeFill="background1" w:themeFillShade="F2"/>
          </w:tcPr>
          <w:p w14:paraId="0908C464" w14:textId="77777777" w:rsidR="00B60328" w:rsidRPr="00FD6EB4" w:rsidRDefault="00B60328" w:rsidP="006F3A9B">
            <w:pPr>
              <w:pStyle w:val="Tableformat"/>
              <w:rPr>
                <w:b/>
                <w:color w:val="auto"/>
                <w:sz w:val="22"/>
                <w:szCs w:val="22"/>
              </w:rPr>
            </w:pPr>
            <w:r>
              <w:rPr>
                <w:b/>
                <w:color w:val="auto"/>
                <w:sz w:val="22"/>
                <w:szCs w:val="22"/>
              </w:rPr>
              <w:t xml:space="preserve">Milestone </w:t>
            </w:r>
            <w:r w:rsidRPr="00FD6EB4">
              <w:rPr>
                <w:b/>
                <w:color w:val="auto"/>
                <w:sz w:val="22"/>
                <w:szCs w:val="22"/>
              </w:rPr>
              <w:t>due</w:t>
            </w:r>
          </w:p>
        </w:tc>
        <w:tc>
          <w:tcPr>
            <w:tcW w:w="1135" w:type="dxa"/>
            <w:tcBorders>
              <w:bottom w:val="single" w:sz="8" w:space="0" w:color="4F81BD"/>
            </w:tcBorders>
            <w:shd w:val="clear" w:color="auto" w:fill="F2F2F2" w:themeFill="background1" w:themeFillShade="F2"/>
          </w:tcPr>
          <w:p w14:paraId="3062E501" w14:textId="77777777" w:rsidR="00B60328" w:rsidRPr="00FD6EB4" w:rsidRDefault="00B60328" w:rsidP="006F3A9B">
            <w:pPr>
              <w:pStyle w:val="Tableformat"/>
              <w:rPr>
                <w:b/>
                <w:color w:val="auto"/>
                <w:sz w:val="22"/>
                <w:szCs w:val="22"/>
              </w:rPr>
            </w:pPr>
            <w:r w:rsidRPr="00FD6EB4">
              <w:rPr>
                <w:b/>
                <w:color w:val="auto"/>
                <w:sz w:val="22"/>
                <w:szCs w:val="22"/>
              </w:rPr>
              <w:t>Payment</w:t>
            </w:r>
          </w:p>
        </w:tc>
      </w:tr>
      <w:tr w:rsidR="000044CA" w:rsidRPr="004C4B9D" w14:paraId="0F45DD9C" w14:textId="77777777" w:rsidTr="000044CA">
        <w:tc>
          <w:tcPr>
            <w:tcW w:w="1574" w:type="dxa"/>
            <w:tcBorders>
              <w:top w:val="single" w:sz="8" w:space="0" w:color="4F81BD"/>
              <w:left w:val="single" w:sz="8" w:space="0" w:color="4F81BD"/>
              <w:right w:val="single" w:sz="8" w:space="0" w:color="4F81BD"/>
            </w:tcBorders>
            <w:shd w:val="clear" w:color="auto" w:fill="F2F2F2" w:themeFill="background1" w:themeFillShade="F2"/>
          </w:tcPr>
          <w:p w14:paraId="446CEC28" w14:textId="77777777" w:rsidR="000044CA" w:rsidRPr="004C4B9D" w:rsidRDefault="000044CA" w:rsidP="006F3A9B">
            <w:pPr>
              <w:pStyle w:val="Tableformat"/>
              <w:rPr>
                <w:bCs/>
                <w:color w:val="auto"/>
                <w:sz w:val="20"/>
                <w:szCs w:val="20"/>
              </w:rPr>
            </w:pPr>
            <w:r w:rsidRPr="004C4B9D">
              <w:rPr>
                <w:bCs/>
                <w:color w:val="auto"/>
                <w:sz w:val="20"/>
                <w:szCs w:val="20"/>
              </w:rPr>
              <w:t xml:space="preserve">Water </w:t>
            </w:r>
            <w:r>
              <w:rPr>
                <w:bCs/>
                <w:color w:val="auto"/>
                <w:sz w:val="20"/>
                <w:szCs w:val="20"/>
              </w:rPr>
              <w:t>r</w:t>
            </w:r>
            <w:r w:rsidRPr="004C4B9D">
              <w:rPr>
                <w:bCs/>
                <w:color w:val="auto"/>
                <w:sz w:val="20"/>
                <w:szCs w:val="20"/>
              </w:rPr>
              <w:t>ecovery</w:t>
            </w:r>
          </w:p>
        </w:tc>
        <w:tc>
          <w:tcPr>
            <w:tcW w:w="2582" w:type="dxa"/>
            <w:tcBorders>
              <w:top w:val="single" w:sz="8" w:space="0" w:color="4F81BD"/>
              <w:left w:val="single" w:sz="8" w:space="0" w:color="4F81BD"/>
              <w:right w:val="single" w:sz="8" w:space="0" w:color="4F81BD"/>
            </w:tcBorders>
            <w:shd w:val="clear" w:color="auto" w:fill="F2F2F2" w:themeFill="background1" w:themeFillShade="F2"/>
          </w:tcPr>
          <w:p w14:paraId="21AC8B4E" w14:textId="77777777" w:rsidR="000044CA" w:rsidRPr="004C4B9D" w:rsidRDefault="000044CA" w:rsidP="006F3A9B">
            <w:pPr>
              <w:pStyle w:val="Tableformat"/>
              <w:rPr>
                <w:bCs/>
                <w:color w:val="auto"/>
                <w:sz w:val="20"/>
                <w:szCs w:val="20"/>
              </w:rPr>
            </w:pPr>
            <w:r w:rsidRPr="00C35DA5">
              <w:rPr>
                <w:bCs/>
                <w:color w:val="auto"/>
                <w:sz w:val="20"/>
                <w:szCs w:val="20"/>
              </w:rPr>
              <w:t>1. Transform entitlements as appropriate, work to support the Commonwealth to meet the remaining bridging-the-gap commitments, and progress water recovery towards the 450 gigalitres via efficiency measures through a greater focus on off-farm projects that deliver neutral or positive socio-economic outcomes for communities</w:t>
            </w:r>
            <w:r w:rsidRPr="00524CA9">
              <w:rPr>
                <w:bCs/>
                <w:color w:val="auto"/>
                <w:sz w:val="20"/>
                <w:szCs w:val="20"/>
              </w:rPr>
              <w:t>.</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36901D4" w14:textId="77777777" w:rsidR="000044CA" w:rsidRPr="004C4B9D" w:rsidRDefault="000044CA" w:rsidP="006F3A9B">
            <w:pPr>
              <w:pStyle w:val="Tableformat"/>
              <w:rPr>
                <w:bCs/>
                <w:color w:val="auto"/>
                <w:sz w:val="20"/>
                <w:szCs w:val="20"/>
              </w:rPr>
            </w:pPr>
            <w:r w:rsidRPr="00C35DA5">
              <w:rPr>
                <w:bCs/>
                <w:color w:val="auto"/>
                <w:sz w:val="20"/>
                <w:szCs w:val="20"/>
              </w:rPr>
              <w:t>1.a Work with the Commonwealth on water recovery projects, including setting up governance arrangements and schedules as appropriate, conducting outreach and engagement with irrigation networks and transforming entitlements as appropriate.</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7821B2" w14:textId="77777777" w:rsidR="000044CA" w:rsidRPr="004C4B9D" w:rsidRDefault="000044CA" w:rsidP="006F3A9B">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1B170ED" w14:textId="0522DA11" w:rsidR="000044CA" w:rsidRPr="004C4B9D" w:rsidRDefault="000044CA" w:rsidP="006F3A9B">
            <w:pPr>
              <w:pStyle w:val="Tableformat"/>
              <w:rPr>
                <w:bCs/>
                <w:color w:val="auto"/>
                <w:sz w:val="20"/>
                <w:szCs w:val="20"/>
              </w:rPr>
            </w:pPr>
            <w:r>
              <w:rPr>
                <w:bCs/>
                <w:color w:val="auto"/>
                <w:sz w:val="20"/>
                <w:szCs w:val="20"/>
              </w:rPr>
              <w:t>$79,820</w:t>
            </w:r>
          </w:p>
        </w:tc>
      </w:tr>
      <w:tr w:rsidR="000044CA" w:rsidRPr="004C4B9D" w14:paraId="1D4F40E4" w14:textId="77777777" w:rsidTr="000044CA">
        <w:tc>
          <w:tcPr>
            <w:tcW w:w="1574" w:type="dxa"/>
            <w:vMerge w:val="restart"/>
            <w:tcBorders>
              <w:top w:val="single" w:sz="8" w:space="0" w:color="4F81BD"/>
              <w:left w:val="single" w:sz="8" w:space="0" w:color="4F81BD"/>
              <w:right w:val="single" w:sz="8" w:space="0" w:color="4F81BD"/>
            </w:tcBorders>
            <w:shd w:val="clear" w:color="auto" w:fill="F2F2F2" w:themeFill="background1" w:themeFillShade="F2"/>
          </w:tcPr>
          <w:p w14:paraId="551FEEF8" w14:textId="77777777" w:rsidR="000044CA" w:rsidRPr="004C4B9D" w:rsidRDefault="000044CA" w:rsidP="000044CA">
            <w:pPr>
              <w:pStyle w:val="Tableformat"/>
              <w:rPr>
                <w:bCs/>
                <w:color w:val="auto"/>
                <w:sz w:val="20"/>
                <w:szCs w:val="20"/>
              </w:rPr>
            </w:pPr>
            <w:r w:rsidRPr="004C4B9D">
              <w:rPr>
                <w:bCs/>
                <w:color w:val="auto"/>
                <w:sz w:val="20"/>
                <w:szCs w:val="20"/>
              </w:rPr>
              <w:t>Coordinated environmental water use</w:t>
            </w: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51F7C2E" w14:textId="026675FC" w:rsidR="000044CA" w:rsidRPr="004C4B9D" w:rsidRDefault="00843C58" w:rsidP="000044CA">
            <w:pPr>
              <w:pStyle w:val="Tableformat"/>
              <w:rPr>
                <w:bCs/>
                <w:color w:val="auto"/>
                <w:sz w:val="20"/>
                <w:szCs w:val="20"/>
              </w:rPr>
            </w:pPr>
            <w:r>
              <w:rPr>
                <w:bCs/>
                <w:color w:val="auto"/>
                <w:sz w:val="20"/>
                <w:szCs w:val="20"/>
              </w:rPr>
              <w:t>2</w:t>
            </w:r>
            <w:r w:rsidR="000044CA">
              <w:rPr>
                <w:bCs/>
                <w:color w:val="auto"/>
                <w:sz w:val="20"/>
                <w:szCs w:val="20"/>
              </w:rPr>
              <w:t xml:space="preserve">. </w:t>
            </w:r>
            <w:r w:rsidR="000044CA" w:rsidRPr="004C4B9D">
              <w:rPr>
                <w:bCs/>
                <w:color w:val="auto"/>
                <w:sz w:val="20"/>
                <w:szCs w:val="20"/>
              </w:rPr>
              <w:t>Deliver an agreed Basin-wide Environmental Water Protection Strategy and Implementation Plan.</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3EBD39D" w14:textId="6C2EB629" w:rsidR="000044CA" w:rsidRPr="004C4B9D" w:rsidRDefault="00843C58">
            <w:pPr>
              <w:pStyle w:val="Tableformat"/>
              <w:rPr>
                <w:bCs/>
                <w:color w:val="auto"/>
                <w:sz w:val="20"/>
                <w:szCs w:val="20"/>
              </w:rPr>
            </w:pPr>
            <w:r>
              <w:rPr>
                <w:bCs/>
                <w:color w:val="auto"/>
                <w:sz w:val="20"/>
                <w:szCs w:val="20"/>
              </w:rPr>
              <w:t>2</w:t>
            </w:r>
            <w:r w:rsidR="000044CA" w:rsidRPr="00C35DA5">
              <w:rPr>
                <w:bCs/>
                <w:color w:val="auto"/>
                <w:sz w:val="20"/>
                <w:szCs w:val="20"/>
              </w:rPr>
              <w:t>.</w:t>
            </w:r>
            <w:r>
              <w:rPr>
                <w:bCs/>
                <w:color w:val="auto"/>
                <w:sz w:val="20"/>
                <w:szCs w:val="20"/>
              </w:rPr>
              <w:t>a</w:t>
            </w:r>
            <w:r w:rsidRPr="00C35DA5">
              <w:rPr>
                <w:bCs/>
                <w:color w:val="auto"/>
                <w:sz w:val="20"/>
                <w:szCs w:val="20"/>
              </w:rPr>
              <w:t xml:space="preserve"> </w:t>
            </w:r>
            <w:r w:rsidR="000044CA" w:rsidRPr="00C35DA5">
              <w:rPr>
                <w:bCs/>
                <w:color w:val="auto"/>
                <w:sz w:val="20"/>
                <w:szCs w:val="20"/>
              </w:rPr>
              <w:t xml:space="preserve">Deliver and implement the agreed </w:t>
            </w:r>
            <w:r w:rsidR="007C3B81" w:rsidRPr="00C35DA5">
              <w:rPr>
                <w:bCs/>
                <w:color w:val="auto"/>
                <w:sz w:val="20"/>
                <w:szCs w:val="20"/>
              </w:rPr>
              <w:t>work plan</w:t>
            </w:r>
            <w:r w:rsidR="000044CA" w:rsidRPr="00C35DA5">
              <w:rPr>
                <w:bCs/>
                <w:color w:val="auto"/>
                <w:sz w:val="20"/>
                <w:szCs w:val="20"/>
              </w:rPr>
              <w:t xml:space="preserve"> of the priority collaborative activities of the Environmental Water Protection Strategy, where relevant to the jurisdiction</w:t>
            </w:r>
            <w:r w:rsidR="000044CA" w:rsidRPr="002911F1">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922253E"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FBBB59" w14:textId="570F41AC"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6E36990C" w14:textId="77777777" w:rsidTr="000044CA">
        <w:tc>
          <w:tcPr>
            <w:tcW w:w="1574" w:type="dxa"/>
            <w:vMerge/>
            <w:tcBorders>
              <w:left w:val="single" w:sz="8" w:space="0" w:color="4F81BD"/>
              <w:right w:val="single" w:sz="8" w:space="0" w:color="4F81BD"/>
            </w:tcBorders>
            <w:shd w:val="clear" w:color="auto" w:fill="F2F2F2" w:themeFill="background1" w:themeFillShade="F2"/>
          </w:tcPr>
          <w:p w14:paraId="04793277" w14:textId="77777777" w:rsidR="000044CA" w:rsidRPr="004C4B9D" w:rsidRDefault="000044CA" w:rsidP="000044CA">
            <w:pPr>
              <w:pStyle w:val="Tableformat"/>
              <w:rPr>
                <w:bCs/>
                <w:color w:val="auto"/>
                <w:sz w:val="20"/>
                <w:szCs w:val="20"/>
              </w:rPr>
            </w:pPr>
          </w:p>
        </w:tc>
        <w:tc>
          <w:tcPr>
            <w:tcW w:w="2582" w:type="dxa"/>
            <w:vMerge w:val="restart"/>
            <w:tcBorders>
              <w:top w:val="single" w:sz="8" w:space="0" w:color="4F81BD"/>
              <w:left w:val="single" w:sz="8" w:space="0" w:color="4F81BD"/>
              <w:right w:val="single" w:sz="8" w:space="0" w:color="4F81BD"/>
            </w:tcBorders>
            <w:shd w:val="clear" w:color="auto" w:fill="F2F2F2" w:themeFill="background1" w:themeFillShade="F2"/>
          </w:tcPr>
          <w:p w14:paraId="3891A538" w14:textId="7F574A35" w:rsidR="000044CA" w:rsidRPr="004C4B9D" w:rsidRDefault="00843C58" w:rsidP="000044CA">
            <w:pPr>
              <w:pStyle w:val="Tableformat"/>
              <w:rPr>
                <w:bCs/>
                <w:color w:val="auto"/>
                <w:sz w:val="20"/>
                <w:szCs w:val="20"/>
              </w:rPr>
            </w:pPr>
            <w:r>
              <w:rPr>
                <w:bCs/>
                <w:color w:val="auto"/>
                <w:sz w:val="20"/>
                <w:szCs w:val="20"/>
              </w:rPr>
              <w:t>3</w:t>
            </w:r>
            <w:r w:rsidR="000044CA" w:rsidRPr="00C35DA5">
              <w:rPr>
                <w:bCs/>
                <w:color w:val="auto"/>
                <w:sz w:val="20"/>
                <w:szCs w:val="20"/>
              </w:rPr>
              <w:t>. Improve environmental watering plans and strategies, including by updating Long-Term Watering Plans (LTWPs) within agreed timeframes</w:t>
            </w:r>
            <w:r w:rsidR="000044CA" w:rsidRPr="004C4B9D">
              <w:rPr>
                <w:bCs/>
                <w:color w:val="auto"/>
                <w:sz w:val="20"/>
                <w:szCs w:val="20"/>
              </w:rPr>
              <w:t xml:space="preserve">. </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67C32B4" w14:textId="30D61F63" w:rsidR="000044CA" w:rsidRPr="004C4B9D" w:rsidRDefault="00843C58" w:rsidP="000044CA">
            <w:pPr>
              <w:pStyle w:val="Tableformat"/>
              <w:rPr>
                <w:bCs/>
                <w:color w:val="auto"/>
                <w:sz w:val="20"/>
                <w:szCs w:val="20"/>
              </w:rPr>
            </w:pPr>
            <w:r>
              <w:rPr>
                <w:bCs/>
                <w:color w:val="auto"/>
                <w:sz w:val="20"/>
                <w:szCs w:val="20"/>
              </w:rPr>
              <w:t>3</w:t>
            </w:r>
            <w:r w:rsidR="000044CA" w:rsidRPr="00C35DA5">
              <w:rPr>
                <w:bCs/>
                <w:color w:val="auto"/>
                <w:sz w:val="20"/>
                <w:szCs w:val="20"/>
              </w:rPr>
              <w:t xml:space="preserve">.a Engage with </w:t>
            </w:r>
            <w:r w:rsidR="00795920">
              <w:rPr>
                <w:bCs/>
                <w:color w:val="auto"/>
                <w:sz w:val="20"/>
                <w:szCs w:val="20"/>
              </w:rPr>
              <w:t>all stakeholders</w:t>
            </w:r>
            <w:r w:rsidR="000044CA" w:rsidRPr="00C35DA5">
              <w:rPr>
                <w:bCs/>
                <w:color w:val="auto"/>
                <w:sz w:val="20"/>
                <w:szCs w:val="20"/>
              </w:rPr>
              <w:t>, in the development of annual environmental water plans or priorities; and in the implementation, review and update of LTWPs, where relevant to the jurisdiction</w:t>
            </w:r>
            <w:r w:rsidR="000044CA" w:rsidRPr="002911F1">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5B209AB"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29BCA3" w14:textId="217EE8D7"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58A67FB5" w14:textId="77777777" w:rsidTr="000044CA">
        <w:tc>
          <w:tcPr>
            <w:tcW w:w="1574" w:type="dxa"/>
            <w:vMerge/>
            <w:tcBorders>
              <w:left w:val="single" w:sz="8" w:space="0" w:color="4F81BD"/>
              <w:right w:val="single" w:sz="8" w:space="0" w:color="4F81BD"/>
            </w:tcBorders>
            <w:shd w:val="clear" w:color="auto" w:fill="F2F2F2" w:themeFill="background1" w:themeFillShade="F2"/>
          </w:tcPr>
          <w:p w14:paraId="3F9A4769" w14:textId="77777777" w:rsidR="000044CA" w:rsidRPr="004C4B9D" w:rsidRDefault="000044CA" w:rsidP="000044CA">
            <w:pPr>
              <w:pStyle w:val="Tableformat"/>
              <w:rPr>
                <w:bCs/>
                <w:color w:val="auto"/>
                <w:sz w:val="20"/>
                <w:szCs w:val="20"/>
              </w:rPr>
            </w:pPr>
          </w:p>
        </w:tc>
        <w:tc>
          <w:tcPr>
            <w:tcW w:w="2582" w:type="dxa"/>
            <w:vMerge/>
            <w:tcBorders>
              <w:left w:val="single" w:sz="8" w:space="0" w:color="4F81BD"/>
              <w:right w:val="single" w:sz="8" w:space="0" w:color="4F81BD"/>
            </w:tcBorders>
            <w:shd w:val="clear" w:color="auto" w:fill="F2F2F2" w:themeFill="background1" w:themeFillShade="F2"/>
          </w:tcPr>
          <w:p w14:paraId="1CB27045" w14:textId="77777777" w:rsidR="000044CA" w:rsidRPr="004C4B9D"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489DAD7" w14:textId="1CB74BB6" w:rsidR="000044CA" w:rsidRPr="004C4B9D" w:rsidRDefault="00E64691" w:rsidP="000044CA">
            <w:pPr>
              <w:pStyle w:val="Tableformat"/>
              <w:rPr>
                <w:bCs/>
                <w:color w:val="auto"/>
                <w:sz w:val="20"/>
                <w:szCs w:val="20"/>
              </w:rPr>
            </w:pPr>
            <w:r>
              <w:rPr>
                <w:bCs/>
                <w:color w:val="auto"/>
                <w:sz w:val="20"/>
                <w:szCs w:val="20"/>
              </w:rPr>
              <w:t>3</w:t>
            </w:r>
            <w:r w:rsidR="000044CA" w:rsidRPr="00C35DA5">
              <w:rPr>
                <w:bCs/>
                <w:color w:val="auto"/>
                <w:sz w:val="20"/>
                <w:szCs w:val="20"/>
              </w:rPr>
              <w:t>.b Provide input to third edition of the Basin-wide Environmental Watering Strategy, including input on climate adaptation approaches and techniques</w:t>
            </w:r>
            <w:r w:rsidR="000044CA" w:rsidRPr="004C4B9D">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79D206E"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F1E9E3" w14:textId="3EE04329"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6A6A1351" w14:textId="77777777" w:rsidTr="000044CA">
        <w:tc>
          <w:tcPr>
            <w:tcW w:w="1574" w:type="dxa"/>
            <w:vMerge/>
            <w:tcBorders>
              <w:left w:val="single" w:sz="8" w:space="0" w:color="4F81BD"/>
              <w:bottom w:val="single" w:sz="8" w:space="0" w:color="4F81BD"/>
              <w:right w:val="single" w:sz="8" w:space="0" w:color="4F81BD"/>
            </w:tcBorders>
            <w:shd w:val="clear" w:color="auto" w:fill="F2F2F2" w:themeFill="background1" w:themeFillShade="F2"/>
          </w:tcPr>
          <w:p w14:paraId="067E1F38" w14:textId="77777777" w:rsidR="000044CA" w:rsidRPr="004C4B9D" w:rsidRDefault="000044CA" w:rsidP="000044CA">
            <w:pPr>
              <w:pStyle w:val="Tableformat"/>
              <w:rPr>
                <w:bCs/>
                <w:color w:val="auto"/>
                <w:sz w:val="20"/>
                <w:szCs w:val="20"/>
              </w:rPr>
            </w:pPr>
          </w:p>
        </w:tc>
        <w:tc>
          <w:tcPr>
            <w:tcW w:w="2582" w:type="dxa"/>
            <w:vMerge/>
            <w:tcBorders>
              <w:left w:val="single" w:sz="8" w:space="0" w:color="4F81BD"/>
              <w:bottom w:val="single" w:sz="8" w:space="0" w:color="4F81BD"/>
              <w:right w:val="single" w:sz="8" w:space="0" w:color="4F81BD"/>
            </w:tcBorders>
            <w:shd w:val="clear" w:color="auto" w:fill="F2F2F2" w:themeFill="background1" w:themeFillShade="F2"/>
          </w:tcPr>
          <w:p w14:paraId="2F80605E" w14:textId="77777777" w:rsidR="000044CA" w:rsidRPr="004C4B9D"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AFDB263" w14:textId="3C7D3EA8" w:rsidR="000044CA" w:rsidRPr="004C4B9D" w:rsidRDefault="00E64691" w:rsidP="000044CA">
            <w:pPr>
              <w:pStyle w:val="Tableformat"/>
              <w:rPr>
                <w:bCs/>
                <w:color w:val="auto"/>
                <w:sz w:val="20"/>
                <w:szCs w:val="20"/>
              </w:rPr>
            </w:pPr>
            <w:r>
              <w:rPr>
                <w:bCs/>
                <w:color w:val="auto"/>
                <w:sz w:val="20"/>
                <w:szCs w:val="20"/>
              </w:rPr>
              <w:t>3</w:t>
            </w:r>
            <w:r w:rsidR="000044CA" w:rsidRPr="00C35DA5">
              <w:rPr>
                <w:bCs/>
                <w:color w:val="auto"/>
                <w:sz w:val="20"/>
                <w:szCs w:val="20"/>
              </w:rPr>
              <w:t>.c Update LTWPs (or alternatively agreed tool) in line with the third edition of the Basin-wide environmental watering strategy within agreed timeframes</w:t>
            </w:r>
            <w:r w:rsidR="000044CA" w:rsidRPr="004C4B9D">
              <w:rPr>
                <w:bCs/>
                <w:color w:val="auto"/>
                <w:sz w:val="20"/>
                <w:szCs w:val="20"/>
              </w:rPr>
              <w:t xml:space="preserve">. </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B181AB"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C840C8" w14:textId="2BD986CD"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3F32B06A" w14:textId="77777777" w:rsidTr="000044CA">
        <w:tc>
          <w:tcPr>
            <w:tcW w:w="1574" w:type="dxa"/>
            <w:vMerge w:val="restart"/>
            <w:tcBorders>
              <w:left w:val="single" w:sz="8" w:space="0" w:color="4F81BD"/>
              <w:right w:val="single" w:sz="8" w:space="0" w:color="4F81BD"/>
            </w:tcBorders>
            <w:shd w:val="clear" w:color="auto" w:fill="F2F2F2" w:themeFill="background1" w:themeFillShade="F2"/>
          </w:tcPr>
          <w:p w14:paraId="02740264" w14:textId="77777777" w:rsidR="000044CA" w:rsidRPr="004C4B9D" w:rsidRDefault="000044CA" w:rsidP="000044CA">
            <w:pPr>
              <w:pStyle w:val="Tableformat"/>
              <w:rPr>
                <w:bCs/>
                <w:color w:val="auto"/>
                <w:sz w:val="20"/>
                <w:szCs w:val="20"/>
              </w:rPr>
            </w:pPr>
            <w:r w:rsidRPr="004C4B9D">
              <w:rPr>
                <w:bCs/>
                <w:color w:val="auto"/>
                <w:sz w:val="20"/>
                <w:szCs w:val="20"/>
              </w:rPr>
              <w:t>Implementation of the Basin Plan</w:t>
            </w:r>
          </w:p>
        </w:tc>
        <w:tc>
          <w:tcPr>
            <w:tcW w:w="2582" w:type="dxa"/>
            <w:vMerge w:val="restart"/>
            <w:tcBorders>
              <w:left w:val="single" w:sz="8" w:space="0" w:color="4F81BD"/>
              <w:right w:val="single" w:sz="8" w:space="0" w:color="4F81BD"/>
            </w:tcBorders>
            <w:shd w:val="clear" w:color="auto" w:fill="F2F2F2" w:themeFill="background1" w:themeFillShade="F2"/>
          </w:tcPr>
          <w:p w14:paraId="378C6263" w14:textId="53154328" w:rsidR="000044CA" w:rsidRPr="004C4B9D" w:rsidRDefault="00E64691" w:rsidP="000044CA">
            <w:pPr>
              <w:pStyle w:val="Tableformat"/>
              <w:rPr>
                <w:bCs/>
                <w:color w:val="auto"/>
                <w:sz w:val="20"/>
                <w:szCs w:val="20"/>
              </w:rPr>
            </w:pPr>
            <w:r>
              <w:rPr>
                <w:bCs/>
                <w:color w:val="auto"/>
                <w:sz w:val="20"/>
                <w:szCs w:val="20"/>
              </w:rPr>
              <w:t>4</w:t>
            </w:r>
            <w:r w:rsidR="000044CA">
              <w:rPr>
                <w:bCs/>
                <w:color w:val="auto"/>
                <w:sz w:val="20"/>
                <w:szCs w:val="20"/>
              </w:rPr>
              <w:t xml:space="preserve">. </w:t>
            </w:r>
            <w:r w:rsidR="000044CA" w:rsidRPr="004C4B9D">
              <w:rPr>
                <w:bCs/>
                <w:color w:val="auto"/>
                <w:sz w:val="20"/>
                <w:szCs w:val="20"/>
              </w:rPr>
              <w:t>Implement the SDLAM program, where not funded under other agreements.</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5097F3B" w14:textId="2C22D388" w:rsidR="000044CA" w:rsidRPr="004C4B9D" w:rsidRDefault="00E64691">
            <w:pPr>
              <w:pStyle w:val="Tableformat"/>
              <w:rPr>
                <w:bCs/>
                <w:color w:val="auto"/>
                <w:sz w:val="20"/>
                <w:szCs w:val="20"/>
              </w:rPr>
            </w:pPr>
            <w:r>
              <w:rPr>
                <w:bCs/>
                <w:color w:val="auto"/>
                <w:sz w:val="20"/>
                <w:szCs w:val="20"/>
              </w:rPr>
              <w:t>4</w:t>
            </w:r>
            <w:r w:rsidR="000044CA" w:rsidRPr="000044CA">
              <w:rPr>
                <w:bCs/>
                <w:color w:val="auto"/>
                <w:sz w:val="20"/>
                <w:szCs w:val="20"/>
              </w:rPr>
              <w:t>.</w:t>
            </w:r>
            <w:r>
              <w:rPr>
                <w:bCs/>
                <w:color w:val="auto"/>
                <w:sz w:val="20"/>
                <w:szCs w:val="20"/>
              </w:rPr>
              <w:t>a</w:t>
            </w:r>
            <w:r w:rsidRPr="000044CA">
              <w:rPr>
                <w:bCs/>
                <w:color w:val="auto"/>
                <w:sz w:val="20"/>
                <w:szCs w:val="20"/>
              </w:rPr>
              <w:t xml:space="preserve"> </w:t>
            </w:r>
            <w:r w:rsidR="000044CA" w:rsidRPr="000044CA">
              <w:rPr>
                <w:bCs/>
                <w:color w:val="auto"/>
                <w:sz w:val="20"/>
                <w:szCs w:val="20"/>
              </w:rPr>
              <w:t>Identify, develop and progress required changes to the River Murray Operations Framework and Murray-Darling Basin Agreement, where relevant to the ACT. Any changes are to be agreed by all jurisdictions.</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862B45B"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DADCA31" w14:textId="4F19E4F1"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6936D056" w14:textId="77777777" w:rsidTr="000044CA">
        <w:tc>
          <w:tcPr>
            <w:tcW w:w="1574" w:type="dxa"/>
            <w:vMerge/>
            <w:tcBorders>
              <w:left w:val="single" w:sz="8" w:space="0" w:color="4F81BD"/>
              <w:right w:val="single" w:sz="8" w:space="0" w:color="4F81BD"/>
            </w:tcBorders>
            <w:shd w:val="clear" w:color="auto" w:fill="F2F2F2" w:themeFill="background1" w:themeFillShade="F2"/>
          </w:tcPr>
          <w:p w14:paraId="4D3E087C" w14:textId="77777777" w:rsidR="000044CA" w:rsidRPr="004C4B9D" w:rsidRDefault="000044CA" w:rsidP="000044CA">
            <w:pPr>
              <w:pStyle w:val="Tableformat"/>
              <w:rPr>
                <w:bCs/>
                <w:color w:val="auto"/>
                <w:sz w:val="20"/>
                <w:szCs w:val="20"/>
              </w:rPr>
            </w:pPr>
          </w:p>
        </w:tc>
        <w:tc>
          <w:tcPr>
            <w:tcW w:w="2582" w:type="dxa"/>
            <w:vMerge/>
            <w:tcBorders>
              <w:left w:val="single" w:sz="8" w:space="0" w:color="4F81BD"/>
              <w:bottom w:val="single" w:sz="8" w:space="0" w:color="4F81BD"/>
              <w:right w:val="single" w:sz="8" w:space="0" w:color="4F81BD"/>
            </w:tcBorders>
            <w:shd w:val="clear" w:color="auto" w:fill="F2F2F2" w:themeFill="background1" w:themeFillShade="F2"/>
          </w:tcPr>
          <w:p w14:paraId="5FD85DDA" w14:textId="77777777" w:rsidR="000044CA" w:rsidRPr="004C4B9D"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A95681D" w14:textId="17179768" w:rsidR="000044CA" w:rsidRPr="004C4B9D" w:rsidRDefault="00E64691">
            <w:pPr>
              <w:pStyle w:val="Tableformat"/>
              <w:rPr>
                <w:bCs/>
                <w:color w:val="auto"/>
                <w:sz w:val="20"/>
                <w:szCs w:val="20"/>
              </w:rPr>
            </w:pPr>
            <w:r>
              <w:rPr>
                <w:bCs/>
                <w:color w:val="auto"/>
                <w:sz w:val="20"/>
                <w:szCs w:val="20"/>
              </w:rPr>
              <w:t>4</w:t>
            </w:r>
            <w:r w:rsidR="000044CA" w:rsidRPr="00C35DA5">
              <w:rPr>
                <w:bCs/>
                <w:color w:val="auto"/>
                <w:sz w:val="20"/>
                <w:szCs w:val="20"/>
              </w:rPr>
              <w:t>.</w:t>
            </w:r>
            <w:r>
              <w:rPr>
                <w:bCs/>
                <w:color w:val="auto"/>
                <w:sz w:val="20"/>
                <w:szCs w:val="20"/>
              </w:rPr>
              <w:t>b</w:t>
            </w:r>
            <w:r w:rsidRPr="00C35DA5">
              <w:rPr>
                <w:bCs/>
                <w:color w:val="auto"/>
                <w:sz w:val="20"/>
                <w:szCs w:val="20"/>
              </w:rPr>
              <w:t xml:space="preserve"> </w:t>
            </w:r>
            <w:r w:rsidR="000044CA" w:rsidRPr="00C35DA5">
              <w:rPr>
                <w:bCs/>
                <w:color w:val="auto"/>
                <w:sz w:val="20"/>
                <w:szCs w:val="20"/>
              </w:rPr>
              <w:t>Work with the MDBA and participate in the reconciliation process, including the application of the reconciliation adjustment default method set out in Schedule 6 of the Basin Plan, or the development of an alternative method that is requested by BOC and the Authority under s7.15(2)(b); and the provision of relevant supporting information</w:t>
            </w:r>
            <w:r w:rsidR="000044CA" w:rsidRPr="002911F1">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0C7D3F0"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D1A68E4" w14:textId="7F182620"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357C08E8" w14:textId="77777777" w:rsidTr="000044CA">
        <w:tc>
          <w:tcPr>
            <w:tcW w:w="1574" w:type="dxa"/>
            <w:vMerge/>
            <w:tcBorders>
              <w:left w:val="single" w:sz="8" w:space="0" w:color="4F81BD"/>
              <w:right w:val="single" w:sz="8" w:space="0" w:color="4F81BD"/>
            </w:tcBorders>
            <w:shd w:val="clear" w:color="auto" w:fill="F2F2F2" w:themeFill="background1" w:themeFillShade="F2"/>
          </w:tcPr>
          <w:p w14:paraId="08598468" w14:textId="77777777" w:rsidR="000044CA" w:rsidRPr="004C4B9D" w:rsidRDefault="000044CA" w:rsidP="000044CA">
            <w:pPr>
              <w:pStyle w:val="Tableformat"/>
              <w:rPr>
                <w:bCs/>
                <w:color w:val="auto"/>
                <w:sz w:val="20"/>
                <w:szCs w:val="20"/>
              </w:rPr>
            </w:pPr>
          </w:p>
        </w:tc>
        <w:tc>
          <w:tcPr>
            <w:tcW w:w="2582" w:type="dxa"/>
            <w:tcBorders>
              <w:top w:val="single" w:sz="8" w:space="0" w:color="4F81BD"/>
              <w:left w:val="single" w:sz="8" w:space="0" w:color="4F81BD"/>
              <w:right w:val="single" w:sz="8" w:space="0" w:color="4F81BD"/>
            </w:tcBorders>
            <w:shd w:val="clear" w:color="auto" w:fill="F2F2F2" w:themeFill="background1" w:themeFillShade="F2"/>
          </w:tcPr>
          <w:p w14:paraId="6D3945DF" w14:textId="0EAC160A" w:rsidR="000044CA" w:rsidRPr="004C4B9D" w:rsidRDefault="00E64691" w:rsidP="000044CA">
            <w:pPr>
              <w:pStyle w:val="Tableformat"/>
              <w:rPr>
                <w:bCs/>
                <w:color w:val="auto"/>
                <w:sz w:val="20"/>
                <w:szCs w:val="20"/>
              </w:rPr>
            </w:pPr>
            <w:r>
              <w:rPr>
                <w:bCs/>
                <w:color w:val="auto"/>
                <w:sz w:val="20"/>
                <w:szCs w:val="20"/>
              </w:rPr>
              <w:t>5</w:t>
            </w:r>
            <w:r w:rsidR="000044CA" w:rsidRPr="00C35DA5">
              <w:rPr>
                <w:bCs/>
                <w:color w:val="auto"/>
                <w:sz w:val="20"/>
                <w:szCs w:val="20"/>
              </w:rPr>
              <w:t xml:space="preserve">. Contribute to delivery of the MDBA-led SDL Accounting Framework Improvement Strategy 2020-25 </w:t>
            </w:r>
            <w:r w:rsidR="007C3B81" w:rsidRPr="00C35DA5">
              <w:rPr>
                <w:bCs/>
                <w:color w:val="auto"/>
                <w:sz w:val="20"/>
                <w:szCs w:val="20"/>
              </w:rPr>
              <w:t>work plan</w:t>
            </w:r>
            <w:r w:rsidR="000044CA" w:rsidRPr="00C35DA5">
              <w:rPr>
                <w:bCs/>
                <w:color w:val="auto"/>
                <w:sz w:val="20"/>
                <w:szCs w:val="20"/>
              </w:rPr>
              <w:t>, including supplying data and quality assurance documentation</w:t>
            </w:r>
            <w:r w:rsidR="000044CA">
              <w:rPr>
                <w:bCs/>
                <w:color w:val="auto"/>
                <w:sz w:val="20"/>
                <w:szCs w:val="20"/>
              </w:rPr>
              <w:t>.</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93A6FC7" w14:textId="3D7AD70C" w:rsidR="000044CA" w:rsidRPr="004C4B9D" w:rsidRDefault="00E64691">
            <w:pPr>
              <w:pStyle w:val="Tableformat"/>
              <w:rPr>
                <w:bCs/>
                <w:color w:val="auto"/>
                <w:sz w:val="20"/>
                <w:szCs w:val="20"/>
              </w:rPr>
            </w:pPr>
            <w:r>
              <w:rPr>
                <w:bCs/>
                <w:color w:val="auto"/>
                <w:sz w:val="20"/>
                <w:szCs w:val="20"/>
              </w:rPr>
              <w:t>5</w:t>
            </w:r>
            <w:r w:rsidR="000044CA" w:rsidRPr="00C35DA5">
              <w:rPr>
                <w:bCs/>
                <w:color w:val="auto"/>
                <w:sz w:val="20"/>
                <w:szCs w:val="20"/>
              </w:rPr>
              <w:t>.</w:t>
            </w:r>
            <w:r>
              <w:rPr>
                <w:bCs/>
                <w:color w:val="auto"/>
                <w:sz w:val="20"/>
                <w:szCs w:val="20"/>
              </w:rPr>
              <w:t>a</w:t>
            </w:r>
            <w:r w:rsidRPr="00C35DA5">
              <w:rPr>
                <w:bCs/>
                <w:color w:val="auto"/>
                <w:sz w:val="20"/>
                <w:szCs w:val="20"/>
              </w:rPr>
              <w:t xml:space="preserve"> </w:t>
            </w:r>
            <w:r w:rsidR="000044CA" w:rsidRPr="00C35DA5">
              <w:rPr>
                <w:bCs/>
                <w:color w:val="auto"/>
                <w:sz w:val="20"/>
                <w:szCs w:val="20"/>
              </w:rPr>
              <w:t xml:space="preserve">Implement the SDL Accounting Framework Improvement Strategy </w:t>
            </w:r>
            <w:r w:rsidR="007C3B81" w:rsidRPr="00C35DA5">
              <w:rPr>
                <w:bCs/>
                <w:color w:val="auto"/>
                <w:sz w:val="20"/>
                <w:szCs w:val="20"/>
              </w:rPr>
              <w:t>work plan</w:t>
            </w:r>
            <w:r w:rsidR="000044CA" w:rsidRPr="00C35DA5">
              <w:rPr>
                <w:bCs/>
                <w:color w:val="auto"/>
                <w:sz w:val="20"/>
                <w:szCs w:val="20"/>
              </w:rPr>
              <w:t xml:space="preserve"> led by the MDBA, as relevant to the jurisdiction</w:t>
            </w:r>
            <w:r w:rsidR="000044CA" w:rsidRPr="004C4B9D">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1DEF132"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0D7E514" w14:textId="2C98ADCB"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432D429D" w14:textId="77777777" w:rsidTr="000044CA">
        <w:tc>
          <w:tcPr>
            <w:tcW w:w="1574" w:type="dxa"/>
            <w:vMerge/>
            <w:tcBorders>
              <w:left w:val="single" w:sz="8" w:space="0" w:color="4F81BD"/>
              <w:right w:val="single" w:sz="8" w:space="0" w:color="4F81BD"/>
            </w:tcBorders>
            <w:shd w:val="clear" w:color="auto" w:fill="F2F2F2" w:themeFill="background1" w:themeFillShade="F2"/>
          </w:tcPr>
          <w:p w14:paraId="726E818C" w14:textId="77777777" w:rsidR="000044CA" w:rsidRPr="004C4B9D" w:rsidRDefault="000044CA" w:rsidP="000044CA">
            <w:pPr>
              <w:pStyle w:val="Tableformat"/>
              <w:rPr>
                <w:bCs/>
                <w:color w:val="auto"/>
                <w:sz w:val="20"/>
                <w:szCs w:val="20"/>
              </w:rPr>
            </w:pP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6CCCD3" w14:textId="785014B1" w:rsidR="000044CA" w:rsidRPr="004C4B9D" w:rsidRDefault="00E64691" w:rsidP="000044CA">
            <w:pPr>
              <w:pStyle w:val="Tableformat"/>
              <w:rPr>
                <w:bCs/>
                <w:color w:val="auto"/>
                <w:sz w:val="20"/>
                <w:szCs w:val="20"/>
              </w:rPr>
            </w:pPr>
            <w:r>
              <w:rPr>
                <w:bCs/>
                <w:color w:val="auto"/>
                <w:sz w:val="20"/>
                <w:szCs w:val="20"/>
              </w:rPr>
              <w:t>6</w:t>
            </w:r>
            <w:r w:rsidR="000044CA">
              <w:rPr>
                <w:bCs/>
                <w:color w:val="auto"/>
                <w:sz w:val="20"/>
                <w:szCs w:val="20"/>
              </w:rPr>
              <w:t xml:space="preserve">. </w:t>
            </w:r>
            <w:r w:rsidR="000044CA" w:rsidRPr="004C4B9D">
              <w:rPr>
                <w:bCs/>
                <w:color w:val="auto"/>
                <w:sz w:val="20"/>
                <w:szCs w:val="20"/>
              </w:rPr>
              <w:t>Ensure State water planning frameworks that are included in Water Resource Plans remain consistent with the Basin Plan.</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CFA82F6" w14:textId="3336C33C" w:rsidR="000044CA" w:rsidRPr="004C4B9D" w:rsidRDefault="00E64691" w:rsidP="000044CA">
            <w:pPr>
              <w:pStyle w:val="Tableformat"/>
              <w:rPr>
                <w:bCs/>
                <w:color w:val="auto"/>
                <w:sz w:val="20"/>
                <w:szCs w:val="20"/>
              </w:rPr>
            </w:pPr>
            <w:r>
              <w:rPr>
                <w:bCs/>
                <w:color w:val="auto"/>
                <w:sz w:val="20"/>
                <w:szCs w:val="20"/>
              </w:rPr>
              <w:t>6</w:t>
            </w:r>
            <w:r w:rsidR="000044CA" w:rsidRPr="00C35DA5">
              <w:rPr>
                <w:bCs/>
                <w:color w:val="auto"/>
                <w:sz w:val="20"/>
                <w:szCs w:val="20"/>
              </w:rPr>
              <w:t>.a Submit amendments to WRPs to the Commonwealth for approval where state water planning frameworks in WRPs become inconsistent with the Basin Plan</w:t>
            </w:r>
            <w:r w:rsidR="000044CA" w:rsidRPr="004C4B9D">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17ED5B6"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9D95F64" w14:textId="56ECB53A"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73A4BEF3" w14:textId="77777777" w:rsidTr="000044CA">
        <w:tc>
          <w:tcPr>
            <w:tcW w:w="1574" w:type="dxa"/>
            <w:vMerge/>
            <w:tcBorders>
              <w:left w:val="single" w:sz="8" w:space="0" w:color="4F81BD"/>
              <w:right w:val="single" w:sz="8" w:space="0" w:color="4F81BD"/>
            </w:tcBorders>
            <w:shd w:val="clear" w:color="auto" w:fill="F2F2F2" w:themeFill="background1" w:themeFillShade="F2"/>
          </w:tcPr>
          <w:p w14:paraId="3A615F38" w14:textId="77777777" w:rsidR="000044CA" w:rsidRPr="004C4B9D" w:rsidRDefault="000044CA" w:rsidP="000044CA">
            <w:pPr>
              <w:pStyle w:val="Tableformat"/>
              <w:rPr>
                <w:bCs/>
                <w:color w:val="auto"/>
                <w:sz w:val="20"/>
                <w:szCs w:val="20"/>
              </w:rPr>
            </w:pPr>
          </w:p>
        </w:tc>
        <w:tc>
          <w:tcPr>
            <w:tcW w:w="2582" w:type="dxa"/>
            <w:vMerge w:val="restart"/>
            <w:tcBorders>
              <w:top w:val="single" w:sz="8" w:space="0" w:color="4F81BD"/>
              <w:left w:val="single" w:sz="8" w:space="0" w:color="4F81BD"/>
              <w:right w:val="single" w:sz="8" w:space="0" w:color="4F81BD"/>
            </w:tcBorders>
            <w:shd w:val="clear" w:color="auto" w:fill="F2F2F2" w:themeFill="background1" w:themeFillShade="F2"/>
          </w:tcPr>
          <w:p w14:paraId="448ECD8C" w14:textId="51F16981" w:rsidR="000044CA" w:rsidRPr="004C4B9D" w:rsidRDefault="00E64691" w:rsidP="000044CA">
            <w:pPr>
              <w:pStyle w:val="Tableformat"/>
              <w:rPr>
                <w:bCs/>
                <w:color w:val="auto"/>
                <w:sz w:val="20"/>
                <w:szCs w:val="20"/>
              </w:rPr>
            </w:pPr>
            <w:r>
              <w:rPr>
                <w:bCs/>
                <w:color w:val="auto"/>
                <w:sz w:val="20"/>
                <w:szCs w:val="20"/>
              </w:rPr>
              <w:t>7</w:t>
            </w:r>
            <w:r w:rsidR="000044CA">
              <w:rPr>
                <w:bCs/>
                <w:color w:val="auto"/>
                <w:sz w:val="20"/>
                <w:szCs w:val="20"/>
              </w:rPr>
              <w:t xml:space="preserve">. </w:t>
            </w:r>
            <w:r w:rsidR="000044CA" w:rsidRPr="004C4B9D">
              <w:rPr>
                <w:bCs/>
                <w:color w:val="auto"/>
                <w:sz w:val="20"/>
                <w:szCs w:val="20"/>
              </w:rPr>
              <w:t>Deliver required Basin Plan monitoring, evaluation, science and reporting.</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5704469" w14:textId="3569683C" w:rsidR="000044CA" w:rsidRPr="004C4B9D" w:rsidRDefault="00E64691" w:rsidP="000044CA">
            <w:pPr>
              <w:pStyle w:val="Tableformat"/>
              <w:rPr>
                <w:bCs/>
                <w:color w:val="auto"/>
                <w:sz w:val="20"/>
                <w:szCs w:val="20"/>
              </w:rPr>
            </w:pPr>
            <w:r>
              <w:rPr>
                <w:bCs/>
                <w:color w:val="auto"/>
                <w:sz w:val="20"/>
                <w:szCs w:val="20"/>
              </w:rPr>
              <w:t>7</w:t>
            </w:r>
            <w:r w:rsidR="000044CA">
              <w:rPr>
                <w:bCs/>
                <w:color w:val="auto"/>
                <w:sz w:val="20"/>
                <w:szCs w:val="20"/>
              </w:rPr>
              <w:t xml:space="preserve">.a </w:t>
            </w:r>
            <w:r w:rsidR="000044CA" w:rsidRPr="004C4B9D">
              <w:rPr>
                <w:bCs/>
                <w:color w:val="auto"/>
                <w:sz w:val="20"/>
                <w:szCs w:val="20"/>
              </w:rPr>
              <w:t>Deliver Basin Plan reporting under Schedule 12, including reporting under Matters 8, 12, 18 and 19</w:t>
            </w:r>
            <w:r w:rsidR="008620BD">
              <w:rPr>
                <w:bCs/>
                <w:color w:val="auto"/>
                <w:sz w:val="20"/>
                <w:szCs w:val="20"/>
              </w:rPr>
              <w:t xml:space="preserve"> and 21 (compliance with water resource plans, such as but not limited to Parts 4, 6, 14)</w:t>
            </w:r>
            <w:r w:rsidR="000044CA" w:rsidRPr="004C4B9D">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EFD2DBD"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D06AFA" w14:textId="06FC7F3F" w:rsidR="000044CA" w:rsidRPr="004C4B9D" w:rsidRDefault="000044CA">
            <w:pPr>
              <w:pStyle w:val="Tableformat"/>
              <w:rPr>
                <w:bCs/>
                <w:color w:val="auto"/>
                <w:sz w:val="20"/>
                <w:szCs w:val="20"/>
              </w:rPr>
            </w:pPr>
            <w:r>
              <w:rPr>
                <w:bCs/>
                <w:color w:val="auto"/>
                <w:sz w:val="20"/>
                <w:szCs w:val="20"/>
              </w:rPr>
              <w:t>$</w:t>
            </w:r>
            <w:r w:rsidR="001F108F">
              <w:rPr>
                <w:bCs/>
                <w:color w:val="auto"/>
                <w:sz w:val="20"/>
                <w:szCs w:val="20"/>
              </w:rPr>
              <w:t>63,190</w:t>
            </w:r>
          </w:p>
        </w:tc>
      </w:tr>
      <w:tr w:rsidR="000044CA" w:rsidRPr="004C4B9D" w14:paraId="15EA95AF" w14:textId="77777777" w:rsidTr="000044CA">
        <w:tc>
          <w:tcPr>
            <w:tcW w:w="1574" w:type="dxa"/>
            <w:vMerge/>
            <w:tcBorders>
              <w:left w:val="single" w:sz="8" w:space="0" w:color="4F81BD"/>
              <w:right w:val="single" w:sz="8" w:space="0" w:color="4F81BD"/>
            </w:tcBorders>
            <w:shd w:val="clear" w:color="auto" w:fill="F2F2F2" w:themeFill="background1" w:themeFillShade="F2"/>
          </w:tcPr>
          <w:p w14:paraId="123E7115" w14:textId="77777777" w:rsidR="000044CA" w:rsidRPr="004C4B9D" w:rsidRDefault="000044CA" w:rsidP="000044CA">
            <w:pPr>
              <w:pStyle w:val="Tableformat"/>
              <w:rPr>
                <w:bCs/>
                <w:color w:val="auto"/>
                <w:sz w:val="20"/>
                <w:szCs w:val="20"/>
              </w:rPr>
            </w:pPr>
          </w:p>
        </w:tc>
        <w:tc>
          <w:tcPr>
            <w:tcW w:w="2582" w:type="dxa"/>
            <w:vMerge/>
            <w:tcBorders>
              <w:left w:val="single" w:sz="8" w:space="0" w:color="4F81BD"/>
              <w:bottom w:val="single" w:sz="8" w:space="0" w:color="4F81BD"/>
              <w:right w:val="single" w:sz="8" w:space="0" w:color="4F81BD"/>
            </w:tcBorders>
            <w:shd w:val="clear" w:color="auto" w:fill="F2F2F2" w:themeFill="background1" w:themeFillShade="F2"/>
          </w:tcPr>
          <w:p w14:paraId="0084EF66" w14:textId="77777777" w:rsidR="000044CA" w:rsidRPr="004C4B9D"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6E0DB73" w14:textId="64A593C1" w:rsidR="000044CA" w:rsidRPr="004C4B9D" w:rsidRDefault="00E64691" w:rsidP="000044CA">
            <w:pPr>
              <w:pStyle w:val="Tableformat"/>
              <w:rPr>
                <w:bCs/>
                <w:color w:val="auto"/>
                <w:sz w:val="20"/>
                <w:szCs w:val="20"/>
              </w:rPr>
            </w:pPr>
            <w:r>
              <w:rPr>
                <w:bCs/>
                <w:color w:val="auto"/>
                <w:sz w:val="20"/>
                <w:szCs w:val="20"/>
              </w:rPr>
              <w:t>7</w:t>
            </w:r>
            <w:r w:rsidR="000044CA">
              <w:rPr>
                <w:bCs/>
                <w:color w:val="auto"/>
                <w:sz w:val="20"/>
                <w:szCs w:val="20"/>
              </w:rPr>
              <w:t xml:space="preserve">.b </w:t>
            </w:r>
            <w:r w:rsidR="000044CA" w:rsidRPr="004C4B9D">
              <w:rPr>
                <w:bCs/>
                <w:color w:val="auto"/>
                <w:sz w:val="20"/>
                <w:szCs w:val="20"/>
              </w:rPr>
              <w:t xml:space="preserve">Deliver on </w:t>
            </w:r>
            <w:r w:rsidR="000044CA">
              <w:rPr>
                <w:bCs/>
                <w:color w:val="auto"/>
                <w:sz w:val="20"/>
                <w:szCs w:val="20"/>
              </w:rPr>
              <w:t xml:space="preserve">agreed </w:t>
            </w:r>
            <w:r w:rsidR="000044CA" w:rsidRPr="004C4B9D">
              <w:rPr>
                <w:bCs/>
                <w:color w:val="auto"/>
                <w:sz w:val="20"/>
                <w:szCs w:val="20"/>
              </w:rPr>
              <w:t xml:space="preserve">strategic activities under the Basin Monitoring Evaluation and Reporting Working Group annual </w:t>
            </w:r>
            <w:r w:rsidR="007C3B81" w:rsidRPr="004C4B9D">
              <w:rPr>
                <w:bCs/>
                <w:color w:val="auto"/>
                <w:sz w:val="20"/>
                <w:szCs w:val="20"/>
              </w:rPr>
              <w:t>work plan</w:t>
            </w:r>
            <w:r w:rsidR="000044CA" w:rsidRPr="004C4B9D">
              <w:rPr>
                <w:bCs/>
                <w:color w:val="auto"/>
                <w:sz w:val="20"/>
                <w:szCs w:val="20"/>
              </w:rPr>
              <w:t xml:space="preserve"> as endorsed by BOCA.</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4F7183"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1C2B6C6" w14:textId="1FD81F26" w:rsidR="000044CA" w:rsidRPr="004C4B9D" w:rsidRDefault="000044CA">
            <w:pPr>
              <w:pStyle w:val="Tableformat"/>
              <w:rPr>
                <w:bCs/>
                <w:color w:val="auto"/>
                <w:sz w:val="20"/>
                <w:szCs w:val="20"/>
              </w:rPr>
            </w:pPr>
            <w:r>
              <w:rPr>
                <w:bCs/>
                <w:color w:val="auto"/>
                <w:sz w:val="20"/>
                <w:szCs w:val="20"/>
              </w:rPr>
              <w:t>$</w:t>
            </w:r>
            <w:r w:rsidR="001F108F">
              <w:rPr>
                <w:bCs/>
                <w:color w:val="auto"/>
                <w:sz w:val="20"/>
                <w:szCs w:val="20"/>
              </w:rPr>
              <w:t>63,190</w:t>
            </w:r>
          </w:p>
        </w:tc>
      </w:tr>
      <w:tr w:rsidR="000044CA" w:rsidRPr="004C4B9D" w14:paraId="69C6A0F9" w14:textId="77777777" w:rsidTr="000044CA">
        <w:tc>
          <w:tcPr>
            <w:tcW w:w="1574" w:type="dxa"/>
            <w:vMerge w:val="restart"/>
            <w:tcBorders>
              <w:top w:val="single" w:sz="8" w:space="0" w:color="4F81BD"/>
              <w:left w:val="single" w:sz="8" w:space="0" w:color="4F81BD"/>
              <w:right w:val="single" w:sz="8" w:space="0" w:color="4F81BD"/>
            </w:tcBorders>
            <w:shd w:val="clear" w:color="auto" w:fill="F2F2F2" w:themeFill="background1" w:themeFillShade="F2"/>
          </w:tcPr>
          <w:p w14:paraId="5EB66A05" w14:textId="77777777" w:rsidR="000044CA" w:rsidRPr="004C4B9D" w:rsidRDefault="000044CA" w:rsidP="000044CA">
            <w:pPr>
              <w:pStyle w:val="Tableformat"/>
              <w:rPr>
                <w:bCs/>
                <w:color w:val="auto"/>
                <w:sz w:val="20"/>
                <w:szCs w:val="20"/>
              </w:rPr>
            </w:pPr>
            <w:r w:rsidRPr="004C4B9D">
              <w:rPr>
                <w:bCs/>
                <w:color w:val="auto"/>
                <w:sz w:val="20"/>
                <w:szCs w:val="20"/>
              </w:rPr>
              <w:t>Water market improvement</w:t>
            </w: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0E3954" w14:textId="5CEA3D3B" w:rsidR="000044CA" w:rsidRPr="004C4B9D" w:rsidRDefault="001F108F">
            <w:pPr>
              <w:pStyle w:val="Tableformat"/>
              <w:rPr>
                <w:bCs/>
                <w:color w:val="auto"/>
                <w:sz w:val="20"/>
                <w:szCs w:val="20"/>
              </w:rPr>
            </w:pPr>
            <w:r>
              <w:rPr>
                <w:bCs/>
                <w:color w:val="auto"/>
                <w:sz w:val="20"/>
                <w:szCs w:val="20"/>
              </w:rPr>
              <w:t>8</w:t>
            </w:r>
            <w:r w:rsidR="000044CA">
              <w:rPr>
                <w:bCs/>
                <w:color w:val="auto"/>
                <w:sz w:val="20"/>
                <w:szCs w:val="20"/>
              </w:rPr>
              <w:t xml:space="preserve">. </w:t>
            </w:r>
            <w:r w:rsidR="000044CA" w:rsidRPr="004C4B9D">
              <w:rPr>
                <w:bCs/>
                <w:color w:val="auto"/>
                <w:sz w:val="20"/>
                <w:szCs w:val="20"/>
              </w:rPr>
              <w:t>Improve water market trading arrangements across the Basin.</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BA1A7E" w14:textId="43FC914C" w:rsidR="000044CA" w:rsidRPr="004C4B9D" w:rsidRDefault="001F108F">
            <w:pPr>
              <w:pStyle w:val="Tableformat"/>
              <w:rPr>
                <w:bCs/>
                <w:color w:val="auto"/>
                <w:sz w:val="20"/>
                <w:szCs w:val="20"/>
              </w:rPr>
            </w:pPr>
            <w:r>
              <w:rPr>
                <w:bCs/>
                <w:color w:val="auto"/>
                <w:sz w:val="20"/>
                <w:szCs w:val="20"/>
              </w:rPr>
              <w:t>8</w:t>
            </w:r>
            <w:r w:rsidR="000044CA" w:rsidRPr="00C35DA5">
              <w:rPr>
                <w:bCs/>
                <w:color w:val="auto"/>
                <w:sz w:val="20"/>
                <w:szCs w:val="20"/>
              </w:rPr>
              <w:t>.</w:t>
            </w:r>
            <w:r w:rsidR="00E64691">
              <w:rPr>
                <w:bCs/>
                <w:color w:val="auto"/>
                <w:sz w:val="20"/>
                <w:szCs w:val="20"/>
              </w:rPr>
              <w:t>a</w:t>
            </w:r>
            <w:r w:rsidR="00E64691" w:rsidRPr="00C35DA5">
              <w:rPr>
                <w:bCs/>
                <w:color w:val="auto"/>
                <w:sz w:val="20"/>
                <w:szCs w:val="20"/>
              </w:rPr>
              <w:t xml:space="preserve"> </w:t>
            </w:r>
            <w:r w:rsidR="000044CA" w:rsidRPr="00C35DA5">
              <w:rPr>
                <w:bCs/>
                <w:color w:val="auto"/>
                <w:sz w:val="20"/>
                <w:szCs w:val="20"/>
              </w:rPr>
              <w:t>Implement agreed projects and programs arising from a finalised road map for Murray-Darling Basin water market reform</w:t>
            </w:r>
            <w:r w:rsidR="000044CA" w:rsidRPr="002911F1">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997187B"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493162E" w14:textId="4B5EF3E4"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5CDDA91E" w14:textId="77777777" w:rsidTr="000044CA">
        <w:tc>
          <w:tcPr>
            <w:tcW w:w="1574" w:type="dxa"/>
            <w:vMerge/>
            <w:tcBorders>
              <w:left w:val="single" w:sz="8" w:space="0" w:color="4F81BD"/>
              <w:bottom w:val="single" w:sz="8" w:space="0" w:color="4F81BD"/>
              <w:right w:val="single" w:sz="8" w:space="0" w:color="4F81BD"/>
            </w:tcBorders>
            <w:shd w:val="clear" w:color="auto" w:fill="F2F2F2" w:themeFill="background1" w:themeFillShade="F2"/>
          </w:tcPr>
          <w:p w14:paraId="041A6E7E" w14:textId="77777777" w:rsidR="000044CA" w:rsidRPr="004C4B9D" w:rsidRDefault="000044CA" w:rsidP="000044CA">
            <w:pPr>
              <w:pStyle w:val="Tableformat"/>
              <w:rPr>
                <w:bCs/>
                <w:color w:val="auto"/>
                <w:sz w:val="20"/>
                <w:szCs w:val="20"/>
              </w:rPr>
            </w:pP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0D78D2" w14:textId="07E6A665" w:rsidR="000044CA" w:rsidRPr="004C4B9D" w:rsidRDefault="001F108F">
            <w:pPr>
              <w:pStyle w:val="Tableformat"/>
              <w:rPr>
                <w:bCs/>
                <w:color w:val="auto"/>
                <w:sz w:val="20"/>
                <w:szCs w:val="20"/>
              </w:rPr>
            </w:pPr>
            <w:r>
              <w:rPr>
                <w:bCs/>
                <w:color w:val="auto"/>
                <w:sz w:val="20"/>
                <w:szCs w:val="20"/>
              </w:rPr>
              <w:t>9</w:t>
            </w:r>
            <w:r w:rsidR="000044CA">
              <w:rPr>
                <w:bCs/>
                <w:color w:val="auto"/>
                <w:sz w:val="20"/>
                <w:szCs w:val="20"/>
              </w:rPr>
              <w:t xml:space="preserve">. </w:t>
            </w:r>
            <w:r w:rsidR="000044CA" w:rsidRPr="004C4B9D">
              <w:rPr>
                <w:bCs/>
                <w:color w:val="auto"/>
                <w:sz w:val="20"/>
                <w:szCs w:val="20"/>
              </w:rPr>
              <w:t>Establish two-way entitlement and allocation trade between the ACT and NSW, to ensure protection of future environmental water downstream from the ACT.</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0E0C7BC" w14:textId="07E663AF" w:rsidR="000044CA" w:rsidRPr="004C4B9D" w:rsidRDefault="001F108F">
            <w:pPr>
              <w:pStyle w:val="Tableformat"/>
              <w:rPr>
                <w:bCs/>
                <w:color w:val="auto"/>
                <w:sz w:val="20"/>
                <w:szCs w:val="20"/>
              </w:rPr>
            </w:pPr>
            <w:r>
              <w:rPr>
                <w:bCs/>
                <w:color w:val="auto"/>
                <w:sz w:val="20"/>
                <w:szCs w:val="20"/>
              </w:rPr>
              <w:t>9</w:t>
            </w:r>
            <w:r w:rsidR="000044CA">
              <w:rPr>
                <w:bCs/>
                <w:color w:val="auto"/>
                <w:sz w:val="20"/>
                <w:szCs w:val="20"/>
              </w:rPr>
              <w:t>.</w:t>
            </w:r>
            <w:r w:rsidR="00E64691">
              <w:rPr>
                <w:bCs/>
                <w:color w:val="auto"/>
                <w:sz w:val="20"/>
                <w:szCs w:val="20"/>
              </w:rPr>
              <w:t xml:space="preserve">a </w:t>
            </w:r>
            <w:r w:rsidR="00F523C4">
              <w:rPr>
                <w:bCs/>
                <w:color w:val="auto"/>
                <w:sz w:val="20"/>
                <w:szCs w:val="20"/>
              </w:rPr>
              <w:t>Trial, test and e</w:t>
            </w:r>
            <w:r w:rsidR="000044CA" w:rsidRPr="004C4B9D">
              <w:rPr>
                <w:bCs/>
                <w:color w:val="auto"/>
                <w:sz w:val="20"/>
                <w:szCs w:val="20"/>
              </w:rPr>
              <w:t xml:space="preserve">stablish the transfer and trade mechanism with </w:t>
            </w:r>
            <w:r w:rsidR="000044CA">
              <w:rPr>
                <w:bCs/>
                <w:color w:val="auto"/>
                <w:sz w:val="20"/>
                <w:szCs w:val="20"/>
              </w:rPr>
              <w:t>NSW</w:t>
            </w:r>
            <w:r w:rsidR="000044CA" w:rsidRPr="004C4B9D">
              <w:rPr>
                <w:bCs/>
                <w:color w:val="auto"/>
                <w:sz w:val="20"/>
                <w:szCs w:val="20"/>
              </w:rPr>
              <w:t xml:space="preserve"> developed in accordance with the principles agreed on 01/09/2021.</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A5B6104"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EA5E20C" w14:textId="2C8AF0F0"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532C0DA7" w14:textId="77777777" w:rsidTr="000044CA">
        <w:tc>
          <w:tcPr>
            <w:tcW w:w="1574" w:type="dxa"/>
            <w:vMerge w:val="restart"/>
            <w:tcBorders>
              <w:top w:val="single" w:sz="8" w:space="0" w:color="4F81BD"/>
              <w:left w:val="single" w:sz="8" w:space="0" w:color="4F81BD"/>
              <w:right w:val="single" w:sz="8" w:space="0" w:color="4F81BD"/>
            </w:tcBorders>
            <w:shd w:val="clear" w:color="auto" w:fill="F2F2F2" w:themeFill="background1" w:themeFillShade="F2"/>
          </w:tcPr>
          <w:p w14:paraId="3EADDE08" w14:textId="77777777" w:rsidR="000044CA" w:rsidRPr="004C4B9D" w:rsidRDefault="000044CA" w:rsidP="000044CA">
            <w:pPr>
              <w:pStyle w:val="Tableformat"/>
              <w:rPr>
                <w:bCs/>
                <w:color w:val="auto"/>
                <w:sz w:val="20"/>
                <w:szCs w:val="20"/>
              </w:rPr>
            </w:pPr>
            <w:r w:rsidRPr="004C4B9D">
              <w:rPr>
                <w:bCs/>
                <w:color w:val="auto"/>
                <w:sz w:val="20"/>
                <w:szCs w:val="20"/>
              </w:rPr>
              <w:t>Improved compliance and reporting</w:t>
            </w: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F2BB598" w14:textId="57415946" w:rsidR="000044CA" w:rsidRPr="004C4B9D" w:rsidRDefault="001F108F">
            <w:pPr>
              <w:pStyle w:val="Tableformat"/>
              <w:rPr>
                <w:bCs/>
                <w:color w:val="auto"/>
                <w:sz w:val="20"/>
                <w:szCs w:val="20"/>
              </w:rPr>
            </w:pPr>
            <w:r>
              <w:rPr>
                <w:bCs/>
                <w:color w:val="auto"/>
                <w:sz w:val="20"/>
                <w:szCs w:val="20"/>
              </w:rPr>
              <w:t>10</w:t>
            </w:r>
            <w:r w:rsidR="000044CA">
              <w:rPr>
                <w:bCs/>
                <w:color w:val="auto"/>
                <w:sz w:val="20"/>
                <w:szCs w:val="20"/>
              </w:rPr>
              <w:t xml:space="preserve">. </w:t>
            </w:r>
            <w:r w:rsidR="000044CA" w:rsidRPr="004C4B9D">
              <w:rPr>
                <w:bCs/>
                <w:color w:val="auto"/>
                <w:sz w:val="20"/>
                <w:szCs w:val="20"/>
              </w:rPr>
              <w:t xml:space="preserve">Implement revised Metrological Assurance Framework (MAF2) </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AE25625" w14:textId="0BF594F4" w:rsidR="000044CA" w:rsidRPr="004C4B9D" w:rsidRDefault="001F108F">
            <w:pPr>
              <w:pStyle w:val="Tableformat"/>
              <w:rPr>
                <w:bCs/>
                <w:color w:val="auto"/>
                <w:sz w:val="20"/>
                <w:szCs w:val="20"/>
              </w:rPr>
            </w:pPr>
            <w:r>
              <w:rPr>
                <w:bCs/>
                <w:color w:val="auto"/>
                <w:sz w:val="20"/>
                <w:szCs w:val="20"/>
              </w:rPr>
              <w:t>10</w:t>
            </w:r>
            <w:r w:rsidR="000044CA">
              <w:rPr>
                <w:bCs/>
                <w:color w:val="auto"/>
                <w:sz w:val="20"/>
                <w:szCs w:val="20"/>
              </w:rPr>
              <w:t>.</w:t>
            </w:r>
            <w:r w:rsidR="00E64691">
              <w:rPr>
                <w:bCs/>
                <w:color w:val="auto"/>
                <w:sz w:val="20"/>
                <w:szCs w:val="20"/>
              </w:rPr>
              <w:t xml:space="preserve">a </w:t>
            </w:r>
            <w:r w:rsidR="000044CA" w:rsidRPr="002911F1">
              <w:rPr>
                <w:bCs/>
                <w:color w:val="auto"/>
                <w:sz w:val="20"/>
                <w:szCs w:val="20"/>
              </w:rPr>
              <w:t>Complete implementation of MAF2 requirements.</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80F9FB0"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6DD90A" w14:textId="67600395"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2C421E69" w14:textId="77777777" w:rsidTr="000044CA">
        <w:tc>
          <w:tcPr>
            <w:tcW w:w="1574" w:type="dxa"/>
            <w:vMerge/>
            <w:tcBorders>
              <w:left w:val="single" w:sz="8" w:space="0" w:color="4F81BD"/>
              <w:right w:val="single" w:sz="8" w:space="0" w:color="4F81BD"/>
            </w:tcBorders>
            <w:shd w:val="clear" w:color="auto" w:fill="F2F2F2" w:themeFill="background1" w:themeFillShade="F2"/>
          </w:tcPr>
          <w:p w14:paraId="5C14A246" w14:textId="77777777" w:rsidR="000044CA" w:rsidRPr="004C4B9D" w:rsidRDefault="000044CA" w:rsidP="000044CA">
            <w:pPr>
              <w:pStyle w:val="Tableformat"/>
              <w:rPr>
                <w:bCs/>
                <w:color w:val="auto"/>
                <w:sz w:val="20"/>
                <w:szCs w:val="20"/>
              </w:rPr>
            </w:pPr>
          </w:p>
        </w:tc>
        <w:tc>
          <w:tcPr>
            <w:tcW w:w="2582" w:type="dxa"/>
            <w:vMerge w:val="restart"/>
            <w:tcBorders>
              <w:top w:val="single" w:sz="8" w:space="0" w:color="4F81BD"/>
              <w:left w:val="single" w:sz="8" w:space="0" w:color="4F81BD"/>
              <w:right w:val="single" w:sz="8" w:space="0" w:color="4F81BD"/>
            </w:tcBorders>
            <w:shd w:val="clear" w:color="auto" w:fill="F2F2F2" w:themeFill="background1" w:themeFillShade="F2"/>
          </w:tcPr>
          <w:p w14:paraId="1EA232C5" w14:textId="7AF70C01" w:rsidR="000044CA" w:rsidRPr="004C4B9D" w:rsidRDefault="001F108F">
            <w:pPr>
              <w:pStyle w:val="Tableformat"/>
              <w:rPr>
                <w:bCs/>
                <w:color w:val="auto"/>
                <w:sz w:val="20"/>
                <w:szCs w:val="20"/>
              </w:rPr>
            </w:pPr>
            <w:r>
              <w:rPr>
                <w:bCs/>
                <w:color w:val="auto"/>
                <w:sz w:val="20"/>
                <w:szCs w:val="20"/>
              </w:rPr>
              <w:t>11</w:t>
            </w:r>
            <w:r w:rsidR="000044CA">
              <w:rPr>
                <w:bCs/>
                <w:color w:val="auto"/>
                <w:sz w:val="20"/>
                <w:szCs w:val="20"/>
              </w:rPr>
              <w:t xml:space="preserve">. </w:t>
            </w:r>
            <w:r w:rsidR="000044CA" w:rsidRPr="004649CE">
              <w:rPr>
                <w:bCs/>
                <w:color w:val="auto"/>
                <w:sz w:val="20"/>
                <w:szCs w:val="20"/>
              </w:rPr>
              <w:t>Work with the Inspector General of Water Compliance (IGWC) to provide clear compliance arrangements and reporting in the Murray-Darling Basin.</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F827327" w14:textId="5BCF68C8" w:rsidR="000044CA" w:rsidRPr="004C4B9D" w:rsidRDefault="001F108F">
            <w:pPr>
              <w:pStyle w:val="Tableformat"/>
              <w:rPr>
                <w:bCs/>
                <w:color w:val="auto"/>
                <w:sz w:val="20"/>
                <w:szCs w:val="20"/>
              </w:rPr>
            </w:pPr>
            <w:r>
              <w:rPr>
                <w:bCs/>
                <w:color w:val="auto"/>
                <w:sz w:val="20"/>
                <w:szCs w:val="20"/>
              </w:rPr>
              <w:t>11</w:t>
            </w:r>
            <w:r w:rsidR="000044CA" w:rsidRPr="00A4556C">
              <w:rPr>
                <w:bCs/>
                <w:color w:val="auto"/>
                <w:sz w:val="20"/>
                <w:szCs w:val="20"/>
              </w:rPr>
              <w:t>.</w:t>
            </w:r>
            <w:r w:rsidR="00E64691">
              <w:rPr>
                <w:bCs/>
                <w:color w:val="auto"/>
                <w:sz w:val="20"/>
                <w:szCs w:val="20"/>
              </w:rPr>
              <w:t>a</w:t>
            </w:r>
            <w:r w:rsidR="00E64691" w:rsidRPr="00A4556C">
              <w:rPr>
                <w:bCs/>
                <w:color w:val="auto"/>
                <w:sz w:val="20"/>
                <w:szCs w:val="20"/>
              </w:rPr>
              <w:t xml:space="preserve"> </w:t>
            </w:r>
            <w:r w:rsidR="000044CA" w:rsidRPr="00A4556C">
              <w:rPr>
                <w:bCs/>
                <w:color w:val="auto"/>
                <w:sz w:val="20"/>
                <w:szCs w:val="20"/>
              </w:rPr>
              <w:t>Provide input to the IGWC on the development of standards and guidelines</w:t>
            </w:r>
            <w:r w:rsidR="000044CA">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A8872DD" w14:textId="77777777" w:rsidR="000044CA" w:rsidRPr="004C4B9D"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FAB5E01" w14:textId="3EF3A7E8" w:rsidR="000044CA" w:rsidRPr="004C4B9D"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14:paraId="0935438B" w14:textId="77777777" w:rsidTr="000044CA">
        <w:tc>
          <w:tcPr>
            <w:tcW w:w="1574" w:type="dxa"/>
            <w:vMerge/>
            <w:tcBorders>
              <w:left w:val="single" w:sz="8" w:space="0" w:color="4F81BD"/>
              <w:right w:val="single" w:sz="8" w:space="0" w:color="4F81BD"/>
            </w:tcBorders>
            <w:shd w:val="clear" w:color="auto" w:fill="F2F2F2" w:themeFill="background1" w:themeFillShade="F2"/>
          </w:tcPr>
          <w:p w14:paraId="7F957802" w14:textId="77777777" w:rsidR="000044CA" w:rsidRPr="004C4B9D" w:rsidRDefault="000044CA" w:rsidP="000044CA">
            <w:pPr>
              <w:pStyle w:val="Tableformat"/>
              <w:rPr>
                <w:bCs/>
                <w:color w:val="auto"/>
                <w:sz w:val="20"/>
                <w:szCs w:val="20"/>
              </w:rPr>
            </w:pPr>
          </w:p>
        </w:tc>
        <w:tc>
          <w:tcPr>
            <w:tcW w:w="2582" w:type="dxa"/>
            <w:vMerge/>
            <w:tcBorders>
              <w:left w:val="single" w:sz="8" w:space="0" w:color="4F81BD"/>
              <w:right w:val="single" w:sz="8" w:space="0" w:color="4F81BD"/>
            </w:tcBorders>
            <w:shd w:val="clear" w:color="auto" w:fill="F2F2F2" w:themeFill="background1" w:themeFillShade="F2"/>
          </w:tcPr>
          <w:p w14:paraId="2429EB13" w14:textId="77777777" w:rsidR="000044CA" w:rsidRPr="004649CE"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72C059A" w14:textId="7AAB8C5F" w:rsidR="000044CA" w:rsidRPr="004C4B9D" w:rsidRDefault="001F108F">
            <w:pPr>
              <w:pStyle w:val="Tableformat"/>
              <w:rPr>
                <w:bCs/>
                <w:color w:val="auto"/>
                <w:sz w:val="20"/>
                <w:szCs w:val="20"/>
              </w:rPr>
            </w:pPr>
            <w:r>
              <w:rPr>
                <w:bCs/>
                <w:color w:val="auto"/>
                <w:sz w:val="20"/>
                <w:szCs w:val="20"/>
              </w:rPr>
              <w:t>11</w:t>
            </w:r>
            <w:r w:rsidR="000044CA" w:rsidRPr="00A4556C">
              <w:rPr>
                <w:bCs/>
                <w:color w:val="auto"/>
                <w:sz w:val="20"/>
                <w:szCs w:val="20"/>
              </w:rPr>
              <w:t>.</w:t>
            </w:r>
            <w:r w:rsidR="00E64691">
              <w:rPr>
                <w:bCs/>
                <w:color w:val="auto"/>
                <w:sz w:val="20"/>
                <w:szCs w:val="20"/>
              </w:rPr>
              <w:t>b</w:t>
            </w:r>
            <w:r w:rsidR="00E64691" w:rsidRPr="00A4556C">
              <w:rPr>
                <w:bCs/>
                <w:color w:val="auto"/>
                <w:sz w:val="20"/>
                <w:szCs w:val="20"/>
              </w:rPr>
              <w:t xml:space="preserve"> </w:t>
            </w:r>
            <w:r w:rsidR="000044CA" w:rsidRPr="00A4556C">
              <w:rPr>
                <w:bCs/>
                <w:color w:val="auto"/>
                <w:sz w:val="20"/>
                <w:szCs w:val="20"/>
              </w:rPr>
              <w:t>Report to the IGWC against MAF2 Chapter 15 at least annually or in accordance with IGWC guidelines</w:t>
            </w:r>
            <w:r w:rsidR="000044CA" w:rsidRPr="004649CE">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EDFCCA5" w14:textId="77777777" w:rsidR="000044CA"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BABEC5" w14:textId="22352082" w:rsidR="000044CA"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14:paraId="32D32997" w14:textId="77777777" w:rsidTr="000044CA">
        <w:tc>
          <w:tcPr>
            <w:tcW w:w="1574" w:type="dxa"/>
            <w:vMerge/>
            <w:tcBorders>
              <w:left w:val="single" w:sz="8" w:space="0" w:color="4F81BD"/>
              <w:right w:val="single" w:sz="8" w:space="0" w:color="4F81BD"/>
            </w:tcBorders>
            <w:shd w:val="clear" w:color="auto" w:fill="F2F2F2" w:themeFill="background1" w:themeFillShade="F2"/>
          </w:tcPr>
          <w:p w14:paraId="5B6CD2E8" w14:textId="77777777" w:rsidR="000044CA" w:rsidRPr="004C4B9D" w:rsidRDefault="000044CA" w:rsidP="000044CA">
            <w:pPr>
              <w:pStyle w:val="Tableformat"/>
              <w:rPr>
                <w:bCs/>
                <w:color w:val="auto"/>
                <w:sz w:val="20"/>
                <w:szCs w:val="20"/>
              </w:rPr>
            </w:pPr>
          </w:p>
        </w:tc>
        <w:tc>
          <w:tcPr>
            <w:tcW w:w="2582" w:type="dxa"/>
            <w:vMerge/>
            <w:tcBorders>
              <w:left w:val="single" w:sz="8" w:space="0" w:color="4F81BD"/>
              <w:bottom w:val="single" w:sz="8" w:space="0" w:color="4F81BD"/>
              <w:right w:val="single" w:sz="8" w:space="0" w:color="4F81BD"/>
            </w:tcBorders>
            <w:shd w:val="clear" w:color="auto" w:fill="F2F2F2" w:themeFill="background1" w:themeFillShade="F2"/>
          </w:tcPr>
          <w:p w14:paraId="78E3FCF2" w14:textId="77777777" w:rsidR="000044CA" w:rsidRPr="004649CE" w:rsidRDefault="000044CA" w:rsidP="000044CA">
            <w:pPr>
              <w:pStyle w:val="Tableformat"/>
              <w:rPr>
                <w:bCs/>
                <w:color w:val="auto"/>
                <w:sz w:val="20"/>
                <w:szCs w:val="20"/>
              </w:rPr>
            </w:pP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5D6BDAFB" w14:textId="34A1AE4E" w:rsidR="000044CA" w:rsidRPr="00A4556C" w:rsidRDefault="001F108F">
            <w:pPr>
              <w:pStyle w:val="Tableformat"/>
              <w:rPr>
                <w:bCs/>
                <w:color w:val="auto"/>
                <w:sz w:val="20"/>
                <w:szCs w:val="20"/>
              </w:rPr>
            </w:pPr>
            <w:r>
              <w:rPr>
                <w:bCs/>
                <w:color w:val="auto"/>
                <w:sz w:val="20"/>
                <w:szCs w:val="20"/>
              </w:rPr>
              <w:t>11</w:t>
            </w:r>
            <w:r w:rsidR="000044CA" w:rsidRPr="00A4556C">
              <w:rPr>
                <w:bCs/>
                <w:color w:val="auto"/>
                <w:sz w:val="20"/>
                <w:szCs w:val="20"/>
              </w:rPr>
              <w:t>.</w:t>
            </w:r>
            <w:r w:rsidR="00E64691">
              <w:rPr>
                <w:bCs/>
                <w:color w:val="auto"/>
                <w:sz w:val="20"/>
                <w:szCs w:val="20"/>
              </w:rPr>
              <w:t>c</w:t>
            </w:r>
            <w:r w:rsidR="00E64691" w:rsidRPr="00A4556C">
              <w:rPr>
                <w:bCs/>
                <w:color w:val="auto"/>
                <w:sz w:val="20"/>
                <w:szCs w:val="20"/>
              </w:rPr>
              <w:t xml:space="preserve"> </w:t>
            </w:r>
            <w:r w:rsidR="000044CA" w:rsidRPr="00A4556C">
              <w:rPr>
                <w:bCs/>
                <w:color w:val="auto"/>
                <w:sz w:val="20"/>
                <w:szCs w:val="20"/>
              </w:rPr>
              <w:t>Provide performance data to the IGWC subject to agreed reporting guidelines (annually).</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DBCADD2" w14:textId="77777777" w:rsidR="000044CA"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A651494" w14:textId="39A8AB6C" w:rsidR="000044CA" w:rsidRDefault="000044CA" w:rsidP="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14:paraId="549D9442" w14:textId="77777777" w:rsidTr="000044CA">
        <w:tc>
          <w:tcPr>
            <w:tcW w:w="1574" w:type="dxa"/>
            <w:vMerge/>
            <w:tcBorders>
              <w:left w:val="single" w:sz="8" w:space="0" w:color="4F81BD"/>
              <w:bottom w:val="single" w:sz="8" w:space="0" w:color="4F81BD"/>
              <w:right w:val="single" w:sz="8" w:space="0" w:color="4F81BD"/>
            </w:tcBorders>
            <w:shd w:val="clear" w:color="auto" w:fill="F2F2F2" w:themeFill="background1" w:themeFillShade="F2"/>
          </w:tcPr>
          <w:p w14:paraId="69EF45B1" w14:textId="77777777" w:rsidR="000044CA" w:rsidRPr="004C4B9D" w:rsidRDefault="000044CA" w:rsidP="000044CA">
            <w:pPr>
              <w:pStyle w:val="Tableformat"/>
              <w:rPr>
                <w:bCs/>
                <w:color w:val="auto"/>
                <w:sz w:val="20"/>
                <w:szCs w:val="20"/>
              </w:rPr>
            </w:pP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B518E37" w14:textId="2197157F" w:rsidR="000044CA" w:rsidRPr="004C4B9D" w:rsidRDefault="001F108F">
            <w:pPr>
              <w:pStyle w:val="Tableformat"/>
              <w:rPr>
                <w:bCs/>
                <w:color w:val="auto"/>
                <w:sz w:val="20"/>
                <w:szCs w:val="20"/>
              </w:rPr>
            </w:pPr>
            <w:r>
              <w:rPr>
                <w:bCs/>
                <w:color w:val="auto"/>
                <w:sz w:val="20"/>
                <w:szCs w:val="20"/>
              </w:rPr>
              <w:t>12</w:t>
            </w:r>
            <w:r w:rsidR="000044CA">
              <w:rPr>
                <w:bCs/>
                <w:color w:val="auto"/>
                <w:sz w:val="20"/>
                <w:szCs w:val="20"/>
              </w:rPr>
              <w:t>. Compliance Compact oversight</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2C99193" w14:textId="40824539" w:rsidR="000044CA" w:rsidRPr="004C4B9D" w:rsidRDefault="001F108F">
            <w:pPr>
              <w:pStyle w:val="Tableformat"/>
              <w:rPr>
                <w:bCs/>
                <w:color w:val="auto"/>
                <w:sz w:val="20"/>
                <w:szCs w:val="20"/>
              </w:rPr>
            </w:pPr>
            <w:r>
              <w:rPr>
                <w:bCs/>
                <w:color w:val="auto"/>
                <w:sz w:val="20"/>
                <w:szCs w:val="20"/>
              </w:rPr>
              <w:t>12</w:t>
            </w:r>
            <w:r w:rsidR="000044CA" w:rsidRPr="00A4556C">
              <w:rPr>
                <w:bCs/>
                <w:color w:val="auto"/>
                <w:sz w:val="20"/>
                <w:szCs w:val="20"/>
              </w:rPr>
              <w:t>.a Provide information to the IGWC as requested and in accordance with agreed MOU/guidelines to enable oversight of Compliance Compact commitments</w:t>
            </w:r>
            <w:r w:rsidR="000044CA" w:rsidRPr="00BE1502">
              <w:rPr>
                <w:bCs/>
                <w:color w:val="auto"/>
                <w:sz w:val="20"/>
                <w:szCs w:val="20"/>
              </w:rPr>
              <w:t>.</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9E273B8" w14:textId="77777777" w:rsidR="000044CA" w:rsidRDefault="000044CA" w:rsidP="000044CA">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6F7E1FF9" w14:textId="60A68594" w:rsidR="000044CA" w:rsidRDefault="000044CA">
            <w:pPr>
              <w:pStyle w:val="Tableformat"/>
              <w:rPr>
                <w:bCs/>
                <w:color w:val="auto"/>
                <w:sz w:val="20"/>
                <w:szCs w:val="20"/>
              </w:rPr>
            </w:pPr>
            <w:r>
              <w:rPr>
                <w:bCs/>
                <w:color w:val="auto"/>
                <w:sz w:val="20"/>
                <w:szCs w:val="20"/>
              </w:rPr>
              <w:t>$</w:t>
            </w:r>
            <w:r w:rsidR="003019A5">
              <w:rPr>
                <w:bCs/>
                <w:color w:val="auto"/>
                <w:sz w:val="20"/>
                <w:szCs w:val="20"/>
              </w:rPr>
              <w:t>42,127</w:t>
            </w:r>
          </w:p>
        </w:tc>
      </w:tr>
      <w:tr w:rsidR="000044CA" w:rsidRPr="004C4B9D" w14:paraId="7B0907F7" w14:textId="77777777" w:rsidTr="000044CA">
        <w:tc>
          <w:tcPr>
            <w:tcW w:w="157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3C4D8B1B" w14:textId="77777777" w:rsidR="000044CA" w:rsidRPr="004C4B9D" w:rsidRDefault="000044CA" w:rsidP="006F3A9B">
            <w:pPr>
              <w:pStyle w:val="Tableformat"/>
              <w:rPr>
                <w:bCs/>
                <w:color w:val="auto"/>
                <w:sz w:val="20"/>
                <w:szCs w:val="20"/>
              </w:rPr>
            </w:pPr>
            <w:r w:rsidRPr="004C4B9D">
              <w:rPr>
                <w:bCs/>
                <w:color w:val="auto"/>
                <w:sz w:val="20"/>
                <w:szCs w:val="20"/>
              </w:rPr>
              <w:t>Enhanced and coordinated consultation and engagement with all Basin communities</w:t>
            </w:r>
          </w:p>
        </w:tc>
        <w:tc>
          <w:tcPr>
            <w:tcW w:w="258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5DE7091" w14:textId="3B9FB866" w:rsidR="000044CA" w:rsidRPr="004C4B9D" w:rsidRDefault="001F108F">
            <w:pPr>
              <w:pStyle w:val="Tableformat"/>
              <w:rPr>
                <w:bCs/>
                <w:color w:val="auto"/>
                <w:sz w:val="20"/>
                <w:szCs w:val="20"/>
              </w:rPr>
            </w:pPr>
            <w:r>
              <w:rPr>
                <w:bCs/>
                <w:color w:val="auto"/>
                <w:sz w:val="20"/>
                <w:szCs w:val="20"/>
              </w:rPr>
              <w:t>13</w:t>
            </w:r>
            <w:r w:rsidR="000044CA">
              <w:rPr>
                <w:bCs/>
                <w:color w:val="auto"/>
                <w:sz w:val="20"/>
                <w:szCs w:val="20"/>
              </w:rPr>
              <w:t xml:space="preserve">. </w:t>
            </w:r>
            <w:r w:rsidR="000044CA" w:rsidRPr="004C4B9D">
              <w:rPr>
                <w:bCs/>
                <w:color w:val="auto"/>
                <w:sz w:val="20"/>
                <w:szCs w:val="20"/>
              </w:rPr>
              <w:t>Improve consultation and strategic engagement in collaboration with the Commonwealth and other Basin governments.</w:t>
            </w:r>
          </w:p>
        </w:tc>
        <w:tc>
          <w:tcPr>
            <w:tcW w:w="364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191116A" w14:textId="237C82D5" w:rsidR="000044CA" w:rsidRPr="004C4B9D" w:rsidRDefault="001F108F">
            <w:pPr>
              <w:pStyle w:val="Tableformat"/>
              <w:rPr>
                <w:bCs/>
                <w:color w:val="auto"/>
                <w:sz w:val="20"/>
                <w:szCs w:val="20"/>
              </w:rPr>
            </w:pPr>
            <w:r>
              <w:rPr>
                <w:bCs/>
                <w:color w:val="auto"/>
                <w:sz w:val="20"/>
                <w:szCs w:val="20"/>
              </w:rPr>
              <w:t>13</w:t>
            </w:r>
            <w:r w:rsidR="000044CA">
              <w:rPr>
                <w:bCs/>
                <w:color w:val="auto"/>
                <w:sz w:val="20"/>
                <w:szCs w:val="20"/>
              </w:rPr>
              <w:t xml:space="preserve">.a </w:t>
            </w:r>
            <w:r w:rsidR="000044CA" w:rsidRPr="004C4B9D">
              <w:rPr>
                <w:bCs/>
                <w:color w:val="auto"/>
                <w:sz w:val="20"/>
                <w:szCs w:val="20"/>
              </w:rPr>
              <w:t xml:space="preserve">Report on improvements made on strategic consultation, engagement and coordination with Basin communities, in collaboration with the Commonwealth and other Basin governments. </w:t>
            </w:r>
          </w:p>
        </w:tc>
        <w:tc>
          <w:tcPr>
            <w:tcW w:w="127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555E5D3" w14:textId="77777777" w:rsidR="000044CA" w:rsidRPr="004C4B9D" w:rsidRDefault="000044CA" w:rsidP="006F3A9B">
            <w:pPr>
              <w:pStyle w:val="Tableformat"/>
              <w:rPr>
                <w:bCs/>
                <w:color w:val="auto"/>
                <w:sz w:val="20"/>
                <w:szCs w:val="20"/>
              </w:rPr>
            </w:pPr>
            <w:r>
              <w:rPr>
                <w:bCs/>
                <w:color w:val="auto"/>
                <w:sz w:val="20"/>
                <w:szCs w:val="20"/>
              </w:rPr>
              <w:t>31 March 2024</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7B5EB314" w14:textId="63FCF3EA" w:rsidR="000044CA" w:rsidRPr="004C4B9D" w:rsidRDefault="000044CA">
            <w:pPr>
              <w:pStyle w:val="Tableformat"/>
              <w:rPr>
                <w:bCs/>
                <w:color w:val="auto"/>
                <w:sz w:val="20"/>
                <w:szCs w:val="20"/>
              </w:rPr>
            </w:pPr>
            <w:r>
              <w:rPr>
                <w:bCs/>
                <w:color w:val="auto"/>
                <w:sz w:val="20"/>
                <w:szCs w:val="20"/>
              </w:rPr>
              <w:t>$39,</w:t>
            </w:r>
            <w:r w:rsidR="003019A5">
              <w:rPr>
                <w:bCs/>
                <w:color w:val="auto"/>
                <w:sz w:val="20"/>
                <w:szCs w:val="20"/>
              </w:rPr>
              <w:t>89</w:t>
            </w:r>
            <w:r w:rsidR="001F108F">
              <w:rPr>
                <w:bCs/>
                <w:color w:val="auto"/>
                <w:sz w:val="20"/>
                <w:szCs w:val="20"/>
              </w:rPr>
              <w:t>5</w:t>
            </w:r>
          </w:p>
        </w:tc>
      </w:tr>
      <w:tr w:rsidR="00767A48" w:rsidRPr="00DD56FE" w14:paraId="2A689A83" w14:textId="77777777" w:rsidTr="000044CA">
        <w:trPr>
          <w:trHeight w:val="397"/>
        </w:trPr>
        <w:tc>
          <w:tcPr>
            <w:tcW w:w="9072" w:type="dxa"/>
            <w:gridSpan w:val="4"/>
            <w:tcBorders>
              <w:left w:val="single" w:sz="8" w:space="0" w:color="4F81BD"/>
              <w:bottom w:val="single" w:sz="8" w:space="0" w:color="4F81BD"/>
              <w:right w:val="single" w:sz="8" w:space="0" w:color="4F81BD"/>
            </w:tcBorders>
            <w:shd w:val="clear" w:color="auto" w:fill="F2F2F2" w:themeFill="background1" w:themeFillShade="F2"/>
          </w:tcPr>
          <w:p w14:paraId="7EC6C67C" w14:textId="536C62F8" w:rsidR="00175D4E" w:rsidRPr="00DD56FE" w:rsidRDefault="00175D4E" w:rsidP="00175D4E">
            <w:pPr>
              <w:pStyle w:val="Tableformat"/>
              <w:jc w:val="right"/>
              <w:rPr>
                <w:bCs/>
                <w:i/>
                <w:iCs w:val="0"/>
                <w:color w:val="auto"/>
                <w:sz w:val="20"/>
                <w:szCs w:val="20"/>
              </w:rPr>
            </w:pPr>
            <w:r w:rsidRPr="00DD56FE">
              <w:rPr>
                <w:bCs/>
                <w:i/>
                <w:iCs w:val="0"/>
                <w:color w:val="auto"/>
                <w:sz w:val="20"/>
                <w:szCs w:val="20"/>
              </w:rPr>
              <w:t xml:space="preserve">Total payment for </w:t>
            </w:r>
            <w:r>
              <w:rPr>
                <w:bCs/>
                <w:i/>
                <w:iCs w:val="0"/>
                <w:color w:val="auto"/>
                <w:sz w:val="20"/>
                <w:szCs w:val="20"/>
              </w:rPr>
              <w:t>the Australian Capital Territory for Year 3</w:t>
            </w:r>
            <w:r w:rsidRPr="00DD56FE">
              <w:rPr>
                <w:bCs/>
                <w:i/>
                <w:iCs w:val="0"/>
                <w:color w:val="auto"/>
                <w:sz w:val="20"/>
                <w:szCs w:val="20"/>
              </w:rPr>
              <w:t xml:space="preserve"> </w:t>
            </w:r>
            <w:r>
              <w:rPr>
                <w:bCs/>
                <w:i/>
                <w:iCs w:val="0"/>
                <w:color w:val="auto"/>
                <w:sz w:val="20"/>
                <w:szCs w:val="20"/>
              </w:rPr>
              <w:t xml:space="preserve">if all </w:t>
            </w:r>
            <w:r w:rsidRPr="00DD56FE">
              <w:rPr>
                <w:bCs/>
                <w:i/>
                <w:iCs w:val="0"/>
                <w:color w:val="auto"/>
                <w:sz w:val="20"/>
                <w:szCs w:val="20"/>
              </w:rPr>
              <w:t>KPIs are met</w:t>
            </w:r>
          </w:p>
        </w:tc>
        <w:tc>
          <w:tcPr>
            <w:tcW w:w="1135"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2AB98679" w14:textId="4D67E155" w:rsidR="00175D4E" w:rsidRPr="00DD56FE" w:rsidRDefault="00175D4E" w:rsidP="00175D4E">
            <w:pPr>
              <w:pStyle w:val="Tableformat"/>
              <w:rPr>
                <w:bCs/>
                <w:color w:val="auto"/>
                <w:sz w:val="20"/>
                <w:szCs w:val="20"/>
              </w:rPr>
            </w:pPr>
            <w:r w:rsidRPr="00DD56FE">
              <w:rPr>
                <w:bCs/>
                <w:color w:val="auto"/>
                <w:sz w:val="20"/>
                <w:szCs w:val="20"/>
              </w:rPr>
              <w:t>$</w:t>
            </w:r>
            <w:r>
              <w:rPr>
                <w:bCs/>
                <w:color w:val="auto"/>
                <w:sz w:val="20"/>
                <w:szCs w:val="20"/>
              </w:rPr>
              <w:t>878,0</w:t>
            </w:r>
            <w:r w:rsidRPr="00DD56FE">
              <w:rPr>
                <w:bCs/>
                <w:color w:val="auto"/>
                <w:sz w:val="20"/>
                <w:szCs w:val="20"/>
              </w:rPr>
              <w:t>00</w:t>
            </w:r>
          </w:p>
        </w:tc>
      </w:tr>
    </w:tbl>
    <w:p w14:paraId="65E641F1" w14:textId="09FC632B" w:rsidR="00195187" w:rsidRDefault="00195187" w:rsidP="00931AA8">
      <w:pPr>
        <w:rPr>
          <w:lang w:val="en-GB"/>
        </w:rPr>
      </w:pPr>
    </w:p>
    <w:p w14:paraId="3275185A" w14:textId="77777777" w:rsidR="00B60328" w:rsidRDefault="00B60328" w:rsidP="00931AA8">
      <w:pPr>
        <w:rPr>
          <w:lang w:val="en-GB"/>
        </w:rPr>
      </w:pPr>
    </w:p>
    <w:p w14:paraId="311B905F" w14:textId="3691F85F" w:rsidR="00931AA8" w:rsidRDefault="00931AA8" w:rsidP="00931AA8">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097E47C9" w14:textId="77777777" w:rsidR="00931AA8" w:rsidRPr="00F00A18" w:rsidRDefault="00931AA8" w:rsidP="00931AA8">
      <w:pPr>
        <w:rPr>
          <w:lang w:val="en-GB"/>
        </w:rPr>
      </w:pPr>
    </w:p>
    <w:tbl>
      <w:tblPr>
        <w:tblW w:w="9356" w:type="dxa"/>
        <w:jc w:val="center"/>
        <w:tblLayout w:type="fixed"/>
        <w:tblLook w:val="01E0" w:firstRow="1" w:lastRow="1" w:firstColumn="1" w:lastColumn="1" w:noHBand="0" w:noVBand="0"/>
      </w:tblPr>
      <w:tblGrid>
        <w:gridCol w:w="3686"/>
        <w:gridCol w:w="1984"/>
        <w:gridCol w:w="3686"/>
      </w:tblGrid>
      <w:tr w:rsidR="00931AA8" w:rsidRPr="00F00A18" w14:paraId="72C96F8C" w14:textId="77777777" w:rsidTr="00DD56FE">
        <w:trPr>
          <w:cantSplit/>
          <w:jc w:val="center"/>
        </w:trPr>
        <w:tc>
          <w:tcPr>
            <w:tcW w:w="3686" w:type="dxa"/>
          </w:tcPr>
          <w:p w14:paraId="4C949122" w14:textId="77777777" w:rsidR="00931AA8" w:rsidRPr="00F00A18" w:rsidRDefault="00931AA8" w:rsidP="00931AA8">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7A909825" w14:textId="77777777" w:rsidR="00931AA8" w:rsidRPr="00F00A18" w:rsidRDefault="00931AA8" w:rsidP="00931AA8">
            <w:pPr>
              <w:pStyle w:val="LineForSignature"/>
              <w:rPr>
                <w:color w:val="auto"/>
              </w:rPr>
            </w:pPr>
            <w:r w:rsidRPr="00F00A18">
              <w:rPr>
                <w:color w:val="auto"/>
              </w:rPr>
              <w:br/>
            </w:r>
            <w:r w:rsidRPr="00F00A18">
              <w:rPr>
                <w:color w:val="auto"/>
              </w:rPr>
              <w:tab/>
            </w:r>
          </w:p>
          <w:p w14:paraId="1829B8A2" w14:textId="77777777" w:rsidR="00931AA8" w:rsidRPr="00E061F4" w:rsidRDefault="00931AA8" w:rsidP="00931AA8">
            <w:pPr>
              <w:pStyle w:val="SingleParagraph"/>
              <w:rPr>
                <w:rStyle w:val="Bold"/>
                <w:color w:val="auto"/>
              </w:rPr>
            </w:pPr>
            <w:r w:rsidRPr="00E061F4">
              <w:rPr>
                <w:rStyle w:val="Bold"/>
                <w:color w:val="auto"/>
              </w:rPr>
              <w:t>The Honourable Keith Pitt MP</w:t>
            </w:r>
          </w:p>
          <w:p w14:paraId="139CD5A1" w14:textId="0A9006BF" w:rsidR="00931AA8" w:rsidRPr="00F00A18" w:rsidRDefault="00931AA8" w:rsidP="00931AA8">
            <w:pPr>
              <w:pStyle w:val="Position"/>
              <w:rPr>
                <w:color w:val="auto"/>
                <w:lang w:val="en-GB"/>
              </w:rPr>
            </w:pPr>
            <w:r w:rsidRPr="00E061F4">
              <w:rPr>
                <w:color w:val="auto"/>
                <w:lang w:val="en-GB"/>
              </w:rPr>
              <w:t>Minister for Resources</w:t>
            </w:r>
            <w:r w:rsidR="00DD56FE">
              <w:rPr>
                <w:color w:val="auto"/>
                <w:lang w:val="en-GB"/>
              </w:rPr>
              <w:t xml:space="preserve"> and</w:t>
            </w:r>
            <w:r w:rsidRPr="00E061F4">
              <w:rPr>
                <w:color w:val="auto"/>
                <w:lang w:val="en-GB"/>
              </w:rPr>
              <w:t xml:space="preserve"> Water</w:t>
            </w:r>
            <w:r w:rsidRPr="00F00A18">
              <w:rPr>
                <w:color w:val="auto"/>
                <w:lang w:val="en-GB"/>
              </w:rPr>
              <w:t xml:space="preserve"> </w:t>
            </w:r>
          </w:p>
          <w:p w14:paraId="02BC2C80" w14:textId="77777777" w:rsidR="00931AA8" w:rsidRPr="00F00A18" w:rsidRDefault="00931AA8" w:rsidP="00931AA8">
            <w:pPr>
              <w:pStyle w:val="SingleParagraph"/>
              <w:tabs>
                <w:tab w:val="num" w:pos="1134"/>
              </w:tabs>
              <w:spacing w:after="240"/>
              <w:rPr>
                <w:b/>
                <w:color w:val="auto"/>
                <w:lang w:val="en-GB"/>
              </w:rPr>
            </w:pPr>
            <w:r w:rsidRPr="00F00A18">
              <w:rPr>
                <w:color w:val="auto"/>
                <w:lang w:val="en-GB"/>
              </w:rPr>
              <w:t>[Day]  [Month]  [Year]</w:t>
            </w:r>
          </w:p>
        </w:tc>
        <w:tc>
          <w:tcPr>
            <w:tcW w:w="1984" w:type="dxa"/>
            <w:tcMar>
              <w:left w:w="0" w:type="dxa"/>
              <w:right w:w="0" w:type="dxa"/>
            </w:tcMar>
          </w:tcPr>
          <w:p w14:paraId="0803E805" w14:textId="77777777" w:rsidR="00931AA8" w:rsidRPr="00F00A18" w:rsidRDefault="00931AA8" w:rsidP="00931AA8">
            <w:pPr>
              <w:rPr>
                <w:rFonts w:ascii="Book Antiqua" w:hAnsi="Book Antiqua"/>
                <w:lang w:val="en-GB"/>
              </w:rPr>
            </w:pPr>
          </w:p>
        </w:tc>
        <w:tc>
          <w:tcPr>
            <w:tcW w:w="3686" w:type="dxa"/>
          </w:tcPr>
          <w:p w14:paraId="18E8C02B" w14:textId="77777777" w:rsidR="00931AA8" w:rsidRPr="00F00A18" w:rsidRDefault="00931AA8" w:rsidP="00931AA8">
            <w:pPr>
              <w:pStyle w:val="Signed"/>
              <w:rPr>
                <w:color w:val="auto"/>
              </w:rPr>
            </w:pPr>
            <w:r w:rsidRPr="00F00A18">
              <w:rPr>
                <w:rStyle w:val="SignedBold"/>
                <w:color w:val="auto"/>
              </w:rPr>
              <w:t>Signed</w:t>
            </w:r>
            <w:r w:rsidRPr="00F00A18">
              <w:rPr>
                <w:i w:val="0"/>
                <w:color w:val="auto"/>
              </w:rPr>
              <w:t xml:space="preserve"> </w:t>
            </w:r>
            <w:r w:rsidRPr="00F00A18">
              <w:rPr>
                <w:color w:val="auto"/>
              </w:rPr>
              <w:t>for and on behalf of the Australian Capital Territory by</w:t>
            </w:r>
          </w:p>
          <w:p w14:paraId="3420EC82" w14:textId="77777777" w:rsidR="00931AA8" w:rsidRPr="00F00A18" w:rsidRDefault="00931AA8" w:rsidP="00931AA8">
            <w:pPr>
              <w:pStyle w:val="LineForSignature"/>
              <w:rPr>
                <w:color w:val="auto"/>
              </w:rPr>
            </w:pPr>
            <w:r w:rsidRPr="00F00A18">
              <w:rPr>
                <w:color w:val="auto"/>
              </w:rPr>
              <w:br/>
            </w:r>
            <w:r w:rsidRPr="00F00A18">
              <w:rPr>
                <w:color w:val="auto"/>
              </w:rPr>
              <w:tab/>
            </w:r>
          </w:p>
          <w:p w14:paraId="6E1DF8F9" w14:textId="77777777" w:rsidR="00931AA8" w:rsidRPr="004F4727" w:rsidRDefault="00931AA8" w:rsidP="00931AA8">
            <w:pPr>
              <w:pStyle w:val="SingleParagraph"/>
              <w:rPr>
                <w:rStyle w:val="Bold"/>
                <w:color w:val="auto"/>
              </w:rPr>
            </w:pPr>
            <w:r w:rsidRPr="004F4727">
              <w:rPr>
                <w:rStyle w:val="Bold"/>
                <w:color w:val="auto"/>
              </w:rPr>
              <w:t>Mr Shane Rattenbury MLA</w:t>
            </w:r>
          </w:p>
          <w:p w14:paraId="0EE5646E" w14:textId="5FC62873" w:rsidR="00931AA8" w:rsidRPr="00F00A18" w:rsidRDefault="00931AA8" w:rsidP="00931AA8">
            <w:pPr>
              <w:pStyle w:val="Position"/>
              <w:rPr>
                <w:color w:val="auto"/>
                <w:lang w:val="en-GB"/>
              </w:rPr>
            </w:pPr>
            <w:r w:rsidRPr="004F4727">
              <w:rPr>
                <w:color w:val="auto"/>
                <w:lang w:val="en-GB"/>
              </w:rPr>
              <w:t>Minister for Water, Energy and Emissions Reduction</w:t>
            </w:r>
            <w:r w:rsidR="00CA4A7C">
              <w:rPr>
                <w:color w:val="auto"/>
                <w:lang w:val="en-GB"/>
              </w:rPr>
              <w:t>, Minister for Consumer Affairs and Minister for Gaming</w:t>
            </w:r>
          </w:p>
          <w:p w14:paraId="114A847D" w14:textId="77777777" w:rsidR="00931AA8" w:rsidRPr="00F00A18" w:rsidRDefault="00931AA8" w:rsidP="00931AA8">
            <w:pPr>
              <w:rPr>
                <w:rFonts w:ascii="Book Antiqua" w:hAnsi="Book Antiqua"/>
                <w:lang w:val="en-GB"/>
              </w:rPr>
            </w:pPr>
            <w:r w:rsidRPr="00F00A18">
              <w:rPr>
                <w:lang w:val="en-GB"/>
              </w:rPr>
              <w:t>[Day]  [Month]  [Year]</w:t>
            </w:r>
          </w:p>
        </w:tc>
      </w:tr>
    </w:tbl>
    <w:p w14:paraId="34C93A48" w14:textId="77777777" w:rsidR="00931AA8" w:rsidRPr="00F00A18" w:rsidRDefault="00931AA8" w:rsidP="00931AA8">
      <w:pPr>
        <w:rPr>
          <w:lang w:val="en-GB"/>
        </w:rPr>
      </w:pPr>
    </w:p>
    <w:p w14:paraId="26CDAFB4" w14:textId="77777777" w:rsidR="00931AA8" w:rsidRPr="00F00A18" w:rsidRDefault="00931AA8" w:rsidP="00931AA8">
      <w:pPr>
        <w:rPr>
          <w:lang w:val="en-GB"/>
        </w:rPr>
      </w:pPr>
    </w:p>
    <w:p w14:paraId="4333B109" w14:textId="77777777" w:rsidR="00931AA8" w:rsidRPr="00F00A18" w:rsidRDefault="00931AA8" w:rsidP="00931AA8">
      <w:pPr>
        <w:rPr>
          <w:lang w:val="en-GB"/>
        </w:rPr>
      </w:pPr>
    </w:p>
    <w:sectPr w:rsidR="00931AA8" w:rsidRPr="00F00A18" w:rsidSect="00721D06">
      <w:pgSz w:w="11906" w:h="16838" w:code="9"/>
      <w:pgMar w:top="1134" w:right="1077" w:bottom="1134" w:left="1077"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9F6F" w14:textId="77777777" w:rsidR="00D60097" w:rsidRDefault="00D60097">
      <w:r>
        <w:separator/>
      </w:r>
    </w:p>
  </w:endnote>
  <w:endnote w:type="continuationSeparator" w:id="0">
    <w:p w14:paraId="71536BB2" w14:textId="77777777" w:rsidR="00D60097" w:rsidRDefault="00D60097">
      <w:r>
        <w:continuationSeparator/>
      </w:r>
    </w:p>
  </w:endnote>
  <w:endnote w:type="continuationNotice" w:id="1">
    <w:p w14:paraId="4041C51E" w14:textId="77777777" w:rsidR="00D60097" w:rsidRDefault="00D60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D60097" w:rsidRDefault="00D60097">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6BCE94F5" w:rsidR="00D60097" w:rsidRDefault="00D60097" w:rsidP="002F18AE">
    <w:pPr>
      <w:pStyle w:val="Footer"/>
      <w:jc w:val="right"/>
    </w:pPr>
    <w:r>
      <w:rPr>
        <w:noProof/>
        <w:lang w:val="en-AU" w:eastAsia="en-AU"/>
      </w:rPr>
      <mc:AlternateContent>
        <mc:Choice Requires="wps">
          <w:drawing>
            <wp:anchor distT="0" distB="0" distL="114300" distR="114300" simplePos="0" relativeHeight="251658240" behindDoc="0" locked="0" layoutInCell="0" allowOverlap="1" wp14:anchorId="6F356F97" wp14:editId="4F396277">
              <wp:simplePos x="0" y="0"/>
              <wp:positionH relativeFrom="page">
                <wp:posOffset>0</wp:posOffset>
              </wp:positionH>
              <wp:positionV relativeFrom="page">
                <wp:posOffset>10228580</wp:posOffset>
              </wp:positionV>
              <wp:extent cx="7560310" cy="273050"/>
              <wp:effectExtent l="0" t="0" r="0" b="12700"/>
              <wp:wrapNone/>
              <wp:docPr id="1" name="MSIPCM43bc4eaf933d6fc6f4549b0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71B89" w14:textId="56A61DF6" w:rsidR="00D60097" w:rsidRPr="004C736A" w:rsidRDefault="00D60097" w:rsidP="004C736A">
                          <w:pPr>
                            <w:jc w:val="center"/>
                            <w:rPr>
                              <w:rFonts w:ascii="Calibri" w:hAnsi="Calibri" w:cs="Calibri"/>
                              <w:color w:val="000000"/>
                              <w:sz w:val="24"/>
                            </w:rPr>
                          </w:pPr>
                          <w:r w:rsidRPr="004C736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356F97" id="_x0000_t202" coordsize="21600,21600" o:spt="202" path="m,l,21600r21600,l21600,xe">
              <v:stroke joinstyle="miter"/>
              <v:path gradientshapeok="t" o:connecttype="rect"/>
            </v:shapetype>
            <v:shape id="MSIPCM43bc4eaf933d6fc6f4549b0f" o:spid="_x0000_s1027"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3971B89" w14:textId="56A61DF6" w:rsidR="00D60097" w:rsidRPr="004C736A" w:rsidRDefault="00D60097" w:rsidP="004C736A">
                    <w:pPr>
                      <w:jc w:val="center"/>
                      <w:rPr>
                        <w:rFonts w:ascii="Calibri" w:hAnsi="Calibri" w:cs="Calibri"/>
                        <w:color w:val="000000"/>
                        <w:sz w:val="24"/>
                      </w:rPr>
                    </w:pPr>
                    <w:r w:rsidRPr="004C736A">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7E4" w14:textId="7EB35A2E" w:rsidR="00D60097" w:rsidRPr="00CA24B0" w:rsidRDefault="00D60097" w:rsidP="002F18AE">
    <w:pPr>
      <w:pStyle w:val="Footer"/>
      <w:jc w:val="right"/>
    </w:pPr>
    <w:r>
      <w:rPr>
        <w:noProof/>
        <w:lang w:val="en-AU" w:eastAsia="en-AU"/>
      </w:rPr>
      <mc:AlternateContent>
        <mc:Choice Requires="wps">
          <w:drawing>
            <wp:anchor distT="0" distB="0" distL="114300" distR="114300" simplePos="0" relativeHeight="251658241" behindDoc="0" locked="0" layoutInCell="0" allowOverlap="1" wp14:anchorId="41979ABC" wp14:editId="151E73F0">
              <wp:simplePos x="0" y="0"/>
              <wp:positionH relativeFrom="page">
                <wp:posOffset>0</wp:posOffset>
              </wp:positionH>
              <wp:positionV relativeFrom="page">
                <wp:posOffset>10228580</wp:posOffset>
              </wp:positionV>
              <wp:extent cx="7560310" cy="273050"/>
              <wp:effectExtent l="0" t="0" r="0" b="12700"/>
              <wp:wrapNone/>
              <wp:docPr id="2" name="MSIPCM64be4cee8941a78bc71ff3fc"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CC71" w14:textId="38988C7B" w:rsidR="00D60097" w:rsidRPr="004C736A" w:rsidRDefault="00D60097" w:rsidP="004C736A">
                          <w:pPr>
                            <w:jc w:val="center"/>
                            <w:rPr>
                              <w:rFonts w:ascii="Calibri" w:hAnsi="Calibri" w:cs="Calibri"/>
                              <w:color w:val="000000"/>
                              <w:sz w:val="24"/>
                            </w:rPr>
                          </w:pPr>
                          <w:r w:rsidRPr="004C736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979ABC" id="_x0000_t202" coordsize="21600,21600" o:spt="202" path="m,l,21600r21600,l21600,xe">
              <v:stroke joinstyle="miter"/>
              <v:path gradientshapeok="t" o:connecttype="rect"/>
            </v:shapetype>
            <v:shape id="MSIPCM64be4cee8941a78bc71ff3fc" o:spid="_x0000_s1028" type="#_x0000_t202" alt="{&quot;HashCode&quot;:-1264680268,&quot;Height&quot;:841.0,&quot;Width&quot;:595.0,&quot;Placement&quot;:&quot;Footer&quot;,&quot;Index&quot;:&quot;FirstPage&quot;,&quot;Section&quot;:1,&quot;Top&quot;:0.0,&quot;Left&quot;:0.0}" style="position:absolute;left:0;text-align:left;margin-left:0;margin-top:805.4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6BA8CC71" w14:textId="38988C7B" w:rsidR="00D60097" w:rsidRPr="004C736A" w:rsidRDefault="00D60097" w:rsidP="004C736A">
                    <w:pPr>
                      <w:jc w:val="center"/>
                      <w:rPr>
                        <w:rFonts w:ascii="Calibri" w:hAnsi="Calibri" w:cs="Calibri"/>
                        <w:color w:val="000000"/>
                        <w:sz w:val="24"/>
                      </w:rPr>
                    </w:pPr>
                    <w:r w:rsidRPr="004C736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8936" w14:textId="77777777" w:rsidR="00D60097" w:rsidRDefault="00D60097">
      <w:r>
        <w:separator/>
      </w:r>
    </w:p>
  </w:footnote>
  <w:footnote w:type="continuationSeparator" w:id="0">
    <w:p w14:paraId="3C728BE4" w14:textId="77777777" w:rsidR="00D60097" w:rsidRDefault="00D60097">
      <w:r>
        <w:continuationSeparator/>
      </w:r>
    </w:p>
  </w:footnote>
  <w:footnote w:type="continuationNotice" w:id="1">
    <w:p w14:paraId="3021F726" w14:textId="77777777" w:rsidR="00D60097" w:rsidRDefault="00D60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0870" w14:textId="291F91A6" w:rsidR="00D60097" w:rsidRDefault="00D6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E06" w14:textId="7951551F" w:rsidR="00D60097" w:rsidRDefault="00D60097" w:rsidP="002F18AE">
    <w:pPr>
      <w:pStyle w:val="HeaderOdd"/>
      <w:tabs>
        <w:tab w:val="num" w:pos="1134"/>
      </w:tabs>
      <w:rPr>
        <w:color w:val="800000"/>
        <w:sz w:val="30"/>
        <w:szCs w:val="30"/>
      </w:rPr>
    </w:pPr>
  </w:p>
  <w:p w14:paraId="3621292C" w14:textId="77777777" w:rsidR="00D60097" w:rsidRDefault="00D6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409CB"/>
    <w:multiLevelType w:val="hybridMultilevel"/>
    <w:tmpl w:val="CED8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3710DD"/>
    <w:multiLevelType w:val="hybridMultilevel"/>
    <w:tmpl w:val="1D3276DC"/>
    <w:lvl w:ilvl="0" w:tplc="4EAA6202">
      <w:start w:val="1"/>
      <w:numFmt w:val="bullet"/>
      <w:lvlText w:val=""/>
      <w:lvlJc w:val="left"/>
      <w:pPr>
        <w:ind w:left="765" w:hanging="360"/>
      </w:pPr>
      <w:rPr>
        <w:rFonts w:ascii="Symbol" w:hAnsi="Symbol" w:hint="default"/>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41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311"/>
    <w:rsid w:val="000044CA"/>
    <w:rsid w:val="00013C9E"/>
    <w:rsid w:val="00022D26"/>
    <w:rsid w:val="00022D3C"/>
    <w:rsid w:val="00025D6E"/>
    <w:rsid w:val="00027E34"/>
    <w:rsid w:val="0003133A"/>
    <w:rsid w:val="000366DB"/>
    <w:rsid w:val="00041D41"/>
    <w:rsid w:val="000524EB"/>
    <w:rsid w:val="0007332A"/>
    <w:rsid w:val="00077FF9"/>
    <w:rsid w:val="000802A2"/>
    <w:rsid w:val="00084EB2"/>
    <w:rsid w:val="0008575B"/>
    <w:rsid w:val="00086EDB"/>
    <w:rsid w:val="00087FD0"/>
    <w:rsid w:val="000956EA"/>
    <w:rsid w:val="000A2D58"/>
    <w:rsid w:val="000A4A4F"/>
    <w:rsid w:val="000A50EF"/>
    <w:rsid w:val="000A7AD6"/>
    <w:rsid w:val="000B4D9D"/>
    <w:rsid w:val="000C3FE5"/>
    <w:rsid w:val="000D027E"/>
    <w:rsid w:val="000D19A3"/>
    <w:rsid w:val="000D5768"/>
    <w:rsid w:val="000D5C59"/>
    <w:rsid w:val="000F31D2"/>
    <w:rsid w:val="000F66AC"/>
    <w:rsid w:val="0010430F"/>
    <w:rsid w:val="0010491C"/>
    <w:rsid w:val="00107ADE"/>
    <w:rsid w:val="00110BF6"/>
    <w:rsid w:val="001111EA"/>
    <w:rsid w:val="00117DB7"/>
    <w:rsid w:val="001205F6"/>
    <w:rsid w:val="00121115"/>
    <w:rsid w:val="0012146C"/>
    <w:rsid w:val="001400DD"/>
    <w:rsid w:val="001407F5"/>
    <w:rsid w:val="00140EA4"/>
    <w:rsid w:val="001421B5"/>
    <w:rsid w:val="00142996"/>
    <w:rsid w:val="00152DDA"/>
    <w:rsid w:val="001566E4"/>
    <w:rsid w:val="00160137"/>
    <w:rsid w:val="00162172"/>
    <w:rsid w:val="00164371"/>
    <w:rsid w:val="00165E29"/>
    <w:rsid w:val="001746FF"/>
    <w:rsid w:val="00175D4E"/>
    <w:rsid w:val="00184401"/>
    <w:rsid w:val="00186B61"/>
    <w:rsid w:val="001920CF"/>
    <w:rsid w:val="001932EE"/>
    <w:rsid w:val="0019389C"/>
    <w:rsid w:val="00195187"/>
    <w:rsid w:val="00195AEB"/>
    <w:rsid w:val="001B459E"/>
    <w:rsid w:val="001C1A72"/>
    <w:rsid w:val="001C3FDA"/>
    <w:rsid w:val="001D2811"/>
    <w:rsid w:val="001D2AA3"/>
    <w:rsid w:val="001D63C1"/>
    <w:rsid w:val="001D7426"/>
    <w:rsid w:val="001E30D2"/>
    <w:rsid w:val="001E5011"/>
    <w:rsid w:val="001E69E3"/>
    <w:rsid w:val="001F108F"/>
    <w:rsid w:val="001F7696"/>
    <w:rsid w:val="00200446"/>
    <w:rsid w:val="0020607C"/>
    <w:rsid w:val="00206B83"/>
    <w:rsid w:val="00210FCC"/>
    <w:rsid w:val="00217BEB"/>
    <w:rsid w:val="00223E84"/>
    <w:rsid w:val="002448C5"/>
    <w:rsid w:val="00247F6A"/>
    <w:rsid w:val="00251F1D"/>
    <w:rsid w:val="00256D20"/>
    <w:rsid w:val="00260B08"/>
    <w:rsid w:val="00263DCD"/>
    <w:rsid w:val="0026778B"/>
    <w:rsid w:val="00270207"/>
    <w:rsid w:val="002740DF"/>
    <w:rsid w:val="002771C1"/>
    <w:rsid w:val="00285D37"/>
    <w:rsid w:val="00287D67"/>
    <w:rsid w:val="002911F1"/>
    <w:rsid w:val="00293631"/>
    <w:rsid w:val="00294684"/>
    <w:rsid w:val="0029713A"/>
    <w:rsid w:val="00297613"/>
    <w:rsid w:val="002B4777"/>
    <w:rsid w:val="002C2CB7"/>
    <w:rsid w:val="002C39AD"/>
    <w:rsid w:val="002C680F"/>
    <w:rsid w:val="002D43C6"/>
    <w:rsid w:val="002D5720"/>
    <w:rsid w:val="002E3E0A"/>
    <w:rsid w:val="002F0BE4"/>
    <w:rsid w:val="002F18AE"/>
    <w:rsid w:val="003019A5"/>
    <w:rsid w:val="00313E36"/>
    <w:rsid w:val="00317FB3"/>
    <w:rsid w:val="00320AE6"/>
    <w:rsid w:val="003265E2"/>
    <w:rsid w:val="00341790"/>
    <w:rsid w:val="003419F6"/>
    <w:rsid w:val="00344CA5"/>
    <w:rsid w:val="0034621B"/>
    <w:rsid w:val="003525FD"/>
    <w:rsid w:val="00361C39"/>
    <w:rsid w:val="00362822"/>
    <w:rsid w:val="00362A15"/>
    <w:rsid w:val="00382434"/>
    <w:rsid w:val="00387874"/>
    <w:rsid w:val="00391488"/>
    <w:rsid w:val="0039261F"/>
    <w:rsid w:val="00392E54"/>
    <w:rsid w:val="0039317E"/>
    <w:rsid w:val="0039753C"/>
    <w:rsid w:val="003A303A"/>
    <w:rsid w:val="003B4794"/>
    <w:rsid w:val="003C6518"/>
    <w:rsid w:val="003C7267"/>
    <w:rsid w:val="003C764D"/>
    <w:rsid w:val="003D1F45"/>
    <w:rsid w:val="003D57EA"/>
    <w:rsid w:val="003E4F62"/>
    <w:rsid w:val="00401896"/>
    <w:rsid w:val="00407DF5"/>
    <w:rsid w:val="0041017C"/>
    <w:rsid w:val="00413B48"/>
    <w:rsid w:val="00417E58"/>
    <w:rsid w:val="00423D31"/>
    <w:rsid w:val="00424C4E"/>
    <w:rsid w:val="00426C3E"/>
    <w:rsid w:val="004278AC"/>
    <w:rsid w:val="00447038"/>
    <w:rsid w:val="00453DF5"/>
    <w:rsid w:val="00456797"/>
    <w:rsid w:val="00456F93"/>
    <w:rsid w:val="004649CE"/>
    <w:rsid w:val="004672B5"/>
    <w:rsid w:val="0047163B"/>
    <w:rsid w:val="00471CC6"/>
    <w:rsid w:val="00474DFF"/>
    <w:rsid w:val="00481773"/>
    <w:rsid w:val="004924E3"/>
    <w:rsid w:val="00495921"/>
    <w:rsid w:val="0049659A"/>
    <w:rsid w:val="00497E84"/>
    <w:rsid w:val="004A0DD9"/>
    <w:rsid w:val="004A2A18"/>
    <w:rsid w:val="004B6F99"/>
    <w:rsid w:val="004C2596"/>
    <w:rsid w:val="004C4810"/>
    <w:rsid w:val="004C4B9D"/>
    <w:rsid w:val="004C736A"/>
    <w:rsid w:val="004C76F5"/>
    <w:rsid w:val="004D05B1"/>
    <w:rsid w:val="004D079A"/>
    <w:rsid w:val="004D32CF"/>
    <w:rsid w:val="004D3DF8"/>
    <w:rsid w:val="004D6048"/>
    <w:rsid w:val="004D7860"/>
    <w:rsid w:val="004E18BA"/>
    <w:rsid w:val="004E1C0D"/>
    <w:rsid w:val="004F5E0D"/>
    <w:rsid w:val="004F7924"/>
    <w:rsid w:val="00501552"/>
    <w:rsid w:val="00505A37"/>
    <w:rsid w:val="00511282"/>
    <w:rsid w:val="00512BED"/>
    <w:rsid w:val="0051346F"/>
    <w:rsid w:val="00513B3A"/>
    <w:rsid w:val="00524CA9"/>
    <w:rsid w:val="00526357"/>
    <w:rsid w:val="0054088C"/>
    <w:rsid w:val="00540F78"/>
    <w:rsid w:val="00545350"/>
    <w:rsid w:val="0055035B"/>
    <w:rsid w:val="00565D4A"/>
    <w:rsid w:val="0056691D"/>
    <w:rsid w:val="00566D75"/>
    <w:rsid w:val="00577B28"/>
    <w:rsid w:val="005921CD"/>
    <w:rsid w:val="0059231F"/>
    <w:rsid w:val="00597195"/>
    <w:rsid w:val="005A1C30"/>
    <w:rsid w:val="005A3667"/>
    <w:rsid w:val="005A77D7"/>
    <w:rsid w:val="005B1064"/>
    <w:rsid w:val="005B3B77"/>
    <w:rsid w:val="005B5A0A"/>
    <w:rsid w:val="005B5AAA"/>
    <w:rsid w:val="005B5E51"/>
    <w:rsid w:val="005B77B8"/>
    <w:rsid w:val="005D133D"/>
    <w:rsid w:val="006051C6"/>
    <w:rsid w:val="006108B9"/>
    <w:rsid w:val="0061607D"/>
    <w:rsid w:val="00622037"/>
    <w:rsid w:val="00622CBA"/>
    <w:rsid w:val="006248B7"/>
    <w:rsid w:val="00627469"/>
    <w:rsid w:val="00631E0A"/>
    <w:rsid w:val="00646CC1"/>
    <w:rsid w:val="00647965"/>
    <w:rsid w:val="00651BDF"/>
    <w:rsid w:val="0065313D"/>
    <w:rsid w:val="00653295"/>
    <w:rsid w:val="00653BB8"/>
    <w:rsid w:val="00656342"/>
    <w:rsid w:val="00657AFB"/>
    <w:rsid w:val="00657D10"/>
    <w:rsid w:val="00657F7F"/>
    <w:rsid w:val="00661511"/>
    <w:rsid w:val="00662246"/>
    <w:rsid w:val="00665402"/>
    <w:rsid w:val="00673BFE"/>
    <w:rsid w:val="00695975"/>
    <w:rsid w:val="00696408"/>
    <w:rsid w:val="00696AE6"/>
    <w:rsid w:val="00697424"/>
    <w:rsid w:val="006A4443"/>
    <w:rsid w:val="006A583E"/>
    <w:rsid w:val="006B6E73"/>
    <w:rsid w:val="006C2939"/>
    <w:rsid w:val="006C5A3C"/>
    <w:rsid w:val="006D26DD"/>
    <w:rsid w:val="006D768D"/>
    <w:rsid w:val="006E1EE1"/>
    <w:rsid w:val="006E6F83"/>
    <w:rsid w:val="006F254F"/>
    <w:rsid w:val="006F3A9B"/>
    <w:rsid w:val="006F3E90"/>
    <w:rsid w:val="0070115E"/>
    <w:rsid w:val="00705AE0"/>
    <w:rsid w:val="00706EB2"/>
    <w:rsid w:val="007100C0"/>
    <w:rsid w:val="00715735"/>
    <w:rsid w:val="00721D06"/>
    <w:rsid w:val="00721E12"/>
    <w:rsid w:val="00723EB4"/>
    <w:rsid w:val="00730C20"/>
    <w:rsid w:val="00733283"/>
    <w:rsid w:val="00736457"/>
    <w:rsid w:val="00737F1C"/>
    <w:rsid w:val="00743869"/>
    <w:rsid w:val="00744D35"/>
    <w:rsid w:val="007465E6"/>
    <w:rsid w:val="00751DD0"/>
    <w:rsid w:val="00763FE0"/>
    <w:rsid w:val="007671C1"/>
    <w:rsid w:val="00767A48"/>
    <w:rsid w:val="00777E60"/>
    <w:rsid w:val="00791A86"/>
    <w:rsid w:val="00791DE9"/>
    <w:rsid w:val="00795920"/>
    <w:rsid w:val="007A0632"/>
    <w:rsid w:val="007B2F54"/>
    <w:rsid w:val="007B5429"/>
    <w:rsid w:val="007B73D3"/>
    <w:rsid w:val="007C0E48"/>
    <w:rsid w:val="007C365D"/>
    <w:rsid w:val="007C3B81"/>
    <w:rsid w:val="007C4A53"/>
    <w:rsid w:val="007C5D6C"/>
    <w:rsid w:val="007E0CBE"/>
    <w:rsid w:val="007E6E42"/>
    <w:rsid w:val="007F24DE"/>
    <w:rsid w:val="0081000A"/>
    <w:rsid w:val="00811397"/>
    <w:rsid w:val="008117F3"/>
    <w:rsid w:val="00812CAD"/>
    <w:rsid w:val="008224F9"/>
    <w:rsid w:val="00826478"/>
    <w:rsid w:val="0082659E"/>
    <w:rsid w:val="00840204"/>
    <w:rsid w:val="00843C58"/>
    <w:rsid w:val="00844388"/>
    <w:rsid w:val="00847E80"/>
    <w:rsid w:val="00851174"/>
    <w:rsid w:val="0085140F"/>
    <w:rsid w:val="008547CF"/>
    <w:rsid w:val="008575CD"/>
    <w:rsid w:val="00857616"/>
    <w:rsid w:val="008608A9"/>
    <w:rsid w:val="008620BD"/>
    <w:rsid w:val="0086571F"/>
    <w:rsid w:val="008771E5"/>
    <w:rsid w:val="008773F1"/>
    <w:rsid w:val="00882360"/>
    <w:rsid w:val="00884E8F"/>
    <w:rsid w:val="008877DD"/>
    <w:rsid w:val="00895263"/>
    <w:rsid w:val="008A1EF0"/>
    <w:rsid w:val="008B419E"/>
    <w:rsid w:val="008C7F8C"/>
    <w:rsid w:val="008D4FA1"/>
    <w:rsid w:val="008D6564"/>
    <w:rsid w:val="008E02A5"/>
    <w:rsid w:val="008E14AF"/>
    <w:rsid w:val="008E62E2"/>
    <w:rsid w:val="008F6AE3"/>
    <w:rsid w:val="00903C2A"/>
    <w:rsid w:val="00905417"/>
    <w:rsid w:val="00925461"/>
    <w:rsid w:val="0092574B"/>
    <w:rsid w:val="00926A54"/>
    <w:rsid w:val="00930BCA"/>
    <w:rsid w:val="00931AA8"/>
    <w:rsid w:val="00932700"/>
    <w:rsid w:val="0093693E"/>
    <w:rsid w:val="00946BEF"/>
    <w:rsid w:val="00960562"/>
    <w:rsid w:val="00961A3A"/>
    <w:rsid w:val="009625C1"/>
    <w:rsid w:val="00964F8C"/>
    <w:rsid w:val="00967860"/>
    <w:rsid w:val="00973EAC"/>
    <w:rsid w:val="009779DB"/>
    <w:rsid w:val="00987FF1"/>
    <w:rsid w:val="009910B8"/>
    <w:rsid w:val="00993F90"/>
    <w:rsid w:val="00994519"/>
    <w:rsid w:val="00994719"/>
    <w:rsid w:val="00994DF6"/>
    <w:rsid w:val="009965D0"/>
    <w:rsid w:val="009A7C70"/>
    <w:rsid w:val="009C3443"/>
    <w:rsid w:val="009D1BBD"/>
    <w:rsid w:val="009D3DBA"/>
    <w:rsid w:val="009D465A"/>
    <w:rsid w:val="009D7747"/>
    <w:rsid w:val="009E483C"/>
    <w:rsid w:val="009F564A"/>
    <w:rsid w:val="00A020B2"/>
    <w:rsid w:val="00A02147"/>
    <w:rsid w:val="00A04439"/>
    <w:rsid w:val="00A07DDB"/>
    <w:rsid w:val="00A119E5"/>
    <w:rsid w:val="00A17779"/>
    <w:rsid w:val="00A208DF"/>
    <w:rsid w:val="00A23687"/>
    <w:rsid w:val="00A26826"/>
    <w:rsid w:val="00A268DB"/>
    <w:rsid w:val="00A2771C"/>
    <w:rsid w:val="00A3186D"/>
    <w:rsid w:val="00A424F5"/>
    <w:rsid w:val="00A4556C"/>
    <w:rsid w:val="00A600CE"/>
    <w:rsid w:val="00A61224"/>
    <w:rsid w:val="00A631AD"/>
    <w:rsid w:val="00A65773"/>
    <w:rsid w:val="00A66E3A"/>
    <w:rsid w:val="00A7101C"/>
    <w:rsid w:val="00A81E57"/>
    <w:rsid w:val="00A8690C"/>
    <w:rsid w:val="00A94E58"/>
    <w:rsid w:val="00A950B3"/>
    <w:rsid w:val="00A9623F"/>
    <w:rsid w:val="00AA0E74"/>
    <w:rsid w:val="00AA4E53"/>
    <w:rsid w:val="00AB066B"/>
    <w:rsid w:val="00AB0C8D"/>
    <w:rsid w:val="00AB1DDE"/>
    <w:rsid w:val="00AB414C"/>
    <w:rsid w:val="00AB6FD9"/>
    <w:rsid w:val="00AB71CC"/>
    <w:rsid w:val="00AC32C8"/>
    <w:rsid w:val="00AC5753"/>
    <w:rsid w:val="00AC6E08"/>
    <w:rsid w:val="00AD4A97"/>
    <w:rsid w:val="00AD5463"/>
    <w:rsid w:val="00AD684F"/>
    <w:rsid w:val="00AE5FFA"/>
    <w:rsid w:val="00AE67DC"/>
    <w:rsid w:val="00AF55EE"/>
    <w:rsid w:val="00AF658D"/>
    <w:rsid w:val="00AF75F0"/>
    <w:rsid w:val="00B0103D"/>
    <w:rsid w:val="00B04829"/>
    <w:rsid w:val="00B101FE"/>
    <w:rsid w:val="00B14AFB"/>
    <w:rsid w:val="00B157D2"/>
    <w:rsid w:val="00B23924"/>
    <w:rsid w:val="00B27F6C"/>
    <w:rsid w:val="00B31924"/>
    <w:rsid w:val="00B34863"/>
    <w:rsid w:val="00B522E8"/>
    <w:rsid w:val="00B54D34"/>
    <w:rsid w:val="00B60328"/>
    <w:rsid w:val="00B61F27"/>
    <w:rsid w:val="00B62EA4"/>
    <w:rsid w:val="00B64BD6"/>
    <w:rsid w:val="00B66C38"/>
    <w:rsid w:val="00B732DE"/>
    <w:rsid w:val="00B80DE6"/>
    <w:rsid w:val="00B81127"/>
    <w:rsid w:val="00B82094"/>
    <w:rsid w:val="00B85A53"/>
    <w:rsid w:val="00BB0778"/>
    <w:rsid w:val="00BB2FF5"/>
    <w:rsid w:val="00BB3DD2"/>
    <w:rsid w:val="00BB6084"/>
    <w:rsid w:val="00BC0B64"/>
    <w:rsid w:val="00BC2655"/>
    <w:rsid w:val="00BD2B0E"/>
    <w:rsid w:val="00BD6E01"/>
    <w:rsid w:val="00BE1502"/>
    <w:rsid w:val="00BE45E3"/>
    <w:rsid w:val="00BF02FE"/>
    <w:rsid w:val="00BF1D00"/>
    <w:rsid w:val="00BF2B64"/>
    <w:rsid w:val="00BF7782"/>
    <w:rsid w:val="00C0661A"/>
    <w:rsid w:val="00C1041F"/>
    <w:rsid w:val="00C12CD8"/>
    <w:rsid w:val="00C1744D"/>
    <w:rsid w:val="00C2007A"/>
    <w:rsid w:val="00C26CF0"/>
    <w:rsid w:val="00C26E8B"/>
    <w:rsid w:val="00C3010B"/>
    <w:rsid w:val="00C30751"/>
    <w:rsid w:val="00C34CB2"/>
    <w:rsid w:val="00C35DA5"/>
    <w:rsid w:val="00C40913"/>
    <w:rsid w:val="00C42373"/>
    <w:rsid w:val="00C452F2"/>
    <w:rsid w:val="00C546A1"/>
    <w:rsid w:val="00C55BC1"/>
    <w:rsid w:val="00C6624E"/>
    <w:rsid w:val="00C67126"/>
    <w:rsid w:val="00C679F8"/>
    <w:rsid w:val="00C76372"/>
    <w:rsid w:val="00C87CE8"/>
    <w:rsid w:val="00C91B5F"/>
    <w:rsid w:val="00C9215A"/>
    <w:rsid w:val="00C93BD3"/>
    <w:rsid w:val="00C93D80"/>
    <w:rsid w:val="00CA0E6F"/>
    <w:rsid w:val="00CA2D08"/>
    <w:rsid w:val="00CA4255"/>
    <w:rsid w:val="00CA4A7C"/>
    <w:rsid w:val="00CB56F8"/>
    <w:rsid w:val="00CC7237"/>
    <w:rsid w:val="00CE09D3"/>
    <w:rsid w:val="00CE6794"/>
    <w:rsid w:val="00CF0642"/>
    <w:rsid w:val="00CF097A"/>
    <w:rsid w:val="00CF0B25"/>
    <w:rsid w:val="00CF7243"/>
    <w:rsid w:val="00D0084E"/>
    <w:rsid w:val="00D032B4"/>
    <w:rsid w:val="00D14C03"/>
    <w:rsid w:val="00D3024D"/>
    <w:rsid w:val="00D31BBE"/>
    <w:rsid w:val="00D37EDA"/>
    <w:rsid w:val="00D40745"/>
    <w:rsid w:val="00D45D8D"/>
    <w:rsid w:val="00D47087"/>
    <w:rsid w:val="00D50193"/>
    <w:rsid w:val="00D5068B"/>
    <w:rsid w:val="00D525F8"/>
    <w:rsid w:val="00D5292E"/>
    <w:rsid w:val="00D54783"/>
    <w:rsid w:val="00D55B4F"/>
    <w:rsid w:val="00D55B97"/>
    <w:rsid w:val="00D57F7E"/>
    <w:rsid w:val="00D60097"/>
    <w:rsid w:val="00D611BC"/>
    <w:rsid w:val="00D627DD"/>
    <w:rsid w:val="00D66E33"/>
    <w:rsid w:val="00D72488"/>
    <w:rsid w:val="00D72A49"/>
    <w:rsid w:val="00D740E6"/>
    <w:rsid w:val="00D80D84"/>
    <w:rsid w:val="00DA1F24"/>
    <w:rsid w:val="00DA67A8"/>
    <w:rsid w:val="00DA6A97"/>
    <w:rsid w:val="00DB2E39"/>
    <w:rsid w:val="00DB7986"/>
    <w:rsid w:val="00DC7DBF"/>
    <w:rsid w:val="00DD072F"/>
    <w:rsid w:val="00DD56FE"/>
    <w:rsid w:val="00DD584F"/>
    <w:rsid w:val="00DE2250"/>
    <w:rsid w:val="00DE3E01"/>
    <w:rsid w:val="00DF5E63"/>
    <w:rsid w:val="00DF6C33"/>
    <w:rsid w:val="00DF6F9B"/>
    <w:rsid w:val="00E026BE"/>
    <w:rsid w:val="00E03FE2"/>
    <w:rsid w:val="00E23421"/>
    <w:rsid w:val="00E31868"/>
    <w:rsid w:val="00E3275E"/>
    <w:rsid w:val="00E4231C"/>
    <w:rsid w:val="00E47192"/>
    <w:rsid w:val="00E56856"/>
    <w:rsid w:val="00E57ECC"/>
    <w:rsid w:val="00E60205"/>
    <w:rsid w:val="00E622BC"/>
    <w:rsid w:val="00E64691"/>
    <w:rsid w:val="00E70D30"/>
    <w:rsid w:val="00E918FA"/>
    <w:rsid w:val="00EA16B8"/>
    <w:rsid w:val="00EA3551"/>
    <w:rsid w:val="00EB1244"/>
    <w:rsid w:val="00EB2C4D"/>
    <w:rsid w:val="00EB5DAD"/>
    <w:rsid w:val="00EB6427"/>
    <w:rsid w:val="00EB7EC2"/>
    <w:rsid w:val="00EC454F"/>
    <w:rsid w:val="00EC7C93"/>
    <w:rsid w:val="00ED5ECC"/>
    <w:rsid w:val="00EE1CDA"/>
    <w:rsid w:val="00EE5C21"/>
    <w:rsid w:val="00EE63C7"/>
    <w:rsid w:val="00EF0EBE"/>
    <w:rsid w:val="00EF34DF"/>
    <w:rsid w:val="00EF4CDB"/>
    <w:rsid w:val="00F01392"/>
    <w:rsid w:val="00F04340"/>
    <w:rsid w:val="00F10829"/>
    <w:rsid w:val="00F14B5B"/>
    <w:rsid w:val="00F26AE5"/>
    <w:rsid w:val="00F3281D"/>
    <w:rsid w:val="00F36D1B"/>
    <w:rsid w:val="00F40D03"/>
    <w:rsid w:val="00F523C4"/>
    <w:rsid w:val="00F52889"/>
    <w:rsid w:val="00F55956"/>
    <w:rsid w:val="00F649B2"/>
    <w:rsid w:val="00F65355"/>
    <w:rsid w:val="00F679F2"/>
    <w:rsid w:val="00F703B2"/>
    <w:rsid w:val="00F70D89"/>
    <w:rsid w:val="00F72CFD"/>
    <w:rsid w:val="00F7352C"/>
    <w:rsid w:val="00F90314"/>
    <w:rsid w:val="00F94F38"/>
    <w:rsid w:val="00F96842"/>
    <w:rsid w:val="00FA1EF1"/>
    <w:rsid w:val="00FA2D87"/>
    <w:rsid w:val="00FA4092"/>
    <w:rsid w:val="00FB0A2E"/>
    <w:rsid w:val="00FB6840"/>
    <w:rsid w:val="00FC0469"/>
    <w:rsid w:val="00FC0D60"/>
    <w:rsid w:val="00FC1765"/>
    <w:rsid w:val="00FC3B8C"/>
    <w:rsid w:val="00FD0DF5"/>
    <w:rsid w:val="00FD4697"/>
    <w:rsid w:val="00FD5A63"/>
    <w:rsid w:val="00FD65A7"/>
    <w:rsid w:val="00FE0613"/>
    <w:rsid w:val="00FE16ED"/>
    <w:rsid w:val="00FE5BFE"/>
    <w:rsid w:val="00FE6A39"/>
    <w:rsid w:val="00FF1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931AA8"/>
    <w:rPr>
      <w:sz w:val="20"/>
      <w:szCs w:val="20"/>
    </w:rPr>
  </w:style>
  <w:style w:type="character" w:customStyle="1" w:styleId="CommentTextChar">
    <w:name w:val="Comment Text Char"/>
    <w:basedOn w:val="DefaultParagraphFont"/>
    <w:link w:val="CommentText"/>
    <w:uiPriority w:val="99"/>
    <w:rsid w:val="00931AA8"/>
    <w:rPr>
      <w:sz w:val="20"/>
      <w:szCs w:val="20"/>
      <w:lang w:val="en-US"/>
    </w:rPr>
  </w:style>
  <w:style w:type="paragraph" w:styleId="BalloonText">
    <w:name w:val="Balloon Text"/>
    <w:basedOn w:val="Normal"/>
    <w:link w:val="BalloonTextChar"/>
    <w:uiPriority w:val="99"/>
    <w:semiHidden/>
    <w:unhideWhenUsed/>
    <w:rsid w:val="004D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48"/>
    <w:rPr>
      <w:rFonts w:ascii="Segoe UI" w:hAnsi="Segoe UI" w:cs="Segoe UI"/>
      <w:sz w:val="18"/>
      <w:szCs w:val="18"/>
      <w:lang w:val="en-US"/>
    </w:rPr>
  </w:style>
  <w:style w:type="character" w:styleId="CommentReference">
    <w:name w:val="annotation reference"/>
    <w:basedOn w:val="DefaultParagraphFont"/>
    <w:uiPriority w:val="99"/>
    <w:semiHidden/>
    <w:unhideWhenUsed/>
    <w:rsid w:val="004D6048"/>
    <w:rPr>
      <w:sz w:val="16"/>
      <w:szCs w:val="16"/>
    </w:rPr>
  </w:style>
  <w:style w:type="paragraph" w:styleId="CommentSubject">
    <w:name w:val="annotation subject"/>
    <w:basedOn w:val="CommentText"/>
    <w:next w:val="CommentText"/>
    <w:link w:val="CommentSubjectChar"/>
    <w:uiPriority w:val="99"/>
    <w:semiHidden/>
    <w:unhideWhenUsed/>
    <w:rsid w:val="004D6048"/>
    <w:rPr>
      <w:b/>
      <w:bCs/>
    </w:rPr>
  </w:style>
  <w:style w:type="character" w:customStyle="1" w:styleId="CommentSubjectChar">
    <w:name w:val="Comment Subject Char"/>
    <w:basedOn w:val="CommentTextChar"/>
    <w:link w:val="CommentSubject"/>
    <w:uiPriority w:val="99"/>
    <w:semiHidden/>
    <w:rsid w:val="004D6048"/>
    <w:rPr>
      <w:b/>
      <w:bCs/>
      <w:sz w:val="20"/>
      <w:szCs w:val="20"/>
      <w:lang w:val="en-US"/>
    </w:rPr>
  </w:style>
  <w:style w:type="table" w:styleId="TableGrid">
    <w:name w:val="Table Grid"/>
    <w:basedOn w:val="TableNormal"/>
    <w:uiPriority w:val="39"/>
    <w:rsid w:val="0074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D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2134">
      <w:bodyDiv w:val="1"/>
      <w:marLeft w:val="0"/>
      <w:marRight w:val="0"/>
      <w:marTop w:val="0"/>
      <w:marBottom w:val="0"/>
      <w:divBdr>
        <w:top w:val="none" w:sz="0" w:space="0" w:color="auto"/>
        <w:left w:val="none" w:sz="0" w:space="0" w:color="auto"/>
        <w:bottom w:val="none" w:sz="0" w:space="0" w:color="auto"/>
        <w:right w:val="none" w:sz="0" w:space="0" w:color="auto"/>
      </w:divBdr>
    </w:div>
    <w:div w:id="375005803">
      <w:bodyDiv w:val="1"/>
      <w:marLeft w:val="0"/>
      <w:marRight w:val="0"/>
      <w:marTop w:val="0"/>
      <w:marBottom w:val="0"/>
      <w:divBdr>
        <w:top w:val="none" w:sz="0" w:space="0" w:color="auto"/>
        <w:left w:val="none" w:sz="0" w:space="0" w:color="auto"/>
        <w:bottom w:val="none" w:sz="0" w:space="0" w:color="auto"/>
        <w:right w:val="none" w:sz="0" w:space="0" w:color="auto"/>
      </w:divBdr>
    </w:div>
    <w:div w:id="562057576">
      <w:bodyDiv w:val="1"/>
      <w:marLeft w:val="0"/>
      <w:marRight w:val="0"/>
      <w:marTop w:val="0"/>
      <w:marBottom w:val="0"/>
      <w:divBdr>
        <w:top w:val="none" w:sz="0" w:space="0" w:color="auto"/>
        <w:left w:val="none" w:sz="0" w:space="0" w:color="auto"/>
        <w:bottom w:val="none" w:sz="0" w:space="0" w:color="auto"/>
        <w:right w:val="none" w:sz="0" w:space="0" w:color="auto"/>
      </w:divBdr>
    </w:div>
    <w:div w:id="594021168">
      <w:bodyDiv w:val="1"/>
      <w:marLeft w:val="0"/>
      <w:marRight w:val="0"/>
      <w:marTop w:val="0"/>
      <w:marBottom w:val="0"/>
      <w:divBdr>
        <w:top w:val="none" w:sz="0" w:space="0" w:color="auto"/>
        <w:left w:val="none" w:sz="0" w:space="0" w:color="auto"/>
        <w:bottom w:val="none" w:sz="0" w:space="0" w:color="auto"/>
        <w:right w:val="none" w:sz="0" w:space="0" w:color="auto"/>
      </w:divBdr>
    </w:div>
    <w:div w:id="665745613">
      <w:bodyDiv w:val="1"/>
      <w:marLeft w:val="0"/>
      <w:marRight w:val="0"/>
      <w:marTop w:val="0"/>
      <w:marBottom w:val="0"/>
      <w:divBdr>
        <w:top w:val="none" w:sz="0" w:space="0" w:color="auto"/>
        <w:left w:val="none" w:sz="0" w:space="0" w:color="auto"/>
        <w:bottom w:val="none" w:sz="0" w:space="0" w:color="auto"/>
        <w:right w:val="none" w:sz="0" w:space="0" w:color="auto"/>
      </w:divBdr>
    </w:div>
    <w:div w:id="714237894">
      <w:bodyDiv w:val="1"/>
      <w:marLeft w:val="0"/>
      <w:marRight w:val="0"/>
      <w:marTop w:val="0"/>
      <w:marBottom w:val="0"/>
      <w:divBdr>
        <w:top w:val="none" w:sz="0" w:space="0" w:color="auto"/>
        <w:left w:val="none" w:sz="0" w:space="0" w:color="auto"/>
        <w:bottom w:val="none" w:sz="0" w:space="0" w:color="auto"/>
        <w:right w:val="none" w:sz="0" w:space="0" w:color="auto"/>
      </w:divBdr>
    </w:div>
    <w:div w:id="803498838">
      <w:bodyDiv w:val="1"/>
      <w:marLeft w:val="0"/>
      <w:marRight w:val="0"/>
      <w:marTop w:val="0"/>
      <w:marBottom w:val="0"/>
      <w:divBdr>
        <w:top w:val="none" w:sz="0" w:space="0" w:color="auto"/>
        <w:left w:val="none" w:sz="0" w:space="0" w:color="auto"/>
        <w:bottom w:val="none" w:sz="0" w:space="0" w:color="auto"/>
        <w:right w:val="none" w:sz="0" w:space="0" w:color="auto"/>
      </w:divBdr>
    </w:div>
    <w:div w:id="1170948834">
      <w:bodyDiv w:val="1"/>
      <w:marLeft w:val="0"/>
      <w:marRight w:val="0"/>
      <w:marTop w:val="0"/>
      <w:marBottom w:val="0"/>
      <w:divBdr>
        <w:top w:val="none" w:sz="0" w:space="0" w:color="auto"/>
        <w:left w:val="none" w:sz="0" w:space="0" w:color="auto"/>
        <w:bottom w:val="none" w:sz="0" w:space="0" w:color="auto"/>
        <w:right w:val="none" w:sz="0" w:space="0" w:color="auto"/>
      </w:divBdr>
    </w:div>
    <w:div w:id="1213269076">
      <w:bodyDiv w:val="1"/>
      <w:marLeft w:val="0"/>
      <w:marRight w:val="0"/>
      <w:marTop w:val="0"/>
      <w:marBottom w:val="0"/>
      <w:divBdr>
        <w:top w:val="none" w:sz="0" w:space="0" w:color="auto"/>
        <w:left w:val="none" w:sz="0" w:space="0" w:color="auto"/>
        <w:bottom w:val="none" w:sz="0" w:space="0" w:color="auto"/>
        <w:right w:val="none" w:sz="0" w:space="0" w:color="auto"/>
      </w:divBdr>
    </w:div>
    <w:div w:id="1239637753">
      <w:bodyDiv w:val="1"/>
      <w:marLeft w:val="0"/>
      <w:marRight w:val="0"/>
      <w:marTop w:val="0"/>
      <w:marBottom w:val="0"/>
      <w:divBdr>
        <w:top w:val="none" w:sz="0" w:space="0" w:color="auto"/>
        <w:left w:val="none" w:sz="0" w:space="0" w:color="auto"/>
        <w:bottom w:val="none" w:sz="0" w:space="0" w:color="auto"/>
        <w:right w:val="none" w:sz="0" w:space="0" w:color="auto"/>
      </w:divBdr>
    </w:div>
    <w:div w:id="1397776795">
      <w:bodyDiv w:val="1"/>
      <w:marLeft w:val="0"/>
      <w:marRight w:val="0"/>
      <w:marTop w:val="0"/>
      <w:marBottom w:val="0"/>
      <w:divBdr>
        <w:top w:val="none" w:sz="0" w:space="0" w:color="auto"/>
        <w:left w:val="none" w:sz="0" w:space="0" w:color="auto"/>
        <w:bottom w:val="none" w:sz="0" w:space="0" w:color="auto"/>
        <w:right w:val="none" w:sz="0" w:space="0" w:color="auto"/>
      </w:divBdr>
    </w:div>
    <w:div w:id="1510293698">
      <w:bodyDiv w:val="1"/>
      <w:marLeft w:val="0"/>
      <w:marRight w:val="0"/>
      <w:marTop w:val="0"/>
      <w:marBottom w:val="0"/>
      <w:divBdr>
        <w:top w:val="none" w:sz="0" w:space="0" w:color="auto"/>
        <w:left w:val="none" w:sz="0" w:space="0" w:color="auto"/>
        <w:bottom w:val="none" w:sz="0" w:space="0" w:color="auto"/>
        <w:right w:val="none" w:sz="0" w:space="0" w:color="auto"/>
      </w:divBdr>
    </w:div>
    <w:div w:id="1652825741">
      <w:bodyDiv w:val="1"/>
      <w:marLeft w:val="0"/>
      <w:marRight w:val="0"/>
      <w:marTop w:val="0"/>
      <w:marBottom w:val="0"/>
      <w:divBdr>
        <w:top w:val="none" w:sz="0" w:space="0" w:color="auto"/>
        <w:left w:val="none" w:sz="0" w:space="0" w:color="auto"/>
        <w:bottom w:val="none" w:sz="0" w:space="0" w:color="auto"/>
        <w:right w:val="none" w:sz="0" w:space="0" w:color="auto"/>
      </w:divBdr>
    </w:div>
    <w:div w:id="19304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10399474F9EC48BFEE9753A68F9ED9" ma:contentTypeVersion="" ma:contentTypeDescription="PDMS Document Site Content Type" ma:contentTypeScope="" ma:versionID="cc7a1e8f8f87c3c40c5aaeaf9d29c1e0">
  <xsd:schema xmlns:xsd="http://www.w3.org/2001/XMLSchema" xmlns:xs="http://www.w3.org/2001/XMLSchema" xmlns:p="http://schemas.microsoft.com/office/2006/metadata/properties" xmlns:ns2="2963F4AA-5650-430F-B47B-7502ECF1E9E0" targetNamespace="http://schemas.microsoft.com/office/2006/metadata/properties" ma:root="true" ma:fieldsID="bee46095bfda5dc45ddedfc0c464fc3e" ns2:_="">
    <xsd:import namespace="2963F4AA-5650-430F-B47B-7502ECF1E9E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3F4AA-5650-430F-B47B-7502ECF1E9E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2963F4AA-5650-430F-B47B-7502ECF1E9E0" xsi:nil="true"/>
  </documentManagement>
</p:properties>
</file>

<file path=customXml/itemProps1.xml><?xml version="1.0" encoding="utf-8"?>
<ds:datastoreItem xmlns:ds="http://schemas.openxmlformats.org/officeDocument/2006/customXml" ds:itemID="{509A848B-DED5-45F7-8709-E8225DDBFC0C}">
  <ds:schemaRefs>
    <ds:schemaRef ds:uri="http://www.w3.org/2001/XMLSchema"/>
  </ds:schemaRefs>
</ds:datastoreItem>
</file>

<file path=customXml/itemProps2.xml><?xml version="1.0" encoding="utf-8"?>
<ds:datastoreItem xmlns:ds="http://schemas.openxmlformats.org/officeDocument/2006/customXml" ds:itemID="{CA822C3A-08B0-4D55-B6A3-69E76877CE3D}">
  <ds:schemaRefs>
    <ds:schemaRef ds:uri="http://schemas.openxmlformats.org/officeDocument/2006/bibliography"/>
  </ds:schemaRefs>
</ds:datastoreItem>
</file>

<file path=customXml/itemProps3.xml><?xml version="1.0" encoding="utf-8"?>
<ds:datastoreItem xmlns:ds="http://schemas.openxmlformats.org/officeDocument/2006/customXml" ds:itemID="{D4B8863B-9DB2-49BC-9B3B-8E26669E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3F4AA-5650-430F-B47B-7502ECF1E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74D3F-0E88-4428-95FF-4D061DEA716A}">
  <ds:schemaRefs>
    <ds:schemaRef ds:uri="http://schemas.microsoft.com/sharepoint/v3/contenttype/forms"/>
  </ds:schemaRefs>
</ds:datastoreItem>
</file>

<file path=customXml/itemProps5.xml><?xml version="1.0" encoding="utf-8"?>
<ds:datastoreItem xmlns:ds="http://schemas.openxmlformats.org/officeDocument/2006/customXml" ds:itemID="{E28FDD7F-E528-4EE7-BBBD-096DA148967C}">
  <ds:schemaRefs>
    <ds:schemaRef ds:uri="http://schemas.microsoft.com/office/2006/metadata/properties"/>
    <ds:schemaRef ds:uri="http://purl.org/dc/terms/"/>
    <ds:schemaRef ds:uri="2963F4AA-5650-430F-B47B-7502ECF1E9E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14112</Words>
  <Characters>80439</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2022-05-05T07:14:00Z</dcterms:created>
  <dcterms:modified xsi:type="dcterms:W3CDTF">2022-05-05T07:14:00Z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2021-09-17T06:15:44Z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9500c522-248c-4ba1-890d-4a3434d7a34e</vt:lpwstr>
  </property>
  <property fmtid="{D5CDD505-2E9C-101B-9397-08002B2CF9AE}" pid="8" name="MSIP_Label_4257e2ab-f512-40e2-9c9a-c64247360765_ContentBits">
    <vt:lpwstr>2</vt:lpwstr>
  </property>
  <property fmtid="{D5CDD505-2E9C-101B-9397-08002B2CF9AE}" pid="9" name="Section">
    <vt:lpwstr>7;#All|8270565e-a836-42c0-aa61-1ac7b0ff14aa</vt:lpwstr>
  </property>
  <property fmtid="{D5CDD505-2E9C-101B-9397-08002B2CF9AE}" pid="10" name="MSIP_Label_7158ebbd-6c5e-441f-bfc9-4eb8c11e3978_Name">
    <vt:lpwstr>7158ebbd-6c5e-441f-bfc9-4eb8c11e3978</vt:lpwstr>
  </property>
  <property fmtid="{D5CDD505-2E9C-101B-9397-08002B2CF9AE}" pid="11" name="Order">
    <vt:r8>9531900</vt:r8>
  </property>
  <property fmtid="{D5CDD505-2E9C-101B-9397-08002B2CF9AE}" pid="12" name="Topic">
    <vt:lpwstr>306;#Federation Funding Agreement - BP Implementation 2021-24|480b7975-6bcd-434f-a582-a993da851427</vt:lpwstr>
  </property>
  <property fmtid="{D5CDD505-2E9C-101B-9397-08002B2CF9AE}" pid="13" name="Sub-Section">
    <vt:lpwstr/>
  </property>
  <property fmtid="{D5CDD505-2E9C-101B-9397-08002B2CF9AE}" pid="14" name="Agency">
    <vt:lpwstr>1;#Department of Environment, Land, Water and Planning|607a3f87-1228-4cd9-82a5-076aa8776274</vt:lpwstr>
  </property>
  <property fmtid="{D5CDD505-2E9C-101B-9397-08002B2CF9AE}" pid="15" name="Branch">
    <vt:lpwstr>8;#Intergovernmental|d438e028-ee7d-4673-a3f3-629d793d61b2</vt:lpwstr>
  </property>
  <property fmtid="{D5CDD505-2E9C-101B-9397-08002B2CF9AE}" pid="16" name="lb508a4dc5e84436a0fe496b536466aa">
    <vt:lpwstr>TSY RA-8748 - Retain as national archives|243f2231-dbfc-4282-b24a-c9b768286bd0</vt:lpwstr>
  </property>
  <property fmtid="{D5CDD505-2E9C-101B-9397-08002B2CF9AE}" pid="17" name="o85941e134754762b9719660a258a6e6">
    <vt:lpwstr/>
  </property>
  <property fmtid="{D5CDD505-2E9C-101B-9397-08002B2CF9AE}" pid="18" name="ContentTypeId">
    <vt:lpwstr>0x010100266966F133664895A6EE3632470D45F5008010399474F9EC48BFEE9753A68F9ED9</vt:lpwstr>
  </property>
  <property fmtid="{D5CDD505-2E9C-101B-9397-08002B2CF9AE}" pid="19" name="Copyright Licence Name">
    <vt:lpwstr/>
  </property>
  <property fmtid="{D5CDD505-2E9C-101B-9397-08002B2CF9AE}" pid="20" name="MSIP_Label_7158ebbd-6c5e-441f-bfc9-4eb8c11e3978_SiteId">
    <vt:lpwstr>722ea0be-3e1c-4b11-ad6f-9401d6856e24</vt:lpwstr>
  </property>
  <property fmtid="{D5CDD505-2E9C-101B-9397-08002B2CF9AE}" pid="21" name="MSIP_Label_7158ebbd-6c5e-441f-bfc9-4eb8c11e3978_Method">
    <vt:lpwstr>Privileged</vt:lpwstr>
  </property>
  <property fmtid="{D5CDD505-2E9C-101B-9397-08002B2CF9AE}" pid="22" name="Location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Copyright_x0020_License_x0020_Type">
    <vt:lpwstr/>
  </property>
  <property fmtid="{D5CDD505-2E9C-101B-9397-08002B2CF9AE}" pid="26" name="Division">
    <vt:lpwstr>9;#Partnerships and Sector Performance|e50abddd-e04d-490d-89d9-6a98999b871a</vt:lpwstr>
  </property>
  <property fmtid="{D5CDD505-2E9C-101B-9397-08002B2CF9AE}" pid="27" name="Location Type">
    <vt:lpwstr/>
  </property>
  <property fmtid="{D5CDD505-2E9C-101B-9397-08002B2CF9AE}" pid="28" name="Dissemination Limiting Marker">
    <vt:lpwstr>2;#FOUO|955eb6fc-b35a-4808-8aa5-31e514fa3f26</vt:lpwstr>
  </property>
  <property fmtid="{D5CDD505-2E9C-101B-9397-08002B2CF9AE}" pid="29" name="Group1">
    <vt:lpwstr>10;#Water and Catchments|04babe5f-fe90-4982-9f33-c4fc8f4bb63f</vt:lpwstr>
  </property>
  <property fmtid="{D5CDD505-2E9C-101B-9397-08002B2CF9AE}" pid="30" name="Topics">
    <vt:lpwstr/>
  </property>
  <property fmtid="{D5CDD505-2E9C-101B-9397-08002B2CF9AE}" pid="31" name="MSIP_Label_7158ebbd-6c5e-441f-bfc9-4eb8c11e3978_ActionId">
    <vt:lpwstr>56376a43-a1ed-40e8-af05-7d6991d770a7</vt:lpwstr>
  </property>
  <property fmtid="{D5CDD505-2E9C-101B-9397-08002B2CF9AE}" pid="32" name="Security Classification">
    <vt:lpwstr>3;#Unclassified|7fa379f4-4aba-4692-ab80-7d39d3a23cf4</vt:lpwstr>
  </property>
  <property fmtid="{D5CDD505-2E9C-101B-9397-08002B2CF9AE}" pid="33" name="o2e611f6ba3e4c8f9a895dfb7980639e">
    <vt:lpwstr/>
  </property>
  <property fmtid="{D5CDD505-2E9C-101B-9397-08002B2CF9AE}" pid="34" name="MSIP_Label_7158ebbd-6c5e-441f-bfc9-4eb8c11e3978_Enabled">
    <vt:lpwstr>true</vt:lpwstr>
  </property>
  <property fmtid="{D5CDD505-2E9C-101B-9397-08002B2CF9AE}" pid="35" name="ld508a88e6264ce89693af80a72862cb">
    <vt:lpwstr/>
  </property>
  <property fmtid="{D5CDD505-2E9C-101B-9397-08002B2CF9AE}" pid="36" name="oae75e2df9d943898d59cb03ca0993c5">
    <vt:lpwstr/>
  </property>
  <property fmtid="{D5CDD505-2E9C-101B-9397-08002B2CF9AE}" pid="37" name="Reference Type">
    <vt:lpwstr/>
  </property>
  <property fmtid="{D5CDD505-2E9C-101B-9397-08002B2CF9AE}" pid="38" name="Copyright License Type">
    <vt:lpwstr/>
  </property>
  <property fmtid="{D5CDD505-2E9C-101B-9397-08002B2CF9AE}" pid="39" name="MSIP_Label_7158ebbd-6c5e-441f-bfc9-4eb8c11e3978_SetDate">
    <vt:lpwstr>2021-09-17T05:34:20Z</vt:lpwstr>
  </property>
  <property fmtid="{D5CDD505-2E9C-101B-9397-08002B2CF9AE}" pid="40" name="TSYRecordClass">
    <vt:lpwstr>2;#TSY RA-8748 - Retain as national archives|243f2231-dbfc-4282-b24a-c9b768286bd0</vt:lpwstr>
  </property>
  <property fmtid="{D5CDD505-2E9C-101B-9397-08002B2CF9AE}" pid="41" name="EmailAttachments">
    <vt:bool>false</vt:bool>
  </property>
  <property fmtid="{D5CDD505-2E9C-101B-9397-08002B2CF9AE}" pid="42" name="MSIP_Label_7158ebbd-6c5e-441f-bfc9-4eb8c11e3978_ContentBits">
    <vt:lpwstr>2</vt:lpwstr>
  </property>
  <property fmtid="{D5CDD505-2E9C-101B-9397-08002B2CF9AE}" pid="43" name="_dlc_DocIdItemGuid">
    <vt:lpwstr>5a9aa92d-4453-41cb-92a5-2f950f59bba6</vt:lpwstr>
  </property>
</Properties>
</file>