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6239" w14:textId="77777777" w:rsidR="00AD354B" w:rsidRDefault="00AD354B"/>
    <w:p w14:paraId="459E2A87" w14:textId="77777777" w:rsidR="00205899" w:rsidRPr="00815B50" w:rsidRDefault="00422A0A" w:rsidP="00205899">
      <w:pPr>
        <w:pStyle w:val="Heading9"/>
        <w:jc w:val="right"/>
        <w:rPr>
          <w:rStyle w:val="ParagraphnumberingChar"/>
          <w:rFonts w:eastAsiaTheme="majorEastAsia"/>
          <w:i w:val="0"/>
          <w:sz w:val="28"/>
          <w:szCs w:val="28"/>
        </w:rPr>
      </w:pPr>
      <w:r w:rsidRPr="00FD491D">
        <w:rPr>
          <w:i w:val="0"/>
          <w:sz w:val="28"/>
          <w:szCs w:val="28"/>
        </w:rPr>
        <w:t xml:space="preserve">Schedule </w:t>
      </w:r>
      <w:r w:rsidR="00C50A0F" w:rsidRPr="00FD491D">
        <w:rPr>
          <w:i w:val="0"/>
          <w:sz w:val="28"/>
          <w:szCs w:val="28"/>
        </w:rPr>
        <w:t>Environment</w:t>
      </w:r>
    </w:p>
    <w:p w14:paraId="5FD266C4" w14:textId="77777777" w:rsidR="00205899" w:rsidRPr="001E20F4" w:rsidRDefault="00422A0A" w:rsidP="00205899">
      <w:pPr>
        <w:pStyle w:val="Title"/>
      </w:pPr>
      <w:r>
        <w:t>Phase 1 Funding for the Lower Darling Fish Passage Program</w:t>
      </w:r>
    </w:p>
    <w:p w14:paraId="25BD525C" w14:textId="77777777" w:rsidR="00205899" w:rsidRPr="00BE249A" w:rsidRDefault="00422A0A" w:rsidP="00205899">
      <w:pPr>
        <w:pStyle w:val="Subtitle"/>
      </w:pPr>
      <w:r>
        <w:t xml:space="preserve">National Partnership </w:t>
      </w:r>
      <w:r w:rsidR="00E25C0C">
        <w:t>For Streamlined Agreements</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5C01D5" w14:paraId="78A1E8FF" w14:textId="77777777" w:rsidTr="005D3905">
        <w:tc>
          <w:tcPr>
            <w:tcW w:w="9629" w:type="dxa"/>
            <w:gridSpan w:val="2"/>
            <w:shd w:val="clear" w:color="auto" w:fill="DEEAF6" w:themeFill="accent1" w:themeFillTint="33"/>
          </w:tcPr>
          <w:p w14:paraId="6B0D4F23" w14:textId="77777777" w:rsidR="00205899" w:rsidRPr="00F00A18" w:rsidRDefault="00422A0A" w:rsidP="005D3905">
            <w:pPr>
              <w:pStyle w:val="Tableformat"/>
              <w:rPr>
                <w:b/>
                <w:color w:val="auto"/>
              </w:rPr>
            </w:pPr>
            <w:r w:rsidRPr="00F00A18">
              <w:rPr>
                <w:b/>
                <w:color w:val="auto"/>
              </w:rPr>
              <w:t>Table 1: Formalities and operation of schedule</w:t>
            </w:r>
          </w:p>
        </w:tc>
      </w:tr>
      <w:tr w:rsidR="005C01D5" w14:paraId="5945897A" w14:textId="77777777" w:rsidTr="00B64F41">
        <w:tc>
          <w:tcPr>
            <w:tcW w:w="1691" w:type="dxa"/>
            <w:shd w:val="clear" w:color="auto" w:fill="auto"/>
          </w:tcPr>
          <w:p w14:paraId="7674856E" w14:textId="77777777" w:rsidR="00205899" w:rsidRPr="00F00A18" w:rsidRDefault="00422A0A" w:rsidP="005D3905">
            <w:pPr>
              <w:pStyle w:val="Tableformat"/>
              <w:rPr>
                <w:color w:val="auto"/>
              </w:rPr>
            </w:pPr>
            <w:r w:rsidRPr="00F00A18">
              <w:rPr>
                <w:color w:val="auto"/>
              </w:rPr>
              <w:t>Parties</w:t>
            </w:r>
          </w:p>
        </w:tc>
        <w:tc>
          <w:tcPr>
            <w:tcW w:w="7938" w:type="dxa"/>
            <w:shd w:val="clear" w:color="auto" w:fill="auto"/>
          </w:tcPr>
          <w:p w14:paraId="6F2FC478" w14:textId="77777777" w:rsidR="00205899" w:rsidRPr="00F00A18" w:rsidRDefault="00422A0A" w:rsidP="005D3905">
            <w:pPr>
              <w:pStyle w:val="Tableformat"/>
              <w:rPr>
                <w:color w:val="auto"/>
              </w:rPr>
            </w:pPr>
            <w:r w:rsidRPr="00F00A18">
              <w:rPr>
                <w:color w:val="auto"/>
              </w:rPr>
              <w:t>Commonwealth</w:t>
            </w:r>
          </w:p>
          <w:p w14:paraId="16912502" w14:textId="77777777" w:rsidR="00205899" w:rsidRPr="00F00A18" w:rsidRDefault="00422A0A" w:rsidP="005D3905">
            <w:pPr>
              <w:pStyle w:val="Tableformat"/>
              <w:rPr>
                <w:color w:val="auto"/>
              </w:rPr>
            </w:pPr>
            <w:r>
              <w:rPr>
                <w:color w:val="auto"/>
              </w:rPr>
              <w:t>State of NSW</w:t>
            </w:r>
          </w:p>
        </w:tc>
      </w:tr>
      <w:tr w:rsidR="005C01D5" w14:paraId="3F6A9350" w14:textId="77777777" w:rsidTr="00B64F41">
        <w:tc>
          <w:tcPr>
            <w:tcW w:w="1691" w:type="dxa"/>
            <w:shd w:val="clear" w:color="auto" w:fill="auto"/>
          </w:tcPr>
          <w:p w14:paraId="5BB7FFA9" w14:textId="77777777" w:rsidR="00205899" w:rsidRPr="00F00A18" w:rsidRDefault="00422A0A" w:rsidP="005D3905">
            <w:pPr>
              <w:pStyle w:val="Tableformat"/>
              <w:rPr>
                <w:color w:val="auto"/>
              </w:rPr>
            </w:pPr>
            <w:r w:rsidRPr="00F00A18">
              <w:rPr>
                <w:color w:val="auto"/>
              </w:rPr>
              <w:t>Duration</w:t>
            </w:r>
          </w:p>
        </w:tc>
        <w:tc>
          <w:tcPr>
            <w:tcW w:w="7938" w:type="dxa"/>
            <w:shd w:val="clear" w:color="auto" w:fill="auto"/>
          </w:tcPr>
          <w:p w14:paraId="3CD7D747" w14:textId="77777777" w:rsidR="00205899" w:rsidRPr="00F00A18" w:rsidRDefault="00422A0A" w:rsidP="005D3905">
            <w:pPr>
              <w:pStyle w:val="Tableformat"/>
              <w:rPr>
                <w:color w:val="auto"/>
              </w:rPr>
            </w:pPr>
            <w:r w:rsidRPr="00F00A18">
              <w:rPr>
                <w:color w:val="auto"/>
              </w:rPr>
              <w:t xml:space="preserve">This Schedule is </w:t>
            </w:r>
            <w:r w:rsidRPr="00FD491D">
              <w:rPr>
                <w:color w:val="auto"/>
              </w:rPr>
              <w:t xml:space="preserve">expected to expire on </w:t>
            </w:r>
            <w:r w:rsidR="00E10F77" w:rsidRPr="00FD491D">
              <w:rPr>
                <w:color w:val="auto"/>
              </w:rPr>
              <w:t>20 June 2022.</w:t>
            </w:r>
          </w:p>
        </w:tc>
      </w:tr>
      <w:tr w:rsidR="005C01D5" w14:paraId="086E1D81" w14:textId="77777777" w:rsidTr="00B64F41">
        <w:tc>
          <w:tcPr>
            <w:tcW w:w="1691" w:type="dxa"/>
            <w:shd w:val="clear" w:color="auto" w:fill="auto"/>
          </w:tcPr>
          <w:p w14:paraId="76A239B4" w14:textId="77777777" w:rsidR="00205899" w:rsidRPr="00F00A18" w:rsidRDefault="00422A0A" w:rsidP="005D3905">
            <w:pPr>
              <w:pStyle w:val="Tableformat"/>
              <w:rPr>
                <w:color w:val="auto"/>
              </w:rPr>
            </w:pPr>
            <w:r w:rsidRPr="00F00A18">
              <w:rPr>
                <w:color w:val="auto"/>
              </w:rPr>
              <w:t>Purpose</w:t>
            </w:r>
          </w:p>
        </w:tc>
        <w:tc>
          <w:tcPr>
            <w:tcW w:w="7938" w:type="dxa"/>
            <w:shd w:val="clear" w:color="auto" w:fill="auto"/>
          </w:tcPr>
          <w:p w14:paraId="488C9FD5" w14:textId="77777777" w:rsidR="00E10F77" w:rsidRPr="00A50618" w:rsidRDefault="00422A0A" w:rsidP="005D3905">
            <w:pPr>
              <w:pStyle w:val="Tableformat"/>
              <w:rPr>
                <w:color w:val="auto"/>
              </w:rPr>
            </w:pPr>
            <w:r w:rsidRPr="00F00A18">
              <w:rPr>
                <w:color w:val="auto"/>
              </w:rPr>
              <w:t>This Schedule will support the delivery of</w:t>
            </w:r>
            <w:r>
              <w:rPr>
                <w:color w:val="auto"/>
              </w:rPr>
              <w:t xml:space="preserve"> </w:t>
            </w:r>
            <w:r w:rsidRPr="00A50618">
              <w:rPr>
                <w:color w:val="auto"/>
              </w:rPr>
              <w:t>the Lower Darling Fish Passage Program (Program). The objective of the Program is to restore fish passage connectivity along the Lower Darling River by refurbishing existing fishways at Weir 32, Pooncarie</w:t>
            </w:r>
            <w:r w:rsidR="00B64F41">
              <w:rPr>
                <w:color w:val="auto"/>
              </w:rPr>
              <w:t xml:space="preserve"> weir</w:t>
            </w:r>
            <w:r w:rsidRPr="00A50618">
              <w:rPr>
                <w:color w:val="auto"/>
              </w:rPr>
              <w:t xml:space="preserve"> and Burtundy weir.</w:t>
            </w:r>
          </w:p>
          <w:p w14:paraId="55DC8884" w14:textId="77777777" w:rsidR="00205899" w:rsidRPr="00F00A18" w:rsidRDefault="00422A0A" w:rsidP="005D3905">
            <w:pPr>
              <w:pStyle w:val="Tableformat"/>
              <w:rPr>
                <w:color w:val="auto"/>
              </w:rPr>
            </w:pPr>
            <w:r w:rsidRPr="00A50618">
              <w:rPr>
                <w:color w:val="auto"/>
              </w:rPr>
              <w:t>The program will be deliver</w:t>
            </w:r>
            <w:r w:rsidRPr="00A50618">
              <w:rPr>
                <w:color w:val="auto"/>
              </w:rPr>
              <w:t>ed over two phases. This schedule supports Phase 1 (pre</w:t>
            </w:r>
            <w:r w:rsidRPr="00A50618">
              <w:rPr>
                <w:color w:val="auto"/>
              </w:rPr>
              <w:noBreakHyphen/>
              <w:t xml:space="preserve">construction) of the Program which includes development of concept and detailed designs, completion of detailed site assessments, obtaining regulatory approvals, undertaking stakeholder consultation, </w:t>
            </w:r>
            <w:r w:rsidRPr="00A50618">
              <w:rPr>
                <w:color w:val="auto"/>
              </w:rPr>
              <w:t>and preparing a business case for Phase 2 of the Program, including updated cost estimates.</w:t>
            </w:r>
          </w:p>
        </w:tc>
      </w:tr>
      <w:tr w:rsidR="005C01D5" w14:paraId="71B169E4" w14:textId="77777777" w:rsidTr="00B64F41">
        <w:tc>
          <w:tcPr>
            <w:tcW w:w="1691" w:type="dxa"/>
            <w:shd w:val="clear" w:color="auto" w:fill="auto"/>
          </w:tcPr>
          <w:p w14:paraId="036E8069" w14:textId="77777777" w:rsidR="00205899" w:rsidRPr="00F00A18" w:rsidRDefault="00422A0A" w:rsidP="005D3905">
            <w:pPr>
              <w:pStyle w:val="Tableformat"/>
              <w:rPr>
                <w:color w:val="auto"/>
              </w:rPr>
            </w:pPr>
            <w:r w:rsidRPr="00F00A18">
              <w:rPr>
                <w:color w:val="auto"/>
              </w:rPr>
              <w:t>Estimated financial contributions</w:t>
            </w:r>
          </w:p>
        </w:tc>
        <w:tc>
          <w:tcPr>
            <w:tcW w:w="7938" w:type="dxa"/>
            <w:shd w:val="clear" w:color="auto" w:fill="auto"/>
          </w:tcPr>
          <w:p w14:paraId="4140E581" w14:textId="77777777" w:rsidR="00551D3A" w:rsidRPr="00F00A18" w:rsidRDefault="00422A0A" w:rsidP="00551D3A">
            <w:pPr>
              <w:pStyle w:val="Tableformat"/>
              <w:rPr>
                <w:color w:val="auto"/>
              </w:rPr>
            </w:pPr>
            <w:r w:rsidRPr="00F00A18">
              <w:rPr>
                <w:noProof/>
                <w:color w:val="auto"/>
                <w:lang w:val="en-AU"/>
              </w:rPr>
              <mc:AlternateContent>
                <mc:Choice Requires="wps">
                  <w:drawing>
                    <wp:anchor distT="45720" distB="45720" distL="114300" distR="114300" simplePos="0" relativeHeight="251658240" behindDoc="0" locked="0" layoutInCell="1" allowOverlap="1" wp14:anchorId="7311D39E" wp14:editId="0DF04D7C">
                      <wp:simplePos x="0" y="0"/>
                      <wp:positionH relativeFrom="column">
                        <wp:posOffset>-62230</wp:posOffset>
                      </wp:positionH>
                      <wp:positionV relativeFrom="paragraph">
                        <wp:posOffset>657860</wp:posOffset>
                      </wp:positionV>
                      <wp:extent cx="5133340" cy="2527300"/>
                      <wp:effectExtent l="0" t="0" r="0" b="6350"/>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52730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3"/>
                                  </w:tblGrid>
                                  <w:tr w:rsidR="005C01D5" w14:paraId="189B7151" w14:textId="77777777" w:rsidTr="007E44E6">
                                    <w:trPr>
                                      <w:cantSplit/>
                                    </w:trPr>
                                    <w:tc>
                                      <w:tcPr>
                                        <w:tcW w:w="2127" w:type="dxa"/>
                                        <w:tcBorders>
                                          <w:top w:val="single" w:sz="4" w:space="0" w:color="000080"/>
                                          <w:bottom w:val="single" w:sz="4" w:space="0" w:color="000080"/>
                                        </w:tcBorders>
                                      </w:tcPr>
                                      <w:p w14:paraId="01CD3C17" w14:textId="77777777" w:rsidR="00E10F77" w:rsidRPr="00551D3A" w:rsidRDefault="00422A0A" w:rsidP="007E44E6">
                                        <w:pPr>
                                          <w:keepNext/>
                                          <w:keepLines/>
                                          <w:spacing w:before="40" w:after="40"/>
                                          <w:ind w:left="-111"/>
                                          <w:rPr>
                                            <w:rFonts w:cstheme="minorHAnsi"/>
                                            <w:b/>
                                            <w:sz w:val="21"/>
                                            <w:szCs w:val="21"/>
                                          </w:rPr>
                                        </w:pPr>
                                        <w:r w:rsidRPr="00551D3A">
                                          <w:rPr>
                                            <w:rFonts w:cstheme="minorHAnsi"/>
                                            <w:b/>
                                            <w:sz w:val="21"/>
                                            <w:szCs w:val="21"/>
                                          </w:rPr>
                                          <w:t xml:space="preserve">Table 1 </w:t>
                                        </w:r>
                                      </w:p>
                                      <w:p w14:paraId="3986FB6C" w14:textId="77777777" w:rsidR="00E10F77" w:rsidRPr="005D39DD" w:rsidRDefault="00422A0A"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0A683981" w14:textId="77777777" w:rsidR="00E10F77" w:rsidRDefault="00E10F77" w:rsidP="007E44E6">
                                        <w:pPr>
                                          <w:keepNext/>
                                          <w:keepLines/>
                                          <w:spacing w:before="40" w:after="40"/>
                                          <w:jc w:val="right"/>
                                          <w:rPr>
                                            <w:b/>
                                            <w:sz w:val="21"/>
                                            <w:szCs w:val="21"/>
                                          </w:rPr>
                                        </w:pPr>
                                      </w:p>
                                      <w:p w14:paraId="5B72B71E" w14:textId="77777777" w:rsidR="00E10F77" w:rsidRPr="005D39DD" w:rsidRDefault="00422A0A" w:rsidP="007E44E6">
                                        <w:pPr>
                                          <w:keepNext/>
                                          <w:keepLines/>
                                          <w:spacing w:before="40" w:after="40"/>
                                          <w:jc w:val="right"/>
                                          <w:rPr>
                                            <w:b/>
                                            <w:sz w:val="21"/>
                                            <w:szCs w:val="21"/>
                                          </w:rPr>
                                        </w:pPr>
                                        <w:r>
                                          <w:rPr>
                                            <w:b/>
                                            <w:sz w:val="21"/>
                                            <w:szCs w:val="21"/>
                                          </w:rPr>
                                          <w:t>2020-21</w:t>
                                        </w:r>
                                      </w:p>
                                    </w:tc>
                                    <w:tc>
                                      <w:tcPr>
                                        <w:tcW w:w="943" w:type="dxa"/>
                                        <w:tcBorders>
                                          <w:top w:val="single" w:sz="4" w:space="0" w:color="000080"/>
                                          <w:bottom w:val="single" w:sz="4" w:space="0" w:color="000080"/>
                                        </w:tcBorders>
                                      </w:tcPr>
                                      <w:p w14:paraId="5AE7EF03" w14:textId="77777777" w:rsidR="00E10F77" w:rsidRDefault="00E10F77" w:rsidP="007E44E6">
                                        <w:pPr>
                                          <w:keepNext/>
                                          <w:keepLines/>
                                          <w:spacing w:before="40" w:after="40"/>
                                          <w:jc w:val="right"/>
                                          <w:rPr>
                                            <w:b/>
                                            <w:sz w:val="21"/>
                                            <w:szCs w:val="21"/>
                                          </w:rPr>
                                        </w:pPr>
                                      </w:p>
                                      <w:p w14:paraId="0EC91C43" w14:textId="77777777" w:rsidR="00E10F77" w:rsidRPr="005D39DD" w:rsidRDefault="00422A0A" w:rsidP="007E44E6">
                                        <w:pPr>
                                          <w:keepNext/>
                                          <w:keepLines/>
                                          <w:spacing w:before="40" w:after="40"/>
                                          <w:jc w:val="right"/>
                                          <w:rPr>
                                            <w:b/>
                                            <w:sz w:val="21"/>
                                            <w:szCs w:val="21"/>
                                          </w:rPr>
                                        </w:pPr>
                                        <w:r>
                                          <w:rPr>
                                            <w:b/>
                                            <w:sz w:val="21"/>
                                            <w:szCs w:val="21"/>
                                          </w:rPr>
                                          <w:t>2021-22</w:t>
                                        </w:r>
                                      </w:p>
                                    </w:tc>
                                    <w:tc>
                                      <w:tcPr>
                                        <w:tcW w:w="943" w:type="dxa"/>
                                        <w:tcBorders>
                                          <w:top w:val="single" w:sz="4" w:space="0" w:color="000080"/>
                                          <w:bottom w:val="single" w:sz="4" w:space="0" w:color="000080"/>
                                        </w:tcBorders>
                                      </w:tcPr>
                                      <w:p w14:paraId="544DE578" w14:textId="77777777" w:rsidR="00E10F77" w:rsidRDefault="00E10F77" w:rsidP="007E44E6">
                                        <w:pPr>
                                          <w:keepNext/>
                                          <w:keepLines/>
                                          <w:spacing w:before="40" w:after="40"/>
                                          <w:jc w:val="right"/>
                                          <w:rPr>
                                            <w:b/>
                                            <w:sz w:val="21"/>
                                            <w:szCs w:val="21"/>
                                          </w:rPr>
                                        </w:pPr>
                                      </w:p>
                                      <w:p w14:paraId="4B691019" w14:textId="77777777" w:rsidR="00E10F77" w:rsidRPr="005D39DD" w:rsidRDefault="00422A0A" w:rsidP="007E44E6">
                                        <w:pPr>
                                          <w:keepNext/>
                                          <w:keepLines/>
                                          <w:spacing w:before="40" w:after="40"/>
                                          <w:jc w:val="right"/>
                                          <w:rPr>
                                            <w:b/>
                                            <w:sz w:val="21"/>
                                            <w:szCs w:val="21"/>
                                          </w:rPr>
                                        </w:pPr>
                                        <w:r w:rsidRPr="005D39DD">
                                          <w:rPr>
                                            <w:b/>
                                            <w:sz w:val="21"/>
                                            <w:szCs w:val="21"/>
                                          </w:rPr>
                                          <w:t>Total</w:t>
                                        </w:r>
                                      </w:p>
                                    </w:tc>
                                  </w:tr>
                                  <w:tr w:rsidR="005C01D5" w14:paraId="2F6EAD03" w14:textId="77777777" w:rsidTr="007E44E6">
                                    <w:trPr>
                                      <w:cantSplit/>
                                    </w:trPr>
                                    <w:tc>
                                      <w:tcPr>
                                        <w:tcW w:w="2127" w:type="dxa"/>
                                        <w:tcBorders>
                                          <w:top w:val="single" w:sz="4" w:space="0" w:color="000080"/>
                                        </w:tcBorders>
                                      </w:tcPr>
                                      <w:p w14:paraId="1E56E8ED" w14:textId="77777777" w:rsidR="00E10F77" w:rsidRPr="005D39DD" w:rsidRDefault="00422A0A"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07327DEE" w14:textId="77777777" w:rsidR="00E10F77" w:rsidRPr="005D39DD" w:rsidRDefault="00422A0A" w:rsidP="007E44E6">
                                        <w:pPr>
                                          <w:keepNext/>
                                          <w:keepLines/>
                                          <w:spacing w:before="40" w:after="40"/>
                                          <w:jc w:val="right"/>
                                          <w:rPr>
                                            <w:b/>
                                            <w:sz w:val="21"/>
                                            <w:szCs w:val="21"/>
                                          </w:rPr>
                                        </w:pPr>
                                        <w:r>
                                          <w:rPr>
                                            <w:b/>
                                            <w:sz w:val="21"/>
                                            <w:szCs w:val="21"/>
                                          </w:rPr>
                                          <w:t>0</w:t>
                                        </w:r>
                                        <w:r w:rsidRPr="005D39DD">
                                          <w:rPr>
                                            <w:b/>
                                            <w:sz w:val="21"/>
                                            <w:szCs w:val="21"/>
                                          </w:rPr>
                                          <w:t>.</w:t>
                                        </w:r>
                                        <w:r w:rsidR="00672592">
                                          <w:rPr>
                                            <w:b/>
                                            <w:sz w:val="21"/>
                                            <w:szCs w:val="21"/>
                                          </w:rPr>
                                          <w:t>094</w:t>
                                        </w:r>
                                      </w:p>
                                    </w:tc>
                                    <w:tc>
                                      <w:tcPr>
                                        <w:tcW w:w="943" w:type="dxa"/>
                                        <w:tcBorders>
                                          <w:top w:val="single" w:sz="4" w:space="0" w:color="000080"/>
                                        </w:tcBorders>
                                      </w:tcPr>
                                      <w:p w14:paraId="3715BEEC" w14:textId="77777777" w:rsidR="00E10F77" w:rsidRPr="005D39DD" w:rsidRDefault="00422A0A" w:rsidP="007E44E6">
                                        <w:pPr>
                                          <w:keepNext/>
                                          <w:keepLines/>
                                          <w:spacing w:before="40" w:after="40"/>
                                          <w:jc w:val="right"/>
                                          <w:rPr>
                                            <w:b/>
                                            <w:sz w:val="21"/>
                                            <w:szCs w:val="21"/>
                                          </w:rPr>
                                        </w:pPr>
                                        <w:r>
                                          <w:rPr>
                                            <w:b/>
                                            <w:sz w:val="21"/>
                                            <w:szCs w:val="21"/>
                                          </w:rPr>
                                          <w:t>1.016</w:t>
                                        </w:r>
                                      </w:p>
                                    </w:tc>
                                    <w:tc>
                                      <w:tcPr>
                                        <w:tcW w:w="943" w:type="dxa"/>
                                        <w:tcBorders>
                                          <w:top w:val="single" w:sz="4" w:space="0" w:color="000080"/>
                                        </w:tcBorders>
                                      </w:tcPr>
                                      <w:p w14:paraId="584A24B2" w14:textId="77777777" w:rsidR="00E10F77" w:rsidRPr="005D39DD" w:rsidRDefault="00422A0A" w:rsidP="007E44E6">
                                        <w:pPr>
                                          <w:keepNext/>
                                          <w:keepLines/>
                                          <w:spacing w:before="40" w:after="40"/>
                                          <w:jc w:val="right"/>
                                          <w:rPr>
                                            <w:b/>
                                            <w:sz w:val="21"/>
                                            <w:szCs w:val="21"/>
                                          </w:rPr>
                                        </w:pPr>
                                        <w:r>
                                          <w:rPr>
                                            <w:b/>
                                            <w:sz w:val="21"/>
                                            <w:szCs w:val="21"/>
                                          </w:rPr>
                                          <w:t>1.11</w:t>
                                        </w:r>
                                      </w:p>
                                    </w:tc>
                                  </w:tr>
                                  <w:tr w:rsidR="005C01D5" w14:paraId="1F932832" w14:textId="77777777" w:rsidTr="00E10F77">
                                    <w:trPr>
                                      <w:cantSplit/>
                                    </w:trPr>
                                    <w:tc>
                                      <w:tcPr>
                                        <w:tcW w:w="2127" w:type="dxa"/>
                                      </w:tcPr>
                                      <w:p w14:paraId="43F01897" w14:textId="77777777" w:rsidR="00E10F77" w:rsidRPr="008C6B79" w:rsidRDefault="00422A0A" w:rsidP="00E10F77">
                                        <w:pPr>
                                          <w:keepNext/>
                                          <w:keepLines/>
                                          <w:spacing w:before="60" w:after="60"/>
                                          <w:ind w:left="-111"/>
                                          <w:rPr>
                                            <w:sz w:val="21"/>
                                            <w:szCs w:val="21"/>
                                          </w:rPr>
                                        </w:pPr>
                                        <w:r w:rsidRPr="008C6B79">
                                          <w:rPr>
                                            <w:sz w:val="21"/>
                                            <w:szCs w:val="21"/>
                                          </w:rPr>
                                          <w:t xml:space="preserve">Less estimated National Partnership Payments </w:t>
                                        </w:r>
                                      </w:p>
                                    </w:tc>
                                    <w:tc>
                                      <w:tcPr>
                                        <w:tcW w:w="942" w:type="dxa"/>
                                        <w:tcBorders>
                                          <w:bottom w:val="single" w:sz="4" w:space="0" w:color="auto"/>
                                        </w:tcBorders>
                                      </w:tcPr>
                                      <w:p w14:paraId="6CEC4426" w14:textId="77777777" w:rsidR="00E10F77" w:rsidRPr="00E10F77" w:rsidRDefault="00422A0A" w:rsidP="00E10F77">
                                        <w:pPr>
                                          <w:keepNext/>
                                          <w:keepLines/>
                                          <w:spacing w:before="40" w:after="40"/>
                                          <w:jc w:val="right"/>
                                          <w:rPr>
                                            <w:bCs/>
                                            <w:sz w:val="21"/>
                                            <w:szCs w:val="21"/>
                                          </w:rPr>
                                        </w:pPr>
                                        <w:r w:rsidRPr="00E10F77">
                                          <w:rPr>
                                            <w:bCs/>
                                            <w:sz w:val="21"/>
                                            <w:szCs w:val="21"/>
                                          </w:rPr>
                                          <w:t>0.</w:t>
                                        </w:r>
                                        <w:r>
                                          <w:rPr>
                                            <w:bCs/>
                                            <w:sz w:val="21"/>
                                            <w:szCs w:val="21"/>
                                          </w:rPr>
                                          <w:t>094</w:t>
                                        </w:r>
                                      </w:p>
                                    </w:tc>
                                    <w:tc>
                                      <w:tcPr>
                                        <w:tcW w:w="943" w:type="dxa"/>
                                        <w:tcBorders>
                                          <w:bottom w:val="single" w:sz="4" w:space="0" w:color="auto"/>
                                        </w:tcBorders>
                                      </w:tcPr>
                                      <w:p w14:paraId="3EFF6A34" w14:textId="77777777" w:rsidR="00E10F77" w:rsidRPr="00E10F77" w:rsidRDefault="00422A0A" w:rsidP="00E10F77">
                                        <w:pPr>
                                          <w:keepNext/>
                                          <w:keepLines/>
                                          <w:spacing w:before="40" w:after="40"/>
                                          <w:jc w:val="right"/>
                                          <w:rPr>
                                            <w:bCs/>
                                            <w:sz w:val="21"/>
                                            <w:szCs w:val="21"/>
                                          </w:rPr>
                                        </w:pPr>
                                        <w:r>
                                          <w:rPr>
                                            <w:bCs/>
                                            <w:sz w:val="21"/>
                                            <w:szCs w:val="21"/>
                                          </w:rPr>
                                          <w:t>1.016</w:t>
                                        </w:r>
                                      </w:p>
                                    </w:tc>
                                    <w:tc>
                                      <w:tcPr>
                                        <w:tcW w:w="943" w:type="dxa"/>
                                        <w:tcBorders>
                                          <w:bottom w:val="single" w:sz="4" w:space="0" w:color="auto"/>
                                        </w:tcBorders>
                                      </w:tcPr>
                                      <w:p w14:paraId="679A253B" w14:textId="77777777" w:rsidR="00E10F77" w:rsidRPr="00E10F77" w:rsidRDefault="00422A0A" w:rsidP="00E10F77">
                                        <w:pPr>
                                          <w:keepNext/>
                                          <w:keepLines/>
                                          <w:spacing w:before="40" w:after="40"/>
                                          <w:jc w:val="right"/>
                                          <w:rPr>
                                            <w:bCs/>
                                            <w:sz w:val="21"/>
                                            <w:szCs w:val="21"/>
                                          </w:rPr>
                                        </w:pPr>
                                        <w:r w:rsidRPr="00E10F77">
                                          <w:rPr>
                                            <w:bCs/>
                                            <w:sz w:val="21"/>
                                            <w:szCs w:val="21"/>
                                          </w:rPr>
                                          <w:t>1.11</w:t>
                                        </w:r>
                                      </w:p>
                                    </w:tc>
                                  </w:tr>
                                  <w:tr w:rsidR="005C01D5" w14:paraId="0EE0BD92" w14:textId="77777777" w:rsidTr="00E10F77">
                                    <w:trPr>
                                      <w:cantSplit/>
                                    </w:trPr>
                                    <w:tc>
                                      <w:tcPr>
                                        <w:tcW w:w="2127" w:type="dxa"/>
                                        <w:tcBorders>
                                          <w:bottom w:val="single" w:sz="4" w:space="0" w:color="000080"/>
                                        </w:tcBorders>
                                      </w:tcPr>
                                      <w:p w14:paraId="6B79BEE2" w14:textId="77777777" w:rsidR="00E10F77" w:rsidRPr="008C6B79" w:rsidRDefault="00422A0A" w:rsidP="007E44E6">
                                        <w:pPr>
                                          <w:keepNext/>
                                          <w:keepLines/>
                                          <w:spacing w:before="40" w:after="40"/>
                                          <w:ind w:left="-111"/>
                                          <w:rPr>
                                            <w:sz w:val="21"/>
                                            <w:szCs w:val="21"/>
                                          </w:rPr>
                                        </w:pPr>
                                        <w:r w:rsidRPr="008C6B79">
                                          <w:rPr>
                                            <w:sz w:val="21"/>
                                            <w:szCs w:val="21"/>
                                          </w:rPr>
                                          <w:t>Balance of non-Commonwealth contributions</w:t>
                                        </w:r>
                                      </w:p>
                                    </w:tc>
                                    <w:tc>
                                      <w:tcPr>
                                        <w:tcW w:w="942" w:type="dxa"/>
                                        <w:tcBorders>
                                          <w:top w:val="single" w:sz="4" w:space="0" w:color="auto"/>
                                          <w:bottom w:val="single" w:sz="4" w:space="0" w:color="000080"/>
                                        </w:tcBorders>
                                      </w:tcPr>
                                      <w:p w14:paraId="389CD133" w14:textId="77777777" w:rsidR="00E10F77" w:rsidRPr="005D39DD" w:rsidRDefault="00422A0A" w:rsidP="007E44E6">
                                        <w:pPr>
                                          <w:keepNext/>
                                          <w:keepLines/>
                                          <w:spacing w:before="40" w:after="40"/>
                                          <w:jc w:val="right"/>
                                          <w:rPr>
                                            <w:sz w:val="21"/>
                                            <w:szCs w:val="21"/>
                                          </w:rPr>
                                        </w:pPr>
                                        <w:r w:rsidRPr="005D39DD">
                                          <w:rPr>
                                            <w:sz w:val="21"/>
                                            <w:szCs w:val="21"/>
                                          </w:rPr>
                                          <w:t>0.0</w:t>
                                        </w:r>
                                      </w:p>
                                    </w:tc>
                                    <w:tc>
                                      <w:tcPr>
                                        <w:tcW w:w="943" w:type="dxa"/>
                                        <w:tcBorders>
                                          <w:top w:val="single" w:sz="4" w:space="0" w:color="auto"/>
                                          <w:bottom w:val="single" w:sz="4" w:space="0" w:color="000080"/>
                                        </w:tcBorders>
                                      </w:tcPr>
                                      <w:p w14:paraId="731256FC" w14:textId="77777777" w:rsidR="00E10F77" w:rsidRPr="005D39DD" w:rsidRDefault="00422A0A" w:rsidP="007E44E6">
                                        <w:pPr>
                                          <w:keepNext/>
                                          <w:keepLines/>
                                          <w:spacing w:before="40" w:after="40"/>
                                          <w:jc w:val="right"/>
                                          <w:rPr>
                                            <w:sz w:val="21"/>
                                            <w:szCs w:val="21"/>
                                          </w:rPr>
                                        </w:pPr>
                                        <w:r w:rsidRPr="005D39DD">
                                          <w:rPr>
                                            <w:sz w:val="21"/>
                                            <w:szCs w:val="21"/>
                                          </w:rPr>
                                          <w:t>0.0</w:t>
                                        </w:r>
                                      </w:p>
                                    </w:tc>
                                    <w:tc>
                                      <w:tcPr>
                                        <w:tcW w:w="943" w:type="dxa"/>
                                        <w:tcBorders>
                                          <w:top w:val="single" w:sz="4" w:space="0" w:color="auto"/>
                                          <w:bottom w:val="single" w:sz="4" w:space="0" w:color="000080"/>
                                        </w:tcBorders>
                                      </w:tcPr>
                                      <w:p w14:paraId="219FEA00" w14:textId="77777777" w:rsidR="00E10F77" w:rsidRPr="005D39DD" w:rsidRDefault="00422A0A" w:rsidP="007E44E6">
                                        <w:pPr>
                                          <w:keepNext/>
                                          <w:keepLines/>
                                          <w:spacing w:before="40" w:after="40"/>
                                          <w:jc w:val="right"/>
                                          <w:rPr>
                                            <w:sz w:val="21"/>
                                            <w:szCs w:val="21"/>
                                          </w:rPr>
                                        </w:pPr>
                                        <w:r>
                                          <w:rPr>
                                            <w:sz w:val="21"/>
                                            <w:szCs w:val="21"/>
                                          </w:rPr>
                                          <w:t>0</w:t>
                                        </w:r>
                                        <w:r w:rsidRPr="005D39DD">
                                          <w:rPr>
                                            <w:sz w:val="21"/>
                                            <w:szCs w:val="21"/>
                                          </w:rPr>
                                          <w:t>.0</w:t>
                                        </w:r>
                                      </w:p>
                                    </w:tc>
                                  </w:tr>
                                </w:tbl>
                                <w:p w14:paraId="5ED54D06" w14:textId="77777777" w:rsidR="00205899" w:rsidRPr="00101AB3" w:rsidRDefault="00205899" w:rsidP="00E10F77">
                                  <w:pPr>
                                    <w:rPr>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311D39E" id="_x0000_t202" coordsize="21600,21600" o:spt="202" path="m,l,21600r21600,l21600,xe">
                      <v:stroke joinstyle="miter"/>
                      <v:path gradientshapeok="t" o:connecttype="rect"/>
                    </v:shapetype>
                    <v:shape id="Text Box 2" o:spid="_x0000_s1026" type="#_x0000_t202" style="position:absolute;margin-left:-4.9pt;margin-top:51.8pt;width:404.2pt;height:1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" stroked="f">
                      <v:textbox>
                        <w:txbxContent>
                          <w:tbl>
                            <w:tblPr>
                              <w:tblW w:w="0" w:type="auto"/>
                              <w:tblLook w:val="01E0" w:firstRow="1" w:lastRow="1" w:firstColumn="1" w:lastColumn="1" w:noHBand="0" w:noVBand="0"/>
                            </w:tblPr>
                            <w:tblGrid>
                              <w:gridCol w:w="2127"/>
                              <w:gridCol w:w="942"/>
                              <w:gridCol w:w="943"/>
                              <w:gridCol w:w="943"/>
                            </w:tblGrid>
                            <w:tr w:rsidR="005C01D5" w14:paraId="189B7151" w14:textId="77777777" w:rsidTr="007E44E6">
                              <w:trPr>
                                <w:cantSplit/>
                              </w:trPr>
                              <w:tc>
                                <w:tcPr>
                                  <w:tcW w:w="2127" w:type="dxa"/>
                                  <w:tcBorders>
                                    <w:top w:val="single" w:sz="4" w:space="0" w:color="000080"/>
                                    <w:bottom w:val="single" w:sz="4" w:space="0" w:color="000080"/>
                                  </w:tcBorders>
                                </w:tcPr>
                                <w:p w14:paraId="01CD3C17" w14:textId="77777777" w:rsidR="00E10F77" w:rsidRPr="00551D3A" w:rsidRDefault="00422A0A" w:rsidP="007E44E6">
                                  <w:pPr>
                                    <w:keepNext/>
                                    <w:keepLines/>
                                    <w:spacing w:before="40" w:after="40"/>
                                    <w:ind w:left="-111"/>
                                    <w:rPr>
                                      <w:rFonts w:cstheme="minorHAnsi"/>
                                      <w:b/>
                                      <w:sz w:val="21"/>
                                      <w:szCs w:val="21"/>
                                    </w:rPr>
                                  </w:pPr>
                                  <w:r w:rsidRPr="00551D3A">
                                    <w:rPr>
                                      <w:rFonts w:cstheme="minorHAnsi"/>
                                      <w:b/>
                                      <w:sz w:val="21"/>
                                      <w:szCs w:val="21"/>
                                    </w:rPr>
                                    <w:t xml:space="preserve">Table 1 </w:t>
                                  </w:r>
                                </w:p>
                                <w:p w14:paraId="3986FB6C" w14:textId="77777777" w:rsidR="00E10F77" w:rsidRPr="005D39DD" w:rsidRDefault="00422A0A"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0A683981" w14:textId="77777777" w:rsidR="00E10F77" w:rsidRDefault="00E10F77" w:rsidP="007E44E6">
                                  <w:pPr>
                                    <w:keepNext/>
                                    <w:keepLines/>
                                    <w:spacing w:before="40" w:after="40"/>
                                    <w:jc w:val="right"/>
                                    <w:rPr>
                                      <w:b/>
                                      <w:sz w:val="21"/>
                                      <w:szCs w:val="21"/>
                                    </w:rPr>
                                  </w:pPr>
                                </w:p>
                                <w:p w14:paraId="5B72B71E" w14:textId="77777777" w:rsidR="00E10F77" w:rsidRPr="005D39DD" w:rsidRDefault="00422A0A" w:rsidP="007E44E6">
                                  <w:pPr>
                                    <w:keepNext/>
                                    <w:keepLines/>
                                    <w:spacing w:before="40" w:after="40"/>
                                    <w:jc w:val="right"/>
                                    <w:rPr>
                                      <w:b/>
                                      <w:sz w:val="21"/>
                                      <w:szCs w:val="21"/>
                                    </w:rPr>
                                  </w:pPr>
                                  <w:r>
                                    <w:rPr>
                                      <w:b/>
                                      <w:sz w:val="21"/>
                                      <w:szCs w:val="21"/>
                                    </w:rPr>
                                    <w:t>2020-21</w:t>
                                  </w:r>
                                </w:p>
                              </w:tc>
                              <w:tc>
                                <w:tcPr>
                                  <w:tcW w:w="943" w:type="dxa"/>
                                  <w:tcBorders>
                                    <w:top w:val="single" w:sz="4" w:space="0" w:color="000080"/>
                                    <w:bottom w:val="single" w:sz="4" w:space="0" w:color="000080"/>
                                  </w:tcBorders>
                                </w:tcPr>
                                <w:p w14:paraId="5AE7EF03" w14:textId="77777777" w:rsidR="00E10F77" w:rsidRDefault="00E10F77" w:rsidP="007E44E6">
                                  <w:pPr>
                                    <w:keepNext/>
                                    <w:keepLines/>
                                    <w:spacing w:before="40" w:after="40"/>
                                    <w:jc w:val="right"/>
                                    <w:rPr>
                                      <w:b/>
                                      <w:sz w:val="21"/>
                                      <w:szCs w:val="21"/>
                                    </w:rPr>
                                  </w:pPr>
                                </w:p>
                                <w:p w14:paraId="0EC91C43" w14:textId="77777777" w:rsidR="00E10F77" w:rsidRPr="005D39DD" w:rsidRDefault="00422A0A" w:rsidP="007E44E6">
                                  <w:pPr>
                                    <w:keepNext/>
                                    <w:keepLines/>
                                    <w:spacing w:before="40" w:after="40"/>
                                    <w:jc w:val="right"/>
                                    <w:rPr>
                                      <w:b/>
                                      <w:sz w:val="21"/>
                                      <w:szCs w:val="21"/>
                                    </w:rPr>
                                  </w:pPr>
                                  <w:r>
                                    <w:rPr>
                                      <w:b/>
                                      <w:sz w:val="21"/>
                                      <w:szCs w:val="21"/>
                                    </w:rPr>
                                    <w:t>2021-22</w:t>
                                  </w:r>
                                </w:p>
                              </w:tc>
                              <w:tc>
                                <w:tcPr>
                                  <w:tcW w:w="943" w:type="dxa"/>
                                  <w:tcBorders>
                                    <w:top w:val="single" w:sz="4" w:space="0" w:color="000080"/>
                                    <w:bottom w:val="single" w:sz="4" w:space="0" w:color="000080"/>
                                  </w:tcBorders>
                                </w:tcPr>
                                <w:p w14:paraId="544DE578" w14:textId="77777777" w:rsidR="00E10F77" w:rsidRDefault="00E10F77" w:rsidP="007E44E6">
                                  <w:pPr>
                                    <w:keepNext/>
                                    <w:keepLines/>
                                    <w:spacing w:before="40" w:after="40"/>
                                    <w:jc w:val="right"/>
                                    <w:rPr>
                                      <w:b/>
                                      <w:sz w:val="21"/>
                                      <w:szCs w:val="21"/>
                                    </w:rPr>
                                  </w:pPr>
                                </w:p>
                                <w:p w14:paraId="4B691019" w14:textId="77777777" w:rsidR="00E10F77" w:rsidRPr="005D39DD" w:rsidRDefault="00422A0A" w:rsidP="007E44E6">
                                  <w:pPr>
                                    <w:keepNext/>
                                    <w:keepLines/>
                                    <w:spacing w:before="40" w:after="40"/>
                                    <w:jc w:val="right"/>
                                    <w:rPr>
                                      <w:b/>
                                      <w:sz w:val="21"/>
                                      <w:szCs w:val="21"/>
                                    </w:rPr>
                                  </w:pPr>
                                  <w:r w:rsidRPr="005D39DD">
                                    <w:rPr>
                                      <w:b/>
                                      <w:sz w:val="21"/>
                                      <w:szCs w:val="21"/>
                                    </w:rPr>
                                    <w:t>Total</w:t>
                                  </w:r>
                                </w:p>
                              </w:tc>
                            </w:tr>
                            <w:tr w:rsidR="005C01D5" w14:paraId="2F6EAD03" w14:textId="77777777" w:rsidTr="007E44E6">
                              <w:trPr>
                                <w:cantSplit/>
                              </w:trPr>
                              <w:tc>
                                <w:tcPr>
                                  <w:tcW w:w="2127" w:type="dxa"/>
                                  <w:tcBorders>
                                    <w:top w:val="single" w:sz="4" w:space="0" w:color="000080"/>
                                  </w:tcBorders>
                                </w:tcPr>
                                <w:p w14:paraId="1E56E8ED" w14:textId="77777777" w:rsidR="00E10F77" w:rsidRPr="005D39DD" w:rsidRDefault="00422A0A"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07327DEE" w14:textId="77777777" w:rsidR="00E10F77" w:rsidRPr="005D39DD" w:rsidRDefault="00422A0A" w:rsidP="007E44E6">
                                  <w:pPr>
                                    <w:keepNext/>
                                    <w:keepLines/>
                                    <w:spacing w:before="40" w:after="40"/>
                                    <w:jc w:val="right"/>
                                    <w:rPr>
                                      <w:b/>
                                      <w:sz w:val="21"/>
                                      <w:szCs w:val="21"/>
                                    </w:rPr>
                                  </w:pPr>
                                  <w:r>
                                    <w:rPr>
                                      <w:b/>
                                      <w:sz w:val="21"/>
                                      <w:szCs w:val="21"/>
                                    </w:rPr>
                                    <w:t>0</w:t>
                                  </w:r>
                                  <w:r w:rsidRPr="005D39DD">
                                    <w:rPr>
                                      <w:b/>
                                      <w:sz w:val="21"/>
                                      <w:szCs w:val="21"/>
                                    </w:rPr>
                                    <w:t>.</w:t>
                                  </w:r>
                                  <w:r w:rsidR="00672592">
                                    <w:rPr>
                                      <w:b/>
                                      <w:sz w:val="21"/>
                                      <w:szCs w:val="21"/>
                                    </w:rPr>
                                    <w:t>094</w:t>
                                  </w:r>
                                </w:p>
                              </w:tc>
                              <w:tc>
                                <w:tcPr>
                                  <w:tcW w:w="943" w:type="dxa"/>
                                  <w:tcBorders>
                                    <w:top w:val="single" w:sz="4" w:space="0" w:color="000080"/>
                                  </w:tcBorders>
                                </w:tcPr>
                                <w:p w14:paraId="3715BEEC" w14:textId="77777777" w:rsidR="00E10F77" w:rsidRPr="005D39DD" w:rsidRDefault="00422A0A" w:rsidP="007E44E6">
                                  <w:pPr>
                                    <w:keepNext/>
                                    <w:keepLines/>
                                    <w:spacing w:before="40" w:after="40"/>
                                    <w:jc w:val="right"/>
                                    <w:rPr>
                                      <w:b/>
                                      <w:sz w:val="21"/>
                                      <w:szCs w:val="21"/>
                                    </w:rPr>
                                  </w:pPr>
                                  <w:r>
                                    <w:rPr>
                                      <w:b/>
                                      <w:sz w:val="21"/>
                                      <w:szCs w:val="21"/>
                                    </w:rPr>
                                    <w:t>1.016</w:t>
                                  </w:r>
                                </w:p>
                              </w:tc>
                              <w:tc>
                                <w:tcPr>
                                  <w:tcW w:w="943" w:type="dxa"/>
                                  <w:tcBorders>
                                    <w:top w:val="single" w:sz="4" w:space="0" w:color="000080"/>
                                  </w:tcBorders>
                                </w:tcPr>
                                <w:p w14:paraId="584A24B2" w14:textId="77777777" w:rsidR="00E10F77" w:rsidRPr="005D39DD" w:rsidRDefault="00422A0A" w:rsidP="007E44E6">
                                  <w:pPr>
                                    <w:keepNext/>
                                    <w:keepLines/>
                                    <w:spacing w:before="40" w:after="40"/>
                                    <w:jc w:val="right"/>
                                    <w:rPr>
                                      <w:b/>
                                      <w:sz w:val="21"/>
                                      <w:szCs w:val="21"/>
                                    </w:rPr>
                                  </w:pPr>
                                  <w:r>
                                    <w:rPr>
                                      <w:b/>
                                      <w:sz w:val="21"/>
                                      <w:szCs w:val="21"/>
                                    </w:rPr>
                                    <w:t>1.11</w:t>
                                  </w:r>
                                </w:p>
                              </w:tc>
                            </w:tr>
                            <w:tr w:rsidR="005C01D5" w14:paraId="1F932832" w14:textId="77777777" w:rsidTr="00E10F77">
                              <w:trPr>
                                <w:cantSplit/>
                              </w:trPr>
                              <w:tc>
                                <w:tcPr>
                                  <w:tcW w:w="2127" w:type="dxa"/>
                                </w:tcPr>
                                <w:p w14:paraId="43F01897" w14:textId="77777777" w:rsidR="00E10F77" w:rsidRPr="008C6B79" w:rsidRDefault="00422A0A" w:rsidP="00E10F77">
                                  <w:pPr>
                                    <w:keepNext/>
                                    <w:keepLines/>
                                    <w:spacing w:before="60" w:after="60"/>
                                    <w:ind w:left="-111"/>
                                    <w:rPr>
                                      <w:sz w:val="21"/>
                                      <w:szCs w:val="21"/>
                                    </w:rPr>
                                  </w:pPr>
                                  <w:r w:rsidRPr="008C6B79">
                                    <w:rPr>
                                      <w:sz w:val="21"/>
                                      <w:szCs w:val="21"/>
                                    </w:rPr>
                                    <w:t xml:space="preserve">Less estimated National Partnership Payments </w:t>
                                  </w:r>
                                </w:p>
                              </w:tc>
                              <w:tc>
                                <w:tcPr>
                                  <w:tcW w:w="942" w:type="dxa"/>
                                  <w:tcBorders>
                                    <w:bottom w:val="single" w:sz="4" w:space="0" w:color="auto"/>
                                  </w:tcBorders>
                                </w:tcPr>
                                <w:p w14:paraId="6CEC4426" w14:textId="77777777" w:rsidR="00E10F77" w:rsidRPr="00E10F77" w:rsidRDefault="00422A0A" w:rsidP="00E10F77">
                                  <w:pPr>
                                    <w:keepNext/>
                                    <w:keepLines/>
                                    <w:spacing w:before="40" w:after="40"/>
                                    <w:jc w:val="right"/>
                                    <w:rPr>
                                      <w:bCs/>
                                      <w:sz w:val="21"/>
                                      <w:szCs w:val="21"/>
                                    </w:rPr>
                                  </w:pPr>
                                  <w:r w:rsidRPr="00E10F77">
                                    <w:rPr>
                                      <w:bCs/>
                                      <w:sz w:val="21"/>
                                      <w:szCs w:val="21"/>
                                    </w:rPr>
                                    <w:t>0.</w:t>
                                  </w:r>
                                  <w:r>
                                    <w:rPr>
                                      <w:bCs/>
                                      <w:sz w:val="21"/>
                                      <w:szCs w:val="21"/>
                                    </w:rPr>
                                    <w:t>094</w:t>
                                  </w:r>
                                </w:p>
                              </w:tc>
                              <w:tc>
                                <w:tcPr>
                                  <w:tcW w:w="943" w:type="dxa"/>
                                  <w:tcBorders>
                                    <w:bottom w:val="single" w:sz="4" w:space="0" w:color="auto"/>
                                  </w:tcBorders>
                                </w:tcPr>
                                <w:p w14:paraId="3EFF6A34" w14:textId="77777777" w:rsidR="00E10F77" w:rsidRPr="00E10F77" w:rsidRDefault="00422A0A" w:rsidP="00E10F77">
                                  <w:pPr>
                                    <w:keepNext/>
                                    <w:keepLines/>
                                    <w:spacing w:before="40" w:after="40"/>
                                    <w:jc w:val="right"/>
                                    <w:rPr>
                                      <w:bCs/>
                                      <w:sz w:val="21"/>
                                      <w:szCs w:val="21"/>
                                    </w:rPr>
                                  </w:pPr>
                                  <w:r>
                                    <w:rPr>
                                      <w:bCs/>
                                      <w:sz w:val="21"/>
                                      <w:szCs w:val="21"/>
                                    </w:rPr>
                                    <w:t>1.016</w:t>
                                  </w:r>
                                </w:p>
                              </w:tc>
                              <w:tc>
                                <w:tcPr>
                                  <w:tcW w:w="943" w:type="dxa"/>
                                  <w:tcBorders>
                                    <w:bottom w:val="single" w:sz="4" w:space="0" w:color="auto"/>
                                  </w:tcBorders>
                                </w:tcPr>
                                <w:p w14:paraId="679A253B" w14:textId="77777777" w:rsidR="00E10F77" w:rsidRPr="00E10F77" w:rsidRDefault="00422A0A" w:rsidP="00E10F77">
                                  <w:pPr>
                                    <w:keepNext/>
                                    <w:keepLines/>
                                    <w:spacing w:before="40" w:after="40"/>
                                    <w:jc w:val="right"/>
                                    <w:rPr>
                                      <w:bCs/>
                                      <w:sz w:val="21"/>
                                      <w:szCs w:val="21"/>
                                    </w:rPr>
                                  </w:pPr>
                                  <w:r w:rsidRPr="00E10F77">
                                    <w:rPr>
                                      <w:bCs/>
                                      <w:sz w:val="21"/>
                                      <w:szCs w:val="21"/>
                                    </w:rPr>
                                    <w:t>1.11</w:t>
                                  </w:r>
                                </w:p>
                              </w:tc>
                            </w:tr>
                            <w:tr w:rsidR="005C01D5" w14:paraId="0EE0BD92" w14:textId="77777777" w:rsidTr="00E10F77">
                              <w:trPr>
                                <w:cantSplit/>
                              </w:trPr>
                              <w:tc>
                                <w:tcPr>
                                  <w:tcW w:w="2127" w:type="dxa"/>
                                  <w:tcBorders>
                                    <w:bottom w:val="single" w:sz="4" w:space="0" w:color="000080"/>
                                  </w:tcBorders>
                                </w:tcPr>
                                <w:p w14:paraId="6B79BEE2" w14:textId="77777777" w:rsidR="00E10F77" w:rsidRPr="008C6B79" w:rsidRDefault="00422A0A" w:rsidP="007E44E6">
                                  <w:pPr>
                                    <w:keepNext/>
                                    <w:keepLines/>
                                    <w:spacing w:before="40" w:after="40"/>
                                    <w:ind w:left="-111"/>
                                    <w:rPr>
                                      <w:sz w:val="21"/>
                                      <w:szCs w:val="21"/>
                                    </w:rPr>
                                  </w:pPr>
                                  <w:r w:rsidRPr="008C6B79">
                                    <w:rPr>
                                      <w:sz w:val="21"/>
                                      <w:szCs w:val="21"/>
                                    </w:rPr>
                                    <w:t>Balance of non-Commonwealth contributions</w:t>
                                  </w:r>
                                </w:p>
                              </w:tc>
                              <w:tc>
                                <w:tcPr>
                                  <w:tcW w:w="942" w:type="dxa"/>
                                  <w:tcBorders>
                                    <w:top w:val="single" w:sz="4" w:space="0" w:color="auto"/>
                                    <w:bottom w:val="single" w:sz="4" w:space="0" w:color="000080"/>
                                  </w:tcBorders>
                                </w:tcPr>
                                <w:p w14:paraId="389CD133" w14:textId="77777777" w:rsidR="00E10F77" w:rsidRPr="005D39DD" w:rsidRDefault="00422A0A" w:rsidP="007E44E6">
                                  <w:pPr>
                                    <w:keepNext/>
                                    <w:keepLines/>
                                    <w:spacing w:before="40" w:after="40"/>
                                    <w:jc w:val="right"/>
                                    <w:rPr>
                                      <w:sz w:val="21"/>
                                      <w:szCs w:val="21"/>
                                    </w:rPr>
                                  </w:pPr>
                                  <w:r w:rsidRPr="005D39DD">
                                    <w:rPr>
                                      <w:sz w:val="21"/>
                                      <w:szCs w:val="21"/>
                                    </w:rPr>
                                    <w:t>0.0</w:t>
                                  </w:r>
                                </w:p>
                              </w:tc>
                              <w:tc>
                                <w:tcPr>
                                  <w:tcW w:w="943" w:type="dxa"/>
                                  <w:tcBorders>
                                    <w:top w:val="single" w:sz="4" w:space="0" w:color="auto"/>
                                    <w:bottom w:val="single" w:sz="4" w:space="0" w:color="000080"/>
                                  </w:tcBorders>
                                </w:tcPr>
                                <w:p w14:paraId="731256FC" w14:textId="77777777" w:rsidR="00E10F77" w:rsidRPr="005D39DD" w:rsidRDefault="00422A0A" w:rsidP="007E44E6">
                                  <w:pPr>
                                    <w:keepNext/>
                                    <w:keepLines/>
                                    <w:spacing w:before="40" w:after="40"/>
                                    <w:jc w:val="right"/>
                                    <w:rPr>
                                      <w:sz w:val="21"/>
                                      <w:szCs w:val="21"/>
                                    </w:rPr>
                                  </w:pPr>
                                  <w:r w:rsidRPr="005D39DD">
                                    <w:rPr>
                                      <w:sz w:val="21"/>
                                      <w:szCs w:val="21"/>
                                    </w:rPr>
                                    <w:t>0.0</w:t>
                                  </w:r>
                                </w:p>
                              </w:tc>
                              <w:tc>
                                <w:tcPr>
                                  <w:tcW w:w="943" w:type="dxa"/>
                                  <w:tcBorders>
                                    <w:top w:val="single" w:sz="4" w:space="0" w:color="auto"/>
                                    <w:bottom w:val="single" w:sz="4" w:space="0" w:color="000080"/>
                                  </w:tcBorders>
                                </w:tcPr>
                                <w:p w14:paraId="219FEA00" w14:textId="77777777" w:rsidR="00E10F77" w:rsidRPr="005D39DD" w:rsidRDefault="00422A0A" w:rsidP="007E44E6">
                                  <w:pPr>
                                    <w:keepNext/>
                                    <w:keepLines/>
                                    <w:spacing w:before="40" w:after="40"/>
                                    <w:jc w:val="right"/>
                                    <w:rPr>
                                      <w:sz w:val="21"/>
                                      <w:szCs w:val="21"/>
                                    </w:rPr>
                                  </w:pPr>
                                  <w:r>
                                    <w:rPr>
                                      <w:sz w:val="21"/>
                                      <w:szCs w:val="21"/>
                                    </w:rPr>
                                    <w:t>0</w:t>
                                  </w:r>
                                  <w:r w:rsidRPr="005D39DD">
                                    <w:rPr>
                                      <w:sz w:val="21"/>
                                      <w:szCs w:val="21"/>
                                    </w:rPr>
                                    <w:t>.0</w:t>
                                  </w:r>
                                </w:p>
                              </w:tc>
                            </w:tr>
                          </w:tbl>
                          <w:p w14:paraId="5ED54D06" w14:textId="77777777" w:rsidR="00205899" w:rsidRPr="00101AB3" w:rsidRDefault="00205899" w:rsidP="00E10F77">
                            <w:pPr>
                              <w:rPr>
                                <w:sz w:val="18"/>
                                <w:szCs w:val="18"/>
                              </w:rPr>
                            </w:pPr>
                          </w:p>
                        </w:txbxContent>
                      </v:textbox>
                      <w10:wrap type="square"/>
                    </v:shape>
                  </w:pict>
                </mc:Fallback>
              </mc:AlternateContent>
            </w:r>
            <w:r w:rsidRPr="00F00A18">
              <w:rPr>
                <w:color w:val="auto"/>
              </w:rPr>
              <w:t>The Commonwealth will provide an estimated total financial contribution to the States of $</w:t>
            </w:r>
            <w:r w:rsidR="00E10F77">
              <w:rPr>
                <w:color w:val="auto"/>
              </w:rPr>
              <w:t>1.11</w:t>
            </w:r>
            <w:r w:rsidRPr="00F00A18">
              <w:rPr>
                <w:color w:val="auto"/>
              </w:rPr>
              <w:t>m in respect of this Schedule.</w:t>
            </w:r>
            <w:r>
              <w:rPr>
                <w:color w:val="auto"/>
              </w:rPr>
              <w:t xml:space="preserve"> </w:t>
            </w:r>
          </w:p>
        </w:tc>
      </w:tr>
      <w:tr w:rsidR="005C01D5" w14:paraId="1E1DEA54" w14:textId="77777777" w:rsidTr="00B64F41">
        <w:tc>
          <w:tcPr>
            <w:tcW w:w="1691" w:type="dxa"/>
            <w:shd w:val="clear" w:color="auto" w:fill="auto"/>
          </w:tcPr>
          <w:p w14:paraId="3E383C79" w14:textId="77777777" w:rsidR="00205899" w:rsidRPr="00F00A18" w:rsidRDefault="00422A0A" w:rsidP="005D3905">
            <w:pPr>
              <w:pStyle w:val="Tableformat"/>
              <w:rPr>
                <w:color w:val="auto"/>
              </w:rPr>
            </w:pPr>
            <w:r w:rsidRPr="00F00A18">
              <w:rPr>
                <w:color w:val="auto"/>
              </w:rPr>
              <w:t xml:space="preserve">Additional terms </w:t>
            </w:r>
          </w:p>
        </w:tc>
        <w:tc>
          <w:tcPr>
            <w:tcW w:w="7938" w:type="dxa"/>
            <w:shd w:val="clear" w:color="auto" w:fill="auto"/>
          </w:tcPr>
          <w:p w14:paraId="0E74D67C" w14:textId="77777777" w:rsidR="00B64F41" w:rsidRDefault="00422A0A" w:rsidP="00B64F41">
            <w:pPr>
              <w:pStyle w:val="Normalnumbered"/>
              <w:numPr>
                <w:ilvl w:val="0"/>
                <w:numId w:val="8"/>
              </w:numPr>
            </w:pPr>
            <w:r>
              <w:t xml:space="preserve">Contrary to clause 27 in the National Partnership for Streamlined Agreements, payments from the Commonwealth to NSW under this Schedule will be the maximum amounts specified in Table 1. Should the actual total expenditure incurred by </w:t>
            </w:r>
            <w:r>
              <w:t xml:space="preserve">NSW to deliver the activities described in Table 1 be less than the Commonwealth’s estimated total financial contribution, the Parties agree that </w:t>
            </w:r>
            <w:r>
              <w:lastRenderedPageBreak/>
              <w:t>the final payment will be reduced to meet the total actual expenditure incurred on the activities.</w:t>
            </w:r>
          </w:p>
          <w:p w14:paraId="3355156F" w14:textId="77777777" w:rsidR="00B64F41" w:rsidRDefault="00422A0A" w:rsidP="00B64F41">
            <w:pPr>
              <w:pStyle w:val="Normalnumbered"/>
              <w:numPr>
                <w:ilvl w:val="0"/>
                <w:numId w:val="8"/>
              </w:numPr>
            </w:pPr>
            <w:r>
              <w:t xml:space="preserve">NSW agrees </w:t>
            </w:r>
            <w:r>
              <w:t>to pay a refund to the Commonwealth if the actual cost of delivering the activities specified in Table 1 is less than the Commonwealth’s estimated total financial contribution and payments have been made by the Commonwealth that exceed the actual expenditu</w:t>
            </w:r>
            <w:r>
              <w:t>re incurred by NSW.</w:t>
            </w:r>
          </w:p>
          <w:p w14:paraId="62241A9D" w14:textId="77777777" w:rsidR="00B64F41" w:rsidRPr="006C4DAB" w:rsidRDefault="00422A0A" w:rsidP="006C4DAB">
            <w:pPr>
              <w:pStyle w:val="Normalnumbered"/>
              <w:numPr>
                <w:ilvl w:val="0"/>
                <w:numId w:val="8"/>
              </w:numPr>
            </w:pPr>
            <w:bookmarkStart w:id="0" w:name="top"/>
            <w:bookmarkEnd w:id="0"/>
            <w:r>
              <w:t xml:space="preserve">Having regard to the Commonwealth’s estimated total financial contribution to NSW under this Schedule and </w:t>
            </w:r>
            <w:r w:rsidR="00B16592">
              <w:t>the additional terms</w:t>
            </w:r>
            <w:r>
              <w:t xml:space="preserve"> a</w:t>
            </w:r>
            <w:r w:rsidR="00B16592">
              <w:t>)</w:t>
            </w:r>
            <w:r>
              <w:t xml:space="preserve"> and b</w:t>
            </w:r>
            <w:r w:rsidR="00B16592">
              <w:t>)</w:t>
            </w:r>
            <w:r>
              <w:t xml:space="preserve"> above, the Commonwealth agrees to make any remaining funding under this </w:t>
            </w:r>
            <w:r w:rsidR="00B16592">
              <w:t>Schedule</w:t>
            </w:r>
            <w:r>
              <w:t xml:space="preserve"> available to NSW f</w:t>
            </w:r>
            <w:r>
              <w:t xml:space="preserve">or Phase 2 of the Program, subject to </w:t>
            </w:r>
            <w:r w:rsidR="00F8505F">
              <w:t>the outcomes of Phase 1 and the Commonwealth’s consideration of the Phase 2 business case.</w:t>
            </w:r>
          </w:p>
        </w:tc>
      </w:tr>
    </w:tbl>
    <w:p w14:paraId="7CB36491" w14:textId="77777777" w:rsidR="00205899" w:rsidRDefault="00205899" w:rsidP="00205899"/>
    <w:p w14:paraId="0925F688" w14:textId="77777777" w:rsidR="00205899" w:rsidRDefault="00205899" w:rsidP="00205899"/>
    <w:p w14:paraId="106F6998" w14:textId="77777777" w:rsidR="00205899" w:rsidRDefault="00205899" w:rsidP="00205899">
      <w:pPr>
        <w:sectPr w:rsidR="00205899" w:rsidSect="00205899">
          <w:footerReference w:type="even" r:id="rId13"/>
          <w:footerReference w:type="default" r:id="rId14"/>
          <w:footerReference w:type="first" r:id="rId15"/>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93"/>
        <w:gridCol w:w="4518"/>
        <w:gridCol w:w="1392"/>
        <w:gridCol w:w="1103"/>
      </w:tblGrid>
      <w:tr w:rsidR="005C01D5" w14:paraId="3BA94FE1" w14:textId="77777777" w:rsidTr="00FD491D">
        <w:tc>
          <w:tcPr>
            <w:tcW w:w="9006" w:type="dxa"/>
            <w:gridSpan w:val="4"/>
            <w:shd w:val="clear" w:color="auto" w:fill="DEEAF6" w:themeFill="accent1" w:themeFillTint="33"/>
          </w:tcPr>
          <w:p w14:paraId="1D32A9D0" w14:textId="77777777" w:rsidR="00205899" w:rsidRPr="00F00A18" w:rsidRDefault="00422A0A" w:rsidP="005D3905">
            <w:pPr>
              <w:pStyle w:val="Tableformat"/>
              <w:tabs>
                <w:tab w:val="left" w:pos="6043"/>
              </w:tabs>
              <w:rPr>
                <w:b/>
                <w:color w:val="auto"/>
              </w:rPr>
            </w:pPr>
            <w:r w:rsidRPr="00F00A18">
              <w:rPr>
                <w:b/>
                <w:color w:val="auto"/>
              </w:rPr>
              <w:lastRenderedPageBreak/>
              <w:t>Table 2A: New South Wales – Performance requirements, reporting and payment summary</w:t>
            </w:r>
          </w:p>
        </w:tc>
      </w:tr>
      <w:tr w:rsidR="005C01D5" w14:paraId="5EF0957B" w14:textId="77777777" w:rsidTr="00FD491D">
        <w:tc>
          <w:tcPr>
            <w:tcW w:w="1993" w:type="dxa"/>
            <w:shd w:val="clear" w:color="auto" w:fill="F2F2F2" w:themeFill="background1" w:themeFillShade="F2"/>
          </w:tcPr>
          <w:p w14:paraId="696A30DE" w14:textId="77777777" w:rsidR="00205899" w:rsidRPr="00F00A18" w:rsidRDefault="00422A0A"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4518" w:type="dxa"/>
            <w:shd w:val="clear" w:color="auto" w:fill="F2F2F2" w:themeFill="background1" w:themeFillShade="F2"/>
          </w:tcPr>
          <w:p w14:paraId="29E1B574" w14:textId="77777777" w:rsidR="00205899" w:rsidRPr="00F00A18" w:rsidRDefault="00422A0A" w:rsidP="005D3905">
            <w:pPr>
              <w:pStyle w:val="Tableformat"/>
              <w:rPr>
                <w:b/>
                <w:color w:val="auto"/>
              </w:rPr>
            </w:pPr>
            <w:r w:rsidRPr="00F00A18">
              <w:rPr>
                <w:b/>
                <w:color w:val="auto"/>
              </w:rPr>
              <w:t>Performance milestones</w:t>
            </w:r>
          </w:p>
        </w:tc>
        <w:tc>
          <w:tcPr>
            <w:tcW w:w="1392" w:type="dxa"/>
            <w:shd w:val="clear" w:color="auto" w:fill="F2F2F2" w:themeFill="background1" w:themeFillShade="F2"/>
          </w:tcPr>
          <w:p w14:paraId="52FADFD5" w14:textId="77777777" w:rsidR="00205899" w:rsidRPr="00F00A18" w:rsidRDefault="00422A0A" w:rsidP="005D3905">
            <w:pPr>
              <w:pStyle w:val="Tableformat"/>
              <w:rPr>
                <w:b/>
                <w:color w:val="auto"/>
              </w:rPr>
            </w:pPr>
            <w:r w:rsidRPr="00F00A18">
              <w:rPr>
                <w:b/>
                <w:color w:val="auto"/>
              </w:rPr>
              <w:t>Report due</w:t>
            </w:r>
          </w:p>
        </w:tc>
        <w:tc>
          <w:tcPr>
            <w:tcW w:w="1103" w:type="dxa"/>
            <w:shd w:val="clear" w:color="auto" w:fill="F2F2F2" w:themeFill="background1" w:themeFillShade="F2"/>
          </w:tcPr>
          <w:p w14:paraId="7D69CD29" w14:textId="77777777" w:rsidR="00205899" w:rsidRPr="00F00A18" w:rsidRDefault="00422A0A" w:rsidP="005D3905">
            <w:pPr>
              <w:pStyle w:val="Tableformat"/>
              <w:rPr>
                <w:b/>
                <w:color w:val="auto"/>
              </w:rPr>
            </w:pPr>
            <w:r w:rsidRPr="00F00A18">
              <w:rPr>
                <w:b/>
                <w:color w:val="auto"/>
              </w:rPr>
              <w:t>Payment</w:t>
            </w:r>
          </w:p>
        </w:tc>
      </w:tr>
      <w:tr w:rsidR="005C01D5" w14:paraId="5041A28A" w14:textId="77777777" w:rsidTr="00FD491D">
        <w:tc>
          <w:tcPr>
            <w:tcW w:w="1993" w:type="dxa"/>
            <w:tcBorders>
              <w:top w:val="single" w:sz="8" w:space="0" w:color="4F81BD"/>
              <w:left w:val="single" w:sz="8" w:space="0" w:color="4F81BD"/>
              <w:bottom w:val="single" w:sz="8" w:space="0" w:color="4F81BD"/>
              <w:right w:val="single" w:sz="8" w:space="0" w:color="4F81BD"/>
            </w:tcBorders>
          </w:tcPr>
          <w:p w14:paraId="4EA365A0" w14:textId="77777777" w:rsidR="00EB3CC1" w:rsidRPr="00B64F41" w:rsidRDefault="00422A0A" w:rsidP="00EB3CC1">
            <w:pPr>
              <w:pStyle w:val="Milestonetable"/>
              <w:rPr>
                <w:rFonts w:cstheme="minorHAnsi"/>
                <w:color w:val="auto"/>
                <w:sz w:val="22"/>
                <w:szCs w:val="22"/>
              </w:rPr>
            </w:pPr>
            <w:r w:rsidRPr="00B64F41">
              <w:rPr>
                <w:rFonts w:cstheme="minorHAnsi"/>
                <w:bCs/>
                <w:iCs w:val="0"/>
                <w:color w:val="auto"/>
                <w:sz w:val="22"/>
                <w:szCs w:val="22"/>
              </w:rPr>
              <w:t>Phase 1 of the Lower Darling Fish Passage Program</w:t>
            </w:r>
          </w:p>
        </w:tc>
        <w:tc>
          <w:tcPr>
            <w:tcW w:w="4518" w:type="dxa"/>
            <w:tcBorders>
              <w:top w:val="single" w:sz="8" w:space="0" w:color="4F81BD"/>
              <w:left w:val="single" w:sz="8" w:space="0" w:color="4F81BD"/>
              <w:bottom w:val="single" w:sz="8" w:space="0" w:color="4F81BD"/>
              <w:right w:val="single" w:sz="8" w:space="0" w:color="4F81BD"/>
            </w:tcBorders>
            <w:shd w:val="clear" w:color="auto" w:fill="auto"/>
          </w:tcPr>
          <w:p w14:paraId="6D7E9213"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 xml:space="preserve">Establishment of </w:t>
            </w:r>
            <w:r w:rsidRPr="00B64F41">
              <w:rPr>
                <w:rFonts w:ascii="Corbel" w:hAnsi="Corbel" w:cstheme="minorHAnsi"/>
                <w:bCs/>
                <w:iCs/>
              </w:rPr>
              <w:t>program management arrangements</w:t>
            </w:r>
          </w:p>
          <w:p w14:paraId="2BB6D2C6" w14:textId="77777777" w:rsidR="00EB3CC1" w:rsidRPr="00B64F41" w:rsidRDefault="00422A0A" w:rsidP="00EB3CC1">
            <w:pPr>
              <w:pStyle w:val="ListParagraph"/>
              <w:keepNext/>
              <w:widowControl/>
              <w:numPr>
                <w:ilvl w:val="0"/>
                <w:numId w:val="3"/>
              </w:numPr>
              <w:spacing w:before="180" w:after="120"/>
              <w:outlineLvl w:val="1"/>
              <w:rPr>
                <w:rFonts w:ascii="Corbel" w:hAnsi="Corbel" w:cstheme="minorHAnsi"/>
                <w:bCs/>
                <w:iCs/>
              </w:rPr>
            </w:pPr>
            <w:r w:rsidRPr="00B64F41">
              <w:rPr>
                <w:rFonts w:ascii="Corbel" w:hAnsi="Corbel" w:cstheme="minorHAnsi"/>
                <w:bCs/>
                <w:iCs/>
              </w:rPr>
              <w:t>Program plan</w:t>
            </w:r>
          </w:p>
          <w:p w14:paraId="1FC0B0C0" w14:textId="77777777" w:rsidR="00EB3CC1" w:rsidRPr="00B64F41" w:rsidRDefault="00422A0A" w:rsidP="00EB3CC1">
            <w:pPr>
              <w:pStyle w:val="ListParagraph"/>
              <w:keepNext/>
              <w:widowControl/>
              <w:numPr>
                <w:ilvl w:val="0"/>
                <w:numId w:val="3"/>
              </w:numPr>
              <w:spacing w:before="180" w:after="120"/>
              <w:outlineLvl w:val="1"/>
              <w:rPr>
                <w:rFonts w:ascii="Corbel" w:hAnsi="Corbel" w:cstheme="minorHAnsi"/>
                <w:bCs/>
                <w:iCs/>
              </w:rPr>
            </w:pPr>
            <w:r w:rsidRPr="00B64F41">
              <w:rPr>
                <w:rFonts w:ascii="Corbel" w:hAnsi="Corbel" w:cstheme="minorHAnsi"/>
                <w:bCs/>
                <w:iCs/>
              </w:rPr>
              <w:t>Engagement of key personnel: program manager, fishway design engineer and fishway design consultant</w:t>
            </w:r>
          </w:p>
          <w:p w14:paraId="3E497FC8"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Establishment of governance arrangements</w:t>
            </w:r>
          </w:p>
          <w:p w14:paraId="24B7E0D1" w14:textId="77777777" w:rsidR="00EB3CC1" w:rsidRPr="00B64F41" w:rsidRDefault="00422A0A" w:rsidP="00EB3CC1">
            <w:pPr>
              <w:pStyle w:val="ListParagraph"/>
              <w:keepNext/>
              <w:widowControl/>
              <w:numPr>
                <w:ilvl w:val="0"/>
                <w:numId w:val="4"/>
              </w:numPr>
              <w:spacing w:before="180" w:after="120"/>
              <w:outlineLvl w:val="1"/>
              <w:rPr>
                <w:rFonts w:ascii="Corbel" w:hAnsi="Corbel" w:cstheme="minorHAnsi"/>
                <w:bCs/>
                <w:iCs/>
              </w:rPr>
            </w:pPr>
            <w:r w:rsidRPr="00B64F41">
              <w:rPr>
                <w:rFonts w:ascii="Corbel" w:hAnsi="Corbel" w:cstheme="minorHAnsi"/>
                <w:bCs/>
                <w:iCs/>
              </w:rPr>
              <w:t>Terms of reference for the Program Advisory Team</w:t>
            </w:r>
          </w:p>
          <w:p w14:paraId="3D387E81" w14:textId="77777777" w:rsidR="00EB3CC1" w:rsidRPr="00B64F41" w:rsidRDefault="00422A0A" w:rsidP="00EB3CC1">
            <w:pPr>
              <w:pStyle w:val="Milestonetable"/>
              <w:rPr>
                <w:rFonts w:cstheme="minorHAnsi"/>
                <w:color w:val="auto"/>
                <w:sz w:val="22"/>
                <w:szCs w:val="22"/>
              </w:rPr>
            </w:pPr>
            <w:r w:rsidRPr="00B64F41">
              <w:rPr>
                <w:rFonts w:cstheme="minorHAnsi"/>
                <w:bCs/>
                <w:iCs w:val="0"/>
                <w:color w:val="auto"/>
                <w:sz w:val="22"/>
                <w:szCs w:val="22"/>
              </w:rPr>
              <w:t>Stakeholder engagement plan</w:t>
            </w:r>
          </w:p>
        </w:tc>
        <w:tc>
          <w:tcPr>
            <w:tcW w:w="1392" w:type="dxa"/>
            <w:tcBorders>
              <w:top w:val="single" w:sz="8" w:space="0" w:color="4F81BD"/>
              <w:left w:val="single" w:sz="8" w:space="0" w:color="4F81BD"/>
              <w:bottom w:val="single" w:sz="8" w:space="0" w:color="4F81BD"/>
              <w:right w:val="single" w:sz="8" w:space="0" w:color="4F81BD"/>
            </w:tcBorders>
            <w:shd w:val="clear" w:color="auto" w:fill="auto"/>
          </w:tcPr>
          <w:p w14:paraId="3B59E6C4" w14:textId="77777777" w:rsidR="00EB3CC1" w:rsidRPr="00B64F41" w:rsidRDefault="00422A0A" w:rsidP="00EB3CC1">
            <w:pPr>
              <w:pStyle w:val="Milestonetable"/>
              <w:rPr>
                <w:rFonts w:cstheme="minorHAnsi"/>
                <w:color w:val="auto"/>
                <w:sz w:val="22"/>
                <w:szCs w:val="22"/>
              </w:rPr>
            </w:pPr>
            <w:r>
              <w:rPr>
                <w:rFonts w:cstheme="minorHAnsi"/>
                <w:bCs/>
                <w:iCs w:val="0"/>
                <w:color w:val="auto"/>
                <w:sz w:val="22"/>
                <w:szCs w:val="22"/>
              </w:rPr>
              <w:t>7 May 2021</w:t>
            </w:r>
          </w:p>
        </w:tc>
        <w:tc>
          <w:tcPr>
            <w:tcW w:w="1103" w:type="dxa"/>
            <w:tcBorders>
              <w:top w:val="single" w:sz="8" w:space="0" w:color="4F81BD"/>
              <w:left w:val="single" w:sz="8" w:space="0" w:color="4F81BD"/>
              <w:bottom w:val="single" w:sz="8" w:space="0" w:color="4F81BD"/>
              <w:right w:val="single" w:sz="8" w:space="0" w:color="4F81BD"/>
            </w:tcBorders>
            <w:shd w:val="clear" w:color="auto" w:fill="auto"/>
          </w:tcPr>
          <w:p w14:paraId="02F6C71F" w14:textId="77777777" w:rsidR="00EB3CC1" w:rsidRPr="00B64F41" w:rsidRDefault="00422A0A" w:rsidP="00EB3CC1">
            <w:pPr>
              <w:pStyle w:val="Milestonetable"/>
              <w:jc w:val="right"/>
              <w:rPr>
                <w:rFonts w:cstheme="minorHAnsi"/>
                <w:color w:val="auto"/>
                <w:sz w:val="22"/>
                <w:szCs w:val="22"/>
              </w:rPr>
            </w:pPr>
            <w:r w:rsidRPr="00B64F41">
              <w:rPr>
                <w:rFonts w:cstheme="minorHAnsi"/>
                <w:bCs/>
                <w:iCs w:val="0"/>
                <w:color w:val="auto"/>
                <w:sz w:val="22"/>
                <w:szCs w:val="22"/>
              </w:rPr>
              <w:t>$94,077</w:t>
            </w:r>
          </w:p>
        </w:tc>
      </w:tr>
      <w:tr w:rsidR="005C01D5" w14:paraId="2E2222F0" w14:textId="77777777" w:rsidTr="00FD491D">
        <w:tc>
          <w:tcPr>
            <w:tcW w:w="1993" w:type="dxa"/>
            <w:tcBorders>
              <w:top w:val="single" w:sz="8" w:space="0" w:color="4F81BD"/>
              <w:left w:val="single" w:sz="8" w:space="0" w:color="4F81BD"/>
              <w:bottom w:val="single" w:sz="8" w:space="0" w:color="4F81BD"/>
              <w:right w:val="single" w:sz="8" w:space="0" w:color="4F81BD"/>
            </w:tcBorders>
          </w:tcPr>
          <w:p w14:paraId="01055D68" w14:textId="77777777" w:rsidR="00EB3CC1" w:rsidRPr="00B64F41" w:rsidRDefault="00EB3CC1" w:rsidP="00EB3CC1">
            <w:pPr>
              <w:pStyle w:val="Milestonetable"/>
              <w:rPr>
                <w:rFonts w:cstheme="minorHAnsi"/>
                <w:color w:val="auto"/>
                <w:sz w:val="22"/>
                <w:szCs w:val="22"/>
              </w:rPr>
            </w:pPr>
          </w:p>
        </w:tc>
        <w:tc>
          <w:tcPr>
            <w:tcW w:w="4518" w:type="dxa"/>
            <w:tcBorders>
              <w:top w:val="single" w:sz="8" w:space="0" w:color="4F81BD"/>
              <w:left w:val="single" w:sz="8" w:space="0" w:color="4F81BD"/>
              <w:bottom w:val="single" w:sz="8" w:space="0" w:color="4F81BD"/>
              <w:right w:val="single" w:sz="8" w:space="0" w:color="4F81BD"/>
            </w:tcBorders>
            <w:shd w:val="clear" w:color="auto" w:fill="auto"/>
          </w:tcPr>
          <w:p w14:paraId="45DD1E05"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 xml:space="preserve">Completion of site survey and geotechnical assessment </w:t>
            </w:r>
          </w:p>
          <w:p w14:paraId="4ED58B58" w14:textId="77777777" w:rsidR="00EB3CC1" w:rsidRPr="00B64F41" w:rsidRDefault="00422A0A" w:rsidP="00EB3CC1">
            <w:pPr>
              <w:pStyle w:val="Milestonetable"/>
              <w:rPr>
                <w:rFonts w:cstheme="minorHAnsi"/>
                <w:color w:val="auto"/>
                <w:sz w:val="22"/>
                <w:szCs w:val="22"/>
              </w:rPr>
            </w:pPr>
            <w:r w:rsidRPr="00B64F41">
              <w:rPr>
                <w:rFonts w:cstheme="minorHAnsi"/>
                <w:bCs/>
                <w:iCs w:val="0"/>
                <w:color w:val="auto"/>
                <w:sz w:val="22"/>
                <w:szCs w:val="22"/>
              </w:rPr>
              <w:t>Completion of concept infrastructure designs</w:t>
            </w:r>
          </w:p>
        </w:tc>
        <w:tc>
          <w:tcPr>
            <w:tcW w:w="1392" w:type="dxa"/>
            <w:tcBorders>
              <w:top w:val="single" w:sz="8" w:space="0" w:color="4F81BD"/>
              <w:left w:val="single" w:sz="8" w:space="0" w:color="4F81BD"/>
              <w:bottom w:val="single" w:sz="8" w:space="0" w:color="4F81BD"/>
              <w:right w:val="single" w:sz="8" w:space="0" w:color="4F81BD"/>
            </w:tcBorders>
            <w:shd w:val="clear" w:color="auto" w:fill="auto"/>
          </w:tcPr>
          <w:p w14:paraId="714F98FD" w14:textId="77777777" w:rsidR="00EB3CC1" w:rsidRPr="00B64F41" w:rsidRDefault="00422A0A" w:rsidP="00EB3CC1">
            <w:pPr>
              <w:pStyle w:val="Milestonetable"/>
              <w:rPr>
                <w:rFonts w:cstheme="minorHAnsi"/>
                <w:color w:val="auto"/>
                <w:sz w:val="22"/>
                <w:szCs w:val="22"/>
              </w:rPr>
            </w:pPr>
            <w:r>
              <w:rPr>
                <w:rFonts w:cstheme="minorHAnsi"/>
                <w:bCs/>
                <w:iCs w:val="0"/>
                <w:color w:val="auto"/>
                <w:sz w:val="22"/>
                <w:szCs w:val="22"/>
              </w:rPr>
              <w:t>3 September 2021</w:t>
            </w:r>
          </w:p>
        </w:tc>
        <w:tc>
          <w:tcPr>
            <w:tcW w:w="1103" w:type="dxa"/>
            <w:tcBorders>
              <w:top w:val="single" w:sz="8" w:space="0" w:color="4F81BD"/>
              <w:left w:val="single" w:sz="8" w:space="0" w:color="4F81BD"/>
              <w:bottom w:val="single" w:sz="8" w:space="0" w:color="4F81BD"/>
              <w:right w:val="single" w:sz="8" w:space="0" w:color="4F81BD"/>
            </w:tcBorders>
            <w:shd w:val="clear" w:color="auto" w:fill="auto"/>
          </w:tcPr>
          <w:p w14:paraId="15AD22F1" w14:textId="77777777" w:rsidR="00EB3CC1" w:rsidRPr="00B64F41" w:rsidRDefault="00422A0A" w:rsidP="00EB3CC1">
            <w:pPr>
              <w:pStyle w:val="Milestonetable"/>
              <w:jc w:val="right"/>
              <w:rPr>
                <w:rFonts w:cstheme="minorHAnsi"/>
                <w:color w:val="auto"/>
                <w:sz w:val="22"/>
                <w:szCs w:val="22"/>
              </w:rPr>
            </w:pPr>
            <w:r w:rsidRPr="00B64F41">
              <w:rPr>
                <w:rFonts w:cstheme="minorHAnsi"/>
                <w:bCs/>
                <w:iCs w:val="0"/>
                <w:color w:val="auto"/>
                <w:sz w:val="22"/>
                <w:szCs w:val="22"/>
              </w:rPr>
              <w:t>$365,373</w:t>
            </w:r>
          </w:p>
        </w:tc>
      </w:tr>
      <w:tr w:rsidR="005C01D5" w14:paraId="63939557" w14:textId="77777777" w:rsidTr="00FD491D">
        <w:tc>
          <w:tcPr>
            <w:tcW w:w="1993" w:type="dxa"/>
            <w:tcBorders>
              <w:top w:val="single" w:sz="8" w:space="0" w:color="4F81BD"/>
              <w:left w:val="single" w:sz="8" w:space="0" w:color="4F81BD"/>
              <w:bottom w:val="single" w:sz="8" w:space="0" w:color="4F81BD"/>
              <w:right w:val="single" w:sz="8" w:space="0" w:color="4F81BD"/>
            </w:tcBorders>
          </w:tcPr>
          <w:p w14:paraId="6EA30B2E" w14:textId="77777777" w:rsidR="00EB3CC1" w:rsidRPr="00B64F41" w:rsidRDefault="00EB3CC1" w:rsidP="00EB3CC1">
            <w:pPr>
              <w:pStyle w:val="Milestonetable"/>
              <w:rPr>
                <w:rFonts w:cstheme="minorHAnsi"/>
                <w:color w:val="auto"/>
                <w:sz w:val="22"/>
                <w:szCs w:val="22"/>
              </w:rPr>
            </w:pPr>
          </w:p>
        </w:tc>
        <w:tc>
          <w:tcPr>
            <w:tcW w:w="4518" w:type="dxa"/>
            <w:tcBorders>
              <w:top w:val="single" w:sz="8" w:space="0" w:color="4F81BD"/>
              <w:left w:val="single" w:sz="8" w:space="0" w:color="4F81BD"/>
              <w:bottom w:val="single" w:sz="8" w:space="0" w:color="4F81BD"/>
              <w:right w:val="single" w:sz="8" w:space="0" w:color="4F81BD"/>
            </w:tcBorders>
            <w:shd w:val="clear" w:color="auto" w:fill="auto"/>
          </w:tcPr>
          <w:p w14:paraId="7FF0D42D"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Completion of Burtundy Weir Fishway detailed infrastructure designs</w:t>
            </w:r>
          </w:p>
          <w:p w14:paraId="5508B4E9" w14:textId="77777777" w:rsidR="00EB3CC1" w:rsidRPr="00B64F41" w:rsidRDefault="00422A0A" w:rsidP="00EB3CC1">
            <w:pPr>
              <w:pStyle w:val="Milestonetable"/>
              <w:rPr>
                <w:rFonts w:cstheme="minorHAnsi"/>
                <w:color w:val="auto"/>
                <w:sz w:val="22"/>
                <w:szCs w:val="22"/>
              </w:rPr>
            </w:pPr>
            <w:r w:rsidRPr="00B64F41">
              <w:rPr>
                <w:rFonts w:cstheme="minorHAnsi"/>
                <w:bCs/>
                <w:iCs w:val="0"/>
                <w:color w:val="auto"/>
                <w:sz w:val="22"/>
                <w:szCs w:val="22"/>
              </w:rPr>
              <w:t>Completion of Burtundy Weir Fishway environmental assessments</w:t>
            </w:r>
          </w:p>
        </w:tc>
        <w:tc>
          <w:tcPr>
            <w:tcW w:w="1392" w:type="dxa"/>
            <w:tcBorders>
              <w:top w:val="single" w:sz="8" w:space="0" w:color="4F81BD"/>
              <w:left w:val="single" w:sz="8" w:space="0" w:color="4F81BD"/>
              <w:bottom w:val="single" w:sz="8" w:space="0" w:color="4F81BD"/>
              <w:right w:val="single" w:sz="8" w:space="0" w:color="4F81BD"/>
            </w:tcBorders>
            <w:shd w:val="clear" w:color="auto" w:fill="auto"/>
          </w:tcPr>
          <w:p w14:paraId="4A114482" w14:textId="77777777" w:rsidR="00EB3CC1" w:rsidRPr="00B64F41" w:rsidRDefault="00422A0A" w:rsidP="00EB3CC1">
            <w:pPr>
              <w:pStyle w:val="Milestonetable"/>
              <w:rPr>
                <w:rFonts w:cstheme="minorHAnsi"/>
                <w:color w:val="auto"/>
                <w:sz w:val="22"/>
                <w:szCs w:val="22"/>
              </w:rPr>
            </w:pPr>
            <w:r>
              <w:rPr>
                <w:rFonts w:cstheme="minorHAnsi"/>
                <w:bCs/>
                <w:iCs w:val="0"/>
                <w:color w:val="auto"/>
                <w:sz w:val="22"/>
                <w:szCs w:val="22"/>
              </w:rPr>
              <w:t>4 February 202</w:t>
            </w:r>
            <w:r w:rsidR="004E3112">
              <w:rPr>
                <w:rFonts w:cstheme="minorHAnsi"/>
                <w:bCs/>
                <w:iCs w:val="0"/>
                <w:color w:val="auto"/>
                <w:sz w:val="22"/>
                <w:szCs w:val="22"/>
              </w:rPr>
              <w:t>2</w:t>
            </w:r>
          </w:p>
        </w:tc>
        <w:tc>
          <w:tcPr>
            <w:tcW w:w="1103" w:type="dxa"/>
            <w:tcBorders>
              <w:top w:val="single" w:sz="8" w:space="0" w:color="4F81BD"/>
              <w:left w:val="single" w:sz="8" w:space="0" w:color="4F81BD"/>
              <w:bottom w:val="single" w:sz="8" w:space="0" w:color="4F81BD"/>
              <w:right w:val="single" w:sz="8" w:space="0" w:color="4F81BD"/>
            </w:tcBorders>
            <w:shd w:val="clear" w:color="auto" w:fill="auto"/>
          </w:tcPr>
          <w:p w14:paraId="137DFE5B" w14:textId="77777777" w:rsidR="00EB3CC1" w:rsidRPr="00B64F41" w:rsidRDefault="00422A0A" w:rsidP="00EB3CC1">
            <w:pPr>
              <w:pStyle w:val="Milestonetable"/>
              <w:jc w:val="right"/>
              <w:rPr>
                <w:rFonts w:cstheme="minorHAnsi"/>
                <w:color w:val="auto"/>
                <w:sz w:val="22"/>
                <w:szCs w:val="22"/>
              </w:rPr>
            </w:pPr>
            <w:r w:rsidRPr="00B64F41">
              <w:rPr>
                <w:rFonts w:cstheme="minorHAnsi"/>
                <w:bCs/>
                <w:iCs w:val="0"/>
                <w:color w:val="auto"/>
                <w:sz w:val="22"/>
                <w:szCs w:val="22"/>
              </w:rPr>
              <w:t>$88,000</w:t>
            </w:r>
          </w:p>
        </w:tc>
      </w:tr>
      <w:tr w:rsidR="005C01D5" w14:paraId="2BD192CD" w14:textId="77777777" w:rsidTr="00FD491D">
        <w:tc>
          <w:tcPr>
            <w:tcW w:w="1993" w:type="dxa"/>
            <w:tcBorders>
              <w:top w:val="single" w:sz="8" w:space="0" w:color="4F81BD"/>
              <w:left w:val="single" w:sz="8" w:space="0" w:color="4F81BD"/>
              <w:bottom w:val="single" w:sz="8" w:space="0" w:color="4F81BD"/>
              <w:right w:val="single" w:sz="8" w:space="0" w:color="4F81BD"/>
            </w:tcBorders>
          </w:tcPr>
          <w:p w14:paraId="2FD511DC" w14:textId="77777777" w:rsidR="00EB3CC1" w:rsidRPr="00B64F41" w:rsidRDefault="00EB3CC1" w:rsidP="00EB3CC1">
            <w:pPr>
              <w:pStyle w:val="Milestonetable"/>
              <w:rPr>
                <w:rFonts w:cstheme="minorHAnsi"/>
                <w:color w:val="auto"/>
                <w:sz w:val="22"/>
                <w:szCs w:val="22"/>
              </w:rPr>
            </w:pPr>
          </w:p>
        </w:tc>
        <w:tc>
          <w:tcPr>
            <w:tcW w:w="4518" w:type="dxa"/>
            <w:tcBorders>
              <w:top w:val="single" w:sz="8" w:space="0" w:color="4F81BD"/>
              <w:left w:val="single" w:sz="8" w:space="0" w:color="4F81BD"/>
              <w:bottom w:val="single" w:sz="8" w:space="0" w:color="4F81BD"/>
              <w:right w:val="single" w:sz="8" w:space="0" w:color="4F81BD"/>
            </w:tcBorders>
            <w:shd w:val="clear" w:color="auto" w:fill="auto"/>
          </w:tcPr>
          <w:p w14:paraId="1C1AE3F0"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Completion of Pooncarie Weir Fishway detailed infrastructure designs</w:t>
            </w:r>
          </w:p>
          <w:p w14:paraId="4EA73ECF" w14:textId="77777777" w:rsidR="00EB3CC1" w:rsidRPr="00B64F41" w:rsidRDefault="00422A0A" w:rsidP="00EB3CC1">
            <w:pPr>
              <w:pStyle w:val="Milestonetable"/>
              <w:rPr>
                <w:rFonts w:cstheme="minorHAnsi"/>
                <w:color w:val="auto"/>
                <w:sz w:val="22"/>
                <w:szCs w:val="22"/>
              </w:rPr>
            </w:pPr>
            <w:r w:rsidRPr="00B64F41">
              <w:rPr>
                <w:rFonts w:cstheme="minorHAnsi"/>
                <w:bCs/>
                <w:iCs w:val="0"/>
                <w:color w:val="auto"/>
                <w:sz w:val="22"/>
                <w:szCs w:val="22"/>
              </w:rPr>
              <w:t>Completion of Pooncarie Weir Fishway environmental assessments</w:t>
            </w:r>
          </w:p>
        </w:tc>
        <w:tc>
          <w:tcPr>
            <w:tcW w:w="1392" w:type="dxa"/>
            <w:tcBorders>
              <w:top w:val="single" w:sz="8" w:space="0" w:color="4F81BD"/>
              <w:left w:val="single" w:sz="8" w:space="0" w:color="4F81BD"/>
              <w:bottom w:val="single" w:sz="8" w:space="0" w:color="4F81BD"/>
              <w:right w:val="single" w:sz="8" w:space="0" w:color="4F81BD"/>
            </w:tcBorders>
            <w:shd w:val="clear" w:color="auto" w:fill="auto"/>
          </w:tcPr>
          <w:p w14:paraId="01217620" w14:textId="77777777" w:rsidR="00EB3CC1" w:rsidRPr="00B64F41" w:rsidRDefault="00422A0A" w:rsidP="00EB3CC1">
            <w:pPr>
              <w:pStyle w:val="Milestonetable"/>
              <w:rPr>
                <w:rFonts w:cstheme="minorHAnsi"/>
                <w:color w:val="auto"/>
                <w:sz w:val="22"/>
                <w:szCs w:val="22"/>
              </w:rPr>
            </w:pPr>
            <w:r>
              <w:rPr>
                <w:rFonts w:cstheme="minorHAnsi"/>
                <w:bCs/>
                <w:iCs w:val="0"/>
                <w:color w:val="auto"/>
                <w:sz w:val="22"/>
                <w:szCs w:val="22"/>
              </w:rPr>
              <w:t>4 February 2022</w:t>
            </w:r>
          </w:p>
        </w:tc>
        <w:tc>
          <w:tcPr>
            <w:tcW w:w="1103" w:type="dxa"/>
            <w:tcBorders>
              <w:top w:val="single" w:sz="8" w:space="0" w:color="4F81BD"/>
              <w:left w:val="single" w:sz="8" w:space="0" w:color="4F81BD"/>
              <w:bottom w:val="single" w:sz="8" w:space="0" w:color="4F81BD"/>
              <w:right w:val="single" w:sz="8" w:space="0" w:color="4F81BD"/>
            </w:tcBorders>
            <w:shd w:val="clear" w:color="auto" w:fill="auto"/>
          </w:tcPr>
          <w:p w14:paraId="7BBD64D1" w14:textId="77777777" w:rsidR="00EB3CC1" w:rsidRPr="00B64F41" w:rsidRDefault="00422A0A" w:rsidP="00EB3CC1">
            <w:pPr>
              <w:pStyle w:val="Milestonetable"/>
              <w:jc w:val="right"/>
              <w:rPr>
                <w:rFonts w:cstheme="minorHAnsi"/>
                <w:color w:val="auto"/>
                <w:sz w:val="22"/>
                <w:szCs w:val="22"/>
              </w:rPr>
            </w:pPr>
            <w:r w:rsidRPr="00B64F41">
              <w:rPr>
                <w:rFonts w:cstheme="minorHAnsi"/>
                <w:bCs/>
                <w:iCs w:val="0"/>
                <w:color w:val="auto"/>
                <w:sz w:val="22"/>
                <w:szCs w:val="22"/>
              </w:rPr>
              <w:t>$277,600</w:t>
            </w:r>
          </w:p>
        </w:tc>
      </w:tr>
      <w:tr w:rsidR="005C01D5" w14:paraId="1EB35602" w14:textId="77777777" w:rsidTr="00FD491D">
        <w:tc>
          <w:tcPr>
            <w:tcW w:w="1993" w:type="dxa"/>
            <w:tcBorders>
              <w:top w:val="single" w:sz="8" w:space="0" w:color="4F81BD"/>
              <w:left w:val="single" w:sz="8" w:space="0" w:color="4F81BD"/>
              <w:bottom w:val="single" w:sz="8" w:space="0" w:color="4F81BD"/>
              <w:right w:val="single" w:sz="8" w:space="0" w:color="4F81BD"/>
            </w:tcBorders>
          </w:tcPr>
          <w:p w14:paraId="21F97EA4" w14:textId="77777777" w:rsidR="00EB3CC1" w:rsidRPr="00B64F41" w:rsidRDefault="00EB3CC1" w:rsidP="00EB3CC1">
            <w:pPr>
              <w:pStyle w:val="Milestonetable"/>
              <w:rPr>
                <w:rFonts w:cstheme="minorHAnsi"/>
                <w:color w:val="auto"/>
                <w:sz w:val="22"/>
                <w:szCs w:val="22"/>
              </w:rPr>
            </w:pPr>
          </w:p>
        </w:tc>
        <w:tc>
          <w:tcPr>
            <w:tcW w:w="4518" w:type="dxa"/>
            <w:tcBorders>
              <w:top w:val="single" w:sz="8" w:space="0" w:color="4F81BD"/>
              <w:left w:val="single" w:sz="8" w:space="0" w:color="4F81BD"/>
              <w:bottom w:val="single" w:sz="8" w:space="0" w:color="4F81BD"/>
              <w:right w:val="single" w:sz="8" w:space="0" w:color="4F81BD"/>
            </w:tcBorders>
            <w:shd w:val="clear" w:color="auto" w:fill="auto"/>
          </w:tcPr>
          <w:p w14:paraId="7B7C2DF2"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Completion of Weir 32 Fishway detailed infrastructure designs</w:t>
            </w:r>
          </w:p>
          <w:p w14:paraId="65FB8AFB"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Completion of Weir 32 Fishway environmental assessments</w:t>
            </w:r>
          </w:p>
        </w:tc>
        <w:tc>
          <w:tcPr>
            <w:tcW w:w="1392" w:type="dxa"/>
            <w:tcBorders>
              <w:top w:val="single" w:sz="8" w:space="0" w:color="4F81BD"/>
              <w:left w:val="single" w:sz="8" w:space="0" w:color="4F81BD"/>
              <w:bottom w:val="single" w:sz="8" w:space="0" w:color="4F81BD"/>
              <w:right w:val="single" w:sz="8" w:space="0" w:color="4F81BD"/>
            </w:tcBorders>
            <w:shd w:val="clear" w:color="auto" w:fill="auto"/>
          </w:tcPr>
          <w:p w14:paraId="7E0FB8F0" w14:textId="77777777" w:rsidR="00EB3CC1" w:rsidRPr="00B64F41" w:rsidRDefault="00422A0A" w:rsidP="00EB3CC1">
            <w:pPr>
              <w:pStyle w:val="Milestonetable"/>
              <w:rPr>
                <w:rFonts w:cstheme="minorHAnsi"/>
                <w:bCs/>
                <w:iCs w:val="0"/>
                <w:color w:val="auto"/>
                <w:sz w:val="22"/>
                <w:szCs w:val="22"/>
              </w:rPr>
            </w:pPr>
            <w:r>
              <w:rPr>
                <w:rFonts w:cstheme="minorHAnsi"/>
                <w:bCs/>
                <w:iCs w:val="0"/>
                <w:color w:val="auto"/>
                <w:sz w:val="22"/>
                <w:szCs w:val="22"/>
              </w:rPr>
              <w:t>4 February 2022</w:t>
            </w:r>
          </w:p>
        </w:tc>
        <w:tc>
          <w:tcPr>
            <w:tcW w:w="1103" w:type="dxa"/>
            <w:tcBorders>
              <w:top w:val="single" w:sz="8" w:space="0" w:color="4F81BD"/>
              <w:left w:val="single" w:sz="8" w:space="0" w:color="4F81BD"/>
              <w:bottom w:val="single" w:sz="8" w:space="0" w:color="4F81BD"/>
              <w:right w:val="single" w:sz="8" w:space="0" w:color="4F81BD"/>
            </w:tcBorders>
            <w:shd w:val="clear" w:color="auto" w:fill="auto"/>
          </w:tcPr>
          <w:p w14:paraId="3C36D5C2" w14:textId="77777777" w:rsidR="00EB3CC1" w:rsidRPr="00B64F41" w:rsidRDefault="00422A0A" w:rsidP="00EB3CC1">
            <w:pPr>
              <w:pStyle w:val="Milestonetable"/>
              <w:jc w:val="right"/>
              <w:rPr>
                <w:rFonts w:cstheme="minorHAnsi"/>
                <w:bCs/>
                <w:iCs w:val="0"/>
                <w:color w:val="auto"/>
                <w:sz w:val="22"/>
                <w:szCs w:val="22"/>
              </w:rPr>
            </w:pPr>
            <w:r w:rsidRPr="00B64F41">
              <w:rPr>
                <w:rFonts w:cstheme="minorHAnsi"/>
                <w:bCs/>
                <w:iCs w:val="0"/>
                <w:color w:val="auto"/>
                <w:sz w:val="22"/>
                <w:szCs w:val="22"/>
              </w:rPr>
              <w:t>$121,600</w:t>
            </w:r>
          </w:p>
        </w:tc>
      </w:tr>
      <w:tr w:rsidR="005C01D5" w14:paraId="210D9F26" w14:textId="77777777" w:rsidTr="00FD491D">
        <w:tc>
          <w:tcPr>
            <w:tcW w:w="1993" w:type="dxa"/>
            <w:tcBorders>
              <w:top w:val="single" w:sz="8" w:space="0" w:color="4F81BD"/>
              <w:left w:val="single" w:sz="8" w:space="0" w:color="4F81BD"/>
              <w:bottom w:val="single" w:sz="8" w:space="0" w:color="4F81BD"/>
              <w:right w:val="single" w:sz="8" w:space="0" w:color="4F81BD"/>
            </w:tcBorders>
          </w:tcPr>
          <w:p w14:paraId="60F75F18" w14:textId="77777777" w:rsidR="00EB3CC1" w:rsidRPr="00B64F41" w:rsidRDefault="00EB3CC1" w:rsidP="00EB3CC1">
            <w:pPr>
              <w:pStyle w:val="Milestonetable"/>
              <w:rPr>
                <w:rFonts w:cstheme="minorHAnsi"/>
                <w:color w:val="auto"/>
                <w:sz w:val="22"/>
                <w:szCs w:val="22"/>
              </w:rPr>
            </w:pPr>
          </w:p>
        </w:tc>
        <w:tc>
          <w:tcPr>
            <w:tcW w:w="4518" w:type="dxa"/>
            <w:tcBorders>
              <w:top w:val="single" w:sz="8" w:space="0" w:color="4F81BD"/>
              <w:left w:val="single" w:sz="8" w:space="0" w:color="4F81BD"/>
              <w:bottom w:val="single" w:sz="8" w:space="0" w:color="4F81BD"/>
              <w:right w:val="single" w:sz="8" w:space="0" w:color="4F81BD"/>
            </w:tcBorders>
            <w:shd w:val="clear" w:color="auto" w:fill="auto"/>
          </w:tcPr>
          <w:p w14:paraId="0D0809CB"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 xml:space="preserve">Completion of regulatory approvals process </w:t>
            </w:r>
          </w:p>
          <w:p w14:paraId="086C5DB5"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Completion of stakeholder engagement report</w:t>
            </w:r>
          </w:p>
          <w:p w14:paraId="40539BA1"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 xml:space="preserve">Completion of Phase 2 business case including </w:t>
            </w:r>
            <w:r w:rsidRPr="00B64F41">
              <w:rPr>
                <w:rFonts w:ascii="Corbel" w:hAnsi="Corbel" w:cstheme="minorHAnsi"/>
                <w:bCs/>
                <w:iCs/>
              </w:rPr>
              <w:lastRenderedPageBreak/>
              <w:t>but not limited to the following information:</w:t>
            </w:r>
          </w:p>
          <w:p w14:paraId="62865623" w14:textId="77777777" w:rsidR="00EB3CC1" w:rsidRPr="00B64F41" w:rsidRDefault="00422A0A" w:rsidP="00EB3CC1">
            <w:pPr>
              <w:pStyle w:val="ListParagraph"/>
              <w:keepNext/>
              <w:widowControl/>
              <w:numPr>
                <w:ilvl w:val="0"/>
                <w:numId w:val="5"/>
              </w:numPr>
              <w:spacing w:before="180" w:after="120"/>
              <w:outlineLvl w:val="1"/>
              <w:rPr>
                <w:rFonts w:ascii="Corbel" w:hAnsi="Corbel" w:cstheme="minorHAnsi"/>
                <w:bCs/>
                <w:iCs/>
              </w:rPr>
            </w:pPr>
            <w:r w:rsidRPr="00B64F41">
              <w:rPr>
                <w:rFonts w:ascii="Corbel" w:hAnsi="Corbel" w:cstheme="minorHAnsi"/>
                <w:bCs/>
                <w:iCs/>
              </w:rPr>
              <w:t>Phase 2 implementation plan</w:t>
            </w:r>
          </w:p>
          <w:p w14:paraId="56A37712" w14:textId="77777777" w:rsidR="00EB3CC1" w:rsidRPr="00B64F41" w:rsidRDefault="00422A0A" w:rsidP="00EB3CC1">
            <w:pPr>
              <w:pStyle w:val="ListParagraph"/>
              <w:keepNext/>
              <w:widowControl/>
              <w:numPr>
                <w:ilvl w:val="0"/>
                <w:numId w:val="5"/>
              </w:numPr>
              <w:spacing w:before="180" w:after="120"/>
              <w:outlineLvl w:val="1"/>
              <w:rPr>
                <w:rFonts w:ascii="Corbel" w:hAnsi="Corbel" w:cstheme="minorHAnsi"/>
                <w:bCs/>
                <w:iCs/>
              </w:rPr>
            </w:pPr>
            <w:r w:rsidRPr="00B64F41">
              <w:rPr>
                <w:rFonts w:ascii="Corbel" w:hAnsi="Corbel" w:cstheme="minorHAnsi"/>
                <w:bCs/>
                <w:iCs/>
              </w:rPr>
              <w:t>Updated Phase 2 cost estimates including identification of, and responsibility for ongoing operations and maintenance costs</w:t>
            </w:r>
          </w:p>
          <w:p w14:paraId="581BDF21" w14:textId="77777777" w:rsidR="00EB3CC1" w:rsidRPr="00B64F41" w:rsidRDefault="00422A0A" w:rsidP="00EB3CC1">
            <w:pPr>
              <w:pStyle w:val="ListParagraph"/>
              <w:keepNext/>
              <w:widowControl/>
              <w:numPr>
                <w:ilvl w:val="0"/>
                <w:numId w:val="5"/>
              </w:numPr>
              <w:spacing w:before="180" w:after="120"/>
              <w:outlineLvl w:val="1"/>
              <w:rPr>
                <w:rFonts w:ascii="Corbel" w:hAnsi="Corbel" w:cstheme="minorHAnsi"/>
                <w:bCs/>
                <w:iCs/>
              </w:rPr>
            </w:pPr>
            <w:r w:rsidRPr="00B64F41">
              <w:rPr>
                <w:rFonts w:ascii="Corbel" w:hAnsi="Corbel" w:cstheme="minorHAnsi"/>
                <w:bCs/>
                <w:iCs/>
              </w:rPr>
              <w:t>Phase 2 risk</w:t>
            </w:r>
            <w:r w:rsidRPr="00B64F41">
              <w:rPr>
                <w:rFonts w:ascii="Corbel" w:hAnsi="Corbel" w:cstheme="minorHAnsi"/>
                <w:bCs/>
                <w:iCs/>
              </w:rPr>
              <w:t xml:space="preserve"> assessment</w:t>
            </w:r>
          </w:p>
          <w:p w14:paraId="404BDCEA" w14:textId="77777777" w:rsidR="00EB3CC1" w:rsidRPr="00B64F41" w:rsidRDefault="00422A0A" w:rsidP="00EB3CC1">
            <w:pPr>
              <w:pStyle w:val="ListParagraph"/>
              <w:keepNext/>
              <w:widowControl/>
              <w:numPr>
                <w:ilvl w:val="0"/>
                <w:numId w:val="5"/>
              </w:numPr>
              <w:spacing w:before="180" w:after="120"/>
              <w:outlineLvl w:val="1"/>
              <w:rPr>
                <w:rFonts w:ascii="Corbel" w:hAnsi="Corbel" w:cstheme="minorHAnsi"/>
                <w:bCs/>
                <w:iCs/>
              </w:rPr>
            </w:pPr>
            <w:r w:rsidRPr="00B64F41">
              <w:rPr>
                <w:rFonts w:ascii="Corbel" w:hAnsi="Corbel" w:cstheme="minorHAnsi"/>
                <w:bCs/>
                <w:iCs/>
              </w:rPr>
              <w:t>Technical feasibility assessment</w:t>
            </w:r>
          </w:p>
          <w:p w14:paraId="3966D460" w14:textId="77777777" w:rsidR="00EB3CC1" w:rsidRPr="00B64F41" w:rsidRDefault="00422A0A" w:rsidP="00EB3CC1">
            <w:pPr>
              <w:keepNext/>
              <w:spacing w:before="180" w:after="120"/>
              <w:outlineLvl w:val="1"/>
              <w:rPr>
                <w:rFonts w:ascii="Corbel" w:hAnsi="Corbel" w:cstheme="minorHAnsi"/>
                <w:bCs/>
                <w:iCs/>
              </w:rPr>
            </w:pPr>
            <w:r w:rsidRPr="00B64F41">
              <w:rPr>
                <w:rFonts w:ascii="Corbel" w:hAnsi="Corbel" w:cstheme="minorHAnsi"/>
                <w:bCs/>
                <w:iCs/>
              </w:rPr>
              <w:t>Monitoring and evaluation plan</w:t>
            </w:r>
          </w:p>
        </w:tc>
        <w:tc>
          <w:tcPr>
            <w:tcW w:w="1392" w:type="dxa"/>
            <w:tcBorders>
              <w:top w:val="single" w:sz="8" w:space="0" w:color="4F81BD"/>
              <w:left w:val="single" w:sz="8" w:space="0" w:color="4F81BD"/>
              <w:bottom w:val="single" w:sz="8" w:space="0" w:color="4F81BD"/>
              <w:right w:val="single" w:sz="8" w:space="0" w:color="4F81BD"/>
            </w:tcBorders>
            <w:shd w:val="clear" w:color="auto" w:fill="auto"/>
          </w:tcPr>
          <w:p w14:paraId="38EE38C6" w14:textId="77777777" w:rsidR="00EB3CC1" w:rsidRPr="00B64F41" w:rsidRDefault="00422A0A" w:rsidP="00EB3CC1">
            <w:pPr>
              <w:pStyle w:val="Milestonetable"/>
              <w:rPr>
                <w:rFonts w:cstheme="minorHAnsi"/>
                <w:bCs/>
                <w:iCs w:val="0"/>
                <w:color w:val="auto"/>
                <w:sz w:val="22"/>
                <w:szCs w:val="22"/>
              </w:rPr>
            </w:pPr>
            <w:r>
              <w:rPr>
                <w:rFonts w:cstheme="minorHAnsi"/>
                <w:bCs/>
                <w:iCs w:val="0"/>
                <w:color w:val="auto"/>
                <w:sz w:val="22"/>
                <w:szCs w:val="22"/>
              </w:rPr>
              <w:lastRenderedPageBreak/>
              <w:t>6 May 202</w:t>
            </w:r>
            <w:r w:rsidR="004E3112">
              <w:rPr>
                <w:rFonts w:cstheme="minorHAnsi"/>
                <w:bCs/>
                <w:iCs w:val="0"/>
                <w:color w:val="auto"/>
                <w:sz w:val="22"/>
                <w:szCs w:val="22"/>
              </w:rPr>
              <w:t>2</w:t>
            </w:r>
          </w:p>
        </w:tc>
        <w:tc>
          <w:tcPr>
            <w:tcW w:w="1103" w:type="dxa"/>
            <w:tcBorders>
              <w:top w:val="single" w:sz="8" w:space="0" w:color="4F81BD"/>
              <w:left w:val="single" w:sz="8" w:space="0" w:color="4F81BD"/>
              <w:bottom w:val="single" w:sz="8" w:space="0" w:color="4F81BD"/>
              <w:right w:val="single" w:sz="8" w:space="0" w:color="4F81BD"/>
            </w:tcBorders>
            <w:shd w:val="clear" w:color="auto" w:fill="auto"/>
          </w:tcPr>
          <w:p w14:paraId="2604CBDD" w14:textId="77777777" w:rsidR="00EB3CC1" w:rsidRPr="00B64F41" w:rsidRDefault="00422A0A" w:rsidP="00EB3CC1">
            <w:pPr>
              <w:pStyle w:val="Milestonetable"/>
              <w:jc w:val="right"/>
              <w:rPr>
                <w:rFonts w:cstheme="minorHAnsi"/>
                <w:bCs/>
                <w:iCs w:val="0"/>
                <w:color w:val="auto"/>
                <w:sz w:val="22"/>
                <w:szCs w:val="22"/>
              </w:rPr>
            </w:pPr>
            <w:r w:rsidRPr="00B64F41">
              <w:rPr>
                <w:rFonts w:cstheme="minorHAnsi"/>
                <w:bCs/>
                <w:iCs w:val="0"/>
                <w:color w:val="auto"/>
                <w:sz w:val="22"/>
                <w:szCs w:val="22"/>
              </w:rPr>
              <w:t>$163,373</w:t>
            </w:r>
          </w:p>
        </w:tc>
      </w:tr>
    </w:tbl>
    <w:p w14:paraId="229F41AF" w14:textId="77777777" w:rsidR="00205899" w:rsidRDefault="00205899" w:rsidP="00205899"/>
    <w:p w14:paraId="52A797FC" w14:textId="77777777" w:rsidR="00205899" w:rsidRDefault="00422A0A" w:rsidP="00205899">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27E8E58" w14:textId="77777777" w:rsidR="00205899"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5C01D5" w14:paraId="4C388240" w14:textId="77777777" w:rsidTr="005D3905">
        <w:trPr>
          <w:cantSplit/>
          <w:jc w:val="center"/>
        </w:trPr>
        <w:tc>
          <w:tcPr>
            <w:tcW w:w="4536" w:type="dxa"/>
          </w:tcPr>
          <w:p w14:paraId="4C2779BE" w14:textId="77777777" w:rsidR="00205899" w:rsidRPr="004A0AE7" w:rsidRDefault="00422A0A" w:rsidP="005D3905">
            <w:pPr>
              <w:pStyle w:val="Signed"/>
            </w:pPr>
            <w:r>
              <w:rPr>
                <w:rStyle w:val="SignedBold"/>
                <w:i/>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21765B93" w14:textId="77777777" w:rsidR="00205899" w:rsidRPr="00A50751" w:rsidRDefault="00422A0A" w:rsidP="005D3905">
            <w:pPr>
              <w:pStyle w:val="LineForSignature"/>
            </w:pPr>
            <w:r>
              <w:br/>
            </w:r>
            <w:r>
              <w:tab/>
            </w:r>
          </w:p>
          <w:p w14:paraId="54A3CFF2" w14:textId="77777777" w:rsidR="00205899" w:rsidRDefault="00422A0A" w:rsidP="005D3905">
            <w:pPr>
              <w:pStyle w:val="SingleParagraph"/>
              <w:rPr>
                <w:rStyle w:val="Bold"/>
              </w:rPr>
            </w:pPr>
            <w:r>
              <w:rPr>
                <w:rStyle w:val="Bold"/>
              </w:rPr>
              <w:t xml:space="preserve">The Honourable </w:t>
            </w:r>
            <w:r w:rsidR="002310D8">
              <w:rPr>
                <w:rStyle w:val="Bold"/>
              </w:rPr>
              <w:t>Keith Pitt</w:t>
            </w:r>
            <w:r>
              <w:rPr>
                <w:rStyle w:val="Bold"/>
              </w:rPr>
              <w:t xml:space="preserve"> MP</w:t>
            </w:r>
          </w:p>
          <w:p w14:paraId="2B6D63F0" w14:textId="77777777" w:rsidR="00205899" w:rsidRDefault="00422A0A" w:rsidP="005D3905">
            <w:pPr>
              <w:pStyle w:val="Position"/>
              <w:rPr>
                <w:lang w:val="en-GB"/>
              </w:rPr>
            </w:pPr>
            <w:r>
              <w:rPr>
                <w:lang w:val="en-GB"/>
              </w:rPr>
              <w:t xml:space="preserve">Minister for </w:t>
            </w:r>
            <w:r w:rsidR="002310D8">
              <w:rPr>
                <w:lang w:val="en-GB"/>
              </w:rPr>
              <w:t>Resources, Water and Northern Australia</w:t>
            </w:r>
            <w:r>
              <w:rPr>
                <w:lang w:val="en-GB"/>
              </w:rPr>
              <w:t xml:space="preserve"> </w:t>
            </w:r>
          </w:p>
          <w:p w14:paraId="1E9FACAE" w14:textId="77777777" w:rsidR="00205899" w:rsidRDefault="00422A0A"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EB0556B" w14:textId="77777777" w:rsidR="00205899" w:rsidRPr="00A50751" w:rsidRDefault="00205899" w:rsidP="005D3905">
            <w:pPr>
              <w:rPr>
                <w:rFonts w:ascii="Book Antiqua" w:hAnsi="Book Antiqua"/>
                <w:lang w:val="en-GB"/>
              </w:rPr>
            </w:pPr>
          </w:p>
        </w:tc>
        <w:tc>
          <w:tcPr>
            <w:tcW w:w="4536" w:type="dxa"/>
          </w:tcPr>
          <w:p w14:paraId="7DC9CB46" w14:textId="77777777" w:rsidR="00205899" w:rsidRPr="004A0AE7" w:rsidRDefault="00422A0A" w:rsidP="005D3905">
            <w:pPr>
              <w:pStyle w:val="Signed"/>
            </w:pPr>
            <w:r>
              <w:rPr>
                <w:rStyle w:val="SignedBold"/>
                <w:i/>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418841BA" w14:textId="77777777" w:rsidR="00205899" w:rsidRPr="00A50751" w:rsidRDefault="00422A0A" w:rsidP="005D3905">
            <w:pPr>
              <w:pStyle w:val="LineForSignature"/>
            </w:pPr>
            <w:r>
              <w:br/>
            </w:r>
            <w:r w:rsidRPr="00A50751">
              <w:tab/>
            </w:r>
          </w:p>
          <w:p w14:paraId="234E5BCE" w14:textId="77777777" w:rsidR="00205899" w:rsidRDefault="00422A0A" w:rsidP="005D3905">
            <w:pPr>
              <w:pStyle w:val="SingleParagraph"/>
              <w:rPr>
                <w:rStyle w:val="Bold"/>
              </w:rPr>
            </w:pPr>
            <w:r>
              <w:rPr>
                <w:rStyle w:val="Bold"/>
              </w:rPr>
              <w:t xml:space="preserve">The Honourable </w:t>
            </w:r>
            <w:r w:rsidR="002310D8">
              <w:rPr>
                <w:rStyle w:val="Bold"/>
              </w:rPr>
              <w:t>Adam Marshall</w:t>
            </w:r>
            <w:r>
              <w:rPr>
                <w:rStyle w:val="Bold"/>
              </w:rPr>
              <w:t xml:space="preserve"> MP</w:t>
            </w:r>
          </w:p>
          <w:p w14:paraId="1024C282" w14:textId="77777777" w:rsidR="00205899" w:rsidRDefault="00422A0A" w:rsidP="005D3905">
            <w:pPr>
              <w:pStyle w:val="Position"/>
              <w:rPr>
                <w:lang w:val="en-GB"/>
              </w:rPr>
            </w:pPr>
            <w:r>
              <w:rPr>
                <w:lang w:val="en-GB"/>
              </w:rPr>
              <w:t xml:space="preserve">Minister for </w:t>
            </w:r>
            <w:r w:rsidR="002310D8">
              <w:rPr>
                <w:lang w:val="en-GB"/>
              </w:rPr>
              <w:t>Agriculture and Western New South Wales</w:t>
            </w:r>
            <w:r>
              <w:rPr>
                <w:lang w:val="en-GB"/>
              </w:rPr>
              <w:t xml:space="preserve"> </w:t>
            </w:r>
          </w:p>
          <w:p w14:paraId="6D46B271" w14:textId="77777777" w:rsidR="00205899" w:rsidRPr="00A50751" w:rsidRDefault="00422A0A" w:rsidP="005D3905">
            <w:pPr>
              <w:rPr>
                <w:rFonts w:ascii="Book Antiqua" w:hAnsi="Book Antiqua"/>
                <w:lang w:val="en-GB"/>
              </w:rPr>
            </w:pPr>
            <w:r>
              <w:rPr>
                <w:lang w:val="en-GB"/>
              </w:rPr>
              <w:t>[Day]  [Month]  [Year]</w:t>
            </w:r>
          </w:p>
        </w:tc>
      </w:tr>
    </w:tbl>
    <w:p w14:paraId="2EE9ABFD" w14:textId="77777777" w:rsidR="00205899" w:rsidRDefault="00422A0A" w:rsidP="00205899">
      <w:pPr>
        <w:rPr>
          <w:lang w:val="en-GB"/>
        </w:rPr>
      </w:pPr>
      <w:r>
        <w:rPr>
          <w:lang w:val="en-GB"/>
        </w:rPr>
        <w:t xml:space="preserve"> </w:t>
      </w:r>
    </w:p>
    <w:p w14:paraId="5577E179" w14:textId="77777777" w:rsidR="00205899" w:rsidRDefault="00205899"/>
    <w:sectPr w:rsidR="00205899">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1C9C" w14:textId="77777777" w:rsidR="00000000" w:rsidRDefault="00422A0A">
      <w:r>
        <w:separator/>
      </w:r>
    </w:p>
  </w:endnote>
  <w:endnote w:type="continuationSeparator" w:id="0">
    <w:p w14:paraId="7EA86238" w14:textId="77777777" w:rsidR="00000000" w:rsidRDefault="0042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4E7" w14:textId="77777777" w:rsidR="00815B50" w:rsidRDefault="00422A0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3B8" w14:textId="77777777" w:rsidR="00815B50" w:rsidRDefault="00815B50"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342E" w14:textId="77777777" w:rsidR="00815B50" w:rsidRPr="00BE249A" w:rsidRDefault="00422A0A" w:rsidP="007E44E6">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602C" w14:textId="77777777" w:rsidR="00000000" w:rsidRDefault="00422A0A">
      <w:r>
        <w:separator/>
      </w:r>
    </w:p>
  </w:footnote>
  <w:footnote w:type="continuationSeparator" w:id="0">
    <w:p w14:paraId="0E236A60" w14:textId="77777777" w:rsidR="00000000" w:rsidRDefault="0042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7F13" w14:textId="77777777" w:rsidR="00815B50" w:rsidRDefault="00815B50" w:rsidP="005775C6">
    <w:pPr>
      <w:pStyle w:val="HeaderOdd"/>
      <w:tabs>
        <w:tab w:val="num" w:pos="1134"/>
      </w:tabs>
      <w:spacing w:after="120"/>
      <w:rPr>
        <w:color w:val="8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1AE" w14:textId="77777777" w:rsidR="00815B50" w:rsidRPr="00BD75FF" w:rsidRDefault="00815B50" w:rsidP="00BD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1432"/>
    <w:multiLevelType w:val="hybridMultilevel"/>
    <w:tmpl w:val="D3B099A4"/>
    <w:lvl w:ilvl="0" w:tplc="BD06237A">
      <w:start w:val="1"/>
      <w:numFmt w:val="bullet"/>
      <w:lvlText w:val=""/>
      <w:lvlJc w:val="left"/>
      <w:pPr>
        <w:ind w:left="720" w:hanging="360"/>
      </w:pPr>
      <w:rPr>
        <w:rFonts w:ascii="Symbol" w:hAnsi="Symbol" w:hint="default"/>
      </w:rPr>
    </w:lvl>
    <w:lvl w:ilvl="1" w:tplc="6284D358" w:tentative="1">
      <w:start w:val="1"/>
      <w:numFmt w:val="bullet"/>
      <w:lvlText w:val="o"/>
      <w:lvlJc w:val="left"/>
      <w:pPr>
        <w:ind w:left="1440" w:hanging="360"/>
      </w:pPr>
      <w:rPr>
        <w:rFonts w:ascii="Courier New" w:hAnsi="Courier New" w:hint="default"/>
      </w:rPr>
    </w:lvl>
    <w:lvl w:ilvl="2" w:tplc="56A684AC" w:tentative="1">
      <w:start w:val="1"/>
      <w:numFmt w:val="bullet"/>
      <w:lvlText w:val=""/>
      <w:lvlJc w:val="left"/>
      <w:pPr>
        <w:ind w:left="2160" w:hanging="360"/>
      </w:pPr>
      <w:rPr>
        <w:rFonts w:ascii="Wingdings" w:hAnsi="Wingdings" w:hint="default"/>
      </w:rPr>
    </w:lvl>
    <w:lvl w:ilvl="3" w:tplc="3BA0D6E4" w:tentative="1">
      <w:start w:val="1"/>
      <w:numFmt w:val="bullet"/>
      <w:lvlText w:val=""/>
      <w:lvlJc w:val="left"/>
      <w:pPr>
        <w:ind w:left="2880" w:hanging="360"/>
      </w:pPr>
      <w:rPr>
        <w:rFonts w:ascii="Symbol" w:hAnsi="Symbol" w:hint="default"/>
      </w:rPr>
    </w:lvl>
    <w:lvl w:ilvl="4" w:tplc="A90E2A40" w:tentative="1">
      <w:start w:val="1"/>
      <w:numFmt w:val="bullet"/>
      <w:lvlText w:val="o"/>
      <w:lvlJc w:val="left"/>
      <w:pPr>
        <w:ind w:left="3600" w:hanging="360"/>
      </w:pPr>
      <w:rPr>
        <w:rFonts w:ascii="Courier New" w:hAnsi="Courier New" w:hint="default"/>
      </w:rPr>
    </w:lvl>
    <w:lvl w:ilvl="5" w:tplc="47B8C23E" w:tentative="1">
      <w:start w:val="1"/>
      <w:numFmt w:val="bullet"/>
      <w:lvlText w:val=""/>
      <w:lvlJc w:val="left"/>
      <w:pPr>
        <w:ind w:left="4320" w:hanging="360"/>
      </w:pPr>
      <w:rPr>
        <w:rFonts w:ascii="Wingdings" w:hAnsi="Wingdings" w:hint="default"/>
      </w:rPr>
    </w:lvl>
    <w:lvl w:ilvl="6" w:tplc="78721FAC" w:tentative="1">
      <w:start w:val="1"/>
      <w:numFmt w:val="bullet"/>
      <w:lvlText w:val=""/>
      <w:lvlJc w:val="left"/>
      <w:pPr>
        <w:ind w:left="5040" w:hanging="360"/>
      </w:pPr>
      <w:rPr>
        <w:rFonts w:ascii="Symbol" w:hAnsi="Symbol" w:hint="default"/>
      </w:rPr>
    </w:lvl>
    <w:lvl w:ilvl="7" w:tplc="8AC4F16C" w:tentative="1">
      <w:start w:val="1"/>
      <w:numFmt w:val="bullet"/>
      <w:lvlText w:val="o"/>
      <w:lvlJc w:val="left"/>
      <w:pPr>
        <w:ind w:left="5760" w:hanging="360"/>
      </w:pPr>
      <w:rPr>
        <w:rFonts w:ascii="Courier New" w:hAnsi="Courier New" w:hint="default"/>
      </w:rPr>
    </w:lvl>
    <w:lvl w:ilvl="8" w:tplc="73061FCA" w:tentative="1">
      <w:start w:val="1"/>
      <w:numFmt w:val="bullet"/>
      <w:lvlText w:val=""/>
      <w:lvlJc w:val="left"/>
      <w:pPr>
        <w:ind w:left="6480" w:hanging="360"/>
      </w:pPr>
      <w:rPr>
        <w:rFonts w:ascii="Wingdings" w:hAnsi="Wingdings" w:hint="default"/>
      </w:rPr>
    </w:lvl>
  </w:abstractNum>
  <w:abstractNum w:abstractNumId="1" w15:restartNumberingAfterBreak="0">
    <w:nsid w:val="29112D9B"/>
    <w:multiLevelType w:val="multilevel"/>
    <w:tmpl w:val="8908966A"/>
    <w:lvl w:ilvl="0">
      <w:start w:val="1"/>
      <w:numFmt w:val="lowerLetter"/>
      <w:lvlText w:val="%1)"/>
      <w:lvlJc w:val="left"/>
      <w:pPr>
        <w:tabs>
          <w:tab w:val="num" w:pos="567"/>
        </w:tabs>
        <w:ind w:left="567" w:hanging="567"/>
      </w:pPr>
      <w:rPr>
        <w:rFonts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33BE35E5"/>
    <w:multiLevelType w:val="hybridMultilevel"/>
    <w:tmpl w:val="CF6C1A5A"/>
    <w:lvl w:ilvl="0" w:tplc="B81C92E2">
      <w:start w:val="1"/>
      <w:numFmt w:val="bullet"/>
      <w:lvlText w:val=""/>
      <w:lvlJc w:val="left"/>
      <w:pPr>
        <w:ind w:left="720" w:hanging="360"/>
      </w:pPr>
      <w:rPr>
        <w:rFonts w:ascii="Symbol" w:hAnsi="Symbol" w:hint="default"/>
      </w:rPr>
    </w:lvl>
    <w:lvl w:ilvl="1" w:tplc="81B2F57A" w:tentative="1">
      <w:start w:val="1"/>
      <w:numFmt w:val="bullet"/>
      <w:lvlText w:val="o"/>
      <w:lvlJc w:val="left"/>
      <w:pPr>
        <w:ind w:left="1440" w:hanging="360"/>
      </w:pPr>
      <w:rPr>
        <w:rFonts w:ascii="Courier New" w:hAnsi="Courier New" w:hint="default"/>
      </w:rPr>
    </w:lvl>
    <w:lvl w:ilvl="2" w:tplc="F0E40B18" w:tentative="1">
      <w:start w:val="1"/>
      <w:numFmt w:val="bullet"/>
      <w:lvlText w:val=""/>
      <w:lvlJc w:val="left"/>
      <w:pPr>
        <w:ind w:left="2160" w:hanging="360"/>
      </w:pPr>
      <w:rPr>
        <w:rFonts w:ascii="Wingdings" w:hAnsi="Wingdings" w:hint="default"/>
      </w:rPr>
    </w:lvl>
    <w:lvl w:ilvl="3" w:tplc="119E1FC8" w:tentative="1">
      <w:start w:val="1"/>
      <w:numFmt w:val="bullet"/>
      <w:lvlText w:val=""/>
      <w:lvlJc w:val="left"/>
      <w:pPr>
        <w:ind w:left="2880" w:hanging="360"/>
      </w:pPr>
      <w:rPr>
        <w:rFonts w:ascii="Symbol" w:hAnsi="Symbol" w:hint="default"/>
      </w:rPr>
    </w:lvl>
    <w:lvl w:ilvl="4" w:tplc="C4BCFBFE" w:tentative="1">
      <w:start w:val="1"/>
      <w:numFmt w:val="bullet"/>
      <w:lvlText w:val="o"/>
      <w:lvlJc w:val="left"/>
      <w:pPr>
        <w:ind w:left="3600" w:hanging="360"/>
      </w:pPr>
      <w:rPr>
        <w:rFonts w:ascii="Courier New" w:hAnsi="Courier New" w:hint="default"/>
      </w:rPr>
    </w:lvl>
    <w:lvl w:ilvl="5" w:tplc="D7A8C5C4" w:tentative="1">
      <w:start w:val="1"/>
      <w:numFmt w:val="bullet"/>
      <w:lvlText w:val=""/>
      <w:lvlJc w:val="left"/>
      <w:pPr>
        <w:ind w:left="4320" w:hanging="360"/>
      </w:pPr>
      <w:rPr>
        <w:rFonts w:ascii="Wingdings" w:hAnsi="Wingdings" w:hint="default"/>
      </w:rPr>
    </w:lvl>
    <w:lvl w:ilvl="6" w:tplc="97E25B24" w:tentative="1">
      <w:start w:val="1"/>
      <w:numFmt w:val="bullet"/>
      <w:lvlText w:val=""/>
      <w:lvlJc w:val="left"/>
      <w:pPr>
        <w:ind w:left="5040" w:hanging="360"/>
      </w:pPr>
      <w:rPr>
        <w:rFonts w:ascii="Symbol" w:hAnsi="Symbol" w:hint="default"/>
      </w:rPr>
    </w:lvl>
    <w:lvl w:ilvl="7" w:tplc="038A181C" w:tentative="1">
      <w:start w:val="1"/>
      <w:numFmt w:val="bullet"/>
      <w:lvlText w:val="o"/>
      <w:lvlJc w:val="left"/>
      <w:pPr>
        <w:ind w:left="5760" w:hanging="360"/>
      </w:pPr>
      <w:rPr>
        <w:rFonts w:ascii="Courier New" w:hAnsi="Courier New" w:hint="default"/>
      </w:rPr>
    </w:lvl>
    <w:lvl w:ilvl="8" w:tplc="35AA28B4" w:tentative="1">
      <w:start w:val="1"/>
      <w:numFmt w:val="bullet"/>
      <w:lvlText w:val=""/>
      <w:lvlJc w:val="left"/>
      <w:pPr>
        <w:ind w:left="6480" w:hanging="360"/>
      </w:pPr>
      <w:rPr>
        <w:rFonts w:ascii="Wingdings" w:hAnsi="Wingdings" w:hint="default"/>
      </w:rPr>
    </w:lvl>
  </w:abstractNum>
  <w:abstractNum w:abstractNumId="3" w15:restartNumberingAfterBreak="0">
    <w:nsid w:val="52A3015A"/>
    <w:multiLevelType w:val="multilevel"/>
    <w:tmpl w:val="FEA25B96"/>
    <w:lvl w:ilvl="0">
      <w:start w:val="1"/>
      <w:numFmt w:val="bullet"/>
      <w:lvlText w:val=""/>
      <w:lvlJc w:val="left"/>
      <w:pPr>
        <w:tabs>
          <w:tab w:val="num" w:pos="567"/>
        </w:tabs>
        <w:ind w:left="567" w:hanging="567"/>
      </w:pPr>
      <w:rPr>
        <w:rFonts w:ascii="Symbol" w:hAnsi="Symbol"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6A15666B"/>
    <w:multiLevelType w:val="hybridMultilevel"/>
    <w:tmpl w:val="472E1EA6"/>
    <w:lvl w:ilvl="0" w:tplc="F04E6888">
      <w:start w:val="3"/>
      <w:numFmt w:val="bullet"/>
      <w:lvlText w:val="-"/>
      <w:lvlJc w:val="left"/>
      <w:pPr>
        <w:ind w:left="249" w:hanging="360"/>
      </w:pPr>
      <w:rPr>
        <w:rFonts w:ascii="Corbel" w:eastAsia="Times New Roman" w:hAnsi="Corbel" w:cs="Times New Roman" w:hint="default"/>
      </w:rPr>
    </w:lvl>
    <w:lvl w:ilvl="1" w:tplc="9ED6E1FC" w:tentative="1">
      <w:start w:val="1"/>
      <w:numFmt w:val="bullet"/>
      <w:lvlText w:val="o"/>
      <w:lvlJc w:val="left"/>
      <w:pPr>
        <w:ind w:left="969" w:hanging="360"/>
      </w:pPr>
      <w:rPr>
        <w:rFonts w:ascii="Courier New" w:hAnsi="Courier New" w:cs="Courier New" w:hint="default"/>
      </w:rPr>
    </w:lvl>
    <w:lvl w:ilvl="2" w:tplc="183878D0" w:tentative="1">
      <w:start w:val="1"/>
      <w:numFmt w:val="bullet"/>
      <w:lvlText w:val=""/>
      <w:lvlJc w:val="left"/>
      <w:pPr>
        <w:ind w:left="1689" w:hanging="360"/>
      </w:pPr>
      <w:rPr>
        <w:rFonts w:ascii="Wingdings" w:hAnsi="Wingdings" w:hint="default"/>
      </w:rPr>
    </w:lvl>
    <w:lvl w:ilvl="3" w:tplc="5CF81A22" w:tentative="1">
      <w:start w:val="1"/>
      <w:numFmt w:val="bullet"/>
      <w:lvlText w:val=""/>
      <w:lvlJc w:val="left"/>
      <w:pPr>
        <w:ind w:left="2409" w:hanging="360"/>
      </w:pPr>
      <w:rPr>
        <w:rFonts w:ascii="Symbol" w:hAnsi="Symbol" w:hint="default"/>
      </w:rPr>
    </w:lvl>
    <w:lvl w:ilvl="4" w:tplc="DBEC8016" w:tentative="1">
      <w:start w:val="1"/>
      <w:numFmt w:val="bullet"/>
      <w:lvlText w:val="o"/>
      <w:lvlJc w:val="left"/>
      <w:pPr>
        <w:ind w:left="3129" w:hanging="360"/>
      </w:pPr>
      <w:rPr>
        <w:rFonts w:ascii="Courier New" w:hAnsi="Courier New" w:cs="Courier New" w:hint="default"/>
      </w:rPr>
    </w:lvl>
    <w:lvl w:ilvl="5" w:tplc="651AEBAC" w:tentative="1">
      <w:start w:val="1"/>
      <w:numFmt w:val="bullet"/>
      <w:lvlText w:val=""/>
      <w:lvlJc w:val="left"/>
      <w:pPr>
        <w:ind w:left="3849" w:hanging="360"/>
      </w:pPr>
      <w:rPr>
        <w:rFonts w:ascii="Wingdings" w:hAnsi="Wingdings" w:hint="default"/>
      </w:rPr>
    </w:lvl>
    <w:lvl w:ilvl="6" w:tplc="C4FCA0D4" w:tentative="1">
      <w:start w:val="1"/>
      <w:numFmt w:val="bullet"/>
      <w:lvlText w:val=""/>
      <w:lvlJc w:val="left"/>
      <w:pPr>
        <w:ind w:left="4569" w:hanging="360"/>
      </w:pPr>
      <w:rPr>
        <w:rFonts w:ascii="Symbol" w:hAnsi="Symbol" w:hint="default"/>
      </w:rPr>
    </w:lvl>
    <w:lvl w:ilvl="7" w:tplc="842880EC" w:tentative="1">
      <w:start w:val="1"/>
      <w:numFmt w:val="bullet"/>
      <w:lvlText w:val="o"/>
      <w:lvlJc w:val="left"/>
      <w:pPr>
        <w:ind w:left="5289" w:hanging="360"/>
      </w:pPr>
      <w:rPr>
        <w:rFonts w:ascii="Courier New" w:hAnsi="Courier New" w:cs="Courier New" w:hint="default"/>
      </w:rPr>
    </w:lvl>
    <w:lvl w:ilvl="8" w:tplc="86803D96" w:tentative="1">
      <w:start w:val="1"/>
      <w:numFmt w:val="bullet"/>
      <w:lvlText w:val=""/>
      <w:lvlJc w:val="left"/>
      <w:pPr>
        <w:ind w:left="6009" w:hanging="360"/>
      </w:pPr>
      <w:rPr>
        <w:rFonts w:ascii="Wingdings" w:hAnsi="Wingdings" w:hint="default"/>
      </w:rPr>
    </w:lvl>
  </w:abstractNum>
  <w:abstractNum w:abstractNumId="5" w15:restartNumberingAfterBreak="0">
    <w:nsid w:val="71010E2D"/>
    <w:multiLevelType w:val="hybridMultilevel"/>
    <w:tmpl w:val="2DE4E32A"/>
    <w:lvl w:ilvl="0" w:tplc="68A86D0C">
      <w:start w:val="1"/>
      <w:numFmt w:val="bullet"/>
      <w:lvlText w:val=""/>
      <w:lvlJc w:val="left"/>
      <w:pPr>
        <w:ind w:left="720" w:hanging="360"/>
      </w:pPr>
      <w:rPr>
        <w:rFonts w:ascii="Symbol" w:hAnsi="Symbol" w:hint="default"/>
      </w:rPr>
    </w:lvl>
    <w:lvl w:ilvl="1" w:tplc="029EA2DA" w:tentative="1">
      <w:start w:val="1"/>
      <w:numFmt w:val="bullet"/>
      <w:lvlText w:val="o"/>
      <w:lvlJc w:val="left"/>
      <w:pPr>
        <w:ind w:left="1440" w:hanging="360"/>
      </w:pPr>
      <w:rPr>
        <w:rFonts w:ascii="Courier New" w:hAnsi="Courier New" w:hint="default"/>
      </w:rPr>
    </w:lvl>
    <w:lvl w:ilvl="2" w:tplc="0DCA43DA" w:tentative="1">
      <w:start w:val="1"/>
      <w:numFmt w:val="bullet"/>
      <w:lvlText w:val=""/>
      <w:lvlJc w:val="left"/>
      <w:pPr>
        <w:ind w:left="2160" w:hanging="360"/>
      </w:pPr>
      <w:rPr>
        <w:rFonts w:ascii="Wingdings" w:hAnsi="Wingdings" w:hint="default"/>
      </w:rPr>
    </w:lvl>
    <w:lvl w:ilvl="3" w:tplc="7D84D24A" w:tentative="1">
      <w:start w:val="1"/>
      <w:numFmt w:val="bullet"/>
      <w:lvlText w:val=""/>
      <w:lvlJc w:val="left"/>
      <w:pPr>
        <w:ind w:left="2880" w:hanging="360"/>
      </w:pPr>
      <w:rPr>
        <w:rFonts w:ascii="Symbol" w:hAnsi="Symbol" w:hint="default"/>
      </w:rPr>
    </w:lvl>
    <w:lvl w:ilvl="4" w:tplc="0102F9FC" w:tentative="1">
      <w:start w:val="1"/>
      <w:numFmt w:val="bullet"/>
      <w:lvlText w:val="o"/>
      <w:lvlJc w:val="left"/>
      <w:pPr>
        <w:ind w:left="3600" w:hanging="360"/>
      </w:pPr>
      <w:rPr>
        <w:rFonts w:ascii="Courier New" w:hAnsi="Courier New" w:hint="default"/>
      </w:rPr>
    </w:lvl>
    <w:lvl w:ilvl="5" w:tplc="F81C078A" w:tentative="1">
      <w:start w:val="1"/>
      <w:numFmt w:val="bullet"/>
      <w:lvlText w:val=""/>
      <w:lvlJc w:val="left"/>
      <w:pPr>
        <w:ind w:left="4320" w:hanging="360"/>
      </w:pPr>
      <w:rPr>
        <w:rFonts w:ascii="Wingdings" w:hAnsi="Wingdings" w:hint="default"/>
      </w:rPr>
    </w:lvl>
    <w:lvl w:ilvl="6" w:tplc="A7107E7A" w:tentative="1">
      <w:start w:val="1"/>
      <w:numFmt w:val="bullet"/>
      <w:lvlText w:val=""/>
      <w:lvlJc w:val="left"/>
      <w:pPr>
        <w:ind w:left="5040" w:hanging="360"/>
      </w:pPr>
      <w:rPr>
        <w:rFonts w:ascii="Symbol" w:hAnsi="Symbol" w:hint="default"/>
      </w:rPr>
    </w:lvl>
    <w:lvl w:ilvl="7" w:tplc="9CACE01E" w:tentative="1">
      <w:start w:val="1"/>
      <w:numFmt w:val="bullet"/>
      <w:lvlText w:val="o"/>
      <w:lvlJc w:val="left"/>
      <w:pPr>
        <w:ind w:left="5760" w:hanging="360"/>
      </w:pPr>
      <w:rPr>
        <w:rFonts w:ascii="Courier New" w:hAnsi="Courier New" w:hint="default"/>
      </w:rPr>
    </w:lvl>
    <w:lvl w:ilvl="8" w:tplc="634A722A" w:tentative="1">
      <w:start w:val="1"/>
      <w:numFmt w:val="bullet"/>
      <w:lvlText w:val=""/>
      <w:lvlJc w:val="left"/>
      <w:pPr>
        <w:ind w:left="6480" w:hanging="360"/>
      </w:pPr>
      <w:rPr>
        <w:rFonts w:ascii="Wingdings" w:hAnsi="Wingdings" w:hint="default"/>
      </w:rPr>
    </w:lvl>
  </w:abstractNum>
  <w:abstractNum w:abstractNumId="6"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16cid:durableId="236862331">
    <w:abstractNumId w:val="6"/>
  </w:num>
  <w:num w:numId="2" w16cid:durableId="1735814738">
    <w:abstractNumId w:val="4"/>
  </w:num>
  <w:num w:numId="3" w16cid:durableId="520172069">
    <w:abstractNumId w:val="0"/>
  </w:num>
  <w:num w:numId="4" w16cid:durableId="1159619305">
    <w:abstractNumId w:val="5"/>
  </w:num>
  <w:num w:numId="5" w16cid:durableId="96604571">
    <w:abstractNumId w:val="2"/>
  </w:num>
  <w:num w:numId="6" w16cid:durableId="2094155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7802719">
    <w:abstractNumId w:val="3"/>
  </w:num>
  <w:num w:numId="8" w16cid:durableId="150905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66894"/>
    <w:rsid w:val="00101AB3"/>
    <w:rsid w:val="0012535D"/>
    <w:rsid w:val="001B6A48"/>
    <w:rsid w:val="001D1BF6"/>
    <w:rsid w:val="001E20F4"/>
    <w:rsid w:val="00204683"/>
    <w:rsid w:val="00205899"/>
    <w:rsid w:val="00230E2F"/>
    <w:rsid w:val="002310D8"/>
    <w:rsid w:val="00293974"/>
    <w:rsid w:val="002A33DB"/>
    <w:rsid w:val="002C356B"/>
    <w:rsid w:val="002C4BE0"/>
    <w:rsid w:val="002F5DD5"/>
    <w:rsid w:val="00347B0F"/>
    <w:rsid w:val="00422A0A"/>
    <w:rsid w:val="00437C3A"/>
    <w:rsid w:val="00487E6A"/>
    <w:rsid w:val="004A0AE7"/>
    <w:rsid w:val="004E3112"/>
    <w:rsid w:val="00503BCE"/>
    <w:rsid w:val="005456F5"/>
    <w:rsid w:val="00551D3A"/>
    <w:rsid w:val="005775C6"/>
    <w:rsid w:val="005C01D5"/>
    <w:rsid w:val="005C0429"/>
    <w:rsid w:val="005D3905"/>
    <w:rsid w:val="005D39DD"/>
    <w:rsid w:val="00631130"/>
    <w:rsid w:val="00647320"/>
    <w:rsid w:val="006655C4"/>
    <w:rsid w:val="00667AC9"/>
    <w:rsid w:val="00672592"/>
    <w:rsid w:val="006966F6"/>
    <w:rsid w:val="006B38E3"/>
    <w:rsid w:val="006C4DAB"/>
    <w:rsid w:val="00701B13"/>
    <w:rsid w:val="00705B7A"/>
    <w:rsid w:val="007135C9"/>
    <w:rsid w:val="007E44E6"/>
    <w:rsid w:val="00815B50"/>
    <w:rsid w:val="00815E19"/>
    <w:rsid w:val="008A14D5"/>
    <w:rsid w:val="008A7A28"/>
    <w:rsid w:val="008A7DEA"/>
    <w:rsid w:val="008C6B79"/>
    <w:rsid w:val="009B1BF3"/>
    <w:rsid w:val="009C3443"/>
    <w:rsid w:val="009D6DE2"/>
    <w:rsid w:val="00A50618"/>
    <w:rsid w:val="00A50751"/>
    <w:rsid w:val="00A7101C"/>
    <w:rsid w:val="00AD354B"/>
    <w:rsid w:val="00B07C2E"/>
    <w:rsid w:val="00B16592"/>
    <w:rsid w:val="00B4222A"/>
    <w:rsid w:val="00B64F41"/>
    <w:rsid w:val="00B822DB"/>
    <w:rsid w:val="00BA21BE"/>
    <w:rsid w:val="00BD75FF"/>
    <w:rsid w:val="00BE249A"/>
    <w:rsid w:val="00BE4E4F"/>
    <w:rsid w:val="00C50A0F"/>
    <w:rsid w:val="00C57BB9"/>
    <w:rsid w:val="00C6521B"/>
    <w:rsid w:val="00DB66D1"/>
    <w:rsid w:val="00E03EDE"/>
    <w:rsid w:val="00E10F77"/>
    <w:rsid w:val="00E25C0C"/>
    <w:rsid w:val="00E85099"/>
    <w:rsid w:val="00EB3CC1"/>
    <w:rsid w:val="00F00A18"/>
    <w:rsid w:val="00F82BDE"/>
    <w:rsid w:val="00F8505F"/>
    <w:rsid w:val="00FA187B"/>
    <w:rsid w:val="00FB300E"/>
    <w:rsid w:val="00FD49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B9C8D9"/>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AlphaParagraph">
    <w:name w:val="Alpha Paragraph"/>
    <w:basedOn w:val="Normal"/>
    <w:link w:val="AlphaParagraphCharChar"/>
    <w:rsid w:val="00EB3CC1"/>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val="en-AU" w:eastAsia="en-AU"/>
    </w:rPr>
  </w:style>
  <w:style w:type="character" w:customStyle="1" w:styleId="AlphaParagraphCharChar">
    <w:name w:val="Alpha Paragraph Char Char"/>
    <w:link w:val="AlphaParagraph"/>
    <w:locked/>
    <w:rsid w:val="00EB3CC1"/>
    <w:rPr>
      <w:rFonts w:ascii="Corbel" w:eastAsia="Times New Roman" w:hAnsi="Corbel" w:cs="Times New Roman"/>
      <w:color w:val="000000"/>
      <w:sz w:val="23"/>
      <w:szCs w:val="20"/>
      <w:lang w:eastAsia="en-AU"/>
    </w:rPr>
  </w:style>
  <w:style w:type="character" w:customStyle="1" w:styleId="NormalnumberedChar">
    <w:name w:val="Normal numbered Char"/>
    <w:basedOn w:val="DefaultParagraphFont"/>
    <w:link w:val="Normalnumbered"/>
    <w:locked/>
    <w:rsid w:val="00B64F41"/>
    <w:rPr>
      <w:rFonts w:ascii="Corbel" w:hAnsi="Corbel"/>
      <w:color w:val="000000"/>
    </w:rPr>
  </w:style>
  <w:style w:type="paragraph" w:customStyle="1" w:styleId="Normalnumbered">
    <w:name w:val="Normal numbered"/>
    <w:basedOn w:val="Normal"/>
    <w:link w:val="NormalnumberedChar"/>
    <w:rsid w:val="00B64F41"/>
    <w:pPr>
      <w:widowControl/>
      <w:spacing w:after="240" w:line="260" w:lineRule="exact"/>
      <w:jc w:val="both"/>
    </w:pPr>
    <w:rPr>
      <w:rFonts w:ascii="Corbel" w:hAnsi="Corbel"/>
      <w:color w:val="000000"/>
      <w:lang w:val="en-AU"/>
    </w:rPr>
  </w:style>
  <w:style w:type="paragraph" w:styleId="BalloonText">
    <w:name w:val="Balloon Text"/>
    <w:basedOn w:val="Normal"/>
    <w:link w:val="BalloonTextChar"/>
    <w:uiPriority w:val="99"/>
    <w:semiHidden/>
    <w:unhideWhenUsed/>
    <w:rsid w:val="00F85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2021FG-64-92845</_dlc_DocId>
    <_dlc_DocIdUrl xmlns="0f563589-9cf9-4143-b1eb-fb0534803d38">
      <Url>http://tweb/sites/fg/csrd/_layouts/15/DocIdRedir.aspx?ID=2021FG-64-92845</Url>
      <Description>2021FG-64-92845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6198" ma:contentTypeDescription=" " ma:contentTypeScope="" ma:versionID="2eac3e78dcb4d35d8e9e15eb9fb194e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2.xml><?xml version="1.0" encoding="utf-8"?>
<ds:datastoreItem xmlns:ds="http://schemas.openxmlformats.org/officeDocument/2006/customXml" ds:itemID="{9CEE5D73-6C30-4B67-95FD-7D301D0739EA}">
  <ds:schemaRefs>
    <ds:schemaRef ds:uri="Microsoft.SharePoint.Taxonomy.ContentTypeSync"/>
  </ds:schemaRefs>
</ds:datastoreItem>
</file>

<file path=customXml/itemProps3.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A0C545CF-37C1-45C6-A831-FA82A63C82F8"/>
    <ds:schemaRef ds:uri="http://schemas.microsoft.com/sharepoint/v4"/>
    <ds:schemaRef ds:uri="0f563589-9cf9-4143-b1eb-fb0534803d38"/>
    <ds:schemaRef ds:uri="e544e5cc-ab70-42e1-849e-1a0f8bb1f4ef"/>
  </ds:schemaRefs>
</ds:datastoreItem>
</file>

<file path=customXml/itemProps4.xml><?xml version="1.0" encoding="utf-8"?>
<ds:datastoreItem xmlns:ds="http://schemas.openxmlformats.org/officeDocument/2006/customXml" ds:itemID="{F0677089-5172-4BBE-ABEA-A5EE52AC0C15}">
  <ds:schemaRefs>
    <ds:schemaRef ds:uri="office.server.policy"/>
  </ds:schemaRefs>
</ds:datastoreItem>
</file>

<file path=customXml/itemProps5.xml><?xml version="1.0" encoding="utf-8"?>
<ds:datastoreItem xmlns:ds="http://schemas.openxmlformats.org/officeDocument/2006/customXml" ds:itemID="{2DD04A5E-2963-4655-AECE-8365473ABE02}">
  <ds:schemaRefs>
    <ds:schemaRef ds:uri="http://schemas.microsoft.com/sharepoint/events"/>
  </ds:schemaRefs>
</ds:datastoreItem>
</file>

<file path=customXml/itemProps6.xml><?xml version="1.0" encoding="utf-8"?>
<ds:datastoreItem xmlns:ds="http://schemas.openxmlformats.org/officeDocument/2006/customXml" ds:itemID="{B6D94D6F-E2D8-485F-8A33-03AF7CB9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Phase 1 Funding for the Lower Darling Fish Passage Program_correction_Feb</dc:title>
  <dc:creator>Pennifold, Lauren</dc:creator>
  <cp:lastModifiedBy>Pennifold, Lauren</cp:lastModifiedBy>
  <cp:revision>2</cp:revision>
  <dcterms:created xsi:type="dcterms:W3CDTF">2023-03-28T23:17:00Z</dcterms:created>
  <dcterms:modified xsi:type="dcterms:W3CDTF">2023-03-28T23:17:00Z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6aba76d5-a77a-4b09-b8d4-8dc30ac9b0f6</vt:lpwstr>
  </property>
  <property fmtid="{D5CDD505-2E9C-101B-9397-08002B2CF9AE}" pid="4" name="TSYRecordClass">
    <vt:lpwstr>2;#TSY RA-8748 - Retain as national archives|243f2231-dbfc-4282-b24a-c9b768286bd0</vt:lpwstr>
  </property>
  <property fmtid="{D5CDD505-2E9C-101B-9397-08002B2CF9AE}" pid="5" name="Order">
    <vt:r8>9284500</vt:r8>
  </property>
  <property fmtid="{D5CDD505-2E9C-101B-9397-08002B2CF9AE}" pid="6" name="oae75e2df9d943898d59cb03ca0993c5">
    <vt:lpwstr/>
  </property>
  <property fmtid="{D5CDD505-2E9C-101B-9397-08002B2CF9AE}" pid="7" name="Topics">
    <vt:lpwstr/>
  </property>
</Properties>
</file>