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word/webSettings.xml" ContentType="application/vnd.openxmlformats-officedocument.wordprocessingml.webSetting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1E0" w:firstRow="1" w:lastRow="1" w:firstColumn="1" w:lastColumn="1" w:noHBand="0" w:noVBand="0"/>
      </w:tblPr>
      <w:tblGrid>
        <w:gridCol w:w="1478"/>
        <w:gridCol w:w="8160"/>
      </w:tblGrid>
      <w:tr w:rsidR="00814667" w14:paraId="76E562FC" w14:textId="77777777">
        <w:tc>
          <w:tcPr>
            <w:tcW w:w="5000" w:type="pct"/>
            <w:gridSpan w:val="2"/>
          </w:tcPr>
          <w:p w14:paraId="38141E91" w14:textId="0AF2B92A" w:rsidR="00814667" w:rsidRDefault="00BA4284" w:rsidP="00043A31">
            <w:pPr>
              <w:pStyle w:val="CoverTitleMain"/>
            </w:pPr>
            <w:r>
              <w:t>Project AGreement</w:t>
            </w:r>
            <w:r w:rsidR="00292587">
              <w:t xml:space="preserve"> FOR </w:t>
            </w:r>
            <w:r w:rsidR="00AB2E59">
              <w:t xml:space="preserve">the </w:t>
            </w:r>
            <w:r w:rsidR="00043A31">
              <w:t xml:space="preserve">national critical care and trauma response centre </w:t>
            </w:r>
            <w:r w:rsidR="00A6526A">
              <w:t>- amendment</w:t>
            </w:r>
          </w:p>
        </w:tc>
      </w:tr>
      <w:tr w:rsidR="00814667" w14:paraId="0F916083" w14:textId="77777777">
        <w:tc>
          <w:tcPr>
            <w:tcW w:w="767" w:type="pct"/>
          </w:tcPr>
          <w:p w14:paraId="5913543B" w14:textId="77777777" w:rsidR="00814667" w:rsidRDefault="00814667">
            <w:pPr>
              <w:pStyle w:val="SingleParagraph"/>
              <w:tabs>
                <w:tab w:val="num" w:pos="1134"/>
              </w:tabs>
              <w:spacing w:after="240"/>
              <w:ind w:left="1134" w:hanging="567"/>
            </w:pPr>
          </w:p>
        </w:tc>
        <w:tc>
          <w:tcPr>
            <w:tcW w:w="4233" w:type="pct"/>
          </w:tcPr>
          <w:p w14:paraId="559350D8" w14:textId="77777777" w:rsidR="00814667" w:rsidRDefault="00814667">
            <w:pPr>
              <w:pStyle w:val="SingleParagraph"/>
              <w:tabs>
                <w:tab w:val="num" w:pos="1134"/>
              </w:tabs>
              <w:spacing w:after="240"/>
              <w:ind w:left="1134" w:hanging="567"/>
            </w:pPr>
          </w:p>
        </w:tc>
      </w:tr>
      <w:tr w:rsidR="00814667" w14:paraId="1AE78EA4" w14:textId="77777777">
        <w:tc>
          <w:tcPr>
            <w:tcW w:w="767" w:type="pct"/>
          </w:tcPr>
          <w:p w14:paraId="57304699" w14:textId="77777777" w:rsidR="00814667" w:rsidRDefault="00814667">
            <w:pPr>
              <w:pStyle w:val="SingleParagraph"/>
              <w:tabs>
                <w:tab w:val="num" w:pos="1134"/>
              </w:tabs>
              <w:spacing w:after="240"/>
              <w:ind w:left="1134" w:hanging="567"/>
            </w:pPr>
          </w:p>
        </w:tc>
        <w:tc>
          <w:tcPr>
            <w:tcW w:w="4233" w:type="pct"/>
          </w:tcPr>
          <w:p w14:paraId="72114095" w14:textId="77777777" w:rsidR="00814667" w:rsidRPr="001E74D0" w:rsidRDefault="00814667">
            <w:pPr>
              <w:pStyle w:val="SingleParagraph"/>
              <w:tabs>
                <w:tab w:val="num" w:pos="1134"/>
              </w:tabs>
              <w:spacing w:after="240"/>
              <w:ind w:left="1134" w:hanging="567"/>
            </w:pPr>
          </w:p>
        </w:tc>
      </w:tr>
      <w:tr w:rsidR="00814667" w14:paraId="05B134CC" w14:textId="77777777">
        <w:tc>
          <w:tcPr>
            <w:tcW w:w="5000" w:type="pct"/>
            <w:gridSpan w:val="2"/>
          </w:tcPr>
          <w:p w14:paraId="4057DC74" w14:textId="77777777" w:rsidR="00814667" w:rsidRDefault="00814667">
            <w:pPr>
              <w:pStyle w:val="AgreementHeading"/>
              <w:tabs>
                <w:tab w:val="clear" w:pos="1134"/>
              </w:tabs>
            </w:pPr>
            <w:r>
              <w:t>An agreement between</w:t>
            </w:r>
            <w:r w:rsidR="00697494">
              <w:t>:</w:t>
            </w:r>
          </w:p>
        </w:tc>
      </w:tr>
      <w:tr w:rsidR="00814667" w14:paraId="7F5BCBC9" w14:textId="77777777">
        <w:tc>
          <w:tcPr>
            <w:tcW w:w="767" w:type="pct"/>
          </w:tcPr>
          <w:p w14:paraId="7A4323BD" w14:textId="77777777" w:rsidR="00814667" w:rsidRPr="001E74D0" w:rsidRDefault="00814667">
            <w:pPr>
              <w:pStyle w:val="AgreementHeading"/>
              <w:tabs>
                <w:tab w:val="clear" w:pos="1134"/>
              </w:tabs>
              <w:ind w:left="522"/>
            </w:pPr>
          </w:p>
        </w:tc>
        <w:tc>
          <w:tcPr>
            <w:tcW w:w="4233" w:type="pct"/>
          </w:tcPr>
          <w:p w14:paraId="7CBEFB40" w14:textId="77777777" w:rsidR="00814667" w:rsidRDefault="00814667">
            <w:pPr>
              <w:pStyle w:val="AgreementParties"/>
            </w:pPr>
            <w:r>
              <w:t xml:space="preserve">the </w:t>
            </w:r>
            <w:r>
              <w:rPr>
                <w:rStyle w:val="Bold"/>
              </w:rPr>
              <w:t>Commonwealth of Australia</w:t>
            </w:r>
            <w:r w:rsidR="00697494">
              <w:rPr>
                <w:rStyle w:val="Bold"/>
              </w:rPr>
              <w:t>;</w:t>
            </w:r>
            <w:r>
              <w:t xml:space="preserve"> and</w:t>
            </w:r>
          </w:p>
          <w:p w14:paraId="45B9AE2D" w14:textId="77777777" w:rsidR="00814667" w:rsidRPr="001E74D0" w:rsidRDefault="00043A31" w:rsidP="00043A31">
            <w:pPr>
              <w:pStyle w:val="AgreementParties"/>
            </w:pPr>
            <w:r>
              <w:t>the Northern Territory.</w:t>
            </w:r>
          </w:p>
        </w:tc>
      </w:tr>
      <w:tr w:rsidR="00814667" w14:paraId="1925A436" w14:textId="77777777">
        <w:tc>
          <w:tcPr>
            <w:tcW w:w="5000" w:type="pct"/>
            <w:gridSpan w:val="2"/>
          </w:tcPr>
          <w:p w14:paraId="7FA5DD3F" w14:textId="77777777" w:rsidR="00814667" w:rsidRDefault="00814667">
            <w:pPr>
              <w:pStyle w:val="SingleParagraph"/>
              <w:tabs>
                <w:tab w:val="num" w:pos="1134"/>
              </w:tabs>
              <w:spacing w:after="240"/>
              <w:ind w:left="1134" w:hanging="567"/>
            </w:pPr>
          </w:p>
        </w:tc>
      </w:tr>
      <w:tr w:rsidR="00814667" w14:paraId="1CAC440F" w14:textId="77777777">
        <w:tc>
          <w:tcPr>
            <w:tcW w:w="5000" w:type="pct"/>
            <w:gridSpan w:val="2"/>
          </w:tcPr>
          <w:p w14:paraId="54197BDD" w14:textId="77777777" w:rsidR="001A7213" w:rsidRPr="001A7213" w:rsidRDefault="00B21A27" w:rsidP="008F145E">
            <w:pPr>
              <w:pStyle w:val="Abstract"/>
              <w:ind w:left="567"/>
            </w:pPr>
            <w:r>
              <w:t xml:space="preserve">The output of this project will be </w:t>
            </w:r>
            <w:r w:rsidR="00EF7F92">
              <w:t>to maintain</w:t>
            </w:r>
            <w:r>
              <w:t xml:space="preserve"> the National Critical Care and Trauma Response Centre</w:t>
            </w:r>
            <w:r w:rsidR="00B94DF0">
              <w:t>.</w:t>
            </w:r>
          </w:p>
          <w:p w14:paraId="70B1BBBA" w14:textId="77777777" w:rsidR="00B21A27" w:rsidRDefault="00B21A27" w:rsidP="00312CFE">
            <w:pPr>
              <w:pStyle w:val="Abstract"/>
            </w:pPr>
          </w:p>
          <w:p w14:paraId="6D7BC4BB" w14:textId="77777777" w:rsidR="00B21A27" w:rsidRDefault="00B21A27" w:rsidP="00312CFE">
            <w:pPr>
              <w:pStyle w:val="Abstract"/>
            </w:pPr>
          </w:p>
          <w:p w14:paraId="40372502" w14:textId="77777777" w:rsidR="00B21A27" w:rsidRDefault="00B21A27" w:rsidP="00312CFE">
            <w:pPr>
              <w:pStyle w:val="Abstract"/>
            </w:pPr>
          </w:p>
          <w:p w14:paraId="1E9386EF" w14:textId="77777777" w:rsidR="00B21A27" w:rsidRDefault="00B21A27" w:rsidP="00312CFE">
            <w:pPr>
              <w:pStyle w:val="Abstract"/>
            </w:pPr>
          </w:p>
        </w:tc>
      </w:tr>
    </w:tbl>
    <w:p w14:paraId="17BBC6FF" w14:textId="77777777" w:rsidR="00814667" w:rsidRDefault="00FF5029">
      <w:pPr>
        <w:pStyle w:val="Title"/>
        <w:pageBreakBefore/>
      </w:pPr>
      <w:r>
        <w:lastRenderedPageBreak/>
        <w:t xml:space="preserve">Project </w:t>
      </w:r>
      <w:r w:rsidR="00D7336A">
        <w:t>Agreement</w:t>
      </w:r>
      <w:r>
        <w:t xml:space="preserve"> for</w:t>
      </w:r>
      <w:r w:rsidR="00C7093C">
        <w:t xml:space="preserve"> </w:t>
      </w:r>
      <w:r w:rsidR="00AB2E59">
        <w:t>the</w:t>
      </w:r>
      <w:r w:rsidR="00AB2E59">
        <w:br/>
        <w:t>National Critical Care and Trauma Response Centre</w:t>
      </w:r>
    </w:p>
    <w:p w14:paraId="19CDEC6C" w14:textId="77777777" w:rsidR="00AB2E59" w:rsidRPr="00AB2E59" w:rsidRDefault="00AB2E59" w:rsidP="00AB2E59">
      <w:pPr>
        <w:pStyle w:val="Subtitle"/>
        <w:spacing w:after="0"/>
      </w:pPr>
    </w:p>
    <w:p w14:paraId="0BF39F2A" w14:textId="77777777" w:rsidR="004B2EF6" w:rsidRPr="004B2EF6" w:rsidRDefault="00804105" w:rsidP="00984039">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120"/>
      </w:pPr>
      <w:r>
        <w:t>overview</w:t>
      </w:r>
    </w:p>
    <w:p w14:paraId="1C2DBD04" w14:textId="77777777" w:rsidR="00C960AA" w:rsidRPr="0096732C" w:rsidRDefault="00C960AA" w:rsidP="006B6747">
      <w:pPr>
        <w:pStyle w:val="Normalnumbered"/>
        <w:numPr>
          <w:ilvl w:val="0"/>
          <w:numId w:val="24"/>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21B9031E" w14:textId="77777777" w:rsidR="0096732C" w:rsidRPr="004B1F38" w:rsidRDefault="0096732C" w:rsidP="00984039">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pPr>
      <w:r w:rsidRPr="0096732C">
        <w:t>Purpose</w:t>
      </w:r>
    </w:p>
    <w:p w14:paraId="51B9665F" w14:textId="77777777" w:rsidR="0096732C" w:rsidRDefault="00852ED8" w:rsidP="006B6747">
      <w:pPr>
        <w:pStyle w:val="Normalnumbered"/>
        <w:numPr>
          <w:ilvl w:val="0"/>
          <w:numId w:val="24"/>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pPr>
      <w:r w:rsidRPr="004B1F38">
        <w:t xml:space="preserve">This Agreement will </w:t>
      </w:r>
      <w:r w:rsidR="00AB2E59">
        <w:t>support the</w:t>
      </w:r>
      <w:r w:rsidR="00AB2E59" w:rsidRPr="00AB2E59">
        <w:t xml:space="preserve"> </w:t>
      </w:r>
      <w:r w:rsidR="00EF7F92">
        <w:t xml:space="preserve">maintenance </w:t>
      </w:r>
      <w:r w:rsidR="00AB2E59" w:rsidRPr="00AB2E59">
        <w:t xml:space="preserve">of the National Critical Care and Trauma Response Centre </w:t>
      </w:r>
      <w:r w:rsidR="001F769B">
        <w:t xml:space="preserve">(NCCTRC) </w:t>
      </w:r>
      <w:r w:rsidR="00AB2E59" w:rsidRPr="00AB2E59">
        <w:t xml:space="preserve">as Australia’s Centre of Excellence for health disaster response through its continued operation as a hub of evidence based emergency care, research, education, </w:t>
      </w:r>
      <w:r w:rsidR="00B12260">
        <w:t>its maintenance in a state of readiness to respond</w:t>
      </w:r>
      <w:r w:rsidR="00AB2E59" w:rsidRPr="00AB2E59">
        <w:t xml:space="preserve"> to incidents of national and international significance</w:t>
      </w:r>
      <w:r w:rsidR="001A7213">
        <w:t xml:space="preserve">, </w:t>
      </w:r>
      <w:r w:rsidR="00525D78">
        <w:t>and</w:t>
      </w:r>
      <w:r w:rsidR="001A7213">
        <w:t xml:space="preserve"> supporting the readiness and response of a national deployable capability.</w:t>
      </w:r>
      <w:r w:rsidR="00C14F2F">
        <w:t xml:space="preserve">  This Agreement also provides for the NCCTRC to resource approved AUSMAT deployments within Australia.  </w:t>
      </w:r>
    </w:p>
    <w:p w14:paraId="5099277F" w14:textId="77777777" w:rsidR="0096732C" w:rsidRDefault="0096732C" w:rsidP="00984039">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120"/>
        <w:jc w:val="left"/>
      </w:pPr>
      <w:r w:rsidRPr="0096732C">
        <w:rPr>
          <w:rFonts w:cs="Arial"/>
          <w:b/>
          <w:bCs/>
          <w:iCs/>
          <w:color w:val="3D4B67"/>
          <w:sz w:val="29"/>
          <w:szCs w:val="28"/>
        </w:rPr>
        <w:t>Reporting Arrangements</w:t>
      </w:r>
      <w:r>
        <w:t xml:space="preserve"> </w:t>
      </w:r>
    </w:p>
    <w:p w14:paraId="1E8D1CF0" w14:textId="77777777" w:rsidR="0096732C" w:rsidRDefault="0096732C" w:rsidP="006B6747">
      <w:pPr>
        <w:pStyle w:val="Normalnumbered"/>
        <w:numPr>
          <w:ilvl w:val="0"/>
          <w:numId w:val="24"/>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The</w:t>
      </w:r>
      <w:r w:rsidR="00B12260">
        <w:t xml:space="preserve"> Northern Territory will report biannually against the agreed milestones during the operation of </w:t>
      </w:r>
      <w:r w:rsidR="001A3531">
        <w:t>this Agreement</w:t>
      </w:r>
      <w:r>
        <w:t xml:space="preserve">, as set out in Part 4 – Project Milestones, Reporting and Payments. </w:t>
      </w:r>
    </w:p>
    <w:p w14:paraId="269BE8F3" w14:textId="77777777" w:rsidR="0096732C" w:rsidRPr="0096732C" w:rsidRDefault="0096732C" w:rsidP="00984039">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spacing w:after="120"/>
        <w:jc w:val="left"/>
        <w:rPr>
          <w:rFonts w:cs="Arial"/>
          <w:b/>
          <w:bCs/>
          <w:iCs/>
          <w:color w:val="3D4B67"/>
          <w:sz w:val="29"/>
          <w:szCs w:val="28"/>
        </w:rPr>
      </w:pPr>
      <w:r w:rsidRPr="0096732C">
        <w:rPr>
          <w:rFonts w:cs="Arial"/>
          <w:b/>
          <w:bCs/>
          <w:iCs/>
          <w:color w:val="3D4B67"/>
          <w:sz w:val="29"/>
          <w:szCs w:val="28"/>
        </w:rPr>
        <w:t xml:space="preserve">Financial Arrangements </w:t>
      </w:r>
    </w:p>
    <w:p w14:paraId="464469E0" w14:textId="2AA99EC5" w:rsidR="0096732C" w:rsidRPr="0096732C" w:rsidRDefault="0096732C" w:rsidP="006B6747">
      <w:pPr>
        <w:pStyle w:val="Normalnumbered"/>
        <w:numPr>
          <w:ilvl w:val="0"/>
          <w:numId w:val="24"/>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7179FE">
        <w:t xml:space="preserve">The Commonwealth will provide </w:t>
      </w:r>
      <w:r>
        <w:t>a</w:t>
      </w:r>
      <w:r w:rsidR="00F234AB">
        <w:t>n estimated</w:t>
      </w:r>
      <w:r>
        <w:t xml:space="preserve"> total </w:t>
      </w:r>
      <w:r w:rsidRPr="007179FE">
        <w:t xml:space="preserve">financial contribution to the </w:t>
      </w:r>
      <w:r w:rsidR="00B12260">
        <w:t xml:space="preserve">Northern Territory </w:t>
      </w:r>
      <w:r>
        <w:t xml:space="preserve">of </w:t>
      </w:r>
      <w:r w:rsidR="00A42A25">
        <w:t>$</w:t>
      </w:r>
      <w:r w:rsidR="00224EA5">
        <w:t>75</w:t>
      </w:r>
      <w:r w:rsidR="00A42A25">
        <w:t>.</w:t>
      </w:r>
      <w:r w:rsidR="00224EA5">
        <w:t>5</w:t>
      </w:r>
      <w:r w:rsidR="00A42A25">
        <w:t xml:space="preserve"> million, exclusive of GST </w:t>
      </w:r>
      <w:r>
        <w:t>in respect of this Agreement</w:t>
      </w:r>
      <w:r w:rsidR="0032244A">
        <w:t xml:space="preserve">. </w:t>
      </w:r>
    </w:p>
    <w:p w14:paraId="499E87AC" w14:textId="77777777" w:rsidR="0096732C" w:rsidRPr="004B1F38" w:rsidRDefault="00A25265"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pPr>
      <w:r w:rsidDel="00A25265">
        <w:t xml:space="preserve"> </w:t>
      </w:r>
    </w:p>
    <w:p w14:paraId="61C7AE65" w14:textId="77777777" w:rsidR="00814667" w:rsidRDefault="00814667" w:rsidP="00984039">
      <w:pPr>
        <w:pStyle w:val="Heading1"/>
        <w:spacing w:before="240"/>
      </w:pPr>
      <w:r>
        <w:t>Part 1 — Formalities</w:t>
      </w:r>
    </w:p>
    <w:p w14:paraId="447A3B86" w14:textId="77777777" w:rsidR="00804105" w:rsidRDefault="00804105" w:rsidP="006B6747">
      <w:pPr>
        <w:pStyle w:val="Normalnumbered"/>
        <w:numPr>
          <w:ilvl w:val="0"/>
          <w:numId w:val="24"/>
        </w:numPr>
      </w:pPr>
      <w:r>
        <w:t>This Agreement constitutes the entire agreement for this project.</w:t>
      </w:r>
    </w:p>
    <w:p w14:paraId="204A4D90" w14:textId="77777777" w:rsidR="00814667" w:rsidRDefault="00814667">
      <w:pPr>
        <w:pStyle w:val="Heading2"/>
      </w:pPr>
      <w:r>
        <w:t>Parties to this Agreement</w:t>
      </w:r>
    </w:p>
    <w:p w14:paraId="5D8E4488" w14:textId="77777777" w:rsidR="007B4B03" w:rsidRPr="007B4B03" w:rsidRDefault="00E7195E" w:rsidP="006B6747">
      <w:pPr>
        <w:pStyle w:val="Normalnumbered"/>
        <w:numPr>
          <w:ilvl w:val="0"/>
          <w:numId w:val="24"/>
        </w:numPr>
      </w:pPr>
      <w:r w:rsidRPr="003012DA">
        <w:t xml:space="preserve">This </w:t>
      </w:r>
      <w:r w:rsidR="00E31096">
        <w:t xml:space="preserve">Agreement </w:t>
      </w:r>
      <w:r w:rsidRPr="003012DA">
        <w:t>is between the Commonwealth of Australia (the</w:t>
      </w:r>
      <w:r w:rsidR="00593821">
        <w:t xml:space="preserve"> Commonwealth</w:t>
      </w:r>
      <w:r w:rsidRPr="003012DA">
        <w:t xml:space="preserve">) and </w:t>
      </w:r>
      <w:r w:rsidR="00A42A25">
        <w:t>the Northern Territory.</w:t>
      </w:r>
      <w:r w:rsidRPr="003012DA">
        <w:t xml:space="preserve"> </w:t>
      </w:r>
    </w:p>
    <w:p w14:paraId="35E81097" w14:textId="77777777" w:rsidR="00814667" w:rsidRDefault="00814667">
      <w:pPr>
        <w:pStyle w:val="Heading2"/>
      </w:pPr>
      <w:r>
        <w:t>Term of the Agreement</w:t>
      </w:r>
    </w:p>
    <w:p w14:paraId="22D13C03" w14:textId="77777777" w:rsidR="00A90F73" w:rsidRPr="00DE36EB" w:rsidRDefault="00814667" w:rsidP="006B6747">
      <w:pPr>
        <w:pStyle w:val="Normalnumbered"/>
        <w:numPr>
          <w:ilvl w:val="0"/>
          <w:numId w:val="24"/>
        </w:numPr>
      </w:pPr>
      <w:r w:rsidRPr="00DE36EB">
        <w:t>This Agreement will commence as soon as the Commonwealth and</w:t>
      </w:r>
      <w:r w:rsidR="00A42A25">
        <w:t xml:space="preserve"> the Northern Territory sign it and will expire on 30 June 2023 or </w:t>
      </w:r>
      <w:r w:rsidR="00284884" w:rsidRPr="00DE36EB">
        <w:t>on</w:t>
      </w:r>
      <w:r w:rsidR="00FA2EC0" w:rsidRPr="00DE36EB">
        <w:t xml:space="preserve"> complet</w:t>
      </w:r>
      <w:r w:rsidR="00284884" w:rsidRPr="00DE36EB">
        <w:t>ion of the project, including final performance reporting an</w:t>
      </w:r>
      <w:r w:rsidR="00AE2AFD" w:rsidRPr="00DE36EB">
        <w:t>d</w:t>
      </w:r>
      <w:r w:rsidR="00284884" w:rsidRPr="00DE36EB">
        <w:t xml:space="preserve"> processing of final payments against milestones</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14:paraId="4FF7F9AF" w14:textId="77777777" w:rsidR="00784439" w:rsidRPr="008526B1" w:rsidRDefault="00784439" w:rsidP="00784439">
      <w:pPr>
        <w:pStyle w:val="Heading2"/>
        <w:ind w:right="-568"/>
        <w:rPr>
          <w:b w:val="0"/>
          <w:sz w:val="23"/>
          <w:szCs w:val="23"/>
        </w:rPr>
      </w:pPr>
      <w:r w:rsidRPr="008526B1">
        <w:rPr>
          <w:rFonts w:ascii="Consolas" w:hAnsi="Consolas"/>
          <w:b w:val="0"/>
          <w:iCs w:val="0"/>
          <w:caps/>
          <w:kern w:val="32"/>
          <w:sz w:val="32"/>
          <w:szCs w:val="36"/>
        </w:rPr>
        <w:lastRenderedPageBreak/>
        <w:t>P</w:t>
      </w:r>
      <w:r w:rsidR="00814667" w:rsidRPr="008526B1">
        <w:rPr>
          <w:rFonts w:ascii="Consolas" w:hAnsi="Consolas"/>
          <w:b w:val="0"/>
          <w:iCs w:val="0"/>
          <w:caps/>
          <w:kern w:val="32"/>
          <w:sz w:val="32"/>
          <w:szCs w:val="36"/>
        </w:rPr>
        <w:t xml:space="preserve">art 2 — </w:t>
      </w:r>
      <w:r w:rsidR="00FF5029" w:rsidRPr="008526B1">
        <w:rPr>
          <w:rFonts w:ascii="Consolas" w:hAnsi="Consolas"/>
          <w:b w:val="0"/>
          <w:iCs w:val="0"/>
          <w:caps/>
          <w:kern w:val="32"/>
          <w:sz w:val="32"/>
          <w:szCs w:val="36"/>
        </w:rPr>
        <w:t>Project</w:t>
      </w:r>
      <w:r w:rsidR="00814667" w:rsidRPr="008526B1">
        <w:rPr>
          <w:rFonts w:ascii="Consolas" w:hAnsi="Consolas"/>
          <w:b w:val="0"/>
          <w:iCs w:val="0"/>
          <w:caps/>
          <w:kern w:val="32"/>
          <w:sz w:val="32"/>
          <w:szCs w:val="36"/>
        </w:rPr>
        <w:t xml:space="preserve"> outpu</w:t>
      </w:r>
      <w:r w:rsidR="00A42A25" w:rsidRPr="008526B1">
        <w:rPr>
          <w:rFonts w:ascii="Consolas" w:hAnsi="Consolas"/>
          <w:b w:val="0"/>
          <w:iCs w:val="0"/>
          <w:caps/>
          <w:kern w:val="32"/>
          <w:sz w:val="32"/>
          <w:szCs w:val="36"/>
        </w:rPr>
        <w:t>t</w:t>
      </w:r>
    </w:p>
    <w:p w14:paraId="77328A0F" w14:textId="77777777" w:rsidR="00814667" w:rsidRPr="008526B1" w:rsidRDefault="00814667">
      <w:pPr>
        <w:pStyle w:val="Heading2"/>
      </w:pPr>
      <w:r w:rsidRPr="008526B1">
        <w:t>Output</w:t>
      </w:r>
    </w:p>
    <w:p w14:paraId="68E75955" w14:textId="77777777" w:rsidR="00A31519" w:rsidRPr="00A31519" w:rsidRDefault="00814667" w:rsidP="00E90CD9">
      <w:pPr>
        <w:pStyle w:val="ListParagraph"/>
        <w:numPr>
          <w:ilvl w:val="0"/>
          <w:numId w:val="24"/>
        </w:numPr>
        <w:spacing w:after="100" w:afterAutospacing="1"/>
        <w:rPr>
          <w:rFonts w:ascii="Corbel" w:hAnsi="Corbel"/>
          <w:color w:val="000000"/>
          <w:sz w:val="23"/>
          <w:szCs w:val="23"/>
        </w:rPr>
      </w:pPr>
      <w:r w:rsidRPr="001A7213">
        <w:rPr>
          <w:rFonts w:ascii="Corbel" w:hAnsi="Corbel"/>
          <w:sz w:val="23"/>
          <w:szCs w:val="23"/>
        </w:rPr>
        <w:t>The o</w:t>
      </w:r>
      <w:r w:rsidR="001162BE" w:rsidRPr="001A7213">
        <w:rPr>
          <w:rFonts w:ascii="Corbel" w:hAnsi="Corbel"/>
          <w:sz w:val="23"/>
          <w:szCs w:val="23"/>
        </w:rPr>
        <w:t xml:space="preserve">utput of this Agreement will be the continued operation and development of the NCCTRC’s national and regional response capability and its maintenance in </w:t>
      </w:r>
      <w:r w:rsidR="00980CBF" w:rsidRPr="001A7213">
        <w:rPr>
          <w:rFonts w:ascii="Corbel" w:hAnsi="Corbel"/>
          <w:sz w:val="23"/>
          <w:szCs w:val="23"/>
        </w:rPr>
        <w:t xml:space="preserve">a </w:t>
      </w:r>
      <w:r w:rsidR="001162BE" w:rsidRPr="001A7213">
        <w:rPr>
          <w:rFonts w:ascii="Corbel" w:hAnsi="Corbel"/>
          <w:sz w:val="23"/>
          <w:szCs w:val="23"/>
        </w:rPr>
        <w:t>state of readiness to respond to incidents of national</w:t>
      </w:r>
      <w:r w:rsidR="00A66E35" w:rsidRPr="001A7213">
        <w:rPr>
          <w:rFonts w:ascii="Corbel" w:hAnsi="Corbel"/>
          <w:sz w:val="23"/>
          <w:szCs w:val="23"/>
        </w:rPr>
        <w:t xml:space="preserve"> and international</w:t>
      </w:r>
      <w:r w:rsidR="001162BE" w:rsidRPr="001A7213">
        <w:rPr>
          <w:rFonts w:ascii="Corbel" w:hAnsi="Corbel"/>
          <w:sz w:val="23"/>
          <w:szCs w:val="23"/>
        </w:rPr>
        <w:t xml:space="preserve"> </w:t>
      </w:r>
      <w:r w:rsidR="001162BE" w:rsidRPr="001A7213">
        <w:rPr>
          <w:rFonts w:ascii="Corbel" w:hAnsi="Corbel" w:cs="Arial"/>
          <w:sz w:val="23"/>
          <w:szCs w:val="23"/>
        </w:rPr>
        <w:t>significance including:</w:t>
      </w:r>
    </w:p>
    <w:p w14:paraId="0E5B03B3" w14:textId="77777777" w:rsidR="001162BE" w:rsidRPr="008526B1" w:rsidRDefault="001162BE" w:rsidP="001162BE">
      <w:pPr>
        <w:pStyle w:val="Normalnumbered"/>
        <w:numPr>
          <w:ilvl w:val="0"/>
          <w:numId w:val="0"/>
        </w:numPr>
        <w:jc w:val="left"/>
      </w:pPr>
      <w:r w:rsidRPr="008526B1">
        <w:t>Response capability</w:t>
      </w:r>
    </w:p>
    <w:p w14:paraId="54A99A21" w14:textId="77777777" w:rsidR="001162BE" w:rsidRPr="008526B1" w:rsidRDefault="00E50134" w:rsidP="006B6747">
      <w:pPr>
        <w:pStyle w:val="AlphaParagraph"/>
        <w:numPr>
          <w:ilvl w:val="0"/>
          <w:numId w:val="29"/>
        </w:numPr>
        <w:tabs>
          <w:tab w:val="clear" w:pos="567"/>
          <w:tab w:val="clear" w:pos="1418"/>
          <w:tab w:val="clear" w:pos="1701"/>
        </w:tabs>
        <w:ind w:left="1134" w:hanging="567"/>
      </w:pPr>
      <w:r>
        <w:t>Maintenance</w:t>
      </w:r>
      <w:r w:rsidR="00A31519">
        <w:t xml:space="preserve"> of Royal Darwin Hospital’s (</w:t>
      </w:r>
      <w:r w:rsidR="00B10ADD">
        <w:t>RDH</w:t>
      </w:r>
      <w:r>
        <w:t>’s</w:t>
      </w:r>
      <w:r w:rsidR="00A31519">
        <w:t>)</w:t>
      </w:r>
      <w:r w:rsidR="00B10ADD">
        <w:t xml:space="preserve"> surge capacity</w:t>
      </w:r>
      <w:r w:rsidR="00A31519">
        <w:t xml:space="preserve"> that is</w:t>
      </w:r>
      <w:r w:rsidR="00B10ADD">
        <w:t xml:space="preserve"> critical to </w:t>
      </w:r>
      <w:r w:rsidR="001A7213">
        <w:t xml:space="preserve">NCCTRC </w:t>
      </w:r>
      <w:r w:rsidR="00B10ADD">
        <w:t xml:space="preserve">operations </w:t>
      </w:r>
      <w:r w:rsidR="00C143A3">
        <w:t>by</w:t>
      </w:r>
      <w:r w:rsidR="00B10ADD">
        <w:t xml:space="preserve">: </w:t>
      </w:r>
      <w:r w:rsidR="00B10ADD" w:rsidDel="00150D90">
        <w:t xml:space="preserve"> </w:t>
      </w:r>
    </w:p>
    <w:p w14:paraId="098AD55C" w14:textId="77777777" w:rsidR="001162BE" w:rsidRPr="008526B1" w:rsidRDefault="001162BE" w:rsidP="006B6747">
      <w:pPr>
        <w:pStyle w:val="AlphaParagraph"/>
        <w:numPr>
          <w:ilvl w:val="0"/>
          <w:numId w:val="35"/>
        </w:numPr>
        <w:tabs>
          <w:tab w:val="clear" w:pos="283"/>
          <w:tab w:val="clear" w:pos="567"/>
          <w:tab w:val="clear" w:pos="1134"/>
          <w:tab w:val="clear" w:pos="1418"/>
          <w:tab w:val="clear" w:pos="1701"/>
        </w:tabs>
      </w:pPr>
      <w:r w:rsidRPr="008526B1">
        <w:t xml:space="preserve">maintaining </w:t>
      </w:r>
      <w:r w:rsidR="00AB5124">
        <w:t xml:space="preserve">the </w:t>
      </w:r>
      <w:r w:rsidRPr="008526B1">
        <w:t xml:space="preserve">trauma </w:t>
      </w:r>
      <w:r w:rsidRPr="007741CF">
        <w:t>service</w:t>
      </w:r>
      <w:r w:rsidR="00B10ADD" w:rsidRPr="007741CF">
        <w:t xml:space="preserve"> </w:t>
      </w:r>
      <w:r w:rsidRPr="007741CF">
        <w:t>in</w:t>
      </w:r>
      <w:r w:rsidRPr="008526B1">
        <w:t xml:space="preserve"> accordance with Royal Australian College of Surgeons accreditation standards;</w:t>
      </w:r>
    </w:p>
    <w:p w14:paraId="2E27D715" w14:textId="77777777" w:rsidR="001162BE" w:rsidRPr="008526B1" w:rsidRDefault="001162BE" w:rsidP="006B6747">
      <w:pPr>
        <w:pStyle w:val="AlphaParagraph"/>
        <w:numPr>
          <w:ilvl w:val="0"/>
          <w:numId w:val="35"/>
        </w:numPr>
        <w:tabs>
          <w:tab w:val="clear" w:pos="283"/>
          <w:tab w:val="clear" w:pos="567"/>
          <w:tab w:val="clear" w:pos="1134"/>
          <w:tab w:val="clear" w:pos="1418"/>
          <w:tab w:val="clear" w:pos="1701"/>
        </w:tabs>
      </w:pPr>
      <w:r w:rsidRPr="008526B1">
        <w:t>training, exercising and maintaining a surge capacity workforce</w:t>
      </w:r>
      <w:r w:rsidR="00A66E35" w:rsidRPr="008526B1">
        <w:t xml:space="preserve"> for sudden onset health emergencies</w:t>
      </w:r>
      <w:r w:rsidR="00AB272D" w:rsidRPr="008526B1">
        <w:t xml:space="preserve"> of national and international significance</w:t>
      </w:r>
      <w:r w:rsidRPr="008526B1">
        <w:t>; and</w:t>
      </w:r>
    </w:p>
    <w:p w14:paraId="4972FDFF" w14:textId="77777777" w:rsidR="001162BE" w:rsidRPr="008526B1" w:rsidRDefault="00C143A3" w:rsidP="006B6747">
      <w:pPr>
        <w:pStyle w:val="AlphaParagraph"/>
        <w:numPr>
          <w:ilvl w:val="0"/>
          <w:numId w:val="35"/>
        </w:numPr>
        <w:tabs>
          <w:tab w:val="clear" w:pos="283"/>
          <w:tab w:val="clear" w:pos="567"/>
          <w:tab w:val="clear" w:pos="1134"/>
          <w:tab w:val="clear" w:pos="1418"/>
          <w:tab w:val="clear" w:pos="1701"/>
        </w:tabs>
      </w:pPr>
      <w:r>
        <w:t xml:space="preserve">conducting </w:t>
      </w:r>
      <w:r w:rsidR="001162BE" w:rsidRPr="008526B1">
        <w:t xml:space="preserve">emergency planning for RDH and </w:t>
      </w:r>
      <w:r>
        <w:t xml:space="preserve">maintaining </w:t>
      </w:r>
      <w:r w:rsidR="001162BE" w:rsidRPr="008526B1">
        <w:t>activation plans for NCCTRC.</w:t>
      </w:r>
    </w:p>
    <w:p w14:paraId="5B86F068" w14:textId="77777777" w:rsidR="001162BE" w:rsidRPr="001210D6" w:rsidRDefault="001162BE" w:rsidP="006B6747">
      <w:pPr>
        <w:pStyle w:val="AlphaParagraph"/>
        <w:numPr>
          <w:ilvl w:val="0"/>
          <w:numId w:val="29"/>
        </w:numPr>
        <w:tabs>
          <w:tab w:val="clear" w:pos="567"/>
          <w:tab w:val="clear" w:pos="1418"/>
          <w:tab w:val="clear" w:pos="1701"/>
        </w:tabs>
        <w:ind w:left="1134" w:hanging="567"/>
      </w:pPr>
      <w:r w:rsidRPr="001210D6">
        <w:t>Maintenance</w:t>
      </w:r>
      <w:r w:rsidR="00E50134">
        <w:t>,</w:t>
      </w:r>
      <w:r w:rsidRPr="001210D6">
        <w:t xml:space="preserve"> ongoing development</w:t>
      </w:r>
      <w:r w:rsidR="00667EB6">
        <w:t xml:space="preserve"> and operation</w:t>
      </w:r>
      <w:r w:rsidRPr="001210D6">
        <w:t xml:space="preserve"> of the </w:t>
      </w:r>
      <w:r w:rsidR="00667EB6">
        <w:t xml:space="preserve">national </w:t>
      </w:r>
      <w:r w:rsidRPr="001210D6">
        <w:t>Australian Medical Assistance Team (AUS</w:t>
      </w:r>
      <w:r w:rsidR="00B5663B" w:rsidRPr="001210D6">
        <w:t>MAT) capability</w:t>
      </w:r>
      <w:r w:rsidRPr="001210D6">
        <w:t xml:space="preserve"> </w:t>
      </w:r>
      <w:r w:rsidR="00A31519">
        <w:t xml:space="preserve"> </w:t>
      </w:r>
      <w:r w:rsidR="00C143A3">
        <w:t>by</w:t>
      </w:r>
      <w:r w:rsidRPr="001210D6">
        <w:t>:</w:t>
      </w:r>
    </w:p>
    <w:p w14:paraId="62C1BEA4" w14:textId="77777777" w:rsidR="00D50776" w:rsidRDefault="00D50776" w:rsidP="00D50776">
      <w:pPr>
        <w:pStyle w:val="AlphaParagraph"/>
        <w:numPr>
          <w:ilvl w:val="0"/>
          <w:numId w:val="36"/>
        </w:numPr>
        <w:tabs>
          <w:tab w:val="clear" w:pos="283"/>
          <w:tab w:val="clear" w:pos="567"/>
          <w:tab w:val="clear" w:pos="1134"/>
          <w:tab w:val="clear" w:pos="1418"/>
          <w:tab w:val="clear" w:pos="1701"/>
        </w:tabs>
      </w:pPr>
      <w:r>
        <w:t xml:space="preserve">Providing 24/7 response </w:t>
      </w:r>
      <w:r w:rsidR="00E309F6">
        <w:t xml:space="preserve">capability and </w:t>
      </w:r>
      <w:r>
        <w:t xml:space="preserve">support to the Australian Government via </w:t>
      </w:r>
      <w:r w:rsidR="00A31519">
        <w:t xml:space="preserve">the Department of </w:t>
      </w:r>
      <w:r>
        <w:t>Health</w:t>
      </w:r>
      <w:r w:rsidR="001B2DCA">
        <w:t xml:space="preserve"> (Health)</w:t>
      </w:r>
      <w:r w:rsidR="00E309F6">
        <w:t>, including the</w:t>
      </w:r>
      <w:r>
        <w:t xml:space="preserve"> deployment, or potential deployment, of AUSMATs</w:t>
      </w:r>
      <w:r w:rsidR="00A9773A">
        <w:t xml:space="preserve"> domestically and internationally</w:t>
      </w:r>
      <w:r>
        <w:t xml:space="preserve">. </w:t>
      </w:r>
    </w:p>
    <w:p w14:paraId="3DBB72E5" w14:textId="77777777" w:rsidR="001162BE" w:rsidRPr="006208EE" w:rsidRDefault="00900FA2" w:rsidP="00AB272D">
      <w:pPr>
        <w:pStyle w:val="AlphaParagraph"/>
        <w:numPr>
          <w:ilvl w:val="0"/>
          <w:numId w:val="36"/>
        </w:numPr>
        <w:tabs>
          <w:tab w:val="clear" w:pos="283"/>
          <w:tab w:val="clear" w:pos="567"/>
          <w:tab w:val="clear" w:pos="1134"/>
          <w:tab w:val="clear" w:pos="1418"/>
          <w:tab w:val="clear" w:pos="1701"/>
        </w:tabs>
        <w:spacing w:after="120"/>
        <w:ind w:hanging="357"/>
      </w:pPr>
      <w:r>
        <w:t>T</w:t>
      </w:r>
      <w:r w:rsidR="00AB272D">
        <w:t xml:space="preserve">raining, exercising, </w:t>
      </w:r>
      <w:r w:rsidR="001162BE" w:rsidRPr="006208EE">
        <w:t>preparing</w:t>
      </w:r>
      <w:r w:rsidR="00AB272D">
        <w:t xml:space="preserve"> and selecting</w:t>
      </w:r>
      <w:r w:rsidR="001162BE" w:rsidRPr="006208EE">
        <w:t xml:space="preserve"> personnel for deployment</w:t>
      </w:r>
      <w:r w:rsidR="00A66E35" w:rsidRPr="006208EE">
        <w:t xml:space="preserve"> thro</w:t>
      </w:r>
      <w:r w:rsidR="006208EE" w:rsidRPr="006208EE">
        <w:t>ugh</w:t>
      </w:r>
      <w:r w:rsidR="005930BC">
        <w:t>:</w:t>
      </w:r>
    </w:p>
    <w:p w14:paraId="5B338272" w14:textId="77777777" w:rsidR="00667EB6" w:rsidRDefault="00667EB6" w:rsidP="00D4297A">
      <w:pPr>
        <w:pStyle w:val="AlphaParagraph"/>
        <w:numPr>
          <w:ilvl w:val="0"/>
          <w:numId w:val="38"/>
        </w:numPr>
        <w:tabs>
          <w:tab w:val="clear" w:pos="283"/>
          <w:tab w:val="clear" w:pos="567"/>
          <w:tab w:val="clear" w:pos="1134"/>
          <w:tab w:val="clear" w:pos="1418"/>
          <w:tab w:val="clear" w:pos="1701"/>
        </w:tabs>
        <w:spacing w:after="120"/>
        <w:ind w:hanging="357"/>
      </w:pPr>
      <w:r>
        <w:t>the development and running of appropriate training courses</w:t>
      </w:r>
      <w:r w:rsidR="005930BC">
        <w:t xml:space="preserve"> for all AUSMAT team members and skills groups</w:t>
      </w:r>
      <w:r>
        <w:t>;</w:t>
      </w:r>
    </w:p>
    <w:p w14:paraId="622045A6" w14:textId="483CC04F" w:rsidR="005930BC" w:rsidRDefault="005930BC" w:rsidP="00D4297A">
      <w:pPr>
        <w:pStyle w:val="AlphaParagraph"/>
        <w:numPr>
          <w:ilvl w:val="0"/>
          <w:numId w:val="38"/>
        </w:numPr>
        <w:tabs>
          <w:tab w:val="clear" w:pos="283"/>
          <w:tab w:val="clear" w:pos="567"/>
          <w:tab w:val="clear" w:pos="1134"/>
          <w:tab w:val="clear" w:pos="1418"/>
          <w:tab w:val="clear" w:pos="1701"/>
        </w:tabs>
        <w:spacing w:after="120"/>
        <w:ind w:hanging="357"/>
      </w:pPr>
      <w:r>
        <w:t xml:space="preserve">ensuring that AUSMAT team members engage with exercises and courses held by partner </w:t>
      </w:r>
      <w:proofErr w:type="gramStart"/>
      <w:r>
        <w:t>organisations;</w:t>
      </w:r>
      <w:proofErr w:type="gramEnd"/>
    </w:p>
    <w:p w14:paraId="0B1CE346" w14:textId="5DAA813F" w:rsidR="005930BC" w:rsidRDefault="005930BC" w:rsidP="00D4297A">
      <w:pPr>
        <w:pStyle w:val="AlphaParagraph"/>
        <w:numPr>
          <w:ilvl w:val="0"/>
          <w:numId w:val="38"/>
        </w:numPr>
        <w:tabs>
          <w:tab w:val="clear" w:pos="283"/>
          <w:tab w:val="clear" w:pos="567"/>
          <w:tab w:val="clear" w:pos="1134"/>
          <w:tab w:val="clear" w:pos="1418"/>
          <w:tab w:val="clear" w:pos="1701"/>
        </w:tabs>
        <w:spacing w:after="120"/>
        <w:ind w:hanging="357"/>
      </w:pPr>
      <w:r>
        <w:t xml:space="preserve">ensuring team selection for deployments and </w:t>
      </w:r>
      <w:proofErr w:type="gramStart"/>
      <w:r>
        <w:t xml:space="preserve">training </w:t>
      </w:r>
      <w:r w:rsidR="001F6F2C">
        <w:t xml:space="preserve"> optimizes</w:t>
      </w:r>
      <w:proofErr w:type="gramEnd"/>
      <w:r w:rsidR="001F6F2C">
        <w:t xml:space="preserve"> overall</w:t>
      </w:r>
      <w:r>
        <w:t xml:space="preserve"> AUSMAT </w:t>
      </w:r>
      <w:r w:rsidR="001F6F2C">
        <w:t xml:space="preserve">cohort </w:t>
      </w:r>
      <w:r>
        <w:t>capability</w:t>
      </w:r>
      <w:r w:rsidR="00C14F2F">
        <w:t>; and</w:t>
      </w:r>
    </w:p>
    <w:p w14:paraId="6E47B278" w14:textId="234BA46C" w:rsidR="00512BF8" w:rsidRDefault="00512BF8" w:rsidP="00512BF8">
      <w:pPr>
        <w:pStyle w:val="AlphaParagraph"/>
        <w:numPr>
          <w:ilvl w:val="0"/>
          <w:numId w:val="38"/>
        </w:numPr>
        <w:tabs>
          <w:tab w:val="clear" w:pos="283"/>
          <w:tab w:val="clear" w:pos="567"/>
          <w:tab w:val="clear" w:pos="1134"/>
          <w:tab w:val="clear" w:pos="1418"/>
          <w:tab w:val="clear" w:pos="1701"/>
        </w:tabs>
        <w:spacing w:after="120"/>
        <w:ind w:hanging="357"/>
      </w:pPr>
      <w:r>
        <w:t>Establishing a rapidly deployable workforce for AUSMAT missions with a highly skilled workforce of predominantly nurse vaccinators in response to COVID-19 and related domestic vaccination efforts in Australia.</w:t>
      </w:r>
    </w:p>
    <w:p w14:paraId="4F968EB8" w14:textId="77777777" w:rsidR="00C43CC3" w:rsidRPr="00FB3397" w:rsidRDefault="00C143A3" w:rsidP="004D61B8">
      <w:pPr>
        <w:pStyle w:val="AlphaParagraph"/>
        <w:numPr>
          <w:ilvl w:val="0"/>
          <w:numId w:val="36"/>
        </w:numPr>
        <w:tabs>
          <w:tab w:val="clear" w:pos="283"/>
          <w:tab w:val="clear" w:pos="567"/>
          <w:tab w:val="clear" w:pos="1134"/>
          <w:tab w:val="clear" w:pos="1418"/>
          <w:tab w:val="clear" w:pos="1701"/>
        </w:tabs>
        <w:spacing w:after="120"/>
        <w:ind w:hanging="357"/>
      </w:pPr>
      <w:r>
        <w:t>M</w:t>
      </w:r>
      <w:r w:rsidR="00C43CC3" w:rsidRPr="00FB3397">
        <w:t>aintaining the</w:t>
      </w:r>
      <w:r w:rsidR="00C43CC3">
        <w:t xml:space="preserve"> supply of the</w:t>
      </w:r>
      <w:r w:rsidR="00C43CC3" w:rsidRPr="00FB3397">
        <w:t xml:space="preserve"> National AUSMAT cache and ensuring it continues to comply with Emergency Medical Teams (EMT) classification standards.</w:t>
      </w:r>
    </w:p>
    <w:p w14:paraId="5DEDFCB0" w14:textId="77777777" w:rsidR="00AB272D" w:rsidRDefault="00E25A56" w:rsidP="00AD2935">
      <w:pPr>
        <w:pStyle w:val="AlphaParagraph"/>
        <w:keepNext/>
        <w:keepLines/>
        <w:numPr>
          <w:ilvl w:val="0"/>
          <w:numId w:val="36"/>
        </w:numPr>
        <w:tabs>
          <w:tab w:val="clear" w:pos="283"/>
          <w:tab w:val="clear" w:pos="567"/>
          <w:tab w:val="clear" w:pos="1134"/>
          <w:tab w:val="clear" w:pos="1418"/>
          <w:tab w:val="clear" w:pos="1701"/>
        </w:tabs>
        <w:spacing w:after="120"/>
      </w:pPr>
      <w:r>
        <w:t>M</w:t>
      </w:r>
      <w:r w:rsidR="00FB3397" w:rsidRPr="00FB3397">
        <w:t>aintaining the National</w:t>
      </w:r>
      <w:r w:rsidR="001162BE" w:rsidRPr="00FB3397">
        <w:t xml:space="preserve"> AUSMAT </w:t>
      </w:r>
      <w:r w:rsidR="00C43CC3">
        <w:t>D</w:t>
      </w:r>
      <w:r w:rsidR="001162BE" w:rsidRPr="00FB3397">
        <w:t>atabas</w:t>
      </w:r>
      <w:r w:rsidR="00B70C6D">
        <w:t>e.</w:t>
      </w:r>
    </w:p>
    <w:p w14:paraId="0E03CF98" w14:textId="77777777" w:rsidR="00AB272D" w:rsidRPr="00FB3397" w:rsidRDefault="00B70C6D" w:rsidP="00AD2935">
      <w:pPr>
        <w:pStyle w:val="AlphaParagraph"/>
        <w:keepNext/>
        <w:keepLines/>
        <w:numPr>
          <w:ilvl w:val="0"/>
          <w:numId w:val="36"/>
        </w:numPr>
        <w:tabs>
          <w:tab w:val="clear" w:pos="283"/>
          <w:tab w:val="clear" w:pos="567"/>
          <w:tab w:val="clear" w:pos="1134"/>
          <w:tab w:val="clear" w:pos="1418"/>
          <w:tab w:val="clear" w:pos="1701"/>
        </w:tabs>
      </w:pPr>
      <w:r>
        <w:t xml:space="preserve">Developing </w:t>
      </w:r>
      <w:r w:rsidR="00C43CC3">
        <w:t xml:space="preserve">new areas for AUSMAT capability in consultation with Health, such as </w:t>
      </w:r>
      <w:r w:rsidR="00AB272D">
        <w:t>an infectious disease capability</w:t>
      </w:r>
      <w:r w:rsidR="00C43CC3">
        <w:t>.</w:t>
      </w:r>
      <w:r w:rsidR="00AB272D">
        <w:t xml:space="preserve"> </w:t>
      </w:r>
    </w:p>
    <w:p w14:paraId="433FC406" w14:textId="77777777" w:rsidR="00681956" w:rsidRPr="00931BBA" w:rsidRDefault="008501B4" w:rsidP="006B6747">
      <w:pPr>
        <w:pStyle w:val="AlphaParagraph"/>
        <w:numPr>
          <w:ilvl w:val="0"/>
          <w:numId w:val="29"/>
        </w:numPr>
        <w:tabs>
          <w:tab w:val="clear" w:pos="567"/>
          <w:tab w:val="clear" w:pos="1418"/>
          <w:tab w:val="clear" w:pos="1701"/>
        </w:tabs>
        <w:ind w:left="1134" w:hanging="567"/>
      </w:pPr>
      <w:r w:rsidRPr="00931BBA">
        <w:t xml:space="preserve">Maintenance of the NCCTRC’s role as Australia’s Centre of Excellence for health disaster response </w:t>
      </w:r>
      <w:r w:rsidR="00C143A3">
        <w:t>by</w:t>
      </w:r>
      <w:r w:rsidRPr="00931BBA">
        <w:t>:</w:t>
      </w:r>
    </w:p>
    <w:p w14:paraId="004FF0CD" w14:textId="77777777" w:rsidR="00E87503" w:rsidRDefault="007641DF" w:rsidP="00CB5D1A">
      <w:pPr>
        <w:pStyle w:val="AlphaParagraph"/>
        <w:numPr>
          <w:ilvl w:val="0"/>
          <w:numId w:val="37"/>
        </w:numPr>
        <w:tabs>
          <w:tab w:val="clear" w:pos="283"/>
          <w:tab w:val="clear" w:pos="567"/>
          <w:tab w:val="clear" w:pos="1134"/>
          <w:tab w:val="clear" w:pos="1418"/>
          <w:tab w:val="clear" w:pos="1701"/>
        </w:tabs>
      </w:pPr>
      <w:r>
        <w:t>Establishing and maintaining a fit for purpose warehouse and office space;</w:t>
      </w:r>
    </w:p>
    <w:p w14:paraId="15D59B0D" w14:textId="77777777" w:rsidR="00142B85" w:rsidRDefault="00142B85" w:rsidP="00CB5D1A">
      <w:pPr>
        <w:pStyle w:val="AlphaParagraph"/>
        <w:numPr>
          <w:ilvl w:val="0"/>
          <w:numId w:val="37"/>
        </w:numPr>
        <w:tabs>
          <w:tab w:val="clear" w:pos="283"/>
          <w:tab w:val="clear" w:pos="567"/>
          <w:tab w:val="clear" w:pos="1134"/>
          <w:tab w:val="clear" w:pos="1418"/>
          <w:tab w:val="clear" w:pos="1701"/>
        </w:tabs>
      </w:pPr>
      <w:r>
        <w:t xml:space="preserve">Maintaining a purpose built training centre and </w:t>
      </w:r>
      <w:r w:rsidR="00931BBA">
        <w:t xml:space="preserve">ensuring training material is reviewed and updated to reflect </w:t>
      </w:r>
      <w:r>
        <w:t>best practice EMT standards;</w:t>
      </w:r>
    </w:p>
    <w:p w14:paraId="3EAA0C81" w14:textId="77777777" w:rsidR="00857332" w:rsidRDefault="00857332" w:rsidP="004415A4">
      <w:pPr>
        <w:pStyle w:val="AlphaParagraph"/>
        <w:numPr>
          <w:ilvl w:val="0"/>
          <w:numId w:val="37"/>
        </w:numPr>
        <w:tabs>
          <w:tab w:val="clear" w:pos="283"/>
          <w:tab w:val="clear" w:pos="567"/>
          <w:tab w:val="clear" w:pos="1134"/>
          <w:tab w:val="clear" w:pos="1418"/>
          <w:tab w:val="clear" w:pos="1701"/>
        </w:tabs>
      </w:pPr>
      <w:r>
        <w:t>Developing collaborative partnerships to establish disaster medicine excellence;</w:t>
      </w:r>
    </w:p>
    <w:p w14:paraId="1CAE7D59" w14:textId="77777777" w:rsidR="00142B85" w:rsidRDefault="00142B85" w:rsidP="004415A4">
      <w:pPr>
        <w:pStyle w:val="AlphaParagraph"/>
        <w:numPr>
          <w:ilvl w:val="0"/>
          <w:numId w:val="37"/>
        </w:numPr>
        <w:tabs>
          <w:tab w:val="clear" w:pos="283"/>
          <w:tab w:val="clear" w:pos="567"/>
          <w:tab w:val="clear" w:pos="1134"/>
          <w:tab w:val="clear" w:pos="1418"/>
          <w:tab w:val="clear" w:pos="1701"/>
        </w:tabs>
      </w:pPr>
      <w:r>
        <w:lastRenderedPageBreak/>
        <w:t>Examining national and international models of practice in disaster and medical emergency response capabilities to ensure training and education programs are relevant and up to date;</w:t>
      </w:r>
    </w:p>
    <w:p w14:paraId="6D0B8C22" w14:textId="77777777" w:rsidR="00E309F6" w:rsidRDefault="00E309F6" w:rsidP="004415A4">
      <w:pPr>
        <w:pStyle w:val="AlphaParagraph"/>
        <w:numPr>
          <w:ilvl w:val="0"/>
          <w:numId w:val="37"/>
        </w:numPr>
        <w:tabs>
          <w:tab w:val="clear" w:pos="283"/>
          <w:tab w:val="clear" w:pos="567"/>
          <w:tab w:val="clear" w:pos="1134"/>
          <w:tab w:val="clear" w:pos="1418"/>
          <w:tab w:val="clear" w:pos="1701"/>
        </w:tabs>
      </w:pPr>
      <w:r>
        <w:t>Leading, coordinating and conducting research activities that influence and enhance national response protocols and decision making processes;</w:t>
      </w:r>
    </w:p>
    <w:p w14:paraId="6F0BD528" w14:textId="77777777" w:rsidR="008501B4" w:rsidRPr="00900FA2" w:rsidRDefault="00142B85" w:rsidP="006B6747">
      <w:pPr>
        <w:pStyle w:val="AlphaParagraph"/>
        <w:numPr>
          <w:ilvl w:val="0"/>
          <w:numId w:val="37"/>
        </w:numPr>
        <w:tabs>
          <w:tab w:val="clear" w:pos="283"/>
          <w:tab w:val="clear" w:pos="567"/>
          <w:tab w:val="clear" w:pos="1134"/>
          <w:tab w:val="clear" w:pos="1418"/>
          <w:tab w:val="clear" w:pos="1701"/>
        </w:tabs>
      </w:pPr>
      <w:r>
        <w:t xml:space="preserve">Supporting </w:t>
      </w:r>
      <w:r w:rsidR="008501B4" w:rsidRPr="00900FA2">
        <w:t>the development, implementation and/or review of international initiatives that facilitate more timely and effective disaster response within the region (including</w:t>
      </w:r>
      <w:r w:rsidR="00900FA2" w:rsidRPr="00900FA2">
        <w:t xml:space="preserve"> but not limited to</w:t>
      </w:r>
      <w:r w:rsidR="008501B4" w:rsidRPr="00900FA2">
        <w:t xml:space="preserve"> the World Health Organization Global Health Emergency Workforce initiatives).</w:t>
      </w:r>
    </w:p>
    <w:p w14:paraId="33FD5372" w14:textId="77777777" w:rsidR="007641DF" w:rsidRDefault="007641DF" w:rsidP="006B6747">
      <w:pPr>
        <w:pStyle w:val="AlphaParagraph"/>
        <w:numPr>
          <w:ilvl w:val="0"/>
          <w:numId w:val="29"/>
        </w:numPr>
        <w:tabs>
          <w:tab w:val="clear" w:pos="283"/>
          <w:tab w:val="clear" w:pos="567"/>
          <w:tab w:val="clear" w:pos="1418"/>
          <w:tab w:val="clear" w:pos="1701"/>
        </w:tabs>
        <w:ind w:left="1134" w:hanging="567"/>
      </w:pPr>
      <w:r>
        <w:t xml:space="preserve">Provide </w:t>
      </w:r>
      <w:r w:rsidR="005930BC">
        <w:t xml:space="preserve">expertise, advice and other </w:t>
      </w:r>
      <w:r>
        <w:t>assistance on national</w:t>
      </w:r>
      <w:r w:rsidR="005930BC">
        <w:t xml:space="preserve"> and regional</w:t>
      </w:r>
      <w:r>
        <w:t xml:space="preserve"> disaster health response matters as requested by Health.</w:t>
      </w:r>
    </w:p>
    <w:p w14:paraId="18771641" w14:textId="77777777" w:rsidR="006D02BE" w:rsidRPr="00160768" w:rsidRDefault="006D02BE" w:rsidP="006D02BE">
      <w:pPr>
        <w:pStyle w:val="AlphaParagraph"/>
        <w:tabs>
          <w:tab w:val="clear" w:pos="0"/>
          <w:tab w:val="clear" w:pos="283"/>
          <w:tab w:val="clear" w:pos="567"/>
          <w:tab w:val="clear" w:pos="1418"/>
          <w:tab w:val="clear" w:pos="1701"/>
        </w:tabs>
      </w:pPr>
      <w:r w:rsidRPr="00160768">
        <w:t>National collaboration</w:t>
      </w:r>
    </w:p>
    <w:p w14:paraId="2B9D8D49" w14:textId="77777777" w:rsidR="00E25A56" w:rsidRPr="006700A2" w:rsidRDefault="00E25A56" w:rsidP="00AD2935">
      <w:pPr>
        <w:pStyle w:val="AlphaParagraph"/>
        <w:numPr>
          <w:ilvl w:val="0"/>
          <w:numId w:val="29"/>
        </w:numPr>
        <w:tabs>
          <w:tab w:val="clear" w:pos="283"/>
          <w:tab w:val="clear" w:pos="567"/>
          <w:tab w:val="clear" w:pos="1418"/>
          <w:tab w:val="clear" w:pos="1701"/>
        </w:tabs>
        <w:ind w:left="1134" w:hanging="567"/>
      </w:pPr>
      <w:r>
        <w:t>Ensuring that all relevant policy decisions, determined in consultation with Health, related to the National AUSMAT Program are agreed to by the National Health Emergency Management Committee (NHEMS) and endorsed by the Australian Health Protection Principal Committee (AHPPC).</w:t>
      </w:r>
    </w:p>
    <w:p w14:paraId="564202E8" w14:textId="77777777" w:rsidR="004410A0" w:rsidRPr="00160768" w:rsidRDefault="006D02BE" w:rsidP="006B6747">
      <w:pPr>
        <w:pStyle w:val="AlphaParagraph"/>
        <w:numPr>
          <w:ilvl w:val="0"/>
          <w:numId w:val="29"/>
        </w:numPr>
        <w:tabs>
          <w:tab w:val="clear" w:pos="283"/>
          <w:tab w:val="clear" w:pos="567"/>
          <w:tab w:val="clear" w:pos="1418"/>
          <w:tab w:val="clear" w:pos="1701"/>
        </w:tabs>
        <w:ind w:left="1134" w:hanging="567"/>
      </w:pPr>
      <w:r w:rsidRPr="00160768">
        <w:t>Maintenance of collaborative relationships with</w:t>
      </w:r>
      <w:r w:rsidR="000E4D08">
        <w:t xml:space="preserve"> jurisdictional health departments and</w:t>
      </w:r>
      <w:r w:rsidRPr="00160768">
        <w:t xml:space="preserve"> relevant organisations</w:t>
      </w:r>
      <w:r w:rsidR="000E4D08">
        <w:t>.</w:t>
      </w:r>
    </w:p>
    <w:p w14:paraId="3D7672DF" w14:textId="77777777" w:rsidR="006D02BE" w:rsidRPr="00160768" w:rsidRDefault="004410A0" w:rsidP="006B6747">
      <w:pPr>
        <w:pStyle w:val="AlphaParagraph"/>
        <w:numPr>
          <w:ilvl w:val="0"/>
          <w:numId w:val="29"/>
        </w:numPr>
        <w:tabs>
          <w:tab w:val="clear" w:pos="283"/>
          <w:tab w:val="clear" w:pos="567"/>
          <w:tab w:val="clear" w:pos="1418"/>
          <w:tab w:val="clear" w:pos="1701"/>
        </w:tabs>
        <w:ind w:left="1134" w:hanging="567"/>
      </w:pPr>
      <w:r w:rsidRPr="00160768">
        <w:t>P</w:t>
      </w:r>
      <w:r w:rsidR="006D02BE" w:rsidRPr="00160768">
        <w:t xml:space="preserve">articipation as a member on the </w:t>
      </w:r>
      <w:r w:rsidR="00AF1C41">
        <w:t>AHPPC</w:t>
      </w:r>
      <w:r w:rsidR="006D02BE" w:rsidRPr="00160768">
        <w:t xml:space="preserve"> and </w:t>
      </w:r>
      <w:r w:rsidR="00AF1C41">
        <w:t>NHEMS</w:t>
      </w:r>
      <w:r w:rsidR="00B70C6D">
        <w:t>, including dedicated resources contributed to the completion of Committee work</w:t>
      </w:r>
      <w:r w:rsidR="00D45A39">
        <w:t>.</w:t>
      </w:r>
      <w:r w:rsidRPr="00160768">
        <w:t xml:space="preserve"> </w:t>
      </w:r>
    </w:p>
    <w:p w14:paraId="0421A0C5" w14:textId="77777777" w:rsidR="008501B4" w:rsidRPr="001210D6" w:rsidRDefault="006D02BE" w:rsidP="00AD2935">
      <w:pPr>
        <w:pStyle w:val="AlphaParagraph"/>
        <w:numPr>
          <w:ilvl w:val="0"/>
          <w:numId w:val="29"/>
        </w:numPr>
        <w:tabs>
          <w:tab w:val="clear" w:pos="283"/>
          <w:tab w:val="clear" w:pos="567"/>
          <w:tab w:val="clear" w:pos="1418"/>
          <w:tab w:val="clear" w:pos="1701"/>
        </w:tabs>
        <w:ind w:left="1134" w:hanging="567"/>
        <w:jc w:val="left"/>
      </w:pPr>
      <w:r w:rsidRPr="00160768">
        <w:t>Work collaboratively to ensure Health is appropriately</w:t>
      </w:r>
      <w:r w:rsidR="008464B9">
        <w:t xml:space="preserve"> consulted</w:t>
      </w:r>
      <w:r w:rsidRPr="00160768">
        <w:t xml:space="preserve"> in relation to activities that involve other Commonwealth agencies and international organisations or governments.</w:t>
      </w:r>
    </w:p>
    <w:p w14:paraId="19214B2F" w14:textId="77777777" w:rsidR="008F44F1" w:rsidRDefault="008F44F1" w:rsidP="00984039">
      <w:pPr>
        <w:pStyle w:val="Heading1"/>
        <w:spacing w:before="240"/>
      </w:pPr>
      <w:r>
        <w:t>Part 3 — roles and responsibilities of each party</w:t>
      </w:r>
    </w:p>
    <w:p w14:paraId="2D4E0498" w14:textId="77777777" w:rsidR="008F44F1" w:rsidRDefault="008F44F1" w:rsidP="008F44F1">
      <w:pPr>
        <w:pStyle w:val="Heading2"/>
      </w:pPr>
      <w:r w:rsidRPr="00814590">
        <w:t>Role of the Commonwealth</w:t>
      </w:r>
    </w:p>
    <w:p w14:paraId="25130FBD" w14:textId="77777777" w:rsidR="008F44F1" w:rsidRDefault="008F44F1" w:rsidP="006B6747">
      <w:pPr>
        <w:pStyle w:val="Normalnumbered"/>
        <w:numPr>
          <w:ilvl w:val="0"/>
          <w:numId w:val="24"/>
        </w:numPr>
        <w:jc w:val="left"/>
      </w:pPr>
      <w:r>
        <w:t>The Commonwealth will be responsible for:</w:t>
      </w:r>
    </w:p>
    <w:p w14:paraId="674F9B4D" w14:textId="77777777" w:rsidR="008F44F1" w:rsidRPr="000614F9" w:rsidRDefault="008F44F1" w:rsidP="006B6747">
      <w:pPr>
        <w:pStyle w:val="AlphaParagraph"/>
        <w:numPr>
          <w:ilvl w:val="0"/>
          <w:numId w:val="34"/>
        </w:numPr>
        <w:tabs>
          <w:tab w:val="clear" w:pos="567"/>
          <w:tab w:val="clear" w:pos="1418"/>
          <w:tab w:val="clear" w:pos="1701"/>
        </w:tabs>
        <w:ind w:left="1134" w:hanging="567"/>
      </w:pPr>
      <w:r w:rsidRPr="000614F9">
        <w:rPr>
          <w:color w:val="auto"/>
        </w:rPr>
        <w:t>monitoring</w:t>
      </w:r>
      <w:r w:rsidRPr="004B6083">
        <w:t xml:space="preserve"> and assessing achievement against milestones in the delivery of the </w:t>
      </w:r>
      <w:r w:rsidR="00A46C65">
        <w:t>NCCTRC services</w:t>
      </w:r>
      <w:r w:rsidRPr="000614F9">
        <w:t xml:space="preserve"> </w:t>
      </w:r>
      <w:r w:rsidRPr="000614F9">
        <w:rPr>
          <w:color w:val="auto"/>
        </w:rPr>
        <w:t>under</w:t>
      </w:r>
      <w:r w:rsidRPr="004B6083">
        <w:t xml:space="preserve"> this Agreement to ensure that outputs are delivered within the agreed timeframe; </w:t>
      </w:r>
      <w:r w:rsidR="00927768">
        <w:t>and</w:t>
      </w:r>
    </w:p>
    <w:p w14:paraId="7405CA69" w14:textId="77777777" w:rsidR="008F44F1" w:rsidRPr="000614F9" w:rsidRDefault="008F44F1" w:rsidP="006B6747">
      <w:pPr>
        <w:pStyle w:val="AlphaParagraph"/>
        <w:numPr>
          <w:ilvl w:val="0"/>
          <w:numId w:val="29"/>
        </w:numPr>
        <w:tabs>
          <w:tab w:val="clear" w:pos="567"/>
          <w:tab w:val="clear" w:pos="1418"/>
          <w:tab w:val="clear" w:pos="1701"/>
        </w:tabs>
        <w:ind w:left="1134" w:hanging="567"/>
        <w:rPr>
          <w:color w:val="auto"/>
        </w:rPr>
      </w:pPr>
      <w:r w:rsidRPr="004B6083">
        <w:rPr>
          <w:color w:val="auto"/>
        </w:rPr>
        <w:t xml:space="preserve">providing a consequent financial contribution to the </w:t>
      </w:r>
      <w:r w:rsidR="001D7E0D">
        <w:rPr>
          <w:color w:val="auto"/>
        </w:rPr>
        <w:t>Northern Territory</w:t>
      </w:r>
      <w:r w:rsidR="001D7E0D" w:rsidRPr="004B6083">
        <w:rPr>
          <w:color w:val="auto"/>
        </w:rPr>
        <w:t xml:space="preserve"> </w:t>
      </w:r>
      <w:r w:rsidRPr="004B6083">
        <w:rPr>
          <w:color w:val="auto"/>
        </w:rPr>
        <w:t xml:space="preserve">to support the </w:t>
      </w:r>
      <w:r w:rsidRPr="000614F9">
        <w:t>implementation</w:t>
      </w:r>
      <w:r w:rsidR="00927768">
        <w:rPr>
          <w:color w:val="auto"/>
        </w:rPr>
        <w:t xml:space="preserve"> of this Agreement.</w:t>
      </w:r>
    </w:p>
    <w:p w14:paraId="1D331E80" w14:textId="77777777" w:rsidR="008F44F1" w:rsidRPr="00751725" w:rsidRDefault="008F44F1" w:rsidP="008F44F1">
      <w:pPr>
        <w:pStyle w:val="Heading2"/>
      </w:pPr>
      <w:r w:rsidRPr="00751725">
        <w:t xml:space="preserve">Role of the States </w:t>
      </w:r>
      <w:r>
        <w:t>and Territories</w:t>
      </w:r>
    </w:p>
    <w:p w14:paraId="4D25CDD2" w14:textId="77777777" w:rsidR="008F44F1" w:rsidRPr="00751725" w:rsidRDefault="008F44F1" w:rsidP="006B6747">
      <w:pPr>
        <w:pStyle w:val="Normalnumbered"/>
        <w:numPr>
          <w:ilvl w:val="0"/>
          <w:numId w:val="24"/>
        </w:numPr>
        <w:jc w:val="left"/>
      </w:pPr>
      <w:r w:rsidRPr="00751725">
        <w:t>The</w:t>
      </w:r>
      <w:r w:rsidR="00927768">
        <w:t xml:space="preserve"> Northern Territory </w:t>
      </w:r>
      <w:r>
        <w:t>will be responsible for</w:t>
      </w:r>
      <w:r w:rsidR="00545DF7">
        <w:t>:</w:t>
      </w:r>
    </w:p>
    <w:p w14:paraId="3E55C968" w14:textId="77777777" w:rsidR="008F44F1" w:rsidRDefault="00927768" w:rsidP="006B6747">
      <w:pPr>
        <w:pStyle w:val="ListParagraph"/>
        <w:numPr>
          <w:ilvl w:val="0"/>
          <w:numId w:val="33"/>
        </w:numPr>
        <w:rPr>
          <w:rFonts w:ascii="Corbel" w:hAnsi="Corbel"/>
          <w:color w:val="000000"/>
          <w:sz w:val="23"/>
          <w:szCs w:val="20"/>
        </w:rPr>
      </w:pPr>
      <w:r w:rsidRPr="00927768">
        <w:rPr>
          <w:rFonts w:ascii="Corbel" w:hAnsi="Corbel"/>
          <w:color w:val="000000"/>
          <w:sz w:val="23"/>
          <w:szCs w:val="20"/>
        </w:rPr>
        <w:t>all aspects of delivering on the project outputs set out in this Agreement;</w:t>
      </w:r>
      <w:r>
        <w:rPr>
          <w:rFonts w:ascii="Corbel" w:hAnsi="Corbel"/>
          <w:color w:val="000000"/>
          <w:sz w:val="23"/>
          <w:szCs w:val="20"/>
        </w:rPr>
        <w:t xml:space="preserve"> and</w:t>
      </w:r>
    </w:p>
    <w:p w14:paraId="7C1C65A2" w14:textId="77777777" w:rsidR="00927768" w:rsidRPr="00927768" w:rsidRDefault="00927768" w:rsidP="00927768">
      <w:pPr>
        <w:pStyle w:val="ListParagraph"/>
        <w:ind w:left="567"/>
        <w:rPr>
          <w:rFonts w:ascii="Corbel" w:hAnsi="Corbel"/>
          <w:color w:val="000000"/>
          <w:sz w:val="23"/>
          <w:szCs w:val="20"/>
        </w:rPr>
      </w:pPr>
    </w:p>
    <w:p w14:paraId="6873E34C" w14:textId="77777777" w:rsidR="00A6719E" w:rsidRDefault="00A6719E" w:rsidP="006B6747">
      <w:pPr>
        <w:pStyle w:val="AlphaParagraph"/>
        <w:numPr>
          <w:ilvl w:val="0"/>
          <w:numId w:val="29"/>
        </w:numPr>
        <w:tabs>
          <w:tab w:val="clear" w:pos="567"/>
          <w:tab w:val="clear" w:pos="1418"/>
          <w:tab w:val="clear" w:pos="1701"/>
        </w:tabs>
        <w:ind w:left="1134" w:hanging="567"/>
      </w:pPr>
      <w:r w:rsidRPr="006B4DF0">
        <w:t xml:space="preserve">reporting on the delivery of </w:t>
      </w:r>
      <w:r>
        <w:t>outputs</w:t>
      </w:r>
      <w:r w:rsidRPr="006B4DF0">
        <w:t xml:space="preserve"> </w:t>
      </w:r>
      <w:r>
        <w:t>as set out in Part 4</w:t>
      </w:r>
      <w:r w:rsidRPr="006B4DF0">
        <w:t xml:space="preserve"> – P</w:t>
      </w:r>
      <w:r>
        <w:t>roject Milestones, Reporting and Payments</w:t>
      </w:r>
      <w:r w:rsidR="00927768">
        <w:t>.</w:t>
      </w:r>
    </w:p>
    <w:p w14:paraId="40E3C6BB" w14:textId="77777777" w:rsidR="008F44F1" w:rsidRDefault="008F44F1" w:rsidP="004F5DCD">
      <w:pPr>
        <w:pStyle w:val="Heading2"/>
      </w:pPr>
      <w:r>
        <w:lastRenderedPageBreak/>
        <w:t>Shared roles</w:t>
      </w:r>
    </w:p>
    <w:p w14:paraId="7D4BD1E4" w14:textId="77777777" w:rsidR="008F44F1" w:rsidRDefault="008F44F1" w:rsidP="008E4C72">
      <w:pPr>
        <w:pStyle w:val="Normalnumbered"/>
        <w:numPr>
          <w:ilvl w:val="0"/>
          <w:numId w:val="24"/>
        </w:numPr>
        <w:spacing w:after="360"/>
      </w:pPr>
      <w:r>
        <w:rPr>
          <w:color w:val="auto"/>
        </w:rPr>
        <w:t>The</w:t>
      </w:r>
      <w:r w:rsidRPr="00166312">
        <w:rPr>
          <w:color w:val="auto"/>
        </w:rPr>
        <w:t xml:space="preserve"> Parties will</w:t>
      </w:r>
      <w:r>
        <w:rPr>
          <w:color w:val="auto"/>
        </w:rPr>
        <w:t xml:space="preserve"> </w:t>
      </w:r>
      <w:r>
        <w:t xml:space="preserve">meet the requirements of Schedule E, Clause 26 of </w:t>
      </w:r>
      <w:r w:rsidRPr="00183EAB">
        <w:rPr>
          <w:color w:val="auto"/>
        </w:rPr>
        <w:t xml:space="preserve">the </w:t>
      </w:r>
      <w:r w:rsidR="00C41265">
        <w:rPr>
          <w:color w:val="auto"/>
        </w:rPr>
        <w:t>IGA FFR</w:t>
      </w:r>
      <w:r w:rsidRPr="000614F9">
        <w:rPr>
          <w:color w:val="auto"/>
        </w:rPr>
        <w:t>, by ensuring that prior agreemen</w:t>
      </w:r>
      <w:r>
        <w:t>t is reached on the nature and content of any events, announcements, promotional material or publicity relating to activities under this Agreement, and that the roles of both Parties will be acknowledged and recognised appropriately.</w:t>
      </w:r>
    </w:p>
    <w:p w14:paraId="60C00F7D" w14:textId="77777777" w:rsidR="00814667" w:rsidRPr="00814590" w:rsidRDefault="00814667" w:rsidP="00DD00C5">
      <w:pPr>
        <w:pStyle w:val="Heading1"/>
        <w:spacing w:before="360"/>
      </w:pPr>
      <w:r w:rsidRPr="00814590">
        <w:t xml:space="preserve">Part 4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14:paraId="431F0B65" w14:textId="5BD45738" w:rsidR="004B6083" w:rsidRDefault="00545DF7" w:rsidP="006B6747">
      <w:pPr>
        <w:pStyle w:val="Normalnumbered"/>
        <w:numPr>
          <w:ilvl w:val="0"/>
          <w:numId w:val="24"/>
        </w:numPr>
      </w:pPr>
      <w:r w:rsidRPr="00DE36EB">
        <w:t>T</w:t>
      </w:r>
      <w:r w:rsidR="007C4F31" w:rsidRPr="00DE36EB">
        <w:t xml:space="preserve">able </w:t>
      </w:r>
      <w:r w:rsidRPr="00DE36EB">
        <w:t>1</w:t>
      </w:r>
      <w:r>
        <w:t xml:space="preserve"> </w:t>
      </w:r>
      <w:r w:rsidR="007C4F31">
        <w:t xml:space="preserve">summarises the milestones for the project, their relationship to the outputs, expected completion dates, relevant reporting dates and expected payments </w:t>
      </w:r>
      <w:r w:rsidR="0077685D">
        <w:t>to be made</w:t>
      </w:r>
      <w:r w:rsidR="00B83D06">
        <w:t xml:space="preserve">. </w:t>
      </w:r>
      <w:r w:rsidR="00ED2AC4">
        <w:t>The Commonwealth will make payments subject to the</w:t>
      </w:r>
      <w:r w:rsidR="00DD00C5">
        <w:t xml:space="preserve"> relevant</w:t>
      </w:r>
      <w:r w:rsidR="00ED2AC4">
        <w:t xml:space="preserve"> performance report demonstrating the </w:t>
      </w:r>
      <w:r w:rsidR="00ED2AC4" w:rsidRPr="00EF6486">
        <w:rPr>
          <w:szCs w:val="23"/>
        </w:rPr>
        <w:t xml:space="preserve">milestone </w:t>
      </w:r>
      <w:r w:rsidR="00ED2AC4">
        <w:t>has been met.</w:t>
      </w:r>
    </w:p>
    <w:p w14:paraId="19050B7E" w14:textId="65372161" w:rsidR="00716054" w:rsidRDefault="00716054">
      <w:pPr>
        <w:pStyle w:val="Normalnumbered"/>
        <w:numPr>
          <w:ilvl w:val="0"/>
          <w:numId w:val="24"/>
        </w:numPr>
      </w:pPr>
      <w:r>
        <w:t>Table 2 summarises the amendments to the original agreement.</w:t>
      </w:r>
      <w:r w:rsidR="00F16607">
        <w:t xml:space="preserve"> </w:t>
      </w:r>
      <w:r>
        <w:t>These amendments are reflective of emerging needs and in response to specific outputs as defined. The Commonwealth will make payments subject to the relevant criteria for each output.</w:t>
      </w:r>
    </w:p>
    <w:p w14:paraId="7196A687" w14:textId="77777777" w:rsidR="00F3245D" w:rsidRPr="000E2AF6" w:rsidRDefault="0095223D" w:rsidP="008E0AD6">
      <w:pPr>
        <w:pStyle w:val="Normalnumbered"/>
        <w:keepNext/>
        <w:numPr>
          <w:ilvl w:val="0"/>
          <w:numId w:val="0"/>
        </w:numPr>
      </w:pPr>
      <w:r w:rsidRPr="00DD00C5">
        <w:rPr>
          <w:b/>
        </w:rPr>
        <w:t xml:space="preserve">Table </w:t>
      </w:r>
      <w:r w:rsidR="00E204BB" w:rsidRPr="00DD00C5">
        <w:rPr>
          <w:b/>
        </w:rPr>
        <w:t>1</w:t>
      </w:r>
      <w:r w:rsidRPr="00DD00C5">
        <w:t xml:space="preserve">: </w:t>
      </w:r>
      <w:r w:rsidR="00806D94" w:rsidRPr="00DD00C5">
        <w:rPr>
          <w:b/>
        </w:rPr>
        <w:t>Performance requirements</w:t>
      </w:r>
      <w:r w:rsidRPr="00DD00C5">
        <w:rPr>
          <w:b/>
        </w:rPr>
        <w:t>, reporting and payment summary</w:t>
      </w:r>
    </w:p>
    <w:tbl>
      <w:tblPr>
        <w:tblW w:w="9636"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52"/>
        <w:gridCol w:w="2976"/>
        <w:gridCol w:w="2812"/>
        <w:gridCol w:w="1296"/>
      </w:tblGrid>
      <w:tr w:rsidR="0055415C" w:rsidRPr="00C26C5B" w14:paraId="263299D5" w14:textId="77777777" w:rsidTr="00C24757">
        <w:trPr>
          <w:trHeight w:val="893"/>
          <w:jc w:val="center"/>
        </w:trPr>
        <w:tc>
          <w:tcPr>
            <w:tcW w:w="2552" w:type="dxa"/>
            <w:tcBorders>
              <w:bottom w:val="single" w:sz="18" w:space="0" w:color="4F81BD"/>
            </w:tcBorders>
          </w:tcPr>
          <w:p w14:paraId="3B7F8D5E" w14:textId="77777777" w:rsidR="0055415C" w:rsidRPr="00C26C5B" w:rsidRDefault="0055415C" w:rsidP="004F3E06">
            <w:pPr>
              <w:pStyle w:val="Heading2"/>
              <w:rPr>
                <w:bCs w:val="0"/>
                <w:sz w:val="24"/>
                <w:szCs w:val="24"/>
              </w:rPr>
            </w:pPr>
            <w:r w:rsidRPr="00C26C5B">
              <w:rPr>
                <w:bCs w:val="0"/>
                <w:sz w:val="24"/>
                <w:szCs w:val="24"/>
              </w:rPr>
              <w:t>Output</w:t>
            </w:r>
          </w:p>
        </w:tc>
        <w:tc>
          <w:tcPr>
            <w:tcW w:w="2976" w:type="dxa"/>
            <w:tcBorders>
              <w:bottom w:val="single" w:sz="18" w:space="0" w:color="4F81BD"/>
            </w:tcBorders>
          </w:tcPr>
          <w:p w14:paraId="275F2099" w14:textId="77777777" w:rsidR="0055415C" w:rsidRPr="00C26C5B" w:rsidRDefault="0055415C" w:rsidP="004F3E06">
            <w:pPr>
              <w:pStyle w:val="Heading2"/>
              <w:rPr>
                <w:bCs w:val="0"/>
                <w:sz w:val="24"/>
                <w:szCs w:val="24"/>
              </w:rPr>
            </w:pPr>
            <w:r>
              <w:rPr>
                <w:bCs w:val="0"/>
                <w:sz w:val="24"/>
                <w:szCs w:val="24"/>
              </w:rPr>
              <w:t>Performance m</w:t>
            </w:r>
            <w:r w:rsidRPr="00C26C5B">
              <w:rPr>
                <w:bCs w:val="0"/>
                <w:sz w:val="24"/>
                <w:szCs w:val="24"/>
              </w:rPr>
              <w:t>ilestone</w:t>
            </w:r>
            <w:r w:rsidR="004F3E06">
              <w:rPr>
                <w:bCs w:val="0"/>
                <w:sz w:val="24"/>
                <w:szCs w:val="24"/>
              </w:rPr>
              <w:t xml:space="preserve"> or benchmark</w:t>
            </w:r>
          </w:p>
        </w:tc>
        <w:tc>
          <w:tcPr>
            <w:tcW w:w="2812" w:type="dxa"/>
            <w:tcBorders>
              <w:bottom w:val="single" w:sz="18" w:space="0" w:color="4F81BD"/>
            </w:tcBorders>
          </w:tcPr>
          <w:p w14:paraId="07725212" w14:textId="77777777" w:rsidR="0055415C" w:rsidRPr="00D0312C" w:rsidRDefault="0055415C" w:rsidP="0026571E">
            <w:pPr>
              <w:pStyle w:val="Heading2"/>
              <w:rPr>
                <w:sz w:val="18"/>
                <w:szCs w:val="18"/>
              </w:rPr>
            </w:pPr>
            <w:r w:rsidRPr="00DE36EB">
              <w:rPr>
                <w:bCs w:val="0"/>
                <w:sz w:val="24"/>
                <w:szCs w:val="24"/>
              </w:rPr>
              <w:t>Report due</w:t>
            </w:r>
            <w:r>
              <w:rPr>
                <w:bCs w:val="0"/>
                <w:sz w:val="24"/>
                <w:szCs w:val="24"/>
              </w:rPr>
              <w:t xml:space="preserve"> </w:t>
            </w:r>
          </w:p>
        </w:tc>
        <w:tc>
          <w:tcPr>
            <w:tcW w:w="1296" w:type="dxa"/>
            <w:tcBorders>
              <w:bottom w:val="single" w:sz="18" w:space="0" w:color="4F81BD"/>
            </w:tcBorders>
          </w:tcPr>
          <w:p w14:paraId="47C330C4" w14:textId="77777777" w:rsidR="0055415C" w:rsidRPr="00C26C5B" w:rsidRDefault="0055415C" w:rsidP="00F3245D">
            <w:pPr>
              <w:pStyle w:val="Heading2"/>
              <w:rPr>
                <w:bCs w:val="0"/>
                <w:sz w:val="24"/>
                <w:szCs w:val="24"/>
              </w:rPr>
            </w:pPr>
            <w:r w:rsidRPr="00C26C5B">
              <w:rPr>
                <w:bCs w:val="0"/>
                <w:sz w:val="24"/>
                <w:szCs w:val="24"/>
              </w:rPr>
              <w:t>Payment</w:t>
            </w:r>
          </w:p>
        </w:tc>
      </w:tr>
      <w:tr w:rsidR="002060AB" w:rsidRPr="00C26C5B" w14:paraId="13F9BB60" w14:textId="77777777" w:rsidTr="00C24757">
        <w:trPr>
          <w:jc w:val="center"/>
        </w:trPr>
        <w:tc>
          <w:tcPr>
            <w:tcW w:w="2552" w:type="dxa"/>
            <w:vMerge w:val="restart"/>
            <w:shd w:val="clear" w:color="auto" w:fill="D3DFEE"/>
          </w:tcPr>
          <w:p w14:paraId="7E4456EB" w14:textId="77777777" w:rsidR="002060AB" w:rsidRPr="00F16607" w:rsidRDefault="002060AB" w:rsidP="002060AB">
            <w:pPr>
              <w:pStyle w:val="Heading2"/>
              <w:spacing w:before="0"/>
              <w:rPr>
                <w:b w:val="0"/>
                <w:bCs w:val="0"/>
                <w:color w:val="auto"/>
                <w:sz w:val="24"/>
                <w:szCs w:val="24"/>
              </w:rPr>
            </w:pPr>
            <w:r w:rsidRPr="00F16607">
              <w:rPr>
                <w:b w:val="0"/>
                <w:color w:val="auto"/>
                <w:sz w:val="24"/>
                <w:szCs w:val="24"/>
              </w:rPr>
              <w:t>T</w:t>
            </w:r>
            <w:r w:rsidRPr="00F16607">
              <w:rPr>
                <w:b w:val="0"/>
                <w:bCs w:val="0"/>
                <w:color w:val="auto"/>
                <w:sz w:val="24"/>
                <w:szCs w:val="24"/>
              </w:rPr>
              <w:t>he continued operation and development of the NCCTRC’s national and regional response capability and its maintenance in a state of readiness to respond to incidents of national and international significance.</w:t>
            </w:r>
          </w:p>
        </w:tc>
        <w:tc>
          <w:tcPr>
            <w:tcW w:w="2976" w:type="dxa"/>
            <w:vMerge w:val="restart"/>
            <w:tcBorders>
              <w:top w:val="single" w:sz="18" w:space="0" w:color="4F81BD"/>
            </w:tcBorders>
          </w:tcPr>
          <w:p w14:paraId="1EC76DB5" w14:textId="77777777" w:rsidR="002060AB" w:rsidRPr="00F16607" w:rsidRDefault="002060AB" w:rsidP="002060AB">
            <w:pPr>
              <w:pStyle w:val="Heading2"/>
              <w:spacing w:before="0"/>
              <w:rPr>
                <w:b w:val="0"/>
                <w:color w:val="auto"/>
                <w:sz w:val="24"/>
                <w:szCs w:val="24"/>
              </w:rPr>
            </w:pPr>
            <w:r w:rsidRPr="00F16607">
              <w:rPr>
                <w:b w:val="0"/>
                <w:color w:val="auto"/>
                <w:sz w:val="24"/>
                <w:szCs w:val="24"/>
              </w:rPr>
              <w:t xml:space="preserve">Delivery of biannual performance reports, in accordance with clause 14 of this agreement, demonstrating that the output has been achieved. </w:t>
            </w:r>
          </w:p>
        </w:tc>
        <w:tc>
          <w:tcPr>
            <w:tcW w:w="2812" w:type="dxa"/>
            <w:shd w:val="clear" w:color="auto" w:fill="D3DFEE"/>
          </w:tcPr>
          <w:p w14:paraId="63C887CD" w14:textId="77777777" w:rsidR="002060AB" w:rsidRPr="00F16607" w:rsidRDefault="002060AB" w:rsidP="002060AB">
            <w:pPr>
              <w:pStyle w:val="Heading2"/>
              <w:spacing w:before="0" w:after="60"/>
              <w:rPr>
                <w:bCs w:val="0"/>
                <w:color w:val="auto"/>
                <w:sz w:val="24"/>
                <w:szCs w:val="24"/>
              </w:rPr>
            </w:pPr>
            <w:r w:rsidRPr="00F16607">
              <w:rPr>
                <w:bCs w:val="0"/>
                <w:color w:val="auto"/>
                <w:sz w:val="24"/>
                <w:szCs w:val="24"/>
              </w:rPr>
              <w:t>31/01/2020</w:t>
            </w:r>
          </w:p>
          <w:p w14:paraId="1F0EB584" w14:textId="77777777" w:rsidR="002060AB" w:rsidRPr="00F16607" w:rsidRDefault="002060AB" w:rsidP="002060AB">
            <w:pPr>
              <w:spacing w:after="120"/>
              <w:jc w:val="left"/>
              <w:rPr>
                <w:sz w:val="24"/>
                <w:szCs w:val="24"/>
              </w:rPr>
            </w:pPr>
            <w:r w:rsidRPr="00F16607">
              <w:rPr>
                <w:sz w:val="24"/>
                <w:szCs w:val="24"/>
              </w:rPr>
              <w:t xml:space="preserve">For the 1 July 2019 to </w:t>
            </w:r>
            <w:r w:rsidRPr="00F16607">
              <w:rPr>
                <w:sz w:val="24"/>
                <w:szCs w:val="24"/>
              </w:rPr>
              <w:br/>
              <w:t>31 December 2019 period</w:t>
            </w:r>
          </w:p>
        </w:tc>
        <w:tc>
          <w:tcPr>
            <w:tcW w:w="1296" w:type="dxa"/>
            <w:shd w:val="clear" w:color="auto" w:fill="D3DFEE"/>
          </w:tcPr>
          <w:p w14:paraId="12564DF7" w14:textId="77777777" w:rsidR="002060AB" w:rsidRPr="00F16607" w:rsidRDefault="002060AB" w:rsidP="002060AB">
            <w:pPr>
              <w:pStyle w:val="Heading2"/>
              <w:spacing w:before="360"/>
              <w:rPr>
                <w:b w:val="0"/>
                <w:color w:val="auto"/>
                <w:sz w:val="24"/>
                <w:szCs w:val="24"/>
              </w:rPr>
            </w:pPr>
            <w:r w:rsidRPr="00F16607">
              <w:rPr>
                <w:b w:val="0"/>
                <w:bCs w:val="0"/>
                <w:color w:val="auto"/>
                <w:sz w:val="24"/>
                <w:szCs w:val="24"/>
              </w:rPr>
              <w:t>$16.507m</w:t>
            </w:r>
            <w:r w:rsidRPr="00F16607">
              <w:rPr>
                <w:b w:val="0"/>
                <w:bCs w:val="0"/>
                <w:color w:val="auto"/>
                <w:sz w:val="24"/>
                <w:szCs w:val="24"/>
              </w:rPr>
              <w:br/>
            </w:r>
          </w:p>
        </w:tc>
      </w:tr>
      <w:tr w:rsidR="002060AB" w:rsidRPr="00C26C5B" w14:paraId="6F9B8494" w14:textId="77777777" w:rsidTr="00C24757">
        <w:trPr>
          <w:jc w:val="center"/>
        </w:trPr>
        <w:tc>
          <w:tcPr>
            <w:tcW w:w="2552" w:type="dxa"/>
            <w:vMerge/>
          </w:tcPr>
          <w:p w14:paraId="6E95FFA7" w14:textId="77777777" w:rsidR="002060AB" w:rsidRPr="00F16607" w:rsidRDefault="002060AB" w:rsidP="002060AB">
            <w:pPr>
              <w:pStyle w:val="Heading2"/>
              <w:rPr>
                <w:b w:val="0"/>
                <w:bCs w:val="0"/>
                <w:sz w:val="24"/>
                <w:szCs w:val="24"/>
              </w:rPr>
            </w:pPr>
          </w:p>
        </w:tc>
        <w:tc>
          <w:tcPr>
            <w:tcW w:w="2976" w:type="dxa"/>
            <w:vMerge/>
          </w:tcPr>
          <w:p w14:paraId="0B7DA933" w14:textId="77777777" w:rsidR="002060AB" w:rsidRPr="00F16607" w:rsidRDefault="002060AB" w:rsidP="002060AB">
            <w:pPr>
              <w:pStyle w:val="Heading2"/>
              <w:rPr>
                <w:b w:val="0"/>
                <w:color w:val="auto"/>
                <w:sz w:val="24"/>
                <w:szCs w:val="24"/>
              </w:rPr>
            </w:pPr>
          </w:p>
        </w:tc>
        <w:tc>
          <w:tcPr>
            <w:tcW w:w="2812" w:type="dxa"/>
          </w:tcPr>
          <w:p w14:paraId="6ED0C2FF" w14:textId="77777777" w:rsidR="002060AB" w:rsidRPr="00F16607" w:rsidRDefault="002060AB" w:rsidP="002060AB">
            <w:pPr>
              <w:pStyle w:val="Heading2"/>
              <w:spacing w:before="0" w:after="60"/>
              <w:rPr>
                <w:rFonts w:cs="Times New Roman"/>
                <w:bCs w:val="0"/>
                <w:iCs w:val="0"/>
                <w:color w:val="000000"/>
                <w:sz w:val="24"/>
                <w:szCs w:val="24"/>
              </w:rPr>
            </w:pPr>
            <w:r w:rsidRPr="00F16607">
              <w:rPr>
                <w:rFonts w:cs="Times New Roman"/>
                <w:bCs w:val="0"/>
                <w:iCs w:val="0"/>
                <w:color w:val="000000"/>
                <w:sz w:val="24"/>
                <w:szCs w:val="24"/>
              </w:rPr>
              <w:t>31/07/2020</w:t>
            </w:r>
          </w:p>
          <w:p w14:paraId="59D596B0" w14:textId="77777777" w:rsidR="002060AB" w:rsidRPr="00F16607" w:rsidRDefault="002060AB" w:rsidP="002060AB">
            <w:pPr>
              <w:spacing w:after="120"/>
              <w:jc w:val="left"/>
              <w:rPr>
                <w:sz w:val="24"/>
                <w:szCs w:val="24"/>
              </w:rPr>
            </w:pPr>
            <w:r w:rsidRPr="00F16607">
              <w:rPr>
                <w:sz w:val="24"/>
                <w:szCs w:val="24"/>
              </w:rPr>
              <w:t xml:space="preserve">For the 1 January 2020 to </w:t>
            </w:r>
            <w:r w:rsidR="00C24757" w:rsidRPr="00F16607">
              <w:rPr>
                <w:sz w:val="24"/>
                <w:szCs w:val="24"/>
              </w:rPr>
              <w:br/>
            </w:r>
            <w:r w:rsidRPr="00F16607">
              <w:rPr>
                <w:sz w:val="24"/>
                <w:szCs w:val="24"/>
              </w:rPr>
              <w:t>30 June 2020 period</w:t>
            </w:r>
          </w:p>
        </w:tc>
        <w:tc>
          <w:tcPr>
            <w:tcW w:w="1296" w:type="dxa"/>
          </w:tcPr>
          <w:p w14:paraId="7202C70F" w14:textId="77777777" w:rsidR="002060AB" w:rsidRPr="00F16607" w:rsidRDefault="002060AB" w:rsidP="002060AB">
            <w:pPr>
              <w:pStyle w:val="Heading2"/>
              <w:spacing w:before="360"/>
              <w:rPr>
                <w:rFonts w:cs="Times New Roman"/>
                <w:b w:val="0"/>
                <w:bCs w:val="0"/>
                <w:iCs w:val="0"/>
                <w:color w:val="000000"/>
                <w:sz w:val="24"/>
                <w:szCs w:val="24"/>
              </w:rPr>
            </w:pPr>
            <w:r w:rsidRPr="00F16607">
              <w:rPr>
                <w:rFonts w:cs="Times New Roman"/>
                <w:b w:val="0"/>
                <w:bCs w:val="0"/>
                <w:iCs w:val="0"/>
                <w:color w:val="000000"/>
                <w:sz w:val="24"/>
                <w:szCs w:val="24"/>
              </w:rPr>
              <w:t>$8.3855m</w:t>
            </w:r>
            <w:r w:rsidRPr="00F16607">
              <w:rPr>
                <w:rFonts w:cs="Times New Roman"/>
                <w:b w:val="0"/>
                <w:bCs w:val="0"/>
                <w:iCs w:val="0"/>
                <w:color w:val="000000"/>
                <w:sz w:val="24"/>
                <w:szCs w:val="24"/>
              </w:rPr>
              <w:br/>
            </w:r>
          </w:p>
        </w:tc>
      </w:tr>
      <w:tr w:rsidR="002060AB" w:rsidRPr="00C26C5B" w14:paraId="354DB32C" w14:textId="77777777" w:rsidTr="00C24757">
        <w:trPr>
          <w:jc w:val="center"/>
        </w:trPr>
        <w:tc>
          <w:tcPr>
            <w:tcW w:w="2552" w:type="dxa"/>
            <w:vMerge/>
          </w:tcPr>
          <w:p w14:paraId="3C3A24F7" w14:textId="77777777" w:rsidR="002060AB" w:rsidRPr="00F16607" w:rsidRDefault="002060AB" w:rsidP="002060AB">
            <w:pPr>
              <w:pStyle w:val="Heading2"/>
              <w:rPr>
                <w:b w:val="0"/>
                <w:bCs w:val="0"/>
                <w:sz w:val="24"/>
                <w:szCs w:val="24"/>
              </w:rPr>
            </w:pPr>
          </w:p>
        </w:tc>
        <w:tc>
          <w:tcPr>
            <w:tcW w:w="2976" w:type="dxa"/>
            <w:vMerge/>
          </w:tcPr>
          <w:p w14:paraId="1DA8F3AB" w14:textId="77777777" w:rsidR="002060AB" w:rsidRPr="00F16607" w:rsidRDefault="002060AB" w:rsidP="002060AB">
            <w:pPr>
              <w:pStyle w:val="Heading2"/>
              <w:rPr>
                <w:b w:val="0"/>
                <w:color w:val="auto"/>
                <w:sz w:val="24"/>
                <w:szCs w:val="24"/>
              </w:rPr>
            </w:pPr>
          </w:p>
        </w:tc>
        <w:tc>
          <w:tcPr>
            <w:tcW w:w="2812" w:type="dxa"/>
            <w:shd w:val="clear" w:color="auto" w:fill="D3DFEE"/>
          </w:tcPr>
          <w:p w14:paraId="7598BC16" w14:textId="77777777" w:rsidR="002060AB" w:rsidRPr="00F16607" w:rsidRDefault="002060AB" w:rsidP="002060AB">
            <w:pPr>
              <w:pStyle w:val="Heading2"/>
              <w:spacing w:before="0" w:after="60"/>
              <w:rPr>
                <w:rFonts w:cs="Times New Roman"/>
                <w:bCs w:val="0"/>
                <w:iCs w:val="0"/>
                <w:color w:val="000000"/>
                <w:sz w:val="24"/>
                <w:szCs w:val="24"/>
              </w:rPr>
            </w:pPr>
            <w:r w:rsidRPr="00F16607">
              <w:rPr>
                <w:rFonts w:cs="Times New Roman"/>
                <w:bCs w:val="0"/>
                <w:iCs w:val="0"/>
                <w:color w:val="000000"/>
                <w:sz w:val="24"/>
                <w:szCs w:val="24"/>
              </w:rPr>
              <w:t>31/01/2021</w:t>
            </w:r>
          </w:p>
          <w:p w14:paraId="7F749771" w14:textId="77777777" w:rsidR="002060AB" w:rsidRPr="00F16607" w:rsidRDefault="002060AB" w:rsidP="002060AB">
            <w:pPr>
              <w:spacing w:after="120"/>
              <w:jc w:val="left"/>
              <w:rPr>
                <w:sz w:val="24"/>
                <w:szCs w:val="24"/>
              </w:rPr>
            </w:pPr>
            <w:r w:rsidRPr="00F16607">
              <w:rPr>
                <w:sz w:val="24"/>
                <w:szCs w:val="24"/>
              </w:rPr>
              <w:t xml:space="preserve">For the 1 July 2020 to </w:t>
            </w:r>
            <w:r w:rsidRPr="00F16607">
              <w:rPr>
                <w:sz w:val="24"/>
                <w:szCs w:val="24"/>
              </w:rPr>
              <w:br/>
              <w:t>31 December 2020 period</w:t>
            </w:r>
          </w:p>
        </w:tc>
        <w:tc>
          <w:tcPr>
            <w:tcW w:w="1296" w:type="dxa"/>
            <w:shd w:val="clear" w:color="auto" w:fill="D3DFEE"/>
          </w:tcPr>
          <w:p w14:paraId="36E2C934" w14:textId="77777777" w:rsidR="002060AB" w:rsidRPr="00F16607" w:rsidRDefault="002060AB" w:rsidP="002060AB">
            <w:pPr>
              <w:pStyle w:val="Heading2"/>
              <w:spacing w:before="360"/>
              <w:rPr>
                <w:rFonts w:cs="Times New Roman"/>
                <w:b w:val="0"/>
                <w:bCs w:val="0"/>
                <w:iCs w:val="0"/>
                <w:color w:val="000000"/>
                <w:sz w:val="24"/>
                <w:szCs w:val="24"/>
              </w:rPr>
            </w:pPr>
            <w:r w:rsidRPr="00F16607">
              <w:rPr>
                <w:rFonts w:cs="Times New Roman"/>
                <w:b w:val="0"/>
                <w:bCs w:val="0"/>
                <w:iCs w:val="0"/>
                <w:color w:val="000000"/>
                <w:sz w:val="24"/>
                <w:szCs w:val="24"/>
              </w:rPr>
              <w:t>$8.3855m</w:t>
            </w:r>
            <w:r w:rsidRPr="00F16607">
              <w:rPr>
                <w:rFonts w:cs="Times New Roman"/>
                <w:b w:val="0"/>
                <w:bCs w:val="0"/>
                <w:iCs w:val="0"/>
                <w:color w:val="000000"/>
                <w:sz w:val="24"/>
                <w:szCs w:val="24"/>
              </w:rPr>
              <w:br/>
            </w:r>
          </w:p>
        </w:tc>
      </w:tr>
      <w:tr w:rsidR="002060AB" w:rsidRPr="00C26C5B" w14:paraId="5FE80D1F" w14:textId="77777777" w:rsidTr="00C24757">
        <w:trPr>
          <w:jc w:val="center"/>
        </w:trPr>
        <w:tc>
          <w:tcPr>
            <w:tcW w:w="2552" w:type="dxa"/>
            <w:vMerge/>
          </w:tcPr>
          <w:p w14:paraId="00DF6C51" w14:textId="77777777" w:rsidR="002060AB" w:rsidRPr="00F16607" w:rsidRDefault="002060AB" w:rsidP="002060AB">
            <w:pPr>
              <w:pStyle w:val="Heading2"/>
              <w:rPr>
                <w:b w:val="0"/>
                <w:bCs w:val="0"/>
                <w:sz w:val="24"/>
                <w:szCs w:val="24"/>
              </w:rPr>
            </w:pPr>
          </w:p>
        </w:tc>
        <w:tc>
          <w:tcPr>
            <w:tcW w:w="2976" w:type="dxa"/>
            <w:vMerge/>
          </w:tcPr>
          <w:p w14:paraId="164AFDED" w14:textId="77777777" w:rsidR="002060AB" w:rsidRPr="00F16607" w:rsidRDefault="002060AB" w:rsidP="002060AB">
            <w:pPr>
              <w:pStyle w:val="Heading2"/>
              <w:rPr>
                <w:b w:val="0"/>
                <w:color w:val="auto"/>
                <w:sz w:val="24"/>
                <w:szCs w:val="24"/>
              </w:rPr>
            </w:pPr>
          </w:p>
        </w:tc>
        <w:tc>
          <w:tcPr>
            <w:tcW w:w="2812" w:type="dxa"/>
          </w:tcPr>
          <w:p w14:paraId="55FC1DCD" w14:textId="77777777" w:rsidR="002060AB" w:rsidRPr="00F16607" w:rsidRDefault="002060AB" w:rsidP="002060AB">
            <w:pPr>
              <w:pStyle w:val="Heading2"/>
              <w:spacing w:before="0" w:after="60"/>
              <w:rPr>
                <w:rFonts w:cs="Times New Roman"/>
                <w:bCs w:val="0"/>
                <w:iCs w:val="0"/>
                <w:color w:val="000000"/>
                <w:sz w:val="24"/>
                <w:szCs w:val="24"/>
              </w:rPr>
            </w:pPr>
            <w:r w:rsidRPr="00F16607">
              <w:rPr>
                <w:rFonts w:cs="Times New Roman"/>
                <w:bCs w:val="0"/>
                <w:iCs w:val="0"/>
                <w:color w:val="000000"/>
                <w:sz w:val="24"/>
                <w:szCs w:val="24"/>
              </w:rPr>
              <w:t>31/07/2021</w:t>
            </w:r>
          </w:p>
          <w:p w14:paraId="4410295C" w14:textId="77777777" w:rsidR="002060AB" w:rsidRPr="00F16607" w:rsidRDefault="002060AB" w:rsidP="002060AB">
            <w:pPr>
              <w:spacing w:after="120"/>
              <w:jc w:val="left"/>
              <w:rPr>
                <w:sz w:val="24"/>
                <w:szCs w:val="24"/>
              </w:rPr>
            </w:pPr>
            <w:r w:rsidRPr="00F16607">
              <w:rPr>
                <w:sz w:val="24"/>
                <w:szCs w:val="24"/>
              </w:rPr>
              <w:t>For the 1 January 2021 to </w:t>
            </w:r>
            <w:r w:rsidRPr="00F16607">
              <w:rPr>
                <w:sz w:val="24"/>
                <w:szCs w:val="24"/>
              </w:rPr>
              <w:br/>
              <w:t>30 June 2021 period</w:t>
            </w:r>
          </w:p>
        </w:tc>
        <w:tc>
          <w:tcPr>
            <w:tcW w:w="1296" w:type="dxa"/>
          </w:tcPr>
          <w:p w14:paraId="3B0F9586" w14:textId="77777777" w:rsidR="002060AB" w:rsidRPr="00F16607" w:rsidRDefault="002060AB" w:rsidP="002060AB">
            <w:pPr>
              <w:pStyle w:val="Heading2"/>
              <w:spacing w:before="360"/>
              <w:rPr>
                <w:rFonts w:cs="Times New Roman"/>
                <w:b w:val="0"/>
                <w:bCs w:val="0"/>
                <w:iCs w:val="0"/>
                <w:color w:val="000000"/>
                <w:sz w:val="24"/>
                <w:szCs w:val="24"/>
              </w:rPr>
            </w:pPr>
            <w:r w:rsidRPr="00F16607">
              <w:rPr>
                <w:rFonts w:cs="Times New Roman"/>
                <w:b w:val="0"/>
                <w:bCs w:val="0"/>
                <w:iCs w:val="0"/>
                <w:color w:val="000000"/>
                <w:sz w:val="24"/>
                <w:szCs w:val="24"/>
              </w:rPr>
              <w:t>$8.5120m</w:t>
            </w:r>
            <w:r w:rsidRPr="00F16607">
              <w:rPr>
                <w:rFonts w:cs="Times New Roman"/>
                <w:b w:val="0"/>
                <w:bCs w:val="0"/>
                <w:iCs w:val="0"/>
                <w:color w:val="000000"/>
                <w:sz w:val="24"/>
                <w:szCs w:val="24"/>
              </w:rPr>
              <w:br/>
            </w:r>
          </w:p>
        </w:tc>
      </w:tr>
      <w:tr w:rsidR="002060AB" w:rsidRPr="00C26C5B" w14:paraId="3F99974B" w14:textId="77777777" w:rsidTr="00C24757">
        <w:trPr>
          <w:jc w:val="center"/>
        </w:trPr>
        <w:tc>
          <w:tcPr>
            <w:tcW w:w="2552" w:type="dxa"/>
            <w:vMerge/>
          </w:tcPr>
          <w:p w14:paraId="644C3720" w14:textId="77777777" w:rsidR="002060AB" w:rsidRPr="00F16607" w:rsidRDefault="002060AB" w:rsidP="002060AB">
            <w:pPr>
              <w:pStyle w:val="Heading2"/>
              <w:rPr>
                <w:b w:val="0"/>
                <w:bCs w:val="0"/>
                <w:sz w:val="24"/>
                <w:szCs w:val="24"/>
              </w:rPr>
            </w:pPr>
          </w:p>
        </w:tc>
        <w:tc>
          <w:tcPr>
            <w:tcW w:w="2976" w:type="dxa"/>
            <w:vMerge/>
          </w:tcPr>
          <w:p w14:paraId="5AEBB0CC" w14:textId="77777777" w:rsidR="002060AB" w:rsidRPr="00F16607" w:rsidRDefault="002060AB" w:rsidP="002060AB">
            <w:pPr>
              <w:pStyle w:val="Heading2"/>
              <w:rPr>
                <w:b w:val="0"/>
                <w:color w:val="auto"/>
                <w:sz w:val="24"/>
                <w:szCs w:val="24"/>
              </w:rPr>
            </w:pPr>
          </w:p>
        </w:tc>
        <w:tc>
          <w:tcPr>
            <w:tcW w:w="2812" w:type="dxa"/>
            <w:shd w:val="clear" w:color="auto" w:fill="D3DFEE"/>
          </w:tcPr>
          <w:p w14:paraId="1EEA6AB6" w14:textId="77777777" w:rsidR="002060AB" w:rsidRPr="00F16607" w:rsidRDefault="002060AB" w:rsidP="002060AB">
            <w:pPr>
              <w:pStyle w:val="Heading2"/>
              <w:spacing w:before="0" w:after="60"/>
              <w:rPr>
                <w:rFonts w:cs="Times New Roman"/>
                <w:bCs w:val="0"/>
                <w:iCs w:val="0"/>
                <w:color w:val="000000"/>
                <w:sz w:val="24"/>
                <w:szCs w:val="24"/>
              </w:rPr>
            </w:pPr>
            <w:r w:rsidRPr="00F16607">
              <w:rPr>
                <w:rFonts w:cs="Times New Roman"/>
                <w:bCs w:val="0"/>
                <w:iCs w:val="0"/>
                <w:color w:val="000000"/>
                <w:sz w:val="24"/>
                <w:szCs w:val="24"/>
              </w:rPr>
              <w:t>31/01/2022</w:t>
            </w:r>
          </w:p>
          <w:p w14:paraId="220C9179" w14:textId="77777777" w:rsidR="002060AB" w:rsidRPr="00F16607" w:rsidRDefault="002060AB" w:rsidP="002060AB">
            <w:pPr>
              <w:spacing w:after="120"/>
              <w:jc w:val="left"/>
              <w:rPr>
                <w:sz w:val="24"/>
                <w:szCs w:val="24"/>
              </w:rPr>
            </w:pPr>
            <w:r w:rsidRPr="00F16607">
              <w:rPr>
                <w:sz w:val="24"/>
                <w:szCs w:val="24"/>
              </w:rPr>
              <w:t xml:space="preserve">For the 1 July 2021 to </w:t>
            </w:r>
            <w:r w:rsidRPr="00F16607">
              <w:rPr>
                <w:sz w:val="24"/>
                <w:szCs w:val="24"/>
              </w:rPr>
              <w:br/>
              <w:t>31 December 2021 period</w:t>
            </w:r>
          </w:p>
        </w:tc>
        <w:tc>
          <w:tcPr>
            <w:tcW w:w="1296" w:type="dxa"/>
            <w:shd w:val="clear" w:color="auto" w:fill="D3DFEE"/>
          </w:tcPr>
          <w:p w14:paraId="5735A220" w14:textId="77777777" w:rsidR="002060AB" w:rsidRPr="00F16607" w:rsidRDefault="002060AB" w:rsidP="002060AB">
            <w:pPr>
              <w:pStyle w:val="Heading2"/>
              <w:spacing w:before="360"/>
              <w:rPr>
                <w:rFonts w:cs="Times New Roman"/>
                <w:b w:val="0"/>
                <w:bCs w:val="0"/>
                <w:iCs w:val="0"/>
                <w:color w:val="000000"/>
                <w:sz w:val="24"/>
                <w:szCs w:val="24"/>
              </w:rPr>
            </w:pPr>
            <w:r w:rsidRPr="00F16607">
              <w:rPr>
                <w:rFonts w:cs="Times New Roman"/>
                <w:b w:val="0"/>
                <w:bCs w:val="0"/>
                <w:iCs w:val="0"/>
                <w:color w:val="000000"/>
                <w:sz w:val="24"/>
                <w:szCs w:val="24"/>
              </w:rPr>
              <w:t>$8.5120m</w:t>
            </w:r>
            <w:r w:rsidRPr="00F16607">
              <w:rPr>
                <w:rFonts w:cs="Times New Roman"/>
                <w:b w:val="0"/>
                <w:bCs w:val="0"/>
                <w:iCs w:val="0"/>
                <w:color w:val="000000"/>
                <w:sz w:val="24"/>
                <w:szCs w:val="24"/>
              </w:rPr>
              <w:br/>
            </w:r>
          </w:p>
        </w:tc>
      </w:tr>
      <w:tr w:rsidR="0033608C" w:rsidRPr="00C26C5B" w14:paraId="3FCF1B9C" w14:textId="77777777" w:rsidTr="00554E5A">
        <w:trPr>
          <w:jc w:val="center"/>
        </w:trPr>
        <w:tc>
          <w:tcPr>
            <w:tcW w:w="2552" w:type="dxa"/>
            <w:vMerge/>
          </w:tcPr>
          <w:p w14:paraId="024DE0C8" w14:textId="77777777" w:rsidR="0033608C" w:rsidRPr="00F16607" w:rsidRDefault="0033608C" w:rsidP="002060AB">
            <w:pPr>
              <w:pStyle w:val="Heading2"/>
              <w:rPr>
                <w:b w:val="0"/>
                <w:bCs w:val="0"/>
                <w:sz w:val="24"/>
                <w:szCs w:val="24"/>
              </w:rPr>
            </w:pPr>
          </w:p>
        </w:tc>
        <w:tc>
          <w:tcPr>
            <w:tcW w:w="2976" w:type="dxa"/>
            <w:vMerge/>
          </w:tcPr>
          <w:p w14:paraId="00B5058B" w14:textId="77777777" w:rsidR="0033608C" w:rsidRPr="00F16607" w:rsidRDefault="0033608C" w:rsidP="002060AB">
            <w:pPr>
              <w:pStyle w:val="Heading2"/>
              <w:rPr>
                <w:b w:val="0"/>
                <w:color w:val="auto"/>
                <w:sz w:val="24"/>
                <w:szCs w:val="24"/>
              </w:rPr>
            </w:pPr>
          </w:p>
        </w:tc>
        <w:tc>
          <w:tcPr>
            <w:tcW w:w="2812" w:type="dxa"/>
          </w:tcPr>
          <w:p w14:paraId="3BA25168" w14:textId="77777777" w:rsidR="0033608C" w:rsidRPr="00F16607" w:rsidRDefault="0033608C" w:rsidP="002060AB">
            <w:pPr>
              <w:pStyle w:val="Heading2"/>
              <w:spacing w:before="0" w:after="60"/>
              <w:rPr>
                <w:rFonts w:cs="Times New Roman"/>
                <w:bCs w:val="0"/>
                <w:iCs w:val="0"/>
                <w:color w:val="000000"/>
                <w:sz w:val="24"/>
                <w:szCs w:val="24"/>
              </w:rPr>
            </w:pPr>
            <w:r w:rsidRPr="00F16607">
              <w:rPr>
                <w:rFonts w:cs="Times New Roman"/>
                <w:bCs w:val="0"/>
                <w:iCs w:val="0"/>
                <w:color w:val="000000"/>
                <w:sz w:val="24"/>
                <w:szCs w:val="24"/>
              </w:rPr>
              <w:t>31/07/2022</w:t>
            </w:r>
          </w:p>
          <w:p w14:paraId="5D19DE30" w14:textId="77777777" w:rsidR="0033608C" w:rsidRPr="00F16607" w:rsidRDefault="0033608C" w:rsidP="0032244A">
            <w:pPr>
              <w:spacing w:after="120"/>
              <w:jc w:val="left"/>
              <w:rPr>
                <w:sz w:val="24"/>
                <w:szCs w:val="24"/>
              </w:rPr>
            </w:pPr>
            <w:r w:rsidRPr="00F16607">
              <w:rPr>
                <w:sz w:val="24"/>
                <w:szCs w:val="24"/>
              </w:rPr>
              <w:t>For the 1 January 2022 to</w:t>
            </w:r>
            <w:r w:rsidRPr="00F16607">
              <w:rPr>
                <w:sz w:val="24"/>
                <w:szCs w:val="24"/>
              </w:rPr>
              <w:br/>
              <w:t>30 June 2022 period</w:t>
            </w:r>
          </w:p>
        </w:tc>
        <w:tc>
          <w:tcPr>
            <w:tcW w:w="1296" w:type="dxa"/>
          </w:tcPr>
          <w:p w14:paraId="446DB53F" w14:textId="77777777" w:rsidR="0033608C" w:rsidRPr="00F16607" w:rsidRDefault="0033608C">
            <w:pPr>
              <w:pStyle w:val="Heading2"/>
              <w:spacing w:before="360"/>
              <w:rPr>
                <w:rFonts w:cs="Times New Roman"/>
                <w:b w:val="0"/>
                <w:bCs w:val="0"/>
                <w:iCs w:val="0"/>
                <w:color w:val="000000"/>
                <w:sz w:val="24"/>
                <w:szCs w:val="24"/>
              </w:rPr>
            </w:pPr>
            <w:r w:rsidRPr="00F16607">
              <w:rPr>
                <w:rFonts w:cs="Times New Roman"/>
                <w:b w:val="0"/>
                <w:bCs w:val="0"/>
                <w:iCs w:val="0"/>
                <w:color w:val="000000"/>
                <w:sz w:val="24"/>
                <w:szCs w:val="24"/>
              </w:rPr>
              <w:t>$8.6565m</w:t>
            </w:r>
            <w:r w:rsidRPr="00F16607">
              <w:rPr>
                <w:rFonts w:cs="Times New Roman"/>
                <w:b w:val="0"/>
                <w:bCs w:val="0"/>
                <w:iCs w:val="0"/>
                <w:color w:val="000000"/>
                <w:sz w:val="24"/>
                <w:szCs w:val="24"/>
              </w:rPr>
              <w:br/>
            </w:r>
          </w:p>
        </w:tc>
      </w:tr>
      <w:tr w:rsidR="0033608C" w:rsidRPr="00C26C5B" w14:paraId="5D664E06" w14:textId="77777777" w:rsidTr="00554E5A">
        <w:trPr>
          <w:jc w:val="center"/>
        </w:trPr>
        <w:tc>
          <w:tcPr>
            <w:tcW w:w="2552" w:type="dxa"/>
            <w:vMerge/>
          </w:tcPr>
          <w:p w14:paraId="076314D4" w14:textId="77777777" w:rsidR="0033608C" w:rsidRPr="00F16607" w:rsidRDefault="0033608C" w:rsidP="002060AB">
            <w:pPr>
              <w:pStyle w:val="Heading2"/>
              <w:rPr>
                <w:b w:val="0"/>
                <w:bCs w:val="0"/>
                <w:sz w:val="24"/>
                <w:szCs w:val="24"/>
              </w:rPr>
            </w:pPr>
          </w:p>
        </w:tc>
        <w:tc>
          <w:tcPr>
            <w:tcW w:w="2976" w:type="dxa"/>
            <w:vMerge/>
          </w:tcPr>
          <w:p w14:paraId="7F22C4BB" w14:textId="77777777" w:rsidR="0033608C" w:rsidRPr="00F16607" w:rsidRDefault="0033608C" w:rsidP="002060AB">
            <w:pPr>
              <w:pStyle w:val="Heading2"/>
              <w:rPr>
                <w:b w:val="0"/>
                <w:color w:val="auto"/>
                <w:sz w:val="24"/>
                <w:szCs w:val="24"/>
              </w:rPr>
            </w:pPr>
          </w:p>
        </w:tc>
        <w:tc>
          <w:tcPr>
            <w:tcW w:w="2812" w:type="dxa"/>
            <w:shd w:val="clear" w:color="auto" w:fill="D3DFEE"/>
          </w:tcPr>
          <w:p w14:paraId="73E23137" w14:textId="77777777" w:rsidR="0033608C" w:rsidRPr="00F16607" w:rsidRDefault="0033608C" w:rsidP="002060AB">
            <w:pPr>
              <w:pStyle w:val="Heading2"/>
              <w:spacing w:before="0" w:after="60"/>
              <w:rPr>
                <w:rFonts w:cs="Times New Roman"/>
                <w:bCs w:val="0"/>
                <w:iCs w:val="0"/>
                <w:color w:val="000000"/>
                <w:sz w:val="24"/>
                <w:szCs w:val="24"/>
              </w:rPr>
            </w:pPr>
            <w:r w:rsidRPr="00F16607">
              <w:rPr>
                <w:rFonts w:cs="Times New Roman"/>
                <w:bCs w:val="0"/>
                <w:iCs w:val="0"/>
                <w:color w:val="000000"/>
                <w:sz w:val="24"/>
                <w:szCs w:val="24"/>
              </w:rPr>
              <w:t>30/04/2023</w:t>
            </w:r>
          </w:p>
          <w:p w14:paraId="478711C7" w14:textId="77777777" w:rsidR="0033608C" w:rsidRPr="00F16607" w:rsidRDefault="0033608C" w:rsidP="0032244A">
            <w:pPr>
              <w:spacing w:after="120"/>
              <w:jc w:val="left"/>
              <w:rPr>
                <w:sz w:val="24"/>
                <w:szCs w:val="24"/>
              </w:rPr>
            </w:pPr>
            <w:r w:rsidRPr="00F16607">
              <w:rPr>
                <w:sz w:val="24"/>
                <w:szCs w:val="24"/>
              </w:rPr>
              <w:t xml:space="preserve">For the 1 July 2022 to </w:t>
            </w:r>
            <w:r w:rsidRPr="00F16607">
              <w:rPr>
                <w:sz w:val="24"/>
                <w:szCs w:val="24"/>
              </w:rPr>
              <w:br/>
              <w:t>31 March 2023 period</w:t>
            </w:r>
          </w:p>
        </w:tc>
        <w:tc>
          <w:tcPr>
            <w:tcW w:w="1296" w:type="dxa"/>
            <w:shd w:val="clear" w:color="auto" w:fill="D3DFEE"/>
          </w:tcPr>
          <w:p w14:paraId="23C1D071" w14:textId="77777777" w:rsidR="0033608C" w:rsidRPr="00F16607" w:rsidRDefault="0033608C">
            <w:pPr>
              <w:pStyle w:val="Heading2"/>
              <w:spacing w:before="360"/>
              <w:rPr>
                <w:rFonts w:cs="Times New Roman"/>
                <w:b w:val="0"/>
                <w:bCs w:val="0"/>
                <w:iCs w:val="0"/>
                <w:color w:val="000000"/>
                <w:sz w:val="24"/>
                <w:szCs w:val="24"/>
              </w:rPr>
            </w:pPr>
            <w:r w:rsidRPr="00F16607">
              <w:rPr>
                <w:rFonts w:cs="Times New Roman"/>
                <w:b w:val="0"/>
                <w:bCs w:val="0"/>
                <w:iCs w:val="0"/>
                <w:color w:val="000000"/>
                <w:sz w:val="24"/>
                <w:szCs w:val="24"/>
              </w:rPr>
              <w:t>$8.6565m</w:t>
            </w:r>
            <w:r w:rsidRPr="00F16607">
              <w:rPr>
                <w:rFonts w:cs="Times New Roman"/>
                <w:b w:val="0"/>
                <w:bCs w:val="0"/>
                <w:iCs w:val="0"/>
                <w:color w:val="000000"/>
                <w:sz w:val="24"/>
                <w:szCs w:val="24"/>
              </w:rPr>
              <w:br/>
            </w:r>
          </w:p>
        </w:tc>
      </w:tr>
    </w:tbl>
    <w:p w14:paraId="38CC2741" w14:textId="77777777" w:rsidR="0033608C" w:rsidRPr="000E2AF6" w:rsidRDefault="000658D3" w:rsidP="0033608C">
      <w:pPr>
        <w:pStyle w:val="Normalnumbered"/>
        <w:keepNext/>
        <w:numPr>
          <w:ilvl w:val="0"/>
          <w:numId w:val="0"/>
        </w:numPr>
      </w:pPr>
      <w:r>
        <w:rPr>
          <w:b/>
          <w:bCs/>
          <w:iCs/>
        </w:rPr>
        <w:br w:type="page"/>
      </w:r>
      <w:r w:rsidR="0033608C" w:rsidRPr="00DD00C5">
        <w:rPr>
          <w:b/>
        </w:rPr>
        <w:lastRenderedPageBreak/>
        <w:t xml:space="preserve">Table </w:t>
      </w:r>
      <w:r w:rsidR="0033608C">
        <w:rPr>
          <w:b/>
        </w:rPr>
        <w:t>2</w:t>
      </w:r>
      <w:r w:rsidR="0033608C" w:rsidRPr="00DD00C5">
        <w:t xml:space="preserve">: </w:t>
      </w:r>
      <w:r w:rsidR="00716054" w:rsidRPr="00554E5A">
        <w:rPr>
          <w:b/>
        </w:rPr>
        <w:t xml:space="preserve">Additional outputs and </w:t>
      </w:r>
      <w:r w:rsidR="00716054">
        <w:rPr>
          <w:b/>
        </w:rPr>
        <w:t>p</w:t>
      </w:r>
      <w:r w:rsidR="0033608C" w:rsidRPr="00DD00C5">
        <w:rPr>
          <w:b/>
        </w:rPr>
        <w:t xml:space="preserve">erformance </w:t>
      </w:r>
      <w:r w:rsidR="00716054">
        <w:rPr>
          <w:b/>
        </w:rPr>
        <w:t>deliverables</w:t>
      </w:r>
      <w:r w:rsidR="0033608C" w:rsidRPr="00DD00C5">
        <w:rPr>
          <w:b/>
        </w:rPr>
        <w:t xml:space="preserve"> and payment summary</w:t>
      </w:r>
    </w:p>
    <w:tbl>
      <w:tblPr>
        <w:tblW w:w="9636"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52"/>
        <w:gridCol w:w="2976"/>
        <w:gridCol w:w="2812"/>
        <w:gridCol w:w="1296"/>
      </w:tblGrid>
      <w:tr w:rsidR="0033608C" w:rsidRPr="00C26C5B" w14:paraId="1ABE201E" w14:textId="77777777" w:rsidTr="006B5838">
        <w:trPr>
          <w:trHeight w:val="893"/>
          <w:jc w:val="center"/>
        </w:trPr>
        <w:tc>
          <w:tcPr>
            <w:tcW w:w="2552" w:type="dxa"/>
            <w:tcBorders>
              <w:bottom w:val="single" w:sz="18" w:space="0" w:color="4F81BD"/>
            </w:tcBorders>
          </w:tcPr>
          <w:p w14:paraId="0B0AB1BF" w14:textId="77777777" w:rsidR="0033608C" w:rsidRPr="00C26C5B" w:rsidRDefault="0033608C" w:rsidP="006B5838">
            <w:pPr>
              <w:pStyle w:val="Heading2"/>
              <w:rPr>
                <w:bCs w:val="0"/>
                <w:sz w:val="24"/>
                <w:szCs w:val="24"/>
              </w:rPr>
            </w:pPr>
            <w:r w:rsidRPr="00C26C5B">
              <w:rPr>
                <w:bCs w:val="0"/>
                <w:sz w:val="24"/>
                <w:szCs w:val="24"/>
              </w:rPr>
              <w:t>Output</w:t>
            </w:r>
          </w:p>
        </w:tc>
        <w:tc>
          <w:tcPr>
            <w:tcW w:w="2976" w:type="dxa"/>
            <w:tcBorders>
              <w:bottom w:val="single" w:sz="18" w:space="0" w:color="4F81BD"/>
            </w:tcBorders>
          </w:tcPr>
          <w:p w14:paraId="3451AAA7" w14:textId="77777777" w:rsidR="0033608C" w:rsidRPr="00C26C5B" w:rsidRDefault="0033608C">
            <w:pPr>
              <w:pStyle w:val="Heading2"/>
              <w:rPr>
                <w:bCs w:val="0"/>
                <w:sz w:val="24"/>
                <w:szCs w:val="24"/>
              </w:rPr>
            </w:pPr>
            <w:r>
              <w:rPr>
                <w:bCs w:val="0"/>
                <w:sz w:val="24"/>
                <w:szCs w:val="24"/>
              </w:rPr>
              <w:t xml:space="preserve">Performance </w:t>
            </w:r>
            <w:r w:rsidR="00625AC2">
              <w:rPr>
                <w:bCs w:val="0"/>
                <w:sz w:val="24"/>
                <w:szCs w:val="24"/>
              </w:rPr>
              <w:t>deliverable</w:t>
            </w:r>
          </w:p>
        </w:tc>
        <w:tc>
          <w:tcPr>
            <w:tcW w:w="2812" w:type="dxa"/>
            <w:tcBorders>
              <w:bottom w:val="single" w:sz="18" w:space="0" w:color="4F81BD"/>
            </w:tcBorders>
          </w:tcPr>
          <w:p w14:paraId="3C0CA056" w14:textId="77777777" w:rsidR="0033608C" w:rsidRPr="00D0312C" w:rsidRDefault="00761787">
            <w:pPr>
              <w:pStyle w:val="Heading2"/>
              <w:rPr>
                <w:sz w:val="18"/>
                <w:szCs w:val="18"/>
              </w:rPr>
            </w:pPr>
            <w:r w:rsidRPr="00DE36EB">
              <w:rPr>
                <w:bCs w:val="0"/>
                <w:sz w:val="24"/>
                <w:szCs w:val="24"/>
              </w:rPr>
              <w:t>Report due</w:t>
            </w:r>
          </w:p>
        </w:tc>
        <w:tc>
          <w:tcPr>
            <w:tcW w:w="1296" w:type="dxa"/>
            <w:tcBorders>
              <w:bottom w:val="single" w:sz="18" w:space="0" w:color="4F81BD"/>
            </w:tcBorders>
          </w:tcPr>
          <w:p w14:paraId="4B6FCAA6" w14:textId="77777777" w:rsidR="0033608C" w:rsidRPr="00C26C5B" w:rsidRDefault="0033608C" w:rsidP="006B5838">
            <w:pPr>
              <w:pStyle w:val="Heading2"/>
              <w:rPr>
                <w:bCs w:val="0"/>
                <w:sz w:val="24"/>
                <w:szCs w:val="24"/>
              </w:rPr>
            </w:pPr>
            <w:r w:rsidRPr="00C26C5B">
              <w:rPr>
                <w:bCs w:val="0"/>
                <w:sz w:val="24"/>
                <w:szCs w:val="24"/>
              </w:rPr>
              <w:t>Payment</w:t>
            </w:r>
          </w:p>
        </w:tc>
      </w:tr>
      <w:tr w:rsidR="00625AC2" w:rsidRPr="00C26C5B" w14:paraId="3F59094D" w14:textId="77777777" w:rsidTr="006B5838">
        <w:trPr>
          <w:jc w:val="center"/>
        </w:trPr>
        <w:tc>
          <w:tcPr>
            <w:tcW w:w="2552" w:type="dxa"/>
          </w:tcPr>
          <w:p w14:paraId="0AE2E243" w14:textId="77777777" w:rsidR="00625AC2" w:rsidRPr="00F16607" w:rsidRDefault="00625AC2" w:rsidP="00625AC2">
            <w:pPr>
              <w:pStyle w:val="Heading2"/>
              <w:rPr>
                <w:rFonts w:cs="Times New Roman"/>
                <w:b w:val="0"/>
                <w:bCs w:val="0"/>
                <w:iCs w:val="0"/>
                <w:color w:val="000000"/>
                <w:sz w:val="24"/>
                <w:szCs w:val="24"/>
              </w:rPr>
            </w:pPr>
            <w:r w:rsidRPr="00F16607">
              <w:rPr>
                <w:rFonts w:cs="Times New Roman"/>
                <w:b w:val="0"/>
                <w:bCs w:val="0"/>
                <w:iCs w:val="0"/>
                <w:color w:val="000000"/>
                <w:sz w:val="24"/>
                <w:szCs w:val="24"/>
              </w:rPr>
              <w:t>Additional one-off payment to support projected future AUSMAT domestic missions and associated costs in response to COVID-19 to 30 June 2022.</w:t>
            </w:r>
          </w:p>
        </w:tc>
        <w:tc>
          <w:tcPr>
            <w:tcW w:w="2976" w:type="dxa"/>
          </w:tcPr>
          <w:p w14:paraId="3D0EE321" w14:textId="77777777" w:rsidR="00625AC2" w:rsidRPr="00F16607" w:rsidRDefault="00625AC2">
            <w:pPr>
              <w:pStyle w:val="Heading2"/>
              <w:rPr>
                <w:rFonts w:cs="Times New Roman"/>
                <w:b w:val="0"/>
                <w:bCs w:val="0"/>
                <w:iCs w:val="0"/>
                <w:color w:val="000000"/>
                <w:sz w:val="24"/>
                <w:szCs w:val="24"/>
              </w:rPr>
            </w:pPr>
            <w:r w:rsidRPr="00F16607">
              <w:rPr>
                <w:rFonts w:cs="Times New Roman"/>
                <w:b w:val="0"/>
                <w:bCs w:val="0"/>
                <w:iCs w:val="0"/>
                <w:color w:val="000000"/>
                <w:sz w:val="24"/>
                <w:szCs w:val="24"/>
              </w:rPr>
              <w:t>Finalisation of this proposed amendment to the existing agreement.</w:t>
            </w:r>
          </w:p>
        </w:tc>
        <w:tc>
          <w:tcPr>
            <w:tcW w:w="2812" w:type="dxa"/>
            <w:shd w:val="clear" w:color="auto" w:fill="D3DFEE"/>
          </w:tcPr>
          <w:p w14:paraId="7F2C4B11" w14:textId="50DE9B7E" w:rsidR="00625AC2" w:rsidRPr="00F16607" w:rsidRDefault="00CB509C" w:rsidP="00CB509C">
            <w:pPr>
              <w:pStyle w:val="Heading2"/>
              <w:rPr>
                <w:rFonts w:cs="Times New Roman"/>
                <w:b w:val="0"/>
                <w:bCs w:val="0"/>
                <w:iCs w:val="0"/>
                <w:color w:val="000000"/>
                <w:sz w:val="24"/>
                <w:szCs w:val="24"/>
              </w:rPr>
            </w:pPr>
            <w:r w:rsidRPr="00F16607">
              <w:rPr>
                <w:rFonts w:cs="Times New Roman"/>
                <w:b w:val="0"/>
                <w:bCs w:val="0"/>
                <w:iCs w:val="0"/>
                <w:color w:val="000000"/>
                <w:sz w:val="24"/>
                <w:szCs w:val="24"/>
              </w:rPr>
              <w:t xml:space="preserve">Following </w:t>
            </w:r>
            <w:r w:rsidR="0000477F" w:rsidRPr="00F16607">
              <w:rPr>
                <w:rFonts w:cs="Times New Roman"/>
                <w:b w:val="0"/>
                <w:bCs w:val="0"/>
                <w:iCs w:val="0"/>
                <w:color w:val="000000"/>
                <w:sz w:val="24"/>
                <w:szCs w:val="24"/>
              </w:rPr>
              <w:t>e</w:t>
            </w:r>
            <w:r w:rsidR="005A21A7" w:rsidRPr="00F16607">
              <w:rPr>
                <w:rFonts w:cs="Times New Roman"/>
                <w:b w:val="0"/>
                <w:bCs w:val="0"/>
                <w:iCs w:val="0"/>
                <w:color w:val="000000"/>
                <w:sz w:val="24"/>
                <w:szCs w:val="24"/>
              </w:rPr>
              <w:t>xecution of Agreement</w:t>
            </w:r>
            <w:r w:rsidRPr="00F16607">
              <w:rPr>
                <w:rFonts w:cs="Times New Roman"/>
                <w:b w:val="0"/>
                <w:bCs w:val="0"/>
                <w:iCs w:val="0"/>
                <w:color w:val="000000"/>
                <w:sz w:val="24"/>
                <w:szCs w:val="24"/>
              </w:rPr>
              <w:t xml:space="preserve"> (timing as agreed with the Department of Health)</w:t>
            </w:r>
          </w:p>
        </w:tc>
        <w:tc>
          <w:tcPr>
            <w:tcW w:w="1296" w:type="dxa"/>
            <w:shd w:val="clear" w:color="auto" w:fill="D3DFEE"/>
          </w:tcPr>
          <w:p w14:paraId="6148C276" w14:textId="77777777" w:rsidR="00625AC2" w:rsidRPr="00F16607" w:rsidRDefault="00625AC2">
            <w:pPr>
              <w:pStyle w:val="Heading2"/>
              <w:spacing w:before="360"/>
              <w:rPr>
                <w:rFonts w:cs="Times New Roman"/>
                <w:b w:val="0"/>
                <w:bCs w:val="0"/>
                <w:iCs w:val="0"/>
                <w:color w:val="000000"/>
                <w:sz w:val="24"/>
                <w:szCs w:val="24"/>
              </w:rPr>
            </w:pPr>
            <w:r w:rsidRPr="00F16607">
              <w:rPr>
                <w:rFonts w:cs="Times New Roman"/>
                <w:b w:val="0"/>
                <w:bCs w:val="0"/>
                <w:iCs w:val="0"/>
                <w:color w:val="000000"/>
                <w:sz w:val="24"/>
                <w:szCs w:val="24"/>
              </w:rPr>
              <w:t>$</w:t>
            </w:r>
            <w:r w:rsidR="005D507E" w:rsidRPr="00F16607">
              <w:rPr>
                <w:rFonts w:cs="Times New Roman"/>
                <w:b w:val="0"/>
                <w:bCs w:val="0"/>
                <w:iCs w:val="0"/>
                <w:color w:val="000000"/>
                <w:sz w:val="24"/>
                <w:szCs w:val="24"/>
              </w:rPr>
              <w:t>3.960</w:t>
            </w:r>
            <w:r w:rsidRPr="00F16607">
              <w:rPr>
                <w:rFonts w:cs="Times New Roman"/>
                <w:b w:val="0"/>
                <w:bCs w:val="0"/>
                <w:iCs w:val="0"/>
                <w:color w:val="000000"/>
                <w:sz w:val="24"/>
                <w:szCs w:val="24"/>
              </w:rPr>
              <w:t>m</w:t>
            </w:r>
          </w:p>
        </w:tc>
      </w:tr>
      <w:tr w:rsidR="005A21A7" w:rsidRPr="00C26C5B" w14:paraId="0FED626A" w14:textId="77777777" w:rsidTr="006B5838">
        <w:trPr>
          <w:jc w:val="center"/>
        </w:trPr>
        <w:tc>
          <w:tcPr>
            <w:tcW w:w="2552" w:type="dxa"/>
          </w:tcPr>
          <w:p w14:paraId="55C6A00B" w14:textId="77777777" w:rsidR="005A21A7" w:rsidRPr="00F16607" w:rsidRDefault="005A21A7" w:rsidP="005A21A7">
            <w:pPr>
              <w:pStyle w:val="Heading2"/>
              <w:rPr>
                <w:rFonts w:cs="Times New Roman"/>
                <w:b w:val="0"/>
                <w:bCs w:val="0"/>
                <w:iCs w:val="0"/>
                <w:color w:val="000000"/>
                <w:sz w:val="24"/>
                <w:szCs w:val="24"/>
              </w:rPr>
            </w:pPr>
            <w:r w:rsidRPr="00F16607">
              <w:rPr>
                <w:rFonts w:cs="Times New Roman"/>
                <w:b w:val="0"/>
                <w:bCs w:val="0"/>
                <w:iCs w:val="0"/>
                <w:color w:val="000000"/>
                <w:sz w:val="24"/>
                <w:szCs w:val="24"/>
              </w:rPr>
              <w:t>Additional one-off payment for unforeseen costs associated with AUSMAT COVID-19 response in Western Sydney and Western and Far West NSW</w:t>
            </w:r>
          </w:p>
        </w:tc>
        <w:tc>
          <w:tcPr>
            <w:tcW w:w="2976" w:type="dxa"/>
          </w:tcPr>
          <w:p w14:paraId="3FF6B45E" w14:textId="77777777" w:rsidR="005A21A7" w:rsidRPr="00F16607" w:rsidRDefault="005A21A7" w:rsidP="005A21A7">
            <w:pPr>
              <w:pStyle w:val="Heading2"/>
              <w:rPr>
                <w:rFonts w:cs="Times New Roman"/>
                <w:b w:val="0"/>
                <w:bCs w:val="0"/>
                <w:iCs w:val="0"/>
                <w:color w:val="000000"/>
                <w:sz w:val="24"/>
                <w:szCs w:val="24"/>
              </w:rPr>
            </w:pPr>
            <w:r w:rsidRPr="00F16607">
              <w:rPr>
                <w:b w:val="0"/>
                <w:color w:val="auto"/>
                <w:sz w:val="24"/>
                <w:szCs w:val="24"/>
              </w:rPr>
              <w:t>Written confirmation of additional costs incurred to the payment total.</w:t>
            </w:r>
          </w:p>
        </w:tc>
        <w:tc>
          <w:tcPr>
            <w:tcW w:w="2812" w:type="dxa"/>
            <w:shd w:val="clear" w:color="auto" w:fill="D3DFEE"/>
          </w:tcPr>
          <w:p w14:paraId="767242FA" w14:textId="61273162" w:rsidR="005A21A7" w:rsidRPr="00F16607" w:rsidDel="005A21A7" w:rsidRDefault="005A21A7" w:rsidP="00F16607">
            <w:pPr>
              <w:pStyle w:val="Heading2"/>
              <w:rPr>
                <w:rFonts w:cs="Times New Roman"/>
                <w:b w:val="0"/>
                <w:bCs w:val="0"/>
                <w:iCs w:val="0"/>
                <w:color w:val="000000"/>
                <w:sz w:val="24"/>
                <w:szCs w:val="24"/>
              </w:rPr>
            </w:pPr>
            <w:r w:rsidRPr="00F16607">
              <w:rPr>
                <w:b w:val="0"/>
                <w:color w:val="auto"/>
                <w:sz w:val="24"/>
                <w:szCs w:val="24"/>
              </w:rPr>
              <w:t>30/04/202</w:t>
            </w:r>
            <w:r w:rsidR="00F16607" w:rsidRPr="00F16607">
              <w:rPr>
                <w:b w:val="0"/>
                <w:color w:val="auto"/>
                <w:sz w:val="24"/>
                <w:szCs w:val="24"/>
              </w:rPr>
              <w:t>2</w:t>
            </w:r>
          </w:p>
        </w:tc>
        <w:tc>
          <w:tcPr>
            <w:tcW w:w="1296" w:type="dxa"/>
            <w:shd w:val="clear" w:color="auto" w:fill="D3DFEE"/>
          </w:tcPr>
          <w:p w14:paraId="18805FF1" w14:textId="77777777" w:rsidR="005A21A7" w:rsidRPr="00F16607" w:rsidRDefault="005A21A7" w:rsidP="005A21A7">
            <w:pPr>
              <w:pStyle w:val="Heading2"/>
              <w:spacing w:before="360"/>
              <w:rPr>
                <w:rFonts w:cs="Times New Roman"/>
                <w:b w:val="0"/>
                <w:bCs w:val="0"/>
                <w:iCs w:val="0"/>
                <w:color w:val="000000"/>
                <w:sz w:val="24"/>
                <w:szCs w:val="24"/>
              </w:rPr>
            </w:pPr>
            <w:r w:rsidRPr="00F16607">
              <w:rPr>
                <w:rFonts w:cs="Times New Roman"/>
                <w:b w:val="0"/>
                <w:bCs w:val="0"/>
                <w:iCs w:val="0"/>
                <w:color w:val="000000"/>
                <w:sz w:val="24"/>
                <w:szCs w:val="24"/>
              </w:rPr>
              <w:t>$1.0</w:t>
            </w:r>
            <w:r w:rsidR="00C5736B" w:rsidRPr="00F16607">
              <w:rPr>
                <w:rFonts w:cs="Times New Roman"/>
                <w:b w:val="0"/>
                <w:bCs w:val="0"/>
                <w:iCs w:val="0"/>
                <w:color w:val="000000"/>
                <w:sz w:val="24"/>
                <w:szCs w:val="24"/>
              </w:rPr>
              <w:t>08</w:t>
            </w:r>
            <w:r w:rsidRPr="00F16607">
              <w:rPr>
                <w:rFonts w:cs="Times New Roman"/>
                <w:b w:val="0"/>
                <w:bCs w:val="0"/>
                <w:iCs w:val="0"/>
                <w:color w:val="000000"/>
                <w:sz w:val="24"/>
                <w:szCs w:val="24"/>
              </w:rPr>
              <w:t>m</w:t>
            </w:r>
          </w:p>
        </w:tc>
      </w:tr>
      <w:tr w:rsidR="005A21A7" w:rsidRPr="00C26C5B" w14:paraId="163C1186" w14:textId="77777777" w:rsidTr="006B5838">
        <w:trPr>
          <w:jc w:val="center"/>
        </w:trPr>
        <w:tc>
          <w:tcPr>
            <w:tcW w:w="2552" w:type="dxa"/>
          </w:tcPr>
          <w:p w14:paraId="20E54963" w14:textId="77777777" w:rsidR="005A21A7" w:rsidRPr="00F16607" w:rsidRDefault="005A21A7" w:rsidP="005A21A7">
            <w:pPr>
              <w:pStyle w:val="Heading2"/>
              <w:rPr>
                <w:rFonts w:cs="Times New Roman"/>
                <w:b w:val="0"/>
                <w:bCs w:val="0"/>
                <w:iCs w:val="0"/>
                <w:color w:val="000000"/>
                <w:sz w:val="24"/>
                <w:szCs w:val="24"/>
              </w:rPr>
            </w:pPr>
            <w:r w:rsidRPr="00F16607">
              <w:rPr>
                <w:rFonts w:cs="Times New Roman"/>
                <w:b w:val="0"/>
                <w:bCs w:val="0"/>
                <w:iCs w:val="0"/>
                <w:color w:val="000000"/>
                <w:sz w:val="24"/>
                <w:szCs w:val="24"/>
              </w:rPr>
              <w:t>The establishment of a highly skilled and rapidly deployable workforce of predominantly nurse vaccinators in response to COVID-19 domestic response and vaccination efforts.</w:t>
            </w:r>
          </w:p>
        </w:tc>
        <w:tc>
          <w:tcPr>
            <w:tcW w:w="2976" w:type="dxa"/>
          </w:tcPr>
          <w:p w14:paraId="173D1C61" w14:textId="77777777" w:rsidR="005A21A7" w:rsidRPr="00F16607" w:rsidRDefault="005A21A7" w:rsidP="005A21A7">
            <w:pPr>
              <w:pStyle w:val="Heading2"/>
              <w:rPr>
                <w:rFonts w:cs="Times New Roman"/>
                <w:b w:val="0"/>
                <w:bCs w:val="0"/>
                <w:iCs w:val="0"/>
                <w:color w:val="000000"/>
                <w:sz w:val="24"/>
                <w:szCs w:val="24"/>
              </w:rPr>
            </w:pPr>
            <w:r w:rsidRPr="00F16607">
              <w:rPr>
                <w:rFonts w:cs="Times New Roman"/>
                <w:b w:val="0"/>
                <w:bCs w:val="0"/>
                <w:iCs w:val="0"/>
                <w:color w:val="000000"/>
                <w:sz w:val="24"/>
                <w:szCs w:val="24"/>
              </w:rPr>
              <w:t>Written confirmation of a rapidly deployable workforce recruited, trained and ready to deploy, including work plan agreed by all parties.</w:t>
            </w:r>
          </w:p>
        </w:tc>
        <w:tc>
          <w:tcPr>
            <w:tcW w:w="2812" w:type="dxa"/>
            <w:shd w:val="clear" w:color="auto" w:fill="D3DFEE"/>
          </w:tcPr>
          <w:p w14:paraId="1E767EAC" w14:textId="26C3C4CC" w:rsidR="005A21A7" w:rsidRPr="00F16607" w:rsidRDefault="005A21A7" w:rsidP="00F16607">
            <w:pPr>
              <w:pStyle w:val="Heading2"/>
              <w:rPr>
                <w:rFonts w:cs="Times New Roman"/>
                <w:b w:val="0"/>
                <w:bCs w:val="0"/>
                <w:iCs w:val="0"/>
                <w:color w:val="000000"/>
                <w:sz w:val="24"/>
                <w:szCs w:val="24"/>
              </w:rPr>
            </w:pPr>
            <w:r w:rsidRPr="00F16607">
              <w:rPr>
                <w:b w:val="0"/>
                <w:color w:val="auto"/>
                <w:sz w:val="24"/>
                <w:szCs w:val="24"/>
              </w:rPr>
              <w:t>30/04/202</w:t>
            </w:r>
            <w:r w:rsidR="00F16607" w:rsidRPr="00F16607">
              <w:rPr>
                <w:b w:val="0"/>
                <w:color w:val="auto"/>
                <w:sz w:val="24"/>
                <w:szCs w:val="24"/>
              </w:rPr>
              <w:t>2</w:t>
            </w:r>
          </w:p>
        </w:tc>
        <w:tc>
          <w:tcPr>
            <w:tcW w:w="1296" w:type="dxa"/>
            <w:shd w:val="clear" w:color="auto" w:fill="D3DFEE"/>
          </w:tcPr>
          <w:p w14:paraId="42E64043" w14:textId="77777777" w:rsidR="005A21A7" w:rsidRPr="00F16607" w:rsidRDefault="005A21A7" w:rsidP="005A21A7">
            <w:pPr>
              <w:pStyle w:val="Heading2"/>
              <w:spacing w:before="360"/>
              <w:rPr>
                <w:rFonts w:cs="Times New Roman"/>
                <w:b w:val="0"/>
                <w:bCs w:val="0"/>
                <w:iCs w:val="0"/>
                <w:color w:val="000000"/>
                <w:sz w:val="24"/>
                <w:szCs w:val="24"/>
              </w:rPr>
            </w:pPr>
            <w:r w:rsidRPr="00F16607">
              <w:rPr>
                <w:rFonts w:cs="Times New Roman"/>
                <w:b w:val="0"/>
                <w:bCs w:val="0"/>
                <w:iCs w:val="0"/>
                <w:color w:val="000000"/>
                <w:sz w:val="24"/>
                <w:szCs w:val="24"/>
              </w:rPr>
              <w:t>$2.9</w:t>
            </w:r>
            <w:r w:rsidR="00C5736B" w:rsidRPr="00F16607">
              <w:rPr>
                <w:rFonts w:cs="Times New Roman"/>
                <w:b w:val="0"/>
                <w:bCs w:val="0"/>
                <w:iCs w:val="0"/>
                <w:color w:val="000000"/>
                <w:sz w:val="24"/>
                <w:szCs w:val="24"/>
              </w:rPr>
              <w:t>10</w:t>
            </w:r>
            <w:r w:rsidRPr="00F16607">
              <w:rPr>
                <w:rFonts w:cs="Times New Roman"/>
                <w:b w:val="0"/>
                <w:bCs w:val="0"/>
                <w:iCs w:val="0"/>
                <w:color w:val="000000"/>
                <w:sz w:val="24"/>
                <w:szCs w:val="24"/>
              </w:rPr>
              <w:t>m</w:t>
            </w:r>
          </w:p>
        </w:tc>
      </w:tr>
    </w:tbl>
    <w:p w14:paraId="5397EC37" w14:textId="77777777" w:rsidR="000B74B7" w:rsidRDefault="000B74B7" w:rsidP="00224EA5">
      <w:pPr>
        <w:pStyle w:val="Normalnumbered"/>
        <w:numPr>
          <w:ilvl w:val="0"/>
          <w:numId w:val="0"/>
        </w:numPr>
        <w:spacing w:after="0"/>
        <w:ind w:left="360" w:hanging="360"/>
      </w:pPr>
    </w:p>
    <w:p w14:paraId="064DDE03" w14:textId="77777777" w:rsidR="00172360" w:rsidRPr="00512BF8" w:rsidRDefault="002E144A" w:rsidP="00224EA5">
      <w:pPr>
        <w:pStyle w:val="Normalnumbered"/>
        <w:numPr>
          <w:ilvl w:val="0"/>
          <w:numId w:val="24"/>
        </w:numPr>
        <w:spacing w:before="120" w:line="240" w:lineRule="auto"/>
        <w:rPr>
          <w:szCs w:val="23"/>
        </w:rPr>
      </w:pPr>
      <w:r w:rsidRPr="00C14F2F">
        <w:rPr>
          <w:szCs w:val="23"/>
        </w:rPr>
        <w:t>If</w:t>
      </w:r>
      <w:r w:rsidR="00172360" w:rsidRPr="00C14F2F">
        <w:rPr>
          <w:szCs w:val="23"/>
        </w:rPr>
        <w:t xml:space="preserve"> a milestone is met in advance of the due date, </w:t>
      </w:r>
      <w:r w:rsidRPr="00C14F2F">
        <w:rPr>
          <w:szCs w:val="23"/>
        </w:rPr>
        <w:t xml:space="preserve">where </w:t>
      </w:r>
      <w:r w:rsidR="00172360" w:rsidRPr="00C14F2F">
        <w:rPr>
          <w:szCs w:val="23"/>
        </w:rPr>
        <w:t>the relevant performance report demonstrat</w:t>
      </w:r>
      <w:r w:rsidRPr="00C14F2F">
        <w:rPr>
          <w:szCs w:val="23"/>
        </w:rPr>
        <w:t>es</w:t>
      </w:r>
      <w:r w:rsidR="00172360" w:rsidRPr="00C14F2F">
        <w:rPr>
          <w:szCs w:val="23"/>
        </w:rPr>
        <w:t xml:space="preserve"> </w:t>
      </w:r>
      <w:r w:rsidR="00413E74" w:rsidRPr="00554E5A">
        <w:rPr>
          <w:szCs w:val="23"/>
        </w:rPr>
        <w:t xml:space="preserve">that </w:t>
      </w:r>
      <w:r w:rsidR="00172360" w:rsidRPr="00554E5A">
        <w:rPr>
          <w:szCs w:val="23"/>
        </w:rPr>
        <w:t xml:space="preserve">the milestone has been met, the Commonwealth may make the associated payment earlier than scheduled provided it falls within the same financial year as the original milestone date. </w:t>
      </w:r>
    </w:p>
    <w:p w14:paraId="744ADF5F" w14:textId="77777777" w:rsidR="00F3245D" w:rsidRDefault="00F3245D" w:rsidP="00F3245D">
      <w:pPr>
        <w:pStyle w:val="Heading2"/>
      </w:pPr>
      <w:r>
        <w:t>Reporting arrangements</w:t>
      </w:r>
    </w:p>
    <w:p w14:paraId="776827E2" w14:textId="41CD62C9" w:rsidR="000D484F" w:rsidRPr="003E4334" w:rsidRDefault="009E151E">
      <w:pPr>
        <w:pStyle w:val="Normalnumbered"/>
        <w:numPr>
          <w:ilvl w:val="0"/>
          <w:numId w:val="24"/>
        </w:numPr>
        <w:spacing w:before="120" w:line="240" w:lineRule="auto"/>
        <w:rPr>
          <w:szCs w:val="23"/>
        </w:rPr>
      </w:pPr>
      <w:r w:rsidRPr="00C14F2F">
        <w:rPr>
          <w:szCs w:val="23"/>
        </w:rPr>
        <w:t>The</w:t>
      </w:r>
      <w:r w:rsidR="00167BB8" w:rsidRPr="00C14F2F">
        <w:rPr>
          <w:szCs w:val="23"/>
        </w:rPr>
        <w:t xml:space="preserve"> </w:t>
      </w:r>
      <w:r w:rsidR="00682D55" w:rsidRPr="00C14F2F">
        <w:rPr>
          <w:szCs w:val="23"/>
        </w:rPr>
        <w:t xml:space="preserve">Northern Territory </w:t>
      </w:r>
      <w:r w:rsidRPr="00C14F2F">
        <w:rPr>
          <w:szCs w:val="23"/>
        </w:rPr>
        <w:t xml:space="preserve">will </w:t>
      </w:r>
      <w:r w:rsidR="0095223D" w:rsidRPr="00C14F2F">
        <w:rPr>
          <w:szCs w:val="23"/>
        </w:rPr>
        <w:t xml:space="preserve">provide performance reports in accordance with </w:t>
      </w:r>
      <w:r w:rsidR="00C2605C" w:rsidRPr="00554E5A">
        <w:rPr>
          <w:szCs w:val="23"/>
        </w:rPr>
        <w:t>T</w:t>
      </w:r>
      <w:r w:rsidR="0095223D" w:rsidRPr="00554E5A">
        <w:rPr>
          <w:szCs w:val="23"/>
        </w:rPr>
        <w:t xml:space="preserve">able </w:t>
      </w:r>
      <w:r w:rsidR="00C2605C" w:rsidRPr="00554E5A">
        <w:rPr>
          <w:szCs w:val="23"/>
        </w:rPr>
        <w:t xml:space="preserve">1 </w:t>
      </w:r>
      <w:r w:rsidRPr="00554E5A">
        <w:rPr>
          <w:szCs w:val="23"/>
        </w:rPr>
        <w:t>during</w:t>
      </w:r>
      <w:r w:rsidR="00C42ACA" w:rsidRPr="00554E5A">
        <w:rPr>
          <w:szCs w:val="23"/>
        </w:rPr>
        <w:t xml:space="preserve"> </w:t>
      </w:r>
      <w:r w:rsidRPr="00554E5A">
        <w:rPr>
          <w:szCs w:val="23"/>
        </w:rPr>
        <w:t>t</w:t>
      </w:r>
      <w:r w:rsidR="00B83D06">
        <w:rPr>
          <w:szCs w:val="23"/>
        </w:rPr>
        <w:t xml:space="preserve">he operation of the Agreement. </w:t>
      </w:r>
      <w:r w:rsidR="0095223D" w:rsidRPr="00512BF8">
        <w:rPr>
          <w:szCs w:val="23"/>
        </w:rPr>
        <w:t>Each performance report is to contai</w:t>
      </w:r>
      <w:r w:rsidR="00ED2AC4" w:rsidRPr="00512BF8">
        <w:rPr>
          <w:szCs w:val="23"/>
        </w:rPr>
        <w:t>n a description of actual performance in the period to date against the project milestones.</w:t>
      </w:r>
    </w:p>
    <w:p w14:paraId="71CF0A5A" w14:textId="7F93CD35" w:rsidR="00ED2AC4" w:rsidRPr="000D484F" w:rsidRDefault="000D484F" w:rsidP="000D484F">
      <w:pPr>
        <w:pStyle w:val="Normalnumbered"/>
        <w:numPr>
          <w:ilvl w:val="0"/>
          <w:numId w:val="24"/>
        </w:numPr>
        <w:spacing w:before="120" w:line="240" w:lineRule="auto"/>
        <w:rPr>
          <w:szCs w:val="23"/>
        </w:rPr>
      </w:pPr>
      <w:r>
        <w:rPr>
          <w:szCs w:val="23"/>
        </w:rPr>
        <w:t xml:space="preserve">The Northern Territory will also produce a final Project Report by </w:t>
      </w:r>
      <w:r w:rsidR="00773917">
        <w:rPr>
          <w:szCs w:val="23"/>
        </w:rPr>
        <w:t xml:space="preserve">31 August </w:t>
      </w:r>
      <w:r w:rsidR="00B83D06">
        <w:rPr>
          <w:szCs w:val="23"/>
        </w:rPr>
        <w:t xml:space="preserve">2023. </w:t>
      </w:r>
      <w:r>
        <w:rPr>
          <w:szCs w:val="23"/>
        </w:rPr>
        <w:t>The final Project Report will include NCCTRC data against the agreed outputs for the period of 1 </w:t>
      </w:r>
      <w:r w:rsidR="00773917">
        <w:rPr>
          <w:szCs w:val="23"/>
        </w:rPr>
        <w:t>April </w:t>
      </w:r>
      <w:r>
        <w:rPr>
          <w:szCs w:val="23"/>
        </w:rPr>
        <w:t>2023 to 30 June 2023.</w:t>
      </w:r>
    </w:p>
    <w:p w14:paraId="2ECD0546" w14:textId="77777777" w:rsidR="008E7527" w:rsidRDefault="008E7527" w:rsidP="008E4C72">
      <w:pPr>
        <w:pStyle w:val="Heading1"/>
        <w:spacing w:before="360"/>
      </w:pPr>
      <w:r>
        <w:lastRenderedPageBreak/>
        <w:t>Part 5</w:t>
      </w:r>
      <w:r w:rsidRPr="00751725">
        <w:t xml:space="preserve"> — financial arrangements</w:t>
      </w:r>
    </w:p>
    <w:p w14:paraId="0A501B89" w14:textId="6BA51B83" w:rsidR="008E7527" w:rsidRDefault="008E7527" w:rsidP="006B6747">
      <w:pPr>
        <w:pStyle w:val="Normalnumbered"/>
        <w:numPr>
          <w:ilvl w:val="0"/>
          <w:numId w:val="24"/>
        </w:numPr>
        <w:jc w:val="left"/>
      </w:pPr>
      <w:r w:rsidRPr="000E48C3">
        <w:t xml:space="preserve">The Commonwealth will </w:t>
      </w:r>
      <w:r>
        <w:t>provide</w:t>
      </w:r>
      <w:r w:rsidRPr="000E48C3">
        <w:t xml:space="preserve"> a financial contribution to </w:t>
      </w:r>
      <w:r>
        <w:t xml:space="preserve">the </w:t>
      </w:r>
      <w:r w:rsidR="00682D55">
        <w:t>Northern Territory of $67.6</w:t>
      </w:r>
      <w:r w:rsidR="00D861A4">
        <w:t>15</w:t>
      </w:r>
      <w:r w:rsidR="00682D55">
        <w:t xml:space="preserve"> million in </w:t>
      </w:r>
      <w:r>
        <w:t>respect of</w:t>
      </w:r>
      <w:r w:rsidR="00CC69BD">
        <w:t xml:space="preserve"> table 1 of</w:t>
      </w:r>
      <w:r>
        <w:t xml:space="preserve"> this Agreement</w:t>
      </w:r>
      <w:r w:rsidR="00CC69BD">
        <w:t>.</w:t>
      </w:r>
      <w:r w:rsidRPr="000E48C3">
        <w:t xml:space="preserve"> </w:t>
      </w:r>
      <w:r>
        <w:t>All payments are GST exclusive.</w:t>
      </w:r>
    </w:p>
    <w:p w14:paraId="3E3D06B9" w14:textId="254CE4F0" w:rsidR="005A454A" w:rsidRDefault="005A454A" w:rsidP="006B6747">
      <w:pPr>
        <w:pStyle w:val="Normalnumbered"/>
        <w:numPr>
          <w:ilvl w:val="0"/>
          <w:numId w:val="24"/>
        </w:numPr>
        <w:jc w:val="left"/>
      </w:pPr>
      <w:r>
        <w:t>The Commonwealth will provide an additional financial contribution to the Northern Territory o</w:t>
      </w:r>
      <w:r w:rsidR="003340CD">
        <w:t>f</w:t>
      </w:r>
      <w:r>
        <w:t xml:space="preserve"> $7.</w:t>
      </w:r>
      <w:r w:rsidR="006326B7">
        <w:t>878</w:t>
      </w:r>
      <w:r>
        <w:t xml:space="preserve"> million</w:t>
      </w:r>
      <w:r w:rsidR="00716054">
        <w:t>, refer table 2</w:t>
      </w:r>
      <w:r>
        <w:t xml:space="preserve">. </w:t>
      </w:r>
      <w:r w:rsidR="00CC69BD">
        <w:t>All pay</w:t>
      </w:r>
      <w:r>
        <w:t>ment</w:t>
      </w:r>
      <w:r w:rsidR="00CC69BD">
        <w:t>s</w:t>
      </w:r>
      <w:r>
        <w:t xml:space="preserve"> </w:t>
      </w:r>
      <w:r w:rsidR="00CC69BD">
        <w:t>are</w:t>
      </w:r>
      <w:r>
        <w:t xml:space="preserve"> GST exclusive. </w:t>
      </w:r>
    </w:p>
    <w:p w14:paraId="4637CAA3" w14:textId="77777777" w:rsidR="008E7527" w:rsidRDefault="005A5E7A" w:rsidP="006B6747">
      <w:pPr>
        <w:pStyle w:val="Normalnumbered"/>
        <w:numPr>
          <w:ilvl w:val="0"/>
          <w:numId w:val="24"/>
        </w:numPr>
      </w:pPr>
      <w:r>
        <w:t>T</w:t>
      </w:r>
      <w:r w:rsidR="008E7527" w:rsidRPr="002B7E1B">
        <w:t xml:space="preserve">he Commonwealth’s funding contribution will not be reduced where the </w:t>
      </w:r>
      <w:r w:rsidR="00C143A3">
        <w:t>Northern Territory</w:t>
      </w:r>
      <w:r w:rsidR="00C143A3" w:rsidRPr="002B7E1B">
        <w:t xml:space="preserve"> </w:t>
      </w:r>
      <w:r w:rsidR="008E7527" w:rsidRPr="002B7E1B">
        <w:t>secure</w:t>
      </w:r>
      <w:r w:rsidR="00C143A3">
        <w:t>s</w:t>
      </w:r>
      <w:r w:rsidR="008E7527" w:rsidRPr="002B7E1B">
        <w:t xml:space="preserve"> funding from other activity partners</w:t>
      </w:r>
      <w:r w:rsidR="002E144A">
        <w:t>.</w:t>
      </w:r>
    </w:p>
    <w:p w14:paraId="6565AA7A" w14:textId="381D50B9" w:rsidR="00682D55" w:rsidRPr="009A523F" w:rsidRDefault="008E7527" w:rsidP="009A523F">
      <w:pPr>
        <w:pStyle w:val="Normalnumbered"/>
        <w:keepNext/>
        <w:keepLines/>
        <w:numPr>
          <w:ilvl w:val="0"/>
          <w:numId w:val="24"/>
        </w:numPr>
      </w:pPr>
      <w:r w:rsidRPr="00751725">
        <w:t>The Commonwealth</w:t>
      </w:r>
      <w:r>
        <w:t>’s</w:t>
      </w:r>
      <w:r w:rsidRPr="00751725">
        <w:t xml:space="preserve"> and the</w:t>
      </w:r>
      <w:r w:rsidR="00682D55">
        <w:t xml:space="preserve"> Northern Territory’s</w:t>
      </w:r>
      <w:r w:rsidRPr="00751725">
        <w:t xml:space="preserve"> </w:t>
      </w:r>
      <w:r>
        <w:t xml:space="preserve">estimated </w:t>
      </w:r>
      <w:r w:rsidRPr="00751725">
        <w:t>financial contribution</w:t>
      </w:r>
      <w:r w:rsidR="002E144A">
        <w:t>s</w:t>
      </w:r>
      <w:r w:rsidRPr="00751725">
        <w:t xml:space="preserve"> to the operation of </w:t>
      </w:r>
      <w:r>
        <w:t xml:space="preserve">this Agreement, including through National Partnership payments to the States paid in accordance with </w:t>
      </w:r>
      <w:r w:rsidRPr="002B7E1B">
        <w:rPr>
          <w:i/>
        </w:rPr>
        <w:t>Schedule</w:t>
      </w:r>
      <w:r>
        <w:rPr>
          <w:i/>
        </w:rPr>
        <w:t> </w:t>
      </w:r>
      <w:r w:rsidRPr="002B7E1B">
        <w:rPr>
          <w:i/>
        </w:rPr>
        <w:t>D — Payment Arrangements</w:t>
      </w:r>
      <w:r>
        <w:t xml:space="preserve"> of the </w:t>
      </w:r>
      <w:r w:rsidR="00C41265">
        <w:t>IGA FFR</w:t>
      </w:r>
      <w:r w:rsidR="00C2605C">
        <w:t xml:space="preserve">, are shown in Table </w:t>
      </w:r>
      <w:r w:rsidR="003340CD">
        <w:t>3</w:t>
      </w:r>
      <w:r w:rsidRPr="00751725">
        <w:t>.</w:t>
      </w:r>
    </w:p>
    <w:p w14:paraId="0849ED4E" w14:textId="57AEA4D8" w:rsidR="008E7527" w:rsidRPr="00A05C1E" w:rsidRDefault="00E204BB" w:rsidP="00E204BB">
      <w:pPr>
        <w:pStyle w:val="Normalnumbered"/>
        <w:numPr>
          <w:ilvl w:val="0"/>
          <w:numId w:val="0"/>
        </w:numPr>
        <w:rPr>
          <w:b/>
          <w:i/>
        </w:rPr>
      </w:pPr>
      <w:r w:rsidRPr="00D861A4">
        <w:rPr>
          <w:b/>
        </w:rPr>
        <w:t xml:space="preserve">Table </w:t>
      </w:r>
      <w:r w:rsidR="005E13C5">
        <w:rPr>
          <w:b/>
        </w:rPr>
        <w:t>3</w:t>
      </w:r>
      <w:r w:rsidR="008E7527" w:rsidRPr="00D861A4">
        <w:rPr>
          <w:b/>
        </w:rPr>
        <w:t>: Estimated financial contributions</w:t>
      </w:r>
      <w:r w:rsidR="008E7527" w:rsidRPr="00E204BB">
        <w:rPr>
          <w:b/>
        </w:rPr>
        <w:t xml:space="preserve"> </w:t>
      </w:r>
    </w:p>
    <w:tbl>
      <w:tblPr>
        <w:tblW w:w="10436" w:type="dxa"/>
        <w:tblLayout w:type="fixed"/>
        <w:tblLook w:val="01E0" w:firstRow="1" w:lastRow="1" w:firstColumn="1" w:lastColumn="1" w:noHBand="0" w:noVBand="0"/>
      </w:tblPr>
      <w:tblGrid>
        <w:gridCol w:w="4863"/>
        <w:gridCol w:w="1127"/>
        <w:gridCol w:w="1126"/>
        <w:gridCol w:w="1126"/>
        <w:gridCol w:w="1126"/>
        <w:gridCol w:w="1068"/>
      </w:tblGrid>
      <w:tr w:rsidR="00C5736B" w14:paraId="46F994CB" w14:textId="77777777" w:rsidTr="00984039">
        <w:trPr>
          <w:cantSplit/>
        </w:trPr>
        <w:tc>
          <w:tcPr>
            <w:tcW w:w="4649" w:type="dxa"/>
            <w:tcBorders>
              <w:top w:val="single" w:sz="4" w:space="0" w:color="000080"/>
            </w:tcBorders>
          </w:tcPr>
          <w:p w14:paraId="17217ACB" w14:textId="77777777" w:rsidR="008E7527" w:rsidRPr="00C2711B" w:rsidRDefault="008E7527" w:rsidP="00AB71A5">
            <w:pPr>
              <w:keepNext/>
              <w:keepLines/>
              <w:spacing w:before="40" w:after="40"/>
              <w:jc w:val="left"/>
              <w:rPr>
                <w:b/>
              </w:rPr>
            </w:pPr>
            <w:r w:rsidRPr="00C2711B">
              <w:rPr>
                <w:b/>
              </w:rPr>
              <w:t>($ million)</w:t>
            </w:r>
          </w:p>
        </w:tc>
        <w:tc>
          <w:tcPr>
            <w:tcW w:w="1077" w:type="dxa"/>
            <w:tcBorders>
              <w:top w:val="single" w:sz="4" w:space="0" w:color="000080"/>
              <w:bottom w:val="single" w:sz="4" w:space="0" w:color="000080"/>
            </w:tcBorders>
          </w:tcPr>
          <w:p w14:paraId="7A706CB9" w14:textId="77777777" w:rsidR="008E7527" w:rsidRDefault="00D861A4" w:rsidP="00984039">
            <w:pPr>
              <w:keepNext/>
              <w:keepLines/>
              <w:spacing w:before="40" w:after="40"/>
              <w:jc w:val="center"/>
            </w:pPr>
            <w:r>
              <w:t>2019-20</w:t>
            </w:r>
          </w:p>
        </w:tc>
        <w:tc>
          <w:tcPr>
            <w:tcW w:w="1077" w:type="dxa"/>
            <w:tcBorders>
              <w:top w:val="single" w:sz="4" w:space="0" w:color="000080"/>
              <w:bottom w:val="single" w:sz="4" w:space="0" w:color="000080"/>
            </w:tcBorders>
          </w:tcPr>
          <w:p w14:paraId="4607F123" w14:textId="77777777" w:rsidR="008E7527" w:rsidRDefault="00D861A4" w:rsidP="00984039">
            <w:pPr>
              <w:keepNext/>
              <w:keepLines/>
              <w:spacing w:before="40" w:after="40"/>
              <w:jc w:val="center"/>
            </w:pPr>
            <w:r>
              <w:t>2020-21</w:t>
            </w:r>
          </w:p>
        </w:tc>
        <w:tc>
          <w:tcPr>
            <w:tcW w:w="1077" w:type="dxa"/>
            <w:tcBorders>
              <w:top w:val="single" w:sz="4" w:space="0" w:color="000080"/>
              <w:bottom w:val="single" w:sz="4" w:space="0" w:color="000080"/>
            </w:tcBorders>
          </w:tcPr>
          <w:p w14:paraId="39BAB657" w14:textId="77777777" w:rsidR="008E7527" w:rsidRDefault="00D861A4" w:rsidP="00984039">
            <w:pPr>
              <w:keepNext/>
              <w:keepLines/>
              <w:spacing w:before="40" w:after="40"/>
              <w:jc w:val="center"/>
            </w:pPr>
            <w:r>
              <w:t>2021-22</w:t>
            </w:r>
          </w:p>
        </w:tc>
        <w:tc>
          <w:tcPr>
            <w:tcW w:w="1077" w:type="dxa"/>
            <w:tcBorders>
              <w:top w:val="single" w:sz="4" w:space="0" w:color="000080"/>
              <w:bottom w:val="single" w:sz="4" w:space="0" w:color="000080"/>
            </w:tcBorders>
          </w:tcPr>
          <w:p w14:paraId="4AF1ED4A" w14:textId="77777777" w:rsidR="008E7527" w:rsidRDefault="00D861A4" w:rsidP="00984039">
            <w:pPr>
              <w:keepNext/>
              <w:keepLines/>
              <w:spacing w:before="40" w:after="40"/>
              <w:jc w:val="center"/>
            </w:pPr>
            <w:r>
              <w:t>2022-23</w:t>
            </w:r>
          </w:p>
        </w:tc>
        <w:tc>
          <w:tcPr>
            <w:tcW w:w="1021" w:type="dxa"/>
            <w:tcBorders>
              <w:top w:val="single" w:sz="4" w:space="0" w:color="000080"/>
              <w:bottom w:val="single" w:sz="4" w:space="0" w:color="000080"/>
            </w:tcBorders>
          </w:tcPr>
          <w:p w14:paraId="3E2906E0" w14:textId="77777777" w:rsidR="008E7527" w:rsidRDefault="008E7527" w:rsidP="00984039">
            <w:pPr>
              <w:keepNext/>
              <w:keepLines/>
              <w:spacing w:before="40" w:after="40"/>
              <w:jc w:val="center"/>
            </w:pPr>
            <w:r>
              <w:t>Total</w:t>
            </w:r>
          </w:p>
        </w:tc>
      </w:tr>
      <w:tr w:rsidR="00C5736B" w14:paraId="5DD68C31" w14:textId="77777777" w:rsidTr="00984039">
        <w:trPr>
          <w:cantSplit/>
          <w:trHeight w:val="285"/>
        </w:trPr>
        <w:tc>
          <w:tcPr>
            <w:tcW w:w="4649" w:type="dxa"/>
          </w:tcPr>
          <w:p w14:paraId="6FCE0C48" w14:textId="77777777" w:rsidR="00E8031F" w:rsidRPr="00224EA5" w:rsidRDefault="00E8031F" w:rsidP="00E8031F">
            <w:pPr>
              <w:keepNext/>
              <w:keepLines/>
              <w:spacing w:before="60" w:after="60"/>
              <w:rPr>
                <w:b/>
              </w:rPr>
            </w:pPr>
            <w:r w:rsidRPr="005A21A7">
              <w:rPr>
                <w:b/>
              </w:rPr>
              <w:t>Estimated total budget</w:t>
            </w:r>
          </w:p>
        </w:tc>
        <w:tc>
          <w:tcPr>
            <w:tcW w:w="1077" w:type="dxa"/>
            <w:tcBorders>
              <w:top w:val="single" w:sz="4" w:space="0" w:color="000080"/>
            </w:tcBorders>
          </w:tcPr>
          <w:p w14:paraId="4EBA0C82" w14:textId="77777777" w:rsidR="00E8031F" w:rsidRPr="00224EA5" w:rsidRDefault="00E8031F" w:rsidP="00E8031F">
            <w:pPr>
              <w:keepNext/>
              <w:keepLines/>
              <w:spacing w:before="40" w:after="40"/>
              <w:jc w:val="right"/>
              <w:rPr>
                <w:b/>
              </w:rPr>
            </w:pPr>
            <w:r w:rsidRPr="00984039">
              <w:rPr>
                <w:b/>
              </w:rPr>
              <w:t>16.507</w:t>
            </w:r>
          </w:p>
        </w:tc>
        <w:tc>
          <w:tcPr>
            <w:tcW w:w="1077" w:type="dxa"/>
            <w:tcBorders>
              <w:top w:val="single" w:sz="4" w:space="0" w:color="000080"/>
            </w:tcBorders>
          </w:tcPr>
          <w:p w14:paraId="527EB5DC" w14:textId="77777777" w:rsidR="00E8031F" w:rsidRPr="00224EA5" w:rsidRDefault="00E8031F" w:rsidP="00E8031F">
            <w:pPr>
              <w:keepNext/>
              <w:keepLines/>
              <w:spacing w:before="40" w:after="40"/>
              <w:jc w:val="right"/>
              <w:rPr>
                <w:b/>
              </w:rPr>
            </w:pPr>
            <w:r w:rsidRPr="00984039">
              <w:rPr>
                <w:b/>
              </w:rPr>
              <w:t>16.771</w:t>
            </w:r>
          </w:p>
        </w:tc>
        <w:tc>
          <w:tcPr>
            <w:tcW w:w="1077" w:type="dxa"/>
            <w:tcBorders>
              <w:top w:val="single" w:sz="4" w:space="0" w:color="000080"/>
            </w:tcBorders>
          </w:tcPr>
          <w:p w14:paraId="6213A292" w14:textId="77777777" w:rsidR="00E8031F" w:rsidRPr="00224EA5" w:rsidRDefault="00E8031F" w:rsidP="00E8031F">
            <w:pPr>
              <w:keepNext/>
              <w:keepLines/>
              <w:spacing w:before="40" w:after="40"/>
              <w:jc w:val="right"/>
              <w:rPr>
                <w:b/>
              </w:rPr>
            </w:pPr>
            <w:r w:rsidRPr="00984039">
              <w:rPr>
                <w:b/>
              </w:rPr>
              <w:t>24.902</w:t>
            </w:r>
          </w:p>
        </w:tc>
        <w:tc>
          <w:tcPr>
            <w:tcW w:w="1077" w:type="dxa"/>
            <w:tcBorders>
              <w:top w:val="single" w:sz="4" w:space="0" w:color="000080"/>
            </w:tcBorders>
          </w:tcPr>
          <w:p w14:paraId="2650993A" w14:textId="77777777" w:rsidR="00E8031F" w:rsidRPr="00224EA5" w:rsidRDefault="00E8031F" w:rsidP="00E8031F">
            <w:pPr>
              <w:keepNext/>
              <w:keepLines/>
              <w:spacing w:before="40" w:after="40"/>
              <w:jc w:val="right"/>
              <w:rPr>
                <w:b/>
              </w:rPr>
            </w:pPr>
            <w:r w:rsidRPr="00984039">
              <w:rPr>
                <w:b/>
              </w:rPr>
              <w:t>17.313</w:t>
            </w:r>
          </w:p>
        </w:tc>
        <w:tc>
          <w:tcPr>
            <w:tcW w:w="1021" w:type="dxa"/>
            <w:tcBorders>
              <w:top w:val="single" w:sz="4" w:space="0" w:color="000080"/>
            </w:tcBorders>
          </w:tcPr>
          <w:p w14:paraId="7D1305E8" w14:textId="77777777" w:rsidR="00E8031F" w:rsidRPr="00224EA5" w:rsidRDefault="00E8031F" w:rsidP="00E8031F">
            <w:pPr>
              <w:keepNext/>
              <w:keepLines/>
              <w:spacing w:before="40" w:after="40"/>
              <w:jc w:val="right"/>
              <w:rPr>
                <w:b/>
              </w:rPr>
            </w:pPr>
            <w:r w:rsidRPr="00984039">
              <w:rPr>
                <w:b/>
              </w:rPr>
              <w:t>75.493</w:t>
            </w:r>
          </w:p>
        </w:tc>
      </w:tr>
      <w:tr w:rsidR="00C5736B" w14:paraId="01750279" w14:textId="77777777" w:rsidTr="00984039">
        <w:trPr>
          <w:cantSplit/>
        </w:trPr>
        <w:tc>
          <w:tcPr>
            <w:tcW w:w="4649" w:type="dxa"/>
          </w:tcPr>
          <w:p w14:paraId="0ACD17D5" w14:textId="77777777" w:rsidR="00C5736B" w:rsidRPr="004A673A" w:rsidRDefault="00C5736B" w:rsidP="00984039">
            <w:pPr>
              <w:keepNext/>
              <w:keepLines/>
              <w:spacing w:before="60" w:after="60"/>
              <w:jc w:val="left"/>
            </w:pPr>
            <w:r>
              <w:t>Less estimated National Partnership Payments</w:t>
            </w:r>
          </w:p>
        </w:tc>
        <w:tc>
          <w:tcPr>
            <w:tcW w:w="1077" w:type="dxa"/>
            <w:tcBorders>
              <w:bottom w:val="single" w:sz="4" w:space="0" w:color="auto"/>
            </w:tcBorders>
          </w:tcPr>
          <w:p w14:paraId="79180CA9" w14:textId="77777777" w:rsidR="00C5736B" w:rsidRPr="005B4C1B" w:rsidRDefault="00C5736B">
            <w:pPr>
              <w:keepNext/>
              <w:keepLines/>
              <w:spacing w:before="40" w:after="40"/>
              <w:jc w:val="right"/>
            </w:pPr>
            <w:r w:rsidRPr="009D7C0E">
              <w:rPr>
                <w:bCs/>
              </w:rPr>
              <w:t>16.507</w:t>
            </w:r>
          </w:p>
        </w:tc>
        <w:tc>
          <w:tcPr>
            <w:tcW w:w="1077" w:type="dxa"/>
            <w:tcBorders>
              <w:bottom w:val="single" w:sz="4" w:space="0" w:color="auto"/>
            </w:tcBorders>
          </w:tcPr>
          <w:p w14:paraId="2AAA97C5" w14:textId="77777777" w:rsidR="00C5736B" w:rsidRPr="005B4C1B" w:rsidRDefault="00C5736B">
            <w:pPr>
              <w:keepNext/>
              <w:keepLines/>
              <w:spacing w:before="40" w:after="40"/>
              <w:jc w:val="right"/>
            </w:pPr>
            <w:r w:rsidRPr="009D7C0E">
              <w:rPr>
                <w:bCs/>
              </w:rPr>
              <w:t>16.771</w:t>
            </w:r>
          </w:p>
        </w:tc>
        <w:tc>
          <w:tcPr>
            <w:tcW w:w="1077" w:type="dxa"/>
            <w:tcBorders>
              <w:bottom w:val="single" w:sz="4" w:space="0" w:color="auto"/>
            </w:tcBorders>
          </w:tcPr>
          <w:p w14:paraId="6D8D3B74" w14:textId="77777777" w:rsidR="00C5736B" w:rsidRPr="005B4C1B" w:rsidRDefault="00C5736B">
            <w:pPr>
              <w:keepNext/>
              <w:keepLines/>
              <w:spacing w:before="40" w:after="40"/>
              <w:jc w:val="right"/>
            </w:pPr>
            <w:r>
              <w:rPr>
                <w:bCs/>
              </w:rPr>
              <w:t>24.902</w:t>
            </w:r>
            <w:r w:rsidRPr="009D7C0E">
              <w:rPr>
                <w:bCs/>
              </w:rPr>
              <w:t xml:space="preserve"> </w:t>
            </w:r>
          </w:p>
        </w:tc>
        <w:tc>
          <w:tcPr>
            <w:tcW w:w="1077" w:type="dxa"/>
            <w:tcBorders>
              <w:bottom w:val="single" w:sz="4" w:space="0" w:color="auto"/>
            </w:tcBorders>
          </w:tcPr>
          <w:p w14:paraId="5E2EB7A4" w14:textId="77777777" w:rsidR="00C5736B" w:rsidRPr="005B4C1B" w:rsidRDefault="00C5736B">
            <w:pPr>
              <w:keepNext/>
              <w:keepLines/>
              <w:spacing w:before="40" w:after="40"/>
              <w:jc w:val="right"/>
            </w:pPr>
            <w:r w:rsidRPr="009D7C0E">
              <w:rPr>
                <w:bCs/>
              </w:rPr>
              <w:t>17.313</w:t>
            </w:r>
          </w:p>
        </w:tc>
        <w:tc>
          <w:tcPr>
            <w:tcW w:w="1021" w:type="dxa"/>
            <w:tcBorders>
              <w:bottom w:val="single" w:sz="4" w:space="0" w:color="auto"/>
            </w:tcBorders>
          </w:tcPr>
          <w:p w14:paraId="4147FB00" w14:textId="77777777" w:rsidR="00C5736B" w:rsidRPr="005B4C1B" w:rsidRDefault="00C5736B" w:rsidP="00C5736B">
            <w:pPr>
              <w:keepNext/>
              <w:keepLines/>
              <w:spacing w:before="40" w:after="40"/>
              <w:jc w:val="right"/>
            </w:pPr>
            <w:r>
              <w:rPr>
                <w:bCs/>
              </w:rPr>
              <w:t>75.493</w:t>
            </w:r>
          </w:p>
        </w:tc>
      </w:tr>
      <w:tr w:rsidR="00C5736B" w14:paraId="097B5A8A" w14:textId="77777777" w:rsidTr="00984039">
        <w:trPr>
          <w:cantSplit/>
        </w:trPr>
        <w:tc>
          <w:tcPr>
            <w:tcW w:w="4649" w:type="dxa"/>
            <w:tcBorders>
              <w:bottom w:val="single" w:sz="4" w:space="0" w:color="000080"/>
            </w:tcBorders>
          </w:tcPr>
          <w:p w14:paraId="00EC9CC6" w14:textId="77777777" w:rsidR="00C5736B" w:rsidRPr="006146F2" w:rsidRDefault="00C5736B" w:rsidP="00984039">
            <w:pPr>
              <w:keepNext/>
              <w:keepLines/>
              <w:spacing w:before="40" w:after="40"/>
              <w:jc w:val="left"/>
            </w:pPr>
            <w:r w:rsidRPr="006146F2">
              <w:t>Balance of non-Commonwealth contribution</w:t>
            </w:r>
            <w:r>
              <w:t>s</w:t>
            </w:r>
          </w:p>
        </w:tc>
        <w:tc>
          <w:tcPr>
            <w:tcW w:w="1077" w:type="dxa"/>
            <w:tcBorders>
              <w:top w:val="single" w:sz="4" w:space="0" w:color="auto"/>
              <w:bottom w:val="single" w:sz="4" w:space="0" w:color="000080"/>
            </w:tcBorders>
          </w:tcPr>
          <w:p w14:paraId="10470FFB" w14:textId="77777777" w:rsidR="00C5736B" w:rsidRDefault="00C5736B" w:rsidP="00C5736B">
            <w:pPr>
              <w:keepNext/>
              <w:keepLines/>
              <w:spacing w:before="40" w:after="40"/>
              <w:jc w:val="right"/>
            </w:pPr>
            <w:r>
              <w:t>0.0</w:t>
            </w:r>
          </w:p>
        </w:tc>
        <w:tc>
          <w:tcPr>
            <w:tcW w:w="1077" w:type="dxa"/>
            <w:tcBorders>
              <w:top w:val="single" w:sz="4" w:space="0" w:color="auto"/>
              <w:bottom w:val="single" w:sz="4" w:space="0" w:color="000080"/>
            </w:tcBorders>
          </w:tcPr>
          <w:p w14:paraId="113CCA11" w14:textId="77777777" w:rsidR="00C5736B" w:rsidRDefault="00C5736B" w:rsidP="00C5736B">
            <w:pPr>
              <w:keepNext/>
              <w:keepLines/>
              <w:spacing w:before="40" w:after="40"/>
              <w:jc w:val="right"/>
            </w:pPr>
            <w:r>
              <w:t>0.0</w:t>
            </w:r>
          </w:p>
        </w:tc>
        <w:tc>
          <w:tcPr>
            <w:tcW w:w="1077" w:type="dxa"/>
            <w:tcBorders>
              <w:top w:val="single" w:sz="4" w:space="0" w:color="auto"/>
              <w:bottom w:val="single" w:sz="4" w:space="0" w:color="000080"/>
            </w:tcBorders>
          </w:tcPr>
          <w:p w14:paraId="6420AA01" w14:textId="77777777" w:rsidR="00C5736B" w:rsidRDefault="00C5736B" w:rsidP="00C5736B">
            <w:pPr>
              <w:keepNext/>
              <w:keepLines/>
              <w:spacing w:before="40" w:after="40"/>
              <w:jc w:val="right"/>
            </w:pPr>
            <w:r>
              <w:t>0.0</w:t>
            </w:r>
          </w:p>
        </w:tc>
        <w:tc>
          <w:tcPr>
            <w:tcW w:w="1077" w:type="dxa"/>
            <w:tcBorders>
              <w:top w:val="single" w:sz="4" w:space="0" w:color="auto"/>
              <w:bottom w:val="single" w:sz="4" w:space="0" w:color="000080"/>
            </w:tcBorders>
          </w:tcPr>
          <w:p w14:paraId="5426D6EB" w14:textId="77777777" w:rsidR="00C5736B" w:rsidRDefault="00C5736B" w:rsidP="00C5736B">
            <w:pPr>
              <w:keepNext/>
              <w:keepLines/>
              <w:spacing w:before="40" w:after="40"/>
              <w:jc w:val="right"/>
            </w:pPr>
            <w:r>
              <w:t>0.0</w:t>
            </w:r>
          </w:p>
        </w:tc>
        <w:tc>
          <w:tcPr>
            <w:tcW w:w="1021" w:type="dxa"/>
            <w:tcBorders>
              <w:top w:val="single" w:sz="4" w:space="0" w:color="auto"/>
              <w:bottom w:val="single" w:sz="4" w:space="0" w:color="000080"/>
            </w:tcBorders>
          </w:tcPr>
          <w:p w14:paraId="710FE2C4" w14:textId="77777777" w:rsidR="00C5736B" w:rsidRDefault="00C5736B" w:rsidP="00C5736B">
            <w:pPr>
              <w:keepNext/>
              <w:keepLines/>
              <w:spacing w:before="40" w:after="40"/>
              <w:jc w:val="right"/>
            </w:pPr>
            <w:r>
              <w:t>0.0</w:t>
            </w:r>
          </w:p>
        </w:tc>
      </w:tr>
    </w:tbl>
    <w:p w14:paraId="5C4D11CF" w14:textId="77777777" w:rsidR="00682D55" w:rsidRDefault="00682D55" w:rsidP="00682D55">
      <w:pPr>
        <w:pStyle w:val="Normalnumbered"/>
        <w:numPr>
          <w:ilvl w:val="0"/>
          <w:numId w:val="0"/>
        </w:numPr>
        <w:ind w:left="567"/>
      </w:pPr>
    </w:p>
    <w:p w14:paraId="13B11C73" w14:textId="42C4DA18" w:rsidR="008E7527" w:rsidRDefault="008E7527" w:rsidP="006B6747">
      <w:pPr>
        <w:pStyle w:val="Normalnumbered"/>
        <w:numPr>
          <w:ilvl w:val="0"/>
          <w:numId w:val="24"/>
        </w:numPr>
      </w:pPr>
      <w:r w:rsidRPr="00C738BD">
        <w:t xml:space="preserve">Having regard to the agreed estimated costs of projects specified in </w:t>
      </w:r>
      <w:r w:rsidR="006B43AF">
        <w:t>this</w:t>
      </w:r>
      <w:r>
        <w:t xml:space="preserve"> Agreement</w:t>
      </w:r>
      <w:r w:rsidRPr="00C738BD">
        <w:t>, a State or Territory will not be required to pay a refund to the Commonwealth if the actual cost of the project is less than the agreed</w:t>
      </w:r>
      <w:r w:rsidR="00F16607">
        <w:t xml:space="preserve"> estimated cost of the project.</w:t>
      </w:r>
      <w:r w:rsidR="00515AF2">
        <w:t xml:space="preserve"> </w:t>
      </w:r>
      <w:r w:rsidRPr="00C738BD">
        <w:t>Similarly, the States</w:t>
      </w:r>
      <w:r>
        <w:t xml:space="preserve"> </w:t>
      </w:r>
      <w:r w:rsidRPr="00C738BD">
        <w:t>bear all risk should the costs of a project exceed the agreed estimated cost</w:t>
      </w:r>
      <w:r>
        <w:t>s.</w:t>
      </w:r>
      <w:r w:rsidRPr="00C738BD">
        <w:t xml:space="preserve"> The Parties acknowledge that this arrangement provides the maximum incentive for the States to deliver projects cost effectively and efficiently.</w:t>
      </w:r>
    </w:p>
    <w:p w14:paraId="0C9D30FC" w14:textId="77777777" w:rsidR="00814667" w:rsidRDefault="003A2157" w:rsidP="008E4C72">
      <w:pPr>
        <w:pStyle w:val="Heading1"/>
        <w:spacing w:before="360"/>
      </w:pPr>
      <w:bookmarkStart w:id="0" w:name="top"/>
      <w:bookmarkEnd w:id="0"/>
      <w:r>
        <w:t xml:space="preserve">Part </w:t>
      </w:r>
      <w:r w:rsidR="000B4080">
        <w:t>6</w:t>
      </w:r>
      <w:r w:rsidR="00814667">
        <w:t xml:space="preserve"> — governance arrangements</w:t>
      </w:r>
    </w:p>
    <w:p w14:paraId="056CF8C9" w14:textId="77777777" w:rsidR="00BC4728" w:rsidRDefault="00BC4728" w:rsidP="00BC4728">
      <w:pPr>
        <w:pStyle w:val="Heading2"/>
      </w:pPr>
      <w:r w:rsidRPr="006F096A">
        <w:t>Enforceability of the Agreement</w:t>
      </w:r>
    </w:p>
    <w:p w14:paraId="4090E434" w14:textId="77777777" w:rsidR="00BC4728" w:rsidRPr="00C40EBC" w:rsidRDefault="00BC4728" w:rsidP="006B6747">
      <w:pPr>
        <w:pStyle w:val="Normalnumbered"/>
        <w:numPr>
          <w:ilvl w:val="0"/>
          <w:numId w:val="24"/>
        </w:numPr>
        <w:spacing w:line="240" w:lineRule="auto"/>
      </w:pPr>
      <w:r>
        <w:rPr>
          <w:szCs w:val="23"/>
        </w:rPr>
        <w:t>The Parties do not intend any of the provisions of this Agreement to be legally enforceable. However, that does not lessen the Parties’ commitment to this Agreement.</w:t>
      </w:r>
    </w:p>
    <w:p w14:paraId="118F66AD" w14:textId="77777777" w:rsidR="00814667" w:rsidRDefault="00814667">
      <w:pPr>
        <w:pStyle w:val="Heading2"/>
      </w:pPr>
      <w:r>
        <w:t>Variation of the Agreement</w:t>
      </w:r>
    </w:p>
    <w:p w14:paraId="4562AEC6" w14:textId="77777777" w:rsidR="00814667" w:rsidRPr="00DE36EB" w:rsidRDefault="00607B03" w:rsidP="006B6747">
      <w:pPr>
        <w:pStyle w:val="Normalnumbered"/>
        <w:numPr>
          <w:ilvl w:val="0"/>
          <w:numId w:val="24"/>
        </w:numPr>
      </w:pPr>
      <w:r>
        <w:t>The A</w:t>
      </w:r>
      <w:r w:rsidR="00814667">
        <w:t xml:space="preserve">greement may be amended at any time by agreement in writing by </w:t>
      </w:r>
      <w:r w:rsidR="00142C9E">
        <w:t>both</w:t>
      </w:r>
      <w:r w:rsidR="002B1C50" w:rsidRPr="00DE36EB">
        <w:t xml:space="preserve"> </w:t>
      </w:r>
      <w:r w:rsidR="00814667" w:rsidRPr="00DE36EB">
        <w:t>the Parties.</w:t>
      </w:r>
    </w:p>
    <w:p w14:paraId="75D7B70C" w14:textId="77777777" w:rsidR="00292587" w:rsidRDefault="00142C9E" w:rsidP="006B6747">
      <w:pPr>
        <w:pStyle w:val="Normalnumbered"/>
        <w:numPr>
          <w:ilvl w:val="0"/>
          <w:numId w:val="24"/>
        </w:numPr>
      </w:pPr>
      <w:r>
        <w:t xml:space="preserve">Either </w:t>
      </w:r>
      <w:r w:rsidR="00814667" w:rsidRPr="00DE36EB">
        <w:t>Party to the Agreement may terminate their part</w:t>
      </w:r>
      <w:r w:rsidR="00814667">
        <w:t>icipation in the Agreement at any time by notifying the other Part</w:t>
      </w:r>
      <w:r>
        <w:t>y</w:t>
      </w:r>
      <w:r w:rsidR="00C2605C">
        <w:rPr>
          <w:i/>
        </w:rPr>
        <w:t xml:space="preserve"> </w:t>
      </w:r>
      <w:r w:rsidR="00814667">
        <w:t>in writing.</w:t>
      </w:r>
    </w:p>
    <w:p w14:paraId="6F962E62" w14:textId="77777777" w:rsidR="009526E4" w:rsidRDefault="009526E4" w:rsidP="0036119D">
      <w:pPr>
        <w:pStyle w:val="Heading2"/>
      </w:pPr>
      <w:r>
        <w:t>Delegations</w:t>
      </w:r>
    </w:p>
    <w:p w14:paraId="6F7E5C83" w14:textId="77777777" w:rsidR="009526E4" w:rsidRDefault="009526E4" w:rsidP="006B6747">
      <w:pPr>
        <w:pStyle w:val="Normalnumbered"/>
        <w:numPr>
          <w:ilvl w:val="0"/>
          <w:numId w:val="24"/>
        </w:numPr>
      </w:pPr>
      <w:r>
        <w:t xml:space="preserve">The Commonwealth Minister may delegate the assessment of performance </w:t>
      </w:r>
      <w:r w:rsidR="00115A97">
        <w:t>against</w:t>
      </w:r>
      <w:r>
        <w:t xml:space="preserve"> milestones and the authorisation of related project payments to senior Commonwealth officials, having regard to the financial and policy risks associated with those payments.</w:t>
      </w:r>
    </w:p>
    <w:p w14:paraId="5DAFF19E" w14:textId="77777777" w:rsidR="0036119D" w:rsidRDefault="0036119D" w:rsidP="0036119D">
      <w:pPr>
        <w:pStyle w:val="Heading2"/>
      </w:pPr>
      <w:r>
        <w:t>Dispute resolution</w:t>
      </w:r>
    </w:p>
    <w:p w14:paraId="41D5271F" w14:textId="77777777" w:rsidR="0036119D" w:rsidRPr="00DE36EB" w:rsidRDefault="00142C9E" w:rsidP="006B6747">
      <w:pPr>
        <w:pStyle w:val="Normalnumbered"/>
        <w:numPr>
          <w:ilvl w:val="0"/>
          <w:numId w:val="24"/>
        </w:numPr>
      </w:pPr>
      <w:r w:rsidRPr="00DE36EB">
        <w:t xml:space="preserve"> </w:t>
      </w:r>
      <w:r w:rsidR="001E6A37">
        <w:t xml:space="preserve">Either </w:t>
      </w:r>
      <w:r w:rsidR="0036119D" w:rsidRPr="00DE36EB">
        <w:t xml:space="preserve">Party may give notice to </w:t>
      </w:r>
      <w:r w:rsidR="00C925BF">
        <w:t xml:space="preserve">the </w:t>
      </w:r>
      <w:r w:rsidR="0036119D" w:rsidRPr="00DE36EB">
        <w:t>other</w:t>
      </w:r>
      <w:r w:rsidR="00684EC1" w:rsidRPr="00DE36EB">
        <w:t xml:space="preserve"> Party </w:t>
      </w:r>
      <w:r w:rsidR="0036119D" w:rsidRPr="00DE36EB">
        <w:t>of a dispute under this Agreement.</w:t>
      </w:r>
    </w:p>
    <w:p w14:paraId="294A993E" w14:textId="77777777" w:rsidR="0036119D" w:rsidRPr="00DE36EB" w:rsidRDefault="0036119D" w:rsidP="006B6747">
      <w:pPr>
        <w:pStyle w:val="Normalnumbered"/>
        <w:numPr>
          <w:ilvl w:val="0"/>
          <w:numId w:val="24"/>
        </w:numPr>
      </w:pPr>
      <w:r w:rsidRPr="00DE36EB">
        <w:t xml:space="preserve">Officials of </w:t>
      </w:r>
      <w:r w:rsidR="002B1C50" w:rsidRPr="00DE36EB">
        <w:t>both</w:t>
      </w:r>
      <w:r w:rsidR="002B1C50" w:rsidRPr="00DE36EB">
        <w:rPr>
          <w:i/>
        </w:rPr>
        <w:t xml:space="preserve"> </w:t>
      </w:r>
      <w:r w:rsidRPr="00DE36EB">
        <w:t>Parties will attempt to resolve any dispute in the first instance.</w:t>
      </w:r>
    </w:p>
    <w:p w14:paraId="2DE5B638" w14:textId="77777777" w:rsidR="0036119D" w:rsidRPr="00DE36EB" w:rsidRDefault="0036119D" w:rsidP="006B6747">
      <w:pPr>
        <w:pStyle w:val="Normalnumbered"/>
        <w:numPr>
          <w:ilvl w:val="0"/>
          <w:numId w:val="24"/>
        </w:numPr>
      </w:pPr>
      <w:r w:rsidRPr="00DE36EB">
        <w:lastRenderedPageBreak/>
        <w:t>If a dispute cannot be resolved by officials, it may be escalated to the relevant Ministers.</w:t>
      </w:r>
    </w:p>
    <w:p w14:paraId="608C3BE3" w14:textId="77777777" w:rsidR="00814667" w:rsidRPr="00A50751" w:rsidRDefault="00814667">
      <w:pPr>
        <w:rPr>
          <w:lang w:val="en-GB"/>
        </w:rPr>
      </w:pPr>
      <w:r w:rsidRPr="00D5623C">
        <w:rPr>
          <w:lang w:val="en-GB"/>
        </w:rPr>
        <w:t xml:space="preserve">The </w:t>
      </w:r>
      <w:r w:rsidRPr="00D5623C">
        <w:rPr>
          <w:sz w:val="24"/>
          <w:szCs w:val="24"/>
        </w:rPr>
        <w:t>Parties</w:t>
      </w:r>
      <w:r w:rsidRPr="00D5623C">
        <w:rPr>
          <w:lang w:val="en-GB"/>
        </w:rPr>
        <w:t xml:space="preserve"> have confirmed their commitment to this agreement as follows:</w:t>
      </w:r>
    </w:p>
    <w:tbl>
      <w:tblPr>
        <w:tblW w:w="9746" w:type="dxa"/>
        <w:jc w:val="center"/>
        <w:tblLayout w:type="fixed"/>
        <w:tblLook w:val="01E0" w:firstRow="1" w:lastRow="1" w:firstColumn="1" w:lastColumn="1" w:noHBand="0" w:noVBand="0"/>
      </w:tblPr>
      <w:tblGrid>
        <w:gridCol w:w="4926"/>
        <w:gridCol w:w="284"/>
        <w:gridCol w:w="4536"/>
      </w:tblGrid>
      <w:tr w:rsidR="00814667" w:rsidRPr="00A50751" w14:paraId="1C46055E" w14:textId="77777777" w:rsidTr="00554E5A">
        <w:trPr>
          <w:cantSplit/>
          <w:jc w:val="center"/>
        </w:trPr>
        <w:tc>
          <w:tcPr>
            <w:tcW w:w="4926" w:type="dxa"/>
          </w:tcPr>
          <w:p w14:paraId="7EE2607B" w14:textId="77777777" w:rsidR="00814667" w:rsidRPr="004A0AE7" w:rsidRDefault="00814667">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place">
              <w:smartTag w:uri="urn:schemas-microsoft-com:office:smarttags" w:element="country-region">
                <w:r w:rsidRPr="004A0AE7">
                  <w:t>Australia</w:t>
                </w:r>
              </w:smartTag>
            </w:smartTag>
            <w:r w:rsidRPr="004A0AE7">
              <w:t xml:space="preserve"> by</w:t>
            </w:r>
          </w:p>
          <w:p w14:paraId="4D9C59E6" w14:textId="77777777" w:rsidR="00814667" w:rsidRPr="00A50751" w:rsidRDefault="00814667">
            <w:pPr>
              <w:pStyle w:val="LineForSignature"/>
            </w:pPr>
            <w:r>
              <w:tab/>
            </w:r>
          </w:p>
          <w:p w14:paraId="0231B948" w14:textId="77777777" w:rsidR="00814667" w:rsidRDefault="00814667">
            <w:pPr>
              <w:pStyle w:val="SingleParagraph"/>
              <w:rPr>
                <w:rStyle w:val="Bold"/>
              </w:rPr>
            </w:pPr>
            <w:r>
              <w:rPr>
                <w:rStyle w:val="Bold"/>
              </w:rPr>
              <w:t xml:space="preserve">The Honourable </w:t>
            </w:r>
            <w:r w:rsidR="00D5623C">
              <w:rPr>
                <w:rStyle w:val="Bold"/>
              </w:rPr>
              <w:t>Greg Hunt</w:t>
            </w:r>
            <w:r w:rsidR="0099742A">
              <w:rPr>
                <w:rStyle w:val="Bold"/>
              </w:rPr>
              <w:t xml:space="preserve"> </w:t>
            </w:r>
            <w:r>
              <w:rPr>
                <w:rStyle w:val="Bold"/>
              </w:rPr>
              <w:t>MP</w:t>
            </w:r>
          </w:p>
          <w:p w14:paraId="489DA1C6" w14:textId="7EB3AB8B" w:rsidR="00814667" w:rsidRDefault="00D5623C">
            <w:pPr>
              <w:pStyle w:val="Position"/>
              <w:rPr>
                <w:lang w:val="en-GB"/>
              </w:rPr>
            </w:pPr>
            <w:r>
              <w:rPr>
                <w:lang w:val="en-GB"/>
              </w:rPr>
              <w:t>Minister for Health</w:t>
            </w:r>
            <w:r w:rsidR="00F16607">
              <w:rPr>
                <w:lang w:val="en-GB"/>
              </w:rPr>
              <w:t xml:space="preserve"> and Aged Care</w:t>
            </w:r>
          </w:p>
          <w:p w14:paraId="6253FF9F" w14:textId="77777777" w:rsidR="00814667" w:rsidRDefault="00D5623C" w:rsidP="00311E63">
            <w:pPr>
              <w:pStyle w:val="SingleParagraph"/>
              <w:tabs>
                <w:tab w:val="num" w:pos="1134"/>
              </w:tabs>
              <w:spacing w:after="240"/>
              <w:ind w:left="1134" w:hanging="567"/>
              <w:rPr>
                <w:b/>
                <w:lang w:val="en-GB"/>
              </w:rPr>
            </w:pPr>
            <w:r>
              <w:rPr>
                <w:lang w:val="en-GB"/>
              </w:rPr>
              <w:t xml:space="preserve">            20</w:t>
            </w:r>
            <w:r w:rsidR="00311E63">
              <w:rPr>
                <w:lang w:val="en-GB"/>
              </w:rPr>
              <w:t>22</w:t>
            </w:r>
          </w:p>
        </w:tc>
        <w:tc>
          <w:tcPr>
            <w:tcW w:w="284" w:type="dxa"/>
            <w:tcMar>
              <w:left w:w="0" w:type="dxa"/>
              <w:right w:w="0" w:type="dxa"/>
            </w:tcMar>
          </w:tcPr>
          <w:p w14:paraId="4B826DAC" w14:textId="77777777" w:rsidR="00814667" w:rsidRPr="00A50751" w:rsidRDefault="00814667">
            <w:pPr>
              <w:rPr>
                <w:rFonts w:ascii="Book Antiqua" w:hAnsi="Book Antiqua"/>
                <w:lang w:val="en-GB"/>
              </w:rPr>
            </w:pPr>
          </w:p>
        </w:tc>
        <w:tc>
          <w:tcPr>
            <w:tcW w:w="4536" w:type="dxa"/>
          </w:tcPr>
          <w:p w14:paraId="65B64370" w14:textId="77777777" w:rsidR="00814667" w:rsidRPr="00A50751" w:rsidRDefault="00814667">
            <w:pPr>
              <w:rPr>
                <w:rFonts w:ascii="Book Antiqua" w:hAnsi="Book Antiqua"/>
                <w:lang w:val="en-GB"/>
              </w:rPr>
            </w:pPr>
          </w:p>
        </w:tc>
      </w:tr>
      <w:tr w:rsidR="00814667" w:rsidRPr="00A50751" w14:paraId="107F4338" w14:textId="77777777" w:rsidTr="00554E5A">
        <w:trPr>
          <w:cantSplit/>
          <w:jc w:val="center"/>
        </w:trPr>
        <w:tc>
          <w:tcPr>
            <w:tcW w:w="4926" w:type="dxa"/>
          </w:tcPr>
          <w:p w14:paraId="4548AD48"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102C7D99" w14:textId="77777777" w:rsidR="00814667" w:rsidRPr="00A50751" w:rsidRDefault="00814667">
            <w:pPr>
              <w:pStyle w:val="SingleParagraph"/>
              <w:rPr>
                <w:rFonts w:ascii="Book Antiqua" w:hAnsi="Book Antiqua"/>
                <w:lang w:val="en-GB"/>
              </w:rPr>
            </w:pPr>
          </w:p>
        </w:tc>
        <w:tc>
          <w:tcPr>
            <w:tcW w:w="4536" w:type="dxa"/>
          </w:tcPr>
          <w:p w14:paraId="15DB1347" w14:textId="77777777" w:rsidR="00814667" w:rsidRPr="00A50751" w:rsidRDefault="00814667">
            <w:pPr>
              <w:pStyle w:val="SingleParagraph"/>
              <w:rPr>
                <w:rFonts w:ascii="Book Antiqua" w:hAnsi="Book Antiqua"/>
                <w:lang w:val="en-GB"/>
              </w:rPr>
            </w:pPr>
          </w:p>
        </w:tc>
      </w:tr>
      <w:tr w:rsidR="00814667" w:rsidRPr="00A50751" w14:paraId="62DE4E54" w14:textId="77777777" w:rsidTr="00554E5A">
        <w:trPr>
          <w:cantSplit/>
          <w:trHeight w:val="143"/>
          <w:jc w:val="center"/>
        </w:trPr>
        <w:tc>
          <w:tcPr>
            <w:tcW w:w="4926" w:type="dxa"/>
          </w:tcPr>
          <w:p w14:paraId="7D426633" w14:textId="77777777" w:rsidR="00814667" w:rsidRPr="00A50751" w:rsidRDefault="00814667">
            <w:pPr>
              <w:pStyle w:val="SingleParagraph"/>
              <w:tabs>
                <w:tab w:val="num" w:pos="1134"/>
              </w:tabs>
              <w:spacing w:after="240"/>
              <w:ind w:left="1134" w:hanging="567"/>
              <w:rPr>
                <w:lang w:val="en-GB"/>
              </w:rPr>
            </w:pPr>
          </w:p>
        </w:tc>
        <w:tc>
          <w:tcPr>
            <w:tcW w:w="284" w:type="dxa"/>
            <w:tcMar>
              <w:left w:w="0" w:type="dxa"/>
              <w:right w:w="0" w:type="dxa"/>
            </w:tcMar>
          </w:tcPr>
          <w:p w14:paraId="7757AED5" w14:textId="77777777" w:rsidR="00814667" w:rsidRPr="00A50751" w:rsidRDefault="00814667">
            <w:pPr>
              <w:rPr>
                <w:rFonts w:ascii="Book Antiqua" w:hAnsi="Book Antiqua"/>
                <w:lang w:val="en-GB"/>
              </w:rPr>
            </w:pPr>
          </w:p>
        </w:tc>
        <w:tc>
          <w:tcPr>
            <w:tcW w:w="4536" w:type="dxa"/>
          </w:tcPr>
          <w:p w14:paraId="79DB0867" w14:textId="77777777" w:rsidR="00814667" w:rsidRPr="00A50751" w:rsidRDefault="00814667">
            <w:pPr>
              <w:pStyle w:val="SingleParagraph"/>
              <w:tabs>
                <w:tab w:val="num" w:pos="1134"/>
              </w:tabs>
              <w:spacing w:after="240"/>
              <w:ind w:left="1134" w:hanging="567"/>
              <w:rPr>
                <w:lang w:val="en-GB"/>
              </w:rPr>
            </w:pPr>
          </w:p>
        </w:tc>
      </w:tr>
      <w:tr w:rsidR="00814667" w:rsidRPr="00A50751" w14:paraId="6B256569" w14:textId="77777777" w:rsidTr="00554E5A">
        <w:trPr>
          <w:cantSplit/>
          <w:jc w:val="center"/>
        </w:trPr>
        <w:tc>
          <w:tcPr>
            <w:tcW w:w="4926" w:type="dxa"/>
          </w:tcPr>
          <w:p w14:paraId="056FD08C" w14:textId="77777777" w:rsidR="001E6A37" w:rsidRPr="00A50751" w:rsidRDefault="001E6A37" w:rsidP="001E6A37">
            <w:pPr>
              <w:pStyle w:val="Signed"/>
            </w:pPr>
            <w:r>
              <w:rPr>
                <w:rStyle w:val="SignedBold"/>
              </w:rPr>
              <w:t>Signed</w:t>
            </w:r>
            <w:r w:rsidRPr="004A0AE7">
              <w:rPr>
                <w:i w:val="0"/>
              </w:rPr>
              <w:t xml:space="preserve"> </w:t>
            </w:r>
            <w:r w:rsidRPr="004A0AE7">
              <w:t xml:space="preserve">for and on behalf of </w:t>
            </w:r>
            <w:r>
              <w:t xml:space="preserve">the </w:t>
            </w:r>
            <w:r w:rsidRPr="004A0AE7">
              <w:t>Northern Territory by</w:t>
            </w:r>
          </w:p>
          <w:p w14:paraId="2DA05125" w14:textId="77777777" w:rsidR="001E6A37" w:rsidRPr="00A50751" w:rsidRDefault="001E6A37" w:rsidP="001E6A37">
            <w:pPr>
              <w:pStyle w:val="LineForSignature"/>
            </w:pPr>
            <w:r w:rsidRPr="00A50751">
              <w:tab/>
            </w:r>
          </w:p>
          <w:p w14:paraId="7A55BA73" w14:textId="77777777" w:rsidR="001E6A37" w:rsidRDefault="00D5623C" w:rsidP="001E6A37">
            <w:pPr>
              <w:pStyle w:val="SingleParagraph"/>
              <w:rPr>
                <w:rStyle w:val="Bold"/>
              </w:rPr>
            </w:pPr>
            <w:r>
              <w:rPr>
                <w:rStyle w:val="Bold"/>
              </w:rPr>
              <w:t xml:space="preserve">The Honourable Natasha </w:t>
            </w:r>
            <w:proofErr w:type="spellStart"/>
            <w:r>
              <w:rPr>
                <w:rStyle w:val="Bold"/>
              </w:rPr>
              <w:t>Fyles</w:t>
            </w:r>
            <w:proofErr w:type="spellEnd"/>
            <w:r w:rsidR="001E6A37">
              <w:rPr>
                <w:rStyle w:val="Bold"/>
              </w:rPr>
              <w:t xml:space="preserve"> MLA</w:t>
            </w:r>
          </w:p>
          <w:p w14:paraId="45DECEF4" w14:textId="77777777" w:rsidR="001E6A37" w:rsidRDefault="00D5623C" w:rsidP="001E6A37">
            <w:pPr>
              <w:pStyle w:val="Position"/>
              <w:rPr>
                <w:lang w:val="en-GB"/>
              </w:rPr>
            </w:pPr>
            <w:r>
              <w:rPr>
                <w:lang w:val="en-GB"/>
              </w:rPr>
              <w:t>Minister for Health</w:t>
            </w:r>
          </w:p>
          <w:p w14:paraId="0FB6462D" w14:textId="77777777" w:rsidR="00814667" w:rsidRPr="00A50751" w:rsidRDefault="00D5623C" w:rsidP="00311E63">
            <w:pPr>
              <w:pStyle w:val="SingleParagraph"/>
              <w:rPr>
                <w:rFonts w:ascii="Book Antiqua" w:hAnsi="Book Antiqua"/>
                <w:lang w:val="en-GB"/>
              </w:rPr>
            </w:pPr>
            <w:r>
              <w:rPr>
                <w:lang w:val="en-GB"/>
              </w:rPr>
              <w:t xml:space="preserve">                         20</w:t>
            </w:r>
            <w:r w:rsidR="00311E63">
              <w:rPr>
                <w:lang w:val="en-GB"/>
              </w:rPr>
              <w:t>22</w:t>
            </w:r>
          </w:p>
        </w:tc>
        <w:tc>
          <w:tcPr>
            <w:tcW w:w="284" w:type="dxa"/>
            <w:tcMar>
              <w:left w:w="0" w:type="dxa"/>
              <w:right w:w="0" w:type="dxa"/>
            </w:tcMar>
          </w:tcPr>
          <w:p w14:paraId="5EAEF686" w14:textId="77777777" w:rsidR="00814667" w:rsidRPr="00A50751" w:rsidRDefault="00814667">
            <w:pPr>
              <w:pStyle w:val="SingleParagraph"/>
              <w:rPr>
                <w:rFonts w:ascii="Book Antiqua" w:hAnsi="Book Antiqua"/>
                <w:lang w:val="en-GB"/>
              </w:rPr>
            </w:pPr>
          </w:p>
        </w:tc>
        <w:tc>
          <w:tcPr>
            <w:tcW w:w="4536" w:type="dxa"/>
          </w:tcPr>
          <w:p w14:paraId="79346C23" w14:textId="77777777" w:rsidR="00814667" w:rsidRPr="00A50751" w:rsidRDefault="00814667">
            <w:pPr>
              <w:pStyle w:val="SingleParagraph"/>
              <w:rPr>
                <w:rFonts w:ascii="Book Antiqua" w:hAnsi="Book Antiqua"/>
                <w:lang w:val="en-GB"/>
              </w:rPr>
            </w:pPr>
          </w:p>
        </w:tc>
      </w:tr>
      <w:tr w:rsidR="00814667" w:rsidRPr="00A50751" w14:paraId="09372C8C" w14:textId="77777777" w:rsidTr="00554E5A">
        <w:trPr>
          <w:cantSplit/>
          <w:jc w:val="center"/>
        </w:trPr>
        <w:tc>
          <w:tcPr>
            <w:tcW w:w="4926" w:type="dxa"/>
          </w:tcPr>
          <w:p w14:paraId="14B0602A" w14:textId="77777777" w:rsidR="00814667" w:rsidRPr="00A50751" w:rsidRDefault="00814667">
            <w:pPr>
              <w:pStyle w:val="SingleParagraph"/>
              <w:tabs>
                <w:tab w:val="num" w:pos="1134"/>
              </w:tabs>
              <w:spacing w:after="240"/>
              <w:ind w:left="1134" w:hanging="567"/>
              <w:rPr>
                <w:szCs w:val="22"/>
                <w:lang w:val="en-GB"/>
              </w:rPr>
            </w:pPr>
          </w:p>
        </w:tc>
        <w:tc>
          <w:tcPr>
            <w:tcW w:w="284" w:type="dxa"/>
            <w:tcMar>
              <w:left w:w="0" w:type="dxa"/>
              <w:right w:w="0" w:type="dxa"/>
            </w:tcMar>
          </w:tcPr>
          <w:p w14:paraId="4D65D7D7" w14:textId="77777777" w:rsidR="00814667" w:rsidRPr="00A50751" w:rsidRDefault="00814667">
            <w:pPr>
              <w:rPr>
                <w:rFonts w:ascii="Book Antiqua" w:hAnsi="Book Antiqua"/>
                <w:lang w:val="en-GB"/>
              </w:rPr>
            </w:pPr>
          </w:p>
        </w:tc>
        <w:tc>
          <w:tcPr>
            <w:tcW w:w="4536" w:type="dxa"/>
          </w:tcPr>
          <w:p w14:paraId="57162FDE" w14:textId="77777777" w:rsidR="00814667" w:rsidRPr="00A50751" w:rsidRDefault="00814667">
            <w:pPr>
              <w:pStyle w:val="SingleParagraph"/>
              <w:tabs>
                <w:tab w:val="num" w:pos="1134"/>
              </w:tabs>
              <w:spacing w:after="240"/>
              <w:ind w:left="1134" w:hanging="567"/>
              <w:rPr>
                <w:lang w:val="en-GB"/>
              </w:rPr>
            </w:pPr>
          </w:p>
        </w:tc>
      </w:tr>
    </w:tbl>
    <w:p w14:paraId="24B4A29F" w14:textId="77777777" w:rsidR="008843EE" w:rsidRDefault="008843EE" w:rsidP="0020144E"/>
    <w:sectPr w:rsidR="008843EE" w:rsidSect="00C606F6">
      <w:headerReference w:type="first" r:id="rId14"/>
      <w:footerReference w:type="first" r:id="rId15"/>
      <w:type w:val="oddPage"/>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15F90" w14:textId="77777777" w:rsidR="008238BD" w:rsidRDefault="008238BD">
      <w:r>
        <w:separator/>
      </w:r>
    </w:p>
  </w:endnote>
  <w:endnote w:type="continuationSeparator" w:id="0">
    <w:p w14:paraId="684D4B79" w14:textId="77777777" w:rsidR="008238BD" w:rsidRDefault="008238BD">
      <w:r>
        <w:continuationSeparator/>
      </w:r>
    </w:p>
  </w:endnote>
  <w:endnote w:type="continuationNotice" w:id="1">
    <w:p w14:paraId="7CD0E6D5" w14:textId="77777777" w:rsidR="008238BD" w:rsidRDefault="008238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863AD" w14:textId="77777777" w:rsidR="00B63080" w:rsidRDefault="00B63080" w:rsidP="00751725">
    <w:pPr>
      <w:pStyle w:val="FooterEven"/>
      <w:jc w:val="right"/>
    </w:pPr>
    <w:r>
      <w:t xml:space="preserve">Page </w:t>
    </w:r>
    <w:r>
      <w:rPr>
        <w:rStyle w:val="PageNumber"/>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AEB08" w14:textId="77777777" w:rsidR="008238BD" w:rsidRDefault="008238BD">
      <w:r>
        <w:separator/>
      </w:r>
    </w:p>
  </w:footnote>
  <w:footnote w:type="continuationSeparator" w:id="0">
    <w:p w14:paraId="3D8B6D33" w14:textId="77777777" w:rsidR="008238BD" w:rsidRDefault="008238BD">
      <w:r>
        <w:continuationSeparator/>
      </w:r>
    </w:p>
  </w:footnote>
  <w:footnote w:type="continuationNotice" w:id="1">
    <w:p w14:paraId="0E0A94CD" w14:textId="77777777" w:rsidR="008238BD" w:rsidRDefault="008238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5456E" w14:textId="77777777" w:rsidR="00B63080" w:rsidRPr="00814590" w:rsidRDefault="00B63080" w:rsidP="0036474E">
    <w:pPr>
      <w:pStyle w:val="HeaderOdd"/>
      <w:tabs>
        <w:tab w:val="num" w:pos="1134"/>
      </w:tabs>
      <w:rPr>
        <w:color w:val="800000"/>
      </w:rPr>
    </w:pPr>
    <w:r>
      <w:rPr>
        <w:color w:val="800000"/>
      </w:rPr>
      <w:t>Project Agreement for the National Critical Care and Trauma Response Centre</w:t>
    </w:r>
  </w:p>
  <w:p w14:paraId="67058F56" w14:textId="77777777" w:rsidR="00B63080" w:rsidRPr="00751725" w:rsidRDefault="00B63080" w:rsidP="002818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 w15:restartNumberingAfterBreak="0">
    <w:nsid w:val="1096008F"/>
    <w:multiLevelType w:val="hybridMultilevel"/>
    <w:tmpl w:val="1130DA2C"/>
    <w:lvl w:ilvl="0" w:tplc="0C09000F">
      <w:start w:val="1"/>
      <w:numFmt w:val="decimal"/>
      <w:lvlText w:val="%1."/>
      <w:lvlJc w:val="left"/>
      <w:pPr>
        <w:ind w:left="1077" w:hanging="360"/>
      </w:pPr>
      <w:rPr>
        <w:rFonts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4" w15:restartNumberingAfterBreak="0">
    <w:nsid w:val="1D142CF5"/>
    <w:multiLevelType w:val="hybridMultilevel"/>
    <w:tmpl w:val="D7A2F9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20FC1D9C"/>
    <w:multiLevelType w:val="hybridMultilevel"/>
    <w:tmpl w:val="3F700F9E"/>
    <w:lvl w:ilvl="0" w:tplc="0C09001B">
      <w:start w:val="1"/>
      <w:numFmt w:val="lowerRoman"/>
      <w:lvlText w:val="%1."/>
      <w:lvlJc w:val="right"/>
      <w:pPr>
        <w:ind w:left="1287" w:hanging="360"/>
      </w:pPr>
      <w:rPr>
        <w:rFonts w:cs="Times New Roman"/>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7"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8"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9"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0"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1" w15:restartNumberingAfterBreak="0">
    <w:nsid w:val="2D734307"/>
    <w:multiLevelType w:val="hybridMultilevel"/>
    <w:tmpl w:val="98EE6330"/>
    <w:lvl w:ilvl="0" w:tplc="0C09001B">
      <w:start w:val="1"/>
      <w:numFmt w:val="lowerRoman"/>
      <w:lvlText w:val="%1."/>
      <w:lvlJc w:val="right"/>
      <w:pPr>
        <w:ind w:left="1287" w:hanging="360"/>
      </w:pPr>
    </w:lvl>
    <w:lvl w:ilvl="1" w:tplc="0C090019">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2" w15:restartNumberingAfterBreak="0">
    <w:nsid w:val="3119467B"/>
    <w:multiLevelType w:val="hybridMultilevel"/>
    <w:tmpl w:val="20DE40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4" w15:restartNumberingAfterBreak="0">
    <w:nsid w:val="467D5D66"/>
    <w:multiLevelType w:val="hybridMultilevel"/>
    <w:tmpl w:val="9F4EF0BC"/>
    <w:lvl w:ilvl="0" w:tplc="0C09001B">
      <w:start w:val="1"/>
      <w:numFmt w:val="lowerRoman"/>
      <w:lvlText w:val="%1."/>
      <w:lvlJc w:val="righ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15"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6" w15:restartNumberingAfterBreak="0">
    <w:nsid w:val="519D2EB2"/>
    <w:multiLevelType w:val="hybridMultilevel"/>
    <w:tmpl w:val="1B6C3F00"/>
    <w:lvl w:ilvl="0" w:tplc="0C090001">
      <w:start w:val="1"/>
      <w:numFmt w:val="bullet"/>
      <w:lvlText w:val=""/>
      <w:lvlJc w:val="left"/>
      <w:pPr>
        <w:ind w:left="2007" w:hanging="360"/>
      </w:pPr>
      <w:rPr>
        <w:rFonts w:ascii="Symbol" w:hAnsi="Symbol" w:hint="default"/>
      </w:rPr>
    </w:lvl>
    <w:lvl w:ilvl="1" w:tplc="0C090003">
      <w:start w:val="1"/>
      <w:numFmt w:val="bullet"/>
      <w:lvlText w:val="o"/>
      <w:lvlJc w:val="left"/>
      <w:pPr>
        <w:ind w:left="2727" w:hanging="360"/>
      </w:pPr>
      <w:rPr>
        <w:rFonts w:ascii="Courier New" w:hAnsi="Courier New" w:hint="default"/>
      </w:rPr>
    </w:lvl>
    <w:lvl w:ilvl="2" w:tplc="0C090005" w:tentative="1">
      <w:start w:val="1"/>
      <w:numFmt w:val="bullet"/>
      <w:lvlText w:val=""/>
      <w:lvlJc w:val="left"/>
      <w:pPr>
        <w:ind w:left="3447" w:hanging="360"/>
      </w:pPr>
      <w:rPr>
        <w:rFonts w:ascii="Wingdings" w:hAnsi="Wingdings" w:hint="default"/>
      </w:rPr>
    </w:lvl>
    <w:lvl w:ilvl="3" w:tplc="0C090001" w:tentative="1">
      <w:start w:val="1"/>
      <w:numFmt w:val="bullet"/>
      <w:lvlText w:val=""/>
      <w:lvlJc w:val="left"/>
      <w:pPr>
        <w:ind w:left="4167" w:hanging="360"/>
      </w:pPr>
      <w:rPr>
        <w:rFonts w:ascii="Symbol" w:hAnsi="Symbol" w:hint="default"/>
      </w:rPr>
    </w:lvl>
    <w:lvl w:ilvl="4" w:tplc="0C090003" w:tentative="1">
      <w:start w:val="1"/>
      <w:numFmt w:val="bullet"/>
      <w:lvlText w:val="o"/>
      <w:lvlJc w:val="left"/>
      <w:pPr>
        <w:ind w:left="4887" w:hanging="360"/>
      </w:pPr>
      <w:rPr>
        <w:rFonts w:ascii="Courier New" w:hAnsi="Courier New" w:hint="default"/>
      </w:rPr>
    </w:lvl>
    <w:lvl w:ilvl="5" w:tplc="0C090005" w:tentative="1">
      <w:start w:val="1"/>
      <w:numFmt w:val="bullet"/>
      <w:lvlText w:val=""/>
      <w:lvlJc w:val="left"/>
      <w:pPr>
        <w:ind w:left="5607" w:hanging="360"/>
      </w:pPr>
      <w:rPr>
        <w:rFonts w:ascii="Wingdings" w:hAnsi="Wingdings" w:hint="default"/>
      </w:rPr>
    </w:lvl>
    <w:lvl w:ilvl="6" w:tplc="0C090001" w:tentative="1">
      <w:start w:val="1"/>
      <w:numFmt w:val="bullet"/>
      <w:lvlText w:val=""/>
      <w:lvlJc w:val="left"/>
      <w:pPr>
        <w:ind w:left="6327" w:hanging="360"/>
      </w:pPr>
      <w:rPr>
        <w:rFonts w:ascii="Symbol" w:hAnsi="Symbol" w:hint="default"/>
      </w:rPr>
    </w:lvl>
    <w:lvl w:ilvl="7" w:tplc="0C090003" w:tentative="1">
      <w:start w:val="1"/>
      <w:numFmt w:val="bullet"/>
      <w:lvlText w:val="o"/>
      <w:lvlJc w:val="left"/>
      <w:pPr>
        <w:ind w:left="7047" w:hanging="360"/>
      </w:pPr>
      <w:rPr>
        <w:rFonts w:ascii="Courier New" w:hAnsi="Courier New" w:hint="default"/>
      </w:rPr>
    </w:lvl>
    <w:lvl w:ilvl="8" w:tplc="0C090005" w:tentative="1">
      <w:start w:val="1"/>
      <w:numFmt w:val="bullet"/>
      <w:lvlText w:val=""/>
      <w:lvlJc w:val="left"/>
      <w:pPr>
        <w:ind w:left="7767" w:hanging="360"/>
      </w:pPr>
      <w:rPr>
        <w:rFonts w:ascii="Wingdings" w:hAnsi="Wingdings" w:hint="default"/>
      </w:rPr>
    </w:lvl>
  </w:abstractNum>
  <w:abstractNum w:abstractNumId="17"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9" w15:restartNumberingAfterBreak="0">
    <w:nsid w:val="59B70749"/>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0"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1"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2" w15:restartNumberingAfterBreak="0">
    <w:nsid w:val="6FF556B6"/>
    <w:multiLevelType w:val="hybridMultilevel"/>
    <w:tmpl w:val="CAD6F3A0"/>
    <w:lvl w:ilvl="0" w:tplc="0C09001B">
      <w:start w:val="1"/>
      <w:numFmt w:val="lowerRoman"/>
      <w:lvlText w:val="%1."/>
      <w:lvlJc w:val="right"/>
      <w:pPr>
        <w:ind w:left="1287" w:hanging="360"/>
      </w:pPr>
      <w:rPr>
        <w:rFonts w:cs="Times New Roman"/>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23"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4" w15:restartNumberingAfterBreak="0">
    <w:nsid w:val="78854AAC"/>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8"/>
  </w:num>
  <w:num w:numId="18">
    <w:abstractNumId w:val="15"/>
  </w:num>
  <w:num w:numId="19">
    <w:abstractNumId w:val="18"/>
  </w:num>
  <w:num w:numId="20">
    <w:abstractNumId w:val="3"/>
  </w:num>
  <w:num w:numId="21">
    <w:abstractNumId w:val="20"/>
  </w:num>
  <w:num w:numId="22">
    <w:abstractNumId w:val="5"/>
  </w:num>
  <w:num w:numId="23">
    <w:abstractNumId w:val="9"/>
  </w:num>
  <w:num w:numId="24">
    <w:abstractNumId w:val="24"/>
  </w:num>
  <w:num w:numId="25">
    <w:abstractNumId w:val="1"/>
  </w:num>
  <w:num w:numId="26">
    <w:abstractNumId w:val="17"/>
  </w:num>
  <w:num w:numId="27">
    <w:abstractNumId w:val="21"/>
  </w:num>
  <w:num w:numId="28">
    <w:abstractNumId w:val="13"/>
  </w:num>
  <w:num w:numId="29">
    <w:abstractNumId w:val="19"/>
  </w:num>
  <w:num w:numId="30">
    <w:abstractNumId w:val="23"/>
  </w:num>
  <w:num w:numId="31">
    <w:abstractNumId w:val="7"/>
  </w:num>
  <w:num w:numId="32">
    <w:abstractNumId w:val="1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1"/>
  </w:num>
  <w:num w:numId="37">
    <w:abstractNumId w:val="6"/>
  </w:num>
  <w:num w:numId="38">
    <w:abstractNumId w:val="16"/>
  </w:num>
  <w:num w:numId="39">
    <w:abstractNumId w:val="2"/>
  </w:num>
  <w:num w:numId="40">
    <w:abstractNumId w:val="14"/>
  </w:num>
  <w:num w:numId="41">
    <w:abstractNumId w:val="12"/>
  </w:num>
  <w:num w:numId="42">
    <w:abstractNumId w:val="4"/>
  </w:num>
  <w:num w:numId="43">
    <w:abstractNumId w:val="0"/>
  </w:num>
  <w:num w:numId="44">
    <w:abstractNumId w:val="0"/>
  </w:num>
  <w:num w:numId="45">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667"/>
    <w:rsid w:val="00001E1D"/>
    <w:rsid w:val="00003DCD"/>
    <w:rsid w:val="0000477F"/>
    <w:rsid w:val="00005A5D"/>
    <w:rsid w:val="000076D9"/>
    <w:rsid w:val="00021708"/>
    <w:rsid w:val="00030CB2"/>
    <w:rsid w:val="000343F1"/>
    <w:rsid w:val="00043A31"/>
    <w:rsid w:val="00044700"/>
    <w:rsid w:val="0006051B"/>
    <w:rsid w:val="000614F9"/>
    <w:rsid w:val="0006451A"/>
    <w:rsid w:val="0006551D"/>
    <w:rsid w:val="00065679"/>
    <w:rsid w:val="000658D3"/>
    <w:rsid w:val="0007004C"/>
    <w:rsid w:val="000724F6"/>
    <w:rsid w:val="00074611"/>
    <w:rsid w:val="00074A62"/>
    <w:rsid w:val="00082AD1"/>
    <w:rsid w:val="00086712"/>
    <w:rsid w:val="00091DF8"/>
    <w:rsid w:val="00093CB6"/>
    <w:rsid w:val="00093DD8"/>
    <w:rsid w:val="00097794"/>
    <w:rsid w:val="000A0C9E"/>
    <w:rsid w:val="000A1EA1"/>
    <w:rsid w:val="000A5028"/>
    <w:rsid w:val="000A5191"/>
    <w:rsid w:val="000B4080"/>
    <w:rsid w:val="000B74B7"/>
    <w:rsid w:val="000B7685"/>
    <w:rsid w:val="000C714F"/>
    <w:rsid w:val="000D19D8"/>
    <w:rsid w:val="000D1C37"/>
    <w:rsid w:val="000D4377"/>
    <w:rsid w:val="000D484F"/>
    <w:rsid w:val="000D62B4"/>
    <w:rsid w:val="000E075D"/>
    <w:rsid w:val="000E2AF6"/>
    <w:rsid w:val="000E36B7"/>
    <w:rsid w:val="000E3C70"/>
    <w:rsid w:val="000E48C3"/>
    <w:rsid w:val="000E4D08"/>
    <w:rsid w:val="000F0880"/>
    <w:rsid w:val="000F25D5"/>
    <w:rsid w:val="000F6CF6"/>
    <w:rsid w:val="001012C9"/>
    <w:rsid w:val="00103FD6"/>
    <w:rsid w:val="001065EE"/>
    <w:rsid w:val="00110F5D"/>
    <w:rsid w:val="001134AC"/>
    <w:rsid w:val="00115166"/>
    <w:rsid w:val="00115A97"/>
    <w:rsid w:val="001162BE"/>
    <w:rsid w:val="00117218"/>
    <w:rsid w:val="001210D6"/>
    <w:rsid w:val="00122DBA"/>
    <w:rsid w:val="001262B5"/>
    <w:rsid w:val="00131CC2"/>
    <w:rsid w:val="00132587"/>
    <w:rsid w:val="00137AF7"/>
    <w:rsid w:val="001404A9"/>
    <w:rsid w:val="00140F43"/>
    <w:rsid w:val="00142B85"/>
    <w:rsid w:val="00142C9E"/>
    <w:rsid w:val="00145D5C"/>
    <w:rsid w:val="00150D90"/>
    <w:rsid w:val="00151133"/>
    <w:rsid w:val="00151260"/>
    <w:rsid w:val="00160506"/>
    <w:rsid w:val="00160768"/>
    <w:rsid w:val="0016131F"/>
    <w:rsid w:val="001629FA"/>
    <w:rsid w:val="00165CAB"/>
    <w:rsid w:val="00166312"/>
    <w:rsid w:val="00167BB8"/>
    <w:rsid w:val="0017159D"/>
    <w:rsid w:val="00172360"/>
    <w:rsid w:val="00172E3A"/>
    <w:rsid w:val="00173F81"/>
    <w:rsid w:val="00174C2A"/>
    <w:rsid w:val="00175FB9"/>
    <w:rsid w:val="00177A0A"/>
    <w:rsid w:val="00180F76"/>
    <w:rsid w:val="00183EAB"/>
    <w:rsid w:val="00185CC1"/>
    <w:rsid w:val="00187BEB"/>
    <w:rsid w:val="001931E8"/>
    <w:rsid w:val="00194232"/>
    <w:rsid w:val="00194587"/>
    <w:rsid w:val="00196622"/>
    <w:rsid w:val="00197AF7"/>
    <w:rsid w:val="001A1422"/>
    <w:rsid w:val="001A14C1"/>
    <w:rsid w:val="001A3531"/>
    <w:rsid w:val="001A3A9A"/>
    <w:rsid w:val="001A3F52"/>
    <w:rsid w:val="001A4093"/>
    <w:rsid w:val="001A4780"/>
    <w:rsid w:val="001A7213"/>
    <w:rsid w:val="001A79C1"/>
    <w:rsid w:val="001A7A15"/>
    <w:rsid w:val="001B19A0"/>
    <w:rsid w:val="001B1CA3"/>
    <w:rsid w:val="001B2DCA"/>
    <w:rsid w:val="001B447F"/>
    <w:rsid w:val="001B580E"/>
    <w:rsid w:val="001B7933"/>
    <w:rsid w:val="001C346E"/>
    <w:rsid w:val="001C3717"/>
    <w:rsid w:val="001C5CC5"/>
    <w:rsid w:val="001D2C27"/>
    <w:rsid w:val="001D31E3"/>
    <w:rsid w:val="001D3CAD"/>
    <w:rsid w:val="001D6E9A"/>
    <w:rsid w:val="001D7629"/>
    <w:rsid w:val="001D7E0D"/>
    <w:rsid w:val="001E20EC"/>
    <w:rsid w:val="001E3F53"/>
    <w:rsid w:val="001E4479"/>
    <w:rsid w:val="001E6A37"/>
    <w:rsid w:val="001E7173"/>
    <w:rsid w:val="001E74D0"/>
    <w:rsid w:val="001E7803"/>
    <w:rsid w:val="001F1D48"/>
    <w:rsid w:val="001F6F2C"/>
    <w:rsid w:val="001F6F39"/>
    <w:rsid w:val="001F6FE8"/>
    <w:rsid w:val="001F769B"/>
    <w:rsid w:val="0020144E"/>
    <w:rsid w:val="0020328F"/>
    <w:rsid w:val="00205E18"/>
    <w:rsid w:val="002060AB"/>
    <w:rsid w:val="00206773"/>
    <w:rsid w:val="002069F9"/>
    <w:rsid w:val="00212869"/>
    <w:rsid w:val="00221308"/>
    <w:rsid w:val="00222C97"/>
    <w:rsid w:val="00224EA5"/>
    <w:rsid w:val="00225761"/>
    <w:rsid w:val="00233835"/>
    <w:rsid w:val="00241EE9"/>
    <w:rsid w:val="00243EB3"/>
    <w:rsid w:val="00244500"/>
    <w:rsid w:val="00247D45"/>
    <w:rsid w:val="00252551"/>
    <w:rsid w:val="00260DCD"/>
    <w:rsid w:val="00261ABA"/>
    <w:rsid w:val="00262E18"/>
    <w:rsid w:val="00264751"/>
    <w:rsid w:val="0026571E"/>
    <w:rsid w:val="0028112E"/>
    <w:rsid w:val="00281874"/>
    <w:rsid w:val="00282C25"/>
    <w:rsid w:val="00284884"/>
    <w:rsid w:val="00285003"/>
    <w:rsid w:val="002869F5"/>
    <w:rsid w:val="00287DCC"/>
    <w:rsid w:val="00291CF1"/>
    <w:rsid w:val="00292587"/>
    <w:rsid w:val="002A143D"/>
    <w:rsid w:val="002A3DE9"/>
    <w:rsid w:val="002A493A"/>
    <w:rsid w:val="002A530A"/>
    <w:rsid w:val="002A5884"/>
    <w:rsid w:val="002A6981"/>
    <w:rsid w:val="002B1C50"/>
    <w:rsid w:val="002B207C"/>
    <w:rsid w:val="002B7922"/>
    <w:rsid w:val="002B7E1B"/>
    <w:rsid w:val="002C2529"/>
    <w:rsid w:val="002C2A03"/>
    <w:rsid w:val="002C62B3"/>
    <w:rsid w:val="002C7620"/>
    <w:rsid w:val="002D122C"/>
    <w:rsid w:val="002D7CF9"/>
    <w:rsid w:val="002E144A"/>
    <w:rsid w:val="002E2DE2"/>
    <w:rsid w:val="002E4B66"/>
    <w:rsid w:val="002E5507"/>
    <w:rsid w:val="002F576E"/>
    <w:rsid w:val="002F5B29"/>
    <w:rsid w:val="002F5B54"/>
    <w:rsid w:val="002F5C6C"/>
    <w:rsid w:val="002F7E40"/>
    <w:rsid w:val="003012DA"/>
    <w:rsid w:val="00304FEB"/>
    <w:rsid w:val="00307C5C"/>
    <w:rsid w:val="00311E63"/>
    <w:rsid w:val="00312CFE"/>
    <w:rsid w:val="00313480"/>
    <w:rsid w:val="00313621"/>
    <w:rsid w:val="00313C98"/>
    <w:rsid w:val="00313FD9"/>
    <w:rsid w:val="003155BD"/>
    <w:rsid w:val="003177B9"/>
    <w:rsid w:val="00321E0A"/>
    <w:rsid w:val="0032244A"/>
    <w:rsid w:val="00331C25"/>
    <w:rsid w:val="00333506"/>
    <w:rsid w:val="003340CD"/>
    <w:rsid w:val="0033608C"/>
    <w:rsid w:val="00340987"/>
    <w:rsid w:val="003410AA"/>
    <w:rsid w:val="0034465F"/>
    <w:rsid w:val="003464A1"/>
    <w:rsid w:val="00352A6B"/>
    <w:rsid w:val="00352EC1"/>
    <w:rsid w:val="00361054"/>
    <w:rsid w:val="0036119D"/>
    <w:rsid w:val="003637A0"/>
    <w:rsid w:val="0036474E"/>
    <w:rsid w:val="00364CF3"/>
    <w:rsid w:val="00365CAA"/>
    <w:rsid w:val="00367EAB"/>
    <w:rsid w:val="00372573"/>
    <w:rsid w:val="00377AB2"/>
    <w:rsid w:val="003877C3"/>
    <w:rsid w:val="0039283B"/>
    <w:rsid w:val="00396EA4"/>
    <w:rsid w:val="003A2157"/>
    <w:rsid w:val="003A3363"/>
    <w:rsid w:val="003A3905"/>
    <w:rsid w:val="003A3CC1"/>
    <w:rsid w:val="003A6635"/>
    <w:rsid w:val="003A6B0E"/>
    <w:rsid w:val="003A78C6"/>
    <w:rsid w:val="003B517F"/>
    <w:rsid w:val="003B5562"/>
    <w:rsid w:val="003B5DA4"/>
    <w:rsid w:val="003B6363"/>
    <w:rsid w:val="003B737F"/>
    <w:rsid w:val="003C0CF7"/>
    <w:rsid w:val="003C2E5D"/>
    <w:rsid w:val="003C59E0"/>
    <w:rsid w:val="003C6F2A"/>
    <w:rsid w:val="003D743C"/>
    <w:rsid w:val="003E33BA"/>
    <w:rsid w:val="003E4334"/>
    <w:rsid w:val="003E6BA0"/>
    <w:rsid w:val="003E73DB"/>
    <w:rsid w:val="003F0ADC"/>
    <w:rsid w:val="003F59E6"/>
    <w:rsid w:val="003F5BE6"/>
    <w:rsid w:val="003F6C00"/>
    <w:rsid w:val="00406235"/>
    <w:rsid w:val="004120B1"/>
    <w:rsid w:val="00413E74"/>
    <w:rsid w:val="0041421D"/>
    <w:rsid w:val="0041490D"/>
    <w:rsid w:val="00414A5C"/>
    <w:rsid w:val="004156B4"/>
    <w:rsid w:val="0041697F"/>
    <w:rsid w:val="00417EF4"/>
    <w:rsid w:val="00420235"/>
    <w:rsid w:val="004223AA"/>
    <w:rsid w:val="00423104"/>
    <w:rsid w:val="004267D3"/>
    <w:rsid w:val="00427D13"/>
    <w:rsid w:val="00427E2A"/>
    <w:rsid w:val="00433E65"/>
    <w:rsid w:val="004342AA"/>
    <w:rsid w:val="0043605F"/>
    <w:rsid w:val="004374B2"/>
    <w:rsid w:val="004410A0"/>
    <w:rsid w:val="004415A4"/>
    <w:rsid w:val="00442AB8"/>
    <w:rsid w:val="004436EA"/>
    <w:rsid w:val="0044456C"/>
    <w:rsid w:val="00450B39"/>
    <w:rsid w:val="00453BC6"/>
    <w:rsid w:val="00454498"/>
    <w:rsid w:val="00456C59"/>
    <w:rsid w:val="00457E33"/>
    <w:rsid w:val="004755CA"/>
    <w:rsid w:val="00477931"/>
    <w:rsid w:val="0048498C"/>
    <w:rsid w:val="004849C0"/>
    <w:rsid w:val="00490198"/>
    <w:rsid w:val="00490E28"/>
    <w:rsid w:val="00497362"/>
    <w:rsid w:val="00497C77"/>
    <w:rsid w:val="004A0AE7"/>
    <w:rsid w:val="004A523F"/>
    <w:rsid w:val="004A6062"/>
    <w:rsid w:val="004A673A"/>
    <w:rsid w:val="004A770F"/>
    <w:rsid w:val="004B0813"/>
    <w:rsid w:val="004B136A"/>
    <w:rsid w:val="004B1F38"/>
    <w:rsid w:val="004B21C5"/>
    <w:rsid w:val="004B2EF6"/>
    <w:rsid w:val="004B34A6"/>
    <w:rsid w:val="004B5612"/>
    <w:rsid w:val="004B5AA7"/>
    <w:rsid w:val="004B6083"/>
    <w:rsid w:val="004B6927"/>
    <w:rsid w:val="004B7E5C"/>
    <w:rsid w:val="004C3CC4"/>
    <w:rsid w:val="004C4D5E"/>
    <w:rsid w:val="004D11ED"/>
    <w:rsid w:val="004D1D85"/>
    <w:rsid w:val="004D310E"/>
    <w:rsid w:val="004D37D8"/>
    <w:rsid w:val="004D4B81"/>
    <w:rsid w:val="004D61B8"/>
    <w:rsid w:val="004F3E06"/>
    <w:rsid w:val="004F4EE6"/>
    <w:rsid w:val="004F5DCD"/>
    <w:rsid w:val="004F6B2B"/>
    <w:rsid w:val="005005DF"/>
    <w:rsid w:val="00505045"/>
    <w:rsid w:val="005052FD"/>
    <w:rsid w:val="00510B96"/>
    <w:rsid w:val="00511501"/>
    <w:rsid w:val="00511B5B"/>
    <w:rsid w:val="005120F7"/>
    <w:rsid w:val="00512BF8"/>
    <w:rsid w:val="00515AF2"/>
    <w:rsid w:val="0051640E"/>
    <w:rsid w:val="00516741"/>
    <w:rsid w:val="0051684E"/>
    <w:rsid w:val="00525D78"/>
    <w:rsid w:val="00527ABC"/>
    <w:rsid w:val="00533F4F"/>
    <w:rsid w:val="0054193D"/>
    <w:rsid w:val="00542A8C"/>
    <w:rsid w:val="00542D59"/>
    <w:rsid w:val="00543637"/>
    <w:rsid w:val="00545DF7"/>
    <w:rsid w:val="00546CA2"/>
    <w:rsid w:val="005539F5"/>
    <w:rsid w:val="0055415C"/>
    <w:rsid w:val="00554AAC"/>
    <w:rsid w:val="00554E5A"/>
    <w:rsid w:val="0055503F"/>
    <w:rsid w:val="005572D7"/>
    <w:rsid w:val="00557423"/>
    <w:rsid w:val="00563797"/>
    <w:rsid w:val="005651B5"/>
    <w:rsid w:val="00566234"/>
    <w:rsid w:val="0057262B"/>
    <w:rsid w:val="00574C00"/>
    <w:rsid w:val="005815B3"/>
    <w:rsid w:val="00582A03"/>
    <w:rsid w:val="00587E37"/>
    <w:rsid w:val="005930BC"/>
    <w:rsid w:val="00593821"/>
    <w:rsid w:val="00596E88"/>
    <w:rsid w:val="00597CBD"/>
    <w:rsid w:val="005A0969"/>
    <w:rsid w:val="005A21A7"/>
    <w:rsid w:val="005A454A"/>
    <w:rsid w:val="005A5E7A"/>
    <w:rsid w:val="005B0DEF"/>
    <w:rsid w:val="005B2A03"/>
    <w:rsid w:val="005B4C1B"/>
    <w:rsid w:val="005C2684"/>
    <w:rsid w:val="005C2DDC"/>
    <w:rsid w:val="005C3D2F"/>
    <w:rsid w:val="005C5620"/>
    <w:rsid w:val="005C578C"/>
    <w:rsid w:val="005D1F0F"/>
    <w:rsid w:val="005D29DB"/>
    <w:rsid w:val="005D41F9"/>
    <w:rsid w:val="005D507E"/>
    <w:rsid w:val="005E13C5"/>
    <w:rsid w:val="005E4143"/>
    <w:rsid w:val="005E724B"/>
    <w:rsid w:val="005F7708"/>
    <w:rsid w:val="00601F7C"/>
    <w:rsid w:val="00602A48"/>
    <w:rsid w:val="00602EF7"/>
    <w:rsid w:val="00604A4E"/>
    <w:rsid w:val="00606F11"/>
    <w:rsid w:val="00607B03"/>
    <w:rsid w:val="0061059D"/>
    <w:rsid w:val="0061326F"/>
    <w:rsid w:val="00614393"/>
    <w:rsid w:val="006146F2"/>
    <w:rsid w:val="00614C00"/>
    <w:rsid w:val="006208EE"/>
    <w:rsid w:val="00623567"/>
    <w:rsid w:val="00625AC2"/>
    <w:rsid w:val="006326B7"/>
    <w:rsid w:val="006376A8"/>
    <w:rsid w:val="006412B5"/>
    <w:rsid w:val="00641932"/>
    <w:rsid w:val="00641E7B"/>
    <w:rsid w:val="00644083"/>
    <w:rsid w:val="0064429B"/>
    <w:rsid w:val="0064477C"/>
    <w:rsid w:val="00650903"/>
    <w:rsid w:val="006650A8"/>
    <w:rsid w:val="006679C0"/>
    <w:rsid w:val="00667EB6"/>
    <w:rsid w:val="006700A2"/>
    <w:rsid w:val="00680ED5"/>
    <w:rsid w:val="00681956"/>
    <w:rsid w:val="00682D55"/>
    <w:rsid w:val="00682FBA"/>
    <w:rsid w:val="00683370"/>
    <w:rsid w:val="00684EC1"/>
    <w:rsid w:val="006869BD"/>
    <w:rsid w:val="006903F9"/>
    <w:rsid w:val="006923C8"/>
    <w:rsid w:val="00696AB4"/>
    <w:rsid w:val="00697494"/>
    <w:rsid w:val="006976BF"/>
    <w:rsid w:val="006A05D7"/>
    <w:rsid w:val="006A1CE9"/>
    <w:rsid w:val="006A4628"/>
    <w:rsid w:val="006B3F39"/>
    <w:rsid w:val="006B4213"/>
    <w:rsid w:val="006B43AF"/>
    <w:rsid w:val="006B4DF0"/>
    <w:rsid w:val="006B6747"/>
    <w:rsid w:val="006C1013"/>
    <w:rsid w:val="006C163A"/>
    <w:rsid w:val="006C195C"/>
    <w:rsid w:val="006C228B"/>
    <w:rsid w:val="006C2931"/>
    <w:rsid w:val="006D02BE"/>
    <w:rsid w:val="006D466E"/>
    <w:rsid w:val="006D4B70"/>
    <w:rsid w:val="006D4C35"/>
    <w:rsid w:val="006D7A92"/>
    <w:rsid w:val="006E3B48"/>
    <w:rsid w:val="006E6184"/>
    <w:rsid w:val="006E631B"/>
    <w:rsid w:val="006F096A"/>
    <w:rsid w:val="006F22E3"/>
    <w:rsid w:val="006F3095"/>
    <w:rsid w:val="006F5455"/>
    <w:rsid w:val="006F5CB6"/>
    <w:rsid w:val="006F79D3"/>
    <w:rsid w:val="00703194"/>
    <w:rsid w:val="00706E50"/>
    <w:rsid w:val="0070737C"/>
    <w:rsid w:val="00711229"/>
    <w:rsid w:val="00715018"/>
    <w:rsid w:val="00716054"/>
    <w:rsid w:val="007179FE"/>
    <w:rsid w:val="00717F25"/>
    <w:rsid w:val="007201B1"/>
    <w:rsid w:val="007201D7"/>
    <w:rsid w:val="00724E14"/>
    <w:rsid w:val="00725AD5"/>
    <w:rsid w:val="00726D60"/>
    <w:rsid w:val="00726DB5"/>
    <w:rsid w:val="00726EB4"/>
    <w:rsid w:val="00731945"/>
    <w:rsid w:val="00735982"/>
    <w:rsid w:val="007363DE"/>
    <w:rsid w:val="00736513"/>
    <w:rsid w:val="0073698D"/>
    <w:rsid w:val="00736C0B"/>
    <w:rsid w:val="00744D93"/>
    <w:rsid w:val="00746531"/>
    <w:rsid w:val="00750F59"/>
    <w:rsid w:val="00751725"/>
    <w:rsid w:val="00752028"/>
    <w:rsid w:val="007521CE"/>
    <w:rsid w:val="0075450A"/>
    <w:rsid w:val="00754515"/>
    <w:rsid w:val="0075717D"/>
    <w:rsid w:val="0076017E"/>
    <w:rsid w:val="00760DB6"/>
    <w:rsid w:val="00761787"/>
    <w:rsid w:val="0076361C"/>
    <w:rsid w:val="007641DF"/>
    <w:rsid w:val="007661AE"/>
    <w:rsid w:val="00766A51"/>
    <w:rsid w:val="00771FFF"/>
    <w:rsid w:val="00772818"/>
    <w:rsid w:val="00773917"/>
    <w:rsid w:val="007741CF"/>
    <w:rsid w:val="0077685D"/>
    <w:rsid w:val="0077788E"/>
    <w:rsid w:val="00784439"/>
    <w:rsid w:val="00785DEC"/>
    <w:rsid w:val="00787E75"/>
    <w:rsid w:val="00797257"/>
    <w:rsid w:val="007A3157"/>
    <w:rsid w:val="007A6E20"/>
    <w:rsid w:val="007B10ED"/>
    <w:rsid w:val="007B2B2E"/>
    <w:rsid w:val="007B3BFC"/>
    <w:rsid w:val="007B4B03"/>
    <w:rsid w:val="007C4F31"/>
    <w:rsid w:val="007D1A5A"/>
    <w:rsid w:val="007E2F6C"/>
    <w:rsid w:val="007E5257"/>
    <w:rsid w:val="007E5391"/>
    <w:rsid w:val="007F33C3"/>
    <w:rsid w:val="007F4EF5"/>
    <w:rsid w:val="00804105"/>
    <w:rsid w:val="00806D94"/>
    <w:rsid w:val="00807AD8"/>
    <w:rsid w:val="00811800"/>
    <w:rsid w:val="00812E1C"/>
    <w:rsid w:val="00813CFF"/>
    <w:rsid w:val="008140C5"/>
    <w:rsid w:val="00814590"/>
    <w:rsid w:val="00814667"/>
    <w:rsid w:val="008148E2"/>
    <w:rsid w:val="008149E4"/>
    <w:rsid w:val="008156B7"/>
    <w:rsid w:val="00817D90"/>
    <w:rsid w:val="00820A64"/>
    <w:rsid w:val="00822355"/>
    <w:rsid w:val="00822719"/>
    <w:rsid w:val="0082332D"/>
    <w:rsid w:val="008238BD"/>
    <w:rsid w:val="0082402C"/>
    <w:rsid w:val="00825FF5"/>
    <w:rsid w:val="008262F1"/>
    <w:rsid w:val="008311FA"/>
    <w:rsid w:val="0083178E"/>
    <w:rsid w:val="008317EF"/>
    <w:rsid w:val="0083350A"/>
    <w:rsid w:val="00841063"/>
    <w:rsid w:val="00841EFC"/>
    <w:rsid w:val="00845BCC"/>
    <w:rsid w:val="008464B9"/>
    <w:rsid w:val="008501B4"/>
    <w:rsid w:val="00851465"/>
    <w:rsid w:val="008514B8"/>
    <w:rsid w:val="008526B1"/>
    <w:rsid w:val="00852ED8"/>
    <w:rsid w:val="0085330A"/>
    <w:rsid w:val="00854172"/>
    <w:rsid w:val="008550CA"/>
    <w:rsid w:val="0085533A"/>
    <w:rsid w:val="00855543"/>
    <w:rsid w:val="00857332"/>
    <w:rsid w:val="0085738D"/>
    <w:rsid w:val="00862395"/>
    <w:rsid w:val="00864DD3"/>
    <w:rsid w:val="008708C5"/>
    <w:rsid w:val="008708D6"/>
    <w:rsid w:val="00873048"/>
    <w:rsid w:val="00873AC4"/>
    <w:rsid w:val="00874608"/>
    <w:rsid w:val="008760D0"/>
    <w:rsid w:val="00881317"/>
    <w:rsid w:val="008843EE"/>
    <w:rsid w:val="00891F41"/>
    <w:rsid w:val="00892105"/>
    <w:rsid w:val="00892CA4"/>
    <w:rsid w:val="00896477"/>
    <w:rsid w:val="00896BD6"/>
    <w:rsid w:val="00896F5A"/>
    <w:rsid w:val="008A3C37"/>
    <w:rsid w:val="008A7641"/>
    <w:rsid w:val="008B1840"/>
    <w:rsid w:val="008B70D3"/>
    <w:rsid w:val="008B73A2"/>
    <w:rsid w:val="008B7FE2"/>
    <w:rsid w:val="008C0BBA"/>
    <w:rsid w:val="008C2450"/>
    <w:rsid w:val="008C706A"/>
    <w:rsid w:val="008C7817"/>
    <w:rsid w:val="008C7F5B"/>
    <w:rsid w:val="008D079A"/>
    <w:rsid w:val="008D24C6"/>
    <w:rsid w:val="008D2F40"/>
    <w:rsid w:val="008D5B52"/>
    <w:rsid w:val="008E0AD6"/>
    <w:rsid w:val="008E4209"/>
    <w:rsid w:val="008E48FC"/>
    <w:rsid w:val="008E4C72"/>
    <w:rsid w:val="008E55BD"/>
    <w:rsid w:val="008E7527"/>
    <w:rsid w:val="008F145E"/>
    <w:rsid w:val="008F2AD6"/>
    <w:rsid w:val="008F44F1"/>
    <w:rsid w:val="008F4BA8"/>
    <w:rsid w:val="008F5C07"/>
    <w:rsid w:val="008F696D"/>
    <w:rsid w:val="008F7777"/>
    <w:rsid w:val="00900FA2"/>
    <w:rsid w:val="00901CF5"/>
    <w:rsid w:val="00901F53"/>
    <w:rsid w:val="00906431"/>
    <w:rsid w:val="009115AF"/>
    <w:rsid w:val="00913276"/>
    <w:rsid w:val="009221DF"/>
    <w:rsid w:val="009224FD"/>
    <w:rsid w:val="00927768"/>
    <w:rsid w:val="00931BBA"/>
    <w:rsid w:val="0093296C"/>
    <w:rsid w:val="00935CC7"/>
    <w:rsid w:val="0094002F"/>
    <w:rsid w:val="0094129D"/>
    <w:rsid w:val="00941BB7"/>
    <w:rsid w:val="00944760"/>
    <w:rsid w:val="00946A91"/>
    <w:rsid w:val="00946AE5"/>
    <w:rsid w:val="00950865"/>
    <w:rsid w:val="00951BAD"/>
    <w:rsid w:val="0095223D"/>
    <w:rsid w:val="009526E4"/>
    <w:rsid w:val="00953AA1"/>
    <w:rsid w:val="00954B44"/>
    <w:rsid w:val="009644B8"/>
    <w:rsid w:val="0096732C"/>
    <w:rsid w:val="009703B6"/>
    <w:rsid w:val="00971A4C"/>
    <w:rsid w:val="00975EB5"/>
    <w:rsid w:val="00980CBF"/>
    <w:rsid w:val="00983979"/>
    <w:rsid w:val="00983DC2"/>
    <w:rsid w:val="00983DF0"/>
    <w:rsid w:val="00984039"/>
    <w:rsid w:val="0099742A"/>
    <w:rsid w:val="009A0446"/>
    <w:rsid w:val="009A062C"/>
    <w:rsid w:val="009A48AF"/>
    <w:rsid w:val="009A522D"/>
    <w:rsid w:val="009A523F"/>
    <w:rsid w:val="009B0C68"/>
    <w:rsid w:val="009B3F77"/>
    <w:rsid w:val="009B5132"/>
    <w:rsid w:val="009C166A"/>
    <w:rsid w:val="009C2059"/>
    <w:rsid w:val="009C6FFB"/>
    <w:rsid w:val="009C7EF5"/>
    <w:rsid w:val="009D0C93"/>
    <w:rsid w:val="009D2FAC"/>
    <w:rsid w:val="009E093C"/>
    <w:rsid w:val="009E1311"/>
    <w:rsid w:val="009E151E"/>
    <w:rsid w:val="009E3ACF"/>
    <w:rsid w:val="009E5DB6"/>
    <w:rsid w:val="009F777E"/>
    <w:rsid w:val="009F7F52"/>
    <w:rsid w:val="00A0202C"/>
    <w:rsid w:val="00A0227E"/>
    <w:rsid w:val="00A04C18"/>
    <w:rsid w:val="00A05C1E"/>
    <w:rsid w:val="00A0603F"/>
    <w:rsid w:val="00A112E6"/>
    <w:rsid w:val="00A14966"/>
    <w:rsid w:val="00A15CAB"/>
    <w:rsid w:val="00A16D40"/>
    <w:rsid w:val="00A16E8F"/>
    <w:rsid w:val="00A17CCB"/>
    <w:rsid w:val="00A201DE"/>
    <w:rsid w:val="00A20283"/>
    <w:rsid w:val="00A211A9"/>
    <w:rsid w:val="00A2422A"/>
    <w:rsid w:val="00A25084"/>
    <w:rsid w:val="00A25265"/>
    <w:rsid w:val="00A26FC8"/>
    <w:rsid w:val="00A303A1"/>
    <w:rsid w:val="00A31519"/>
    <w:rsid w:val="00A42386"/>
    <w:rsid w:val="00A42A25"/>
    <w:rsid w:val="00A46C65"/>
    <w:rsid w:val="00A50751"/>
    <w:rsid w:val="00A50E72"/>
    <w:rsid w:val="00A54B81"/>
    <w:rsid w:val="00A54BE7"/>
    <w:rsid w:val="00A564EB"/>
    <w:rsid w:val="00A6500A"/>
    <w:rsid w:val="00A6526A"/>
    <w:rsid w:val="00A65333"/>
    <w:rsid w:val="00A66E35"/>
    <w:rsid w:val="00A6719E"/>
    <w:rsid w:val="00A739F1"/>
    <w:rsid w:val="00A758DE"/>
    <w:rsid w:val="00A8189A"/>
    <w:rsid w:val="00A81C2E"/>
    <w:rsid w:val="00A81EC4"/>
    <w:rsid w:val="00A83B8E"/>
    <w:rsid w:val="00A8478F"/>
    <w:rsid w:val="00A858C4"/>
    <w:rsid w:val="00A90F73"/>
    <w:rsid w:val="00A9141E"/>
    <w:rsid w:val="00A9341B"/>
    <w:rsid w:val="00A974CA"/>
    <w:rsid w:val="00A9773A"/>
    <w:rsid w:val="00A97E12"/>
    <w:rsid w:val="00AA2CD5"/>
    <w:rsid w:val="00AA4F6C"/>
    <w:rsid w:val="00AA6E21"/>
    <w:rsid w:val="00AB16AE"/>
    <w:rsid w:val="00AB272D"/>
    <w:rsid w:val="00AB2E59"/>
    <w:rsid w:val="00AB392A"/>
    <w:rsid w:val="00AB5124"/>
    <w:rsid w:val="00AB5801"/>
    <w:rsid w:val="00AB5A64"/>
    <w:rsid w:val="00AB613B"/>
    <w:rsid w:val="00AB6535"/>
    <w:rsid w:val="00AB71A5"/>
    <w:rsid w:val="00AB76C6"/>
    <w:rsid w:val="00AB79E9"/>
    <w:rsid w:val="00AC5567"/>
    <w:rsid w:val="00AD04F4"/>
    <w:rsid w:val="00AD25EB"/>
    <w:rsid w:val="00AD2935"/>
    <w:rsid w:val="00AD576C"/>
    <w:rsid w:val="00AD670F"/>
    <w:rsid w:val="00AD6C71"/>
    <w:rsid w:val="00AE1E4B"/>
    <w:rsid w:val="00AE1E54"/>
    <w:rsid w:val="00AE2AFD"/>
    <w:rsid w:val="00AE4372"/>
    <w:rsid w:val="00AE478A"/>
    <w:rsid w:val="00AF0C8D"/>
    <w:rsid w:val="00AF1C41"/>
    <w:rsid w:val="00AF3B27"/>
    <w:rsid w:val="00B00778"/>
    <w:rsid w:val="00B027E5"/>
    <w:rsid w:val="00B04E8C"/>
    <w:rsid w:val="00B050C0"/>
    <w:rsid w:val="00B05642"/>
    <w:rsid w:val="00B06097"/>
    <w:rsid w:val="00B10045"/>
    <w:rsid w:val="00B100DF"/>
    <w:rsid w:val="00B10ADD"/>
    <w:rsid w:val="00B10CAE"/>
    <w:rsid w:val="00B12190"/>
    <w:rsid w:val="00B12260"/>
    <w:rsid w:val="00B1294B"/>
    <w:rsid w:val="00B137C3"/>
    <w:rsid w:val="00B171BB"/>
    <w:rsid w:val="00B21A27"/>
    <w:rsid w:val="00B2247A"/>
    <w:rsid w:val="00B36551"/>
    <w:rsid w:val="00B36E9E"/>
    <w:rsid w:val="00B40E38"/>
    <w:rsid w:val="00B45C9E"/>
    <w:rsid w:val="00B51ACE"/>
    <w:rsid w:val="00B5663B"/>
    <w:rsid w:val="00B56810"/>
    <w:rsid w:val="00B619AA"/>
    <w:rsid w:val="00B623D7"/>
    <w:rsid w:val="00B63080"/>
    <w:rsid w:val="00B66E7A"/>
    <w:rsid w:val="00B70C6D"/>
    <w:rsid w:val="00B8096A"/>
    <w:rsid w:val="00B83D06"/>
    <w:rsid w:val="00B91564"/>
    <w:rsid w:val="00B9206A"/>
    <w:rsid w:val="00B9279E"/>
    <w:rsid w:val="00B94C4D"/>
    <w:rsid w:val="00B94DF0"/>
    <w:rsid w:val="00BA16DE"/>
    <w:rsid w:val="00BA1CFA"/>
    <w:rsid w:val="00BA4284"/>
    <w:rsid w:val="00BC1029"/>
    <w:rsid w:val="00BC2720"/>
    <w:rsid w:val="00BC4728"/>
    <w:rsid w:val="00BC4BF4"/>
    <w:rsid w:val="00BC60B3"/>
    <w:rsid w:val="00BD2253"/>
    <w:rsid w:val="00BD7496"/>
    <w:rsid w:val="00BE042D"/>
    <w:rsid w:val="00BE0CBE"/>
    <w:rsid w:val="00BE4802"/>
    <w:rsid w:val="00BE7212"/>
    <w:rsid w:val="00BF0D7C"/>
    <w:rsid w:val="00BF331F"/>
    <w:rsid w:val="00C00F2D"/>
    <w:rsid w:val="00C053A4"/>
    <w:rsid w:val="00C05CC6"/>
    <w:rsid w:val="00C068C7"/>
    <w:rsid w:val="00C073C2"/>
    <w:rsid w:val="00C102C9"/>
    <w:rsid w:val="00C13C12"/>
    <w:rsid w:val="00C143A3"/>
    <w:rsid w:val="00C14F2F"/>
    <w:rsid w:val="00C160F4"/>
    <w:rsid w:val="00C20F99"/>
    <w:rsid w:val="00C2120D"/>
    <w:rsid w:val="00C215E7"/>
    <w:rsid w:val="00C233E9"/>
    <w:rsid w:val="00C24757"/>
    <w:rsid w:val="00C2605C"/>
    <w:rsid w:val="00C26C5B"/>
    <w:rsid w:val="00C2711B"/>
    <w:rsid w:val="00C303B4"/>
    <w:rsid w:val="00C325C2"/>
    <w:rsid w:val="00C378A0"/>
    <w:rsid w:val="00C40EBC"/>
    <w:rsid w:val="00C41265"/>
    <w:rsid w:val="00C41B12"/>
    <w:rsid w:val="00C4202E"/>
    <w:rsid w:val="00C42ACA"/>
    <w:rsid w:val="00C43CC3"/>
    <w:rsid w:val="00C440CC"/>
    <w:rsid w:val="00C51308"/>
    <w:rsid w:val="00C51F78"/>
    <w:rsid w:val="00C539F8"/>
    <w:rsid w:val="00C53A47"/>
    <w:rsid w:val="00C54A26"/>
    <w:rsid w:val="00C5736B"/>
    <w:rsid w:val="00C574A0"/>
    <w:rsid w:val="00C57BB9"/>
    <w:rsid w:val="00C606F6"/>
    <w:rsid w:val="00C6082E"/>
    <w:rsid w:val="00C61699"/>
    <w:rsid w:val="00C62B02"/>
    <w:rsid w:val="00C64908"/>
    <w:rsid w:val="00C705B5"/>
    <w:rsid w:val="00C7093C"/>
    <w:rsid w:val="00C738BD"/>
    <w:rsid w:val="00C75D40"/>
    <w:rsid w:val="00C83627"/>
    <w:rsid w:val="00C85E44"/>
    <w:rsid w:val="00C925BF"/>
    <w:rsid w:val="00C92F94"/>
    <w:rsid w:val="00C95D81"/>
    <w:rsid w:val="00C960AA"/>
    <w:rsid w:val="00CA121E"/>
    <w:rsid w:val="00CA3F5B"/>
    <w:rsid w:val="00CA501D"/>
    <w:rsid w:val="00CA55C4"/>
    <w:rsid w:val="00CB1789"/>
    <w:rsid w:val="00CB1CB2"/>
    <w:rsid w:val="00CB2557"/>
    <w:rsid w:val="00CB44C4"/>
    <w:rsid w:val="00CB47FE"/>
    <w:rsid w:val="00CB4D35"/>
    <w:rsid w:val="00CB509C"/>
    <w:rsid w:val="00CB5D1A"/>
    <w:rsid w:val="00CB6703"/>
    <w:rsid w:val="00CC39B1"/>
    <w:rsid w:val="00CC3D90"/>
    <w:rsid w:val="00CC69BD"/>
    <w:rsid w:val="00CD526B"/>
    <w:rsid w:val="00CD5B93"/>
    <w:rsid w:val="00CD7039"/>
    <w:rsid w:val="00CE05BC"/>
    <w:rsid w:val="00CE3B32"/>
    <w:rsid w:val="00CE4A24"/>
    <w:rsid w:val="00CE613B"/>
    <w:rsid w:val="00CE7403"/>
    <w:rsid w:val="00CF0826"/>
    <w:rsid w:val="00CF0D8A"/>
    <w:rsid w:val="00CF267F"/>
    <w:rsid w:val="00CF7DA0"/>
    <w:rsid w:val="00D0312C"/>
    <w:rsid w:val="00D04614"/>
    <w:rsid w:val="00D122CA"/>
    <w:rsid w:val="00D1723F"/>
    <w:rsid w:val="00D26B64"/>
    <w:rsid w:val="00D30AA4"/>
    <w:rsid w:val="00D30CE5"/>
    <w:rsid w:val="00D3674A"/>
    <w:rsid w:val="00D40383"/>
    <w:rsid w:val="00D4085D"/>
    <w:rsid w:val="00D428F4"/>
    <w:rsid w:val="00D4297A"/>
    <w:rsid w:val="00D434F3"/>
    <w:rsid w:val="00D44E36"/>
    <w:rsid w:val="00D45A39"/>
    <w:rsid w:val="00D46E83"/>
    <w:rsid w:val="00D474B0"/>
    <w:rsid w:val="00D50776"/>
    <w:rsid w:val="00D51386"/>
    <w:rsid w:val="00D52914"/>
    <w:rsid w:val="00D5485B"/>
    <w:rsid w:val="00D5623C"/>
    <w:rsid w:val="00D57346"/>
    <w:rsid w:val="00D61911"/>
    <w:rsid w:val="00D62258"/>
    <w:rsid w:val="00D625A7"/>
    <w:rsid w:val="00D677F9"/>
    <w:rsid w:val="00D702F1"/>
    <w:rsid w:val="00D729FA"/>
    <w:rsid w:val="00D7336A"/>
    <w:rsid w:val="00D73591"/>
    <w:rsid w:val="00D75CC4"/>
    <w:rsid w:val="00D802FC"/>
    <w:rsid w:val="00D81B28"/>
    <w:rsid w:val="00D8532B"/>
    <w:rsid w:val="00D85463"/>
    <w:rsid w:val="00D861A4"/>
    <w:rsid w:val="00D973A5"/>
    <w:rsid w:val="00DA205D"/>
    <w:rsid w:val="00DA7233"/>
    <w:rsid w:val="00DC4D62"/>
    <w:rsid w:val="00DC50E5"/>
    <w:rsid w:val="00DC76C7"/>
    <w:rsid w:val="00DD00C5"/>
    <w:rsid w:val="00DE311A"/>
    <w:rsid w:val="00DE36EB"/>
    <w:rsid w:val="00DE4A6C"/>
    <w:rsid w:val="00DE64C1"/>
    <w:rsid w:val="00DE788E"/>
    <w:rsid w:val="00DF5BAB"/>
    <w:rsid w:val="00E04272"/>
    <w:rsid w:val="00E0544C"/>
    <w:rsid w:val="00E10555"/>
    <w:rsid w:val="00E11087"/>
    <w:rsid w:val="00E16E0A"/>
    <w:rsid w:val="00E204BB"/>
    <w:rsid w:val="00E220BC"/>
    <w:rsid w:val="00E25A56"/>
    <w:rsid w:val="00E309F6"/>
    <w:rsid w:val="00E31096"/>
    <w:rsid w:val="00E33938"/>
    <w:rsid w:val="00E33F03"/>
    <w:rsid w:val="00E354D8"/>
    <w:rsid w:val="00E3658A"/>
    <w:rsid w:val="00E3706A"/>
    <w:rsid w:val="00E3738B"/>
    <w:rsid w:val="00E37446"/>
    <w:rsid w:val="00E37730"/>
    <w:rsid w:val="00E4099E"/>
    <w:rsid w:val="00E456AA"/>
    <w:rsid w:val="00E50134"/>
    <w:rsid w:val="00E50915"/>
    <w:rsid w:val="00E5201F"/>
    <w:rsid w:val="00E57255"/>
    <w:rsid w:val="00E579FF"/>
    <w:rsid w:val="00E6698B"/>
    <w:rsid w:val="00E7195E"/>
    <w:rsid w:val="00E72F4A"/>
    <w:rsid w:val="00E7467D"/>
    <w:rsid w:val="00E8031F"/>
    <w:rsid w:val="00E82115"/>
    <w:rsid w:val="00E8217B"/>
    <w:rsid w:val="00E832FF"/>
    <w:rsid w:val="00E83448"/>
    <w:rsid w:val="00E838D3"/>
    <w:rsid w:val="00E87503"/>
    <w:rsid w:val="00E90BF8"/>
    <w:rsid w:val="00E90CD9"/>
    <w:rsid w:val="00E92C8A"/>
    <w:rsid w:val="00E9346D"/>
    <w:rsid w:val="00EA21BF"/>
    <w:rsid w:val="00EA594C"/>
    <w:rsid w:val="00EA7329"/>
    <w:rsid w:val="00EA7A1C"/>
    <w:rsid w:val="00EB3FA7"/>
    <w:rsid w:val="00EB5170"/>
    <w:rsid w:val="00EB7EDA"/>
    <w:rsid w:val="00EC36A6"/>
    <w:rsid w:val="00EC3E78"/>
    <w:rsid w:val="00EC5206"/>
    <w:rsid w:val="00EC5D22"/>
    <w:rsid w:val="00ED0175"/>
    <w:rsid w:val="00ED0343"/>
    <w:rsid w:val="00ED0AC8"/>
    <w:rsid w:val="00ED2AC4"/>
    <w:rsid w:val="00ED4036"/>
    <w:rsid w:val="00EE041B"/>
    <w:rsid w:val="00EE51DA"/>
    <w:rsid w:val="00EE57AC"/>
    <w:rsid w:val="00EE74C4"/>
    <w:rsid w:val="00EE7D29"/>
    <w:rsid w:val="00EF33DE"/>
    <w:rsid w:val="00EF6486"/>
    <w:rsid w:val="00EF72D4"/>
    <w:rsid w:val="00EF7F92"/>
    <w:rsid w:val="00F041FC"/>
    <w:rsid w:val="00F11A23"/>
    <w:rsid w:val="00F11DDE"/>
    <w:rsid w:val="00F120E6"/>
    <w:rsid w:val="00F12ACD"/>
    <w:rsid w:val="00F16589"/>
    <w:rsid w:val="00F16607"/>
    <w:rsid w:val="00F2068C"/>
    <w:rsid w:val="00F234AB"/>
    <w:rsid w:val="00F24478"/>
    <w:rsid w:val="00F31DE0"/>
    <w:rsid w:val="00F3245D"/>
    <w:rsid w:val="00F34E70"/>
    <w:rsid w:val="00F4377A"/>
    <w:rsid w:val="00F44CF8"/>
    <w:rsid w:val="00F46237"/>
    <w:rsid w:val="00F47765"/>
    <w:rsid w:val="00F501C6"/>
    <w:rsid w:val="00F56B8A"/>
    <w:rsid w:val="00F61DF8"/>
    <w:rsid w:val="00F630DB"/>
    <w:rsid w:val="00F630EF"/>
    <w:rsid w:val="00F6403E"/>
    <w:rsid w:val="00F71346"/>
    <w:rsid w:val="00F715F2"/>
    <w:rsid w:val="00F730C7"/>
    <w:rsid w:val="00F76C87"/>
    <w:rsid w:val="00F8684A"/>
    <w:rsid w:val="00F94C3D"/>
    <w:rsid w:val="00F95D26"/>
    <w:rsid w:val="00F979C5"/>
    <w:rsid w:val="00FA0CBF"/>
    <w:rsid w:val="00FA0E45"/>
    <w:rsid w:val="00FA2EC0"/>
    <w:rsid w:val="00FA3CCE"/>
    <w:rsid w:val="00FA4E87"/>
    <w:rsid w:val="00FA64FD"/>
    <w:rsid w:val="00FB3397"/>
    <w:rsid w:val="00FB4200"/>
    <w:rsid w:val="00FB5750"/>
    <w:rsid w:val="00FB6A2E"/>
    <w:rsid w:val="00FC055C"/>
    <w:rsid w:val="00FD4437"/>
    <w:rsid w:val="00FE26A5"/>
    <w:rsid w:val="00FE347C"/>
    <w:rsid w:val="00FE4A16"/>
    <w:rsid w:val="00FF5029"/>
    <w:rsid w:val="00FF678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C821FB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27"/>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20"/>
      </w:numPr>
      <w:tabs>
        <w:tab w:val="num" w:pos="567"/>
        <w:tab w:val="num" w:pos="850"/>
      </w:tabs>
      <w:ind w:left="850" w:hanging="284"/>
    </w:pPr>
  </w:style>
  <w:style w:type="paragraph" w:customStyle="1" w:styleId="DoubleDot">
    <w:name w:val="Double Dot"/>
    <w:basedOn w:val="Normal"/>
    <w:rsid w:val="00D51386"/>
    <w:pPr>
      <w:numPr>
        <w:ilvl w:val="2"/>
        <w:numId w:val="20"/>
      </w:numPr>
      <w:tabs>
        <w:tab w:val="num" w:pos="850"/>
        <w:tab w:val="num" w:pos="1133"/>
      </w:tabs>
      <w:ind w:left="1133" w:hanging="283"/>
    </w:pPr>
  </w:style>
  <w:style w:type="paragraph" w:customStyle="1" w:styleId="OutlineNumbered1">
    <w:name w:val="Outline Numbered 1"/>
    <w:basedOn w:val="Normal"/>
    <w:rsid w:val="00D51386"/>
    <w:pPr>
      <w:numPr>
        <w:numId w:val="17"/>
      </w:numPr>
    </w:pPr>
  </w:style>
  <w:style w:type="paragraph" w:customStyle="1" w:styleId="OutlineNumbered2">
    <w:name w:val="Outline Numbered 2"/>
    <w:basedOn w:val="Normal"/>
    <w:rsid w:val="00D51386"/>
    <w:pPr>
      <w:numPr>
        <w:ilvl w:val="1"/>
        <w:numId w:val="17"/>
      </w:numPr>
    </w:pPr>
  </w:style>
  <w:style w:type="paragraph" w:customStyle="1" w:styleId="OutlineNumbered3">
    <w:name w:val="Outline Numbered 3"/>
    <w:basedOn w:val="Normal"/>
    <w:rsid w:val="00D51386"/>
    <w:pPr>
      <w:numPr>
        <w:ilvl w:val="2"/>
        <w:numId w:val="17"/>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18"/>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20"/>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19"/>
      </w:numPr>
    </w:pPr>
  </w:style>
  <w:style w:type="paragraph" w:customStyle="1" w:styleId="BoxDash">
    <w:name w:val="Box Dash"/>
    <w:basedOn w:val="Normal"/>
    <w:uiPriority w:val="99"/>
    <w:rsid w:val="00D51386"/>
    <w:pPr>
      <w:numPr>
        <w:ilvl w:val="1"/>
        <w:numId w:val="19"/>
      </w:numPr>
    </w:pPr>
  </w:style>
  <w:style w:type="paragraph" w:customStyle="1" w:styleId="BoxDoubleDot">
    <w:name w:val="Box Double Dot"/>
    <w:basedOn w:val="BoxTextBase"/>
    <w:uiPriority w:val="99"/>
    <w:rsid w:val="00D51386"/>
    <w:pPr>
      <w:numPr>
        <w:ilvl w:val="2"/>
        <w:numId w:val="19"/>
      </w:numPr>
    </w:pPr>
  </w:style>
  <w:style w:type="paragraph" w:customStyle="1" w:styleId="RecommendationBullet">
    <w:name w:val="Recommendation Bullet"/>
    <w:basedOn w:val="RecommendationTextBase"/>
    <w:rsid w:val="00D51386"/>
    <w:pPr>
      <w:numPr>
        <w:numId w:val="21"/>
      </w:numPr>
    </w:pPr>
  </w:style>
  <w:style w:type="paragraph" w:customStyle="1" w:styleId="RecommendationDash">
    <w:name w:val="Recommendation Dash"/>
    <w:basedOn w:val="RecommendationTextBase"/>
    <w:rsid w:val="00D51386"/>
    <w:pPr>
      <w:numPr>
        <w:ilvl w:val="1"/>
        <w:numId w:val="21"/>
      </w:numPr>
    </w:pPr>
  </w:style>
  <w:style w:type="paragraph" w:customStyle="1" w:styleId="RecommendationDoubleDot">
    <w:name w:val="Recommendation Double Dot"/>
    <w:basedOn w:val="RecommendationTextBase"/>
    <w:rsid w:val="00D51386"/>
    <w:pPr>
      <w:numPr>
        <w:ilvl w:val="2"/>
        <w:numId w:val="21"/>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1"/>
      </w:numPr>
    </w:pPr>
  </w:style>
  <w:style w:type="paragraph" w:customStyle="1" w:styleId="Romannumeral">
    <w:name w:val="Roman numeral"/>
    <w:basedOn w:val="Normal"/>
    <w:rsid w:val="00D51386"/>
    <w:pPr>
      <w:numPr>
        <w:numId w:val="25"/>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28"/>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22"/>
      </w:numPr>
    </w:pPr>
    <w:rPr>
      <w:b/>
    </w:rPr>
  </w:style>
  <w:style w:type="paragraph" w:customStyle="1" w:styleId="ScheduleListSubHeading">
    <w:name w:val="ScheduleListSubHeading"/>
    <w:basedOn w:val="ScheduleList"/>
    <w:rsid w:val="00D51386"/>
    <w:pPr>
      <w:numPr>
        <w:ilvl w:val="1"/>
      </w:numPr>
      <w:tabs>
        <w:tab w:val="num" w:pos="567"/>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28"/>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23"/>
      </w:numPr>
    </w:pPr>
  </w:style>
  <w:style w:type="paragraph" w:customStyle="1" w:styleId="AgreementParties">
    <w:name w:val="AgreementParties"/>
    <w:rsid w:val="00D51386"/>
    <w:pPr>
      <w:numPr>
        <w:numId w:val="26"/>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30"/>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31"/>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32"/>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32"/>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32"/>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32"/>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32"/>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32"/>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32"/>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32"/>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32"/>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E90CD9"/>
    <w:rPr>
      <w:rFonts w:ascii="Corbel"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104757">
      <w:marLeft w:val="0"/>
      <w:marRight w:val="0"/>
      <w:marTop w:val="0"/>
      <w:marBottom w:val="0"/>
      <w:divBdr>
        <w:top w:val="none" w:sz="0" w:space="0" w:color="auto"/>
        <w:left w:val="none" w:sz="0" w:space="0" w:color="auto"/>
        <w:bottom w:val="none" w:sz="0" w:space="0" w:color="auto"/>
        <w:right w:val="none" w:sz="0" w:space="0" w:color="auto"/>
      </w:divBdr>
    </w:div>
    <w:div w:id="578104758">
      <w:marLeft w:val="0"/>
      <w:marRight w:val="0"/>
      <w:marTop w:val="0"/>
      <w:marBottom w:val="0"/>
      <w:divBdr>
        <w:top w:val="none" w:sz="0" w:space="0" w:color="auto"/>
        <w:left w:val="none" w:sz="0" w:space="0" w:color="auto"/>
        <w:bottom w:val="none" w:sz="0" w:space="0" w:color="auto"/>
        <w:right w:val="none" w:sz="0" w:space="0" w:color="auto"/>
      </w:divBdr>
    </w:div>
    <w:div w:id="5781047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ustomXml" Target="../customXml/item8.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16" Type="http://schemas.openxmlformats.org/officeDocument/2006/relationships/fontTable" Target="fontTable.xml"/><Relationship Id="rId20" Type="http://schemas.openxmlformats.org/officeDocument/2006/relationships/customXml" Target="../customXml/item10.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customXml" Target="../customXml/item9.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3017" ma:contentTypeDescription=" " ma:contentTypeScope="" ma:versionID="f75823d4864d48cde7030363ad9fcf29">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6994" ma:contentTypeDescription=" " ma:contentTypeScope="" ma:versionID="8cd059798a95d030594ce6ac318f1d3c">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2022FG-64-107424</_dlc_DocId>
    <_dlc_DocIdUrl xmlns="0f563589-9cf9-4143-b1eb-fb0534803d38">
      <Url>http://tweb/sites/fg/csrd/_layouts/15/DocIdRedir.aspx?ID=2022FG-64-107424</Url>
      <Description>2022FG-64-107424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9.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43A78329-9E6F-45BF-99B3-50F4A3AE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2C5002AA-833B-449E-A0F4-645D26D43D44}"/>
</file>

<file path=customXml/itemProps2.xml><?xml version="1.0" encoding="utf-8"?>
<ds:datastoreItem xmlns:ds="http://schemas.openxmlformats.org/officeDocument/2006/customXml" ds:itemID="{BB5A334F-8D32-484B-86CD-A6C6B27F7E63}">
  <ds:schemaRefs>
    <ds:schemaRef ds:uri="office.server.policy"/>
  </ds:schemaRefs>
</ds:datastoreItem>
</file>

<file path=customXml/itemProps3.xml><?xml version="1.0" encoding="utf-8"?>
<ds:datastoreItem xmlns:ds="http://schemas.openxmlformats.org/officeDocument/2006/customXml" ds:itemID="{AD727C4D-A6AA-41CC-8567-CE1DC2A3B478}"/>
</file>

<file path=customXml/itemProps4.xml><?xml version="1.0" encoding="utf-8"?>
<ds:datastoreItem xmlns:ds="http://schemas.openxmlformats.org/officeDocument/2006/customXml" ds:itemID="{2E04DDBB-5637-40DF-BE85-677383DC8181}">
  <ds:schemaRefs>
    <ds:schemaRef ds:uri="http://purl.org/dc/terms/"/>
    <ds:schemaRef ds:uri="http://schemas.microsoft.com/office/2006/documentManagement/types"/>
    <ds:schemaRef ds:uri="http://schemas.microsoft.com/office/2006/metadata/properties"/>
    <ds:schemaRef ds:uri="0f563589-9cf9-4143-b1eb-fb0534803d38"/>
    <ds:schemaRef ds:uri="http://purl.org/dc/elements/1.1/"/>
    <ds:schemaRef ds:uri="http://schemas.microsoft.com/office/infopath/2007/PartnerControls"/>
    <ds:schemaRef ds:uri="http://schemas.openxmlformats.org/package/2006/metadata/core-properties"/>
    <ds:schemaRef ds:uri="http://schemas.microsoft.com/sharepoint/v4"/>
    <ds:schemaRef ds:uri="http://schemas.microsoft.com/sharepoint/v3"/>
    <ds:schemaRef ds:uri="e544e5cc-ab70-42e1-849e-1a0f8bb1f4ef"/>
    <ds:schemaRef ds:uri="http://www.w3.org/XML/1998/namespace"/>
    <ds:schemaRef ds:uri="http://purl.org/dc/dcmitype/"/>
  </ds:schemaRefs>
</ds:datastoreItem>
</file>

<file path=customXml/itemProps5.xml><?xml version="1.0" encoding="utf-8"?>
<ds:datastoreItem xmlns:ds="http://schemas.openxmlformats.org/officeDocument/2006/customXml" ds:itemID="{DE419E93-9A75-4ED0-ACA8-337C9B2B9716}">
  <ds:schemaRefs>
    <ds:schemaRef ds:uri="http://schemas.microsoft.com/sharepoint/v3/contenttype/forms"/>
  </ds:schemaRefs>
</ds:datastoreItem>
</file>

<file path=customXml/itemProps6.xml><?xml version="1.0" encoding="utf-8"?>
<ds:datastoreItem xmlns:ds="http://schemas.openxmlformats.org/officeDocument/2006/customXml" ds:itemID="{3CB790B1-09D8-4A99-B1F2-67B88F8C8034}">
  <ds:schemaRefs>
    <ds:schemaRef ds:uri="Microsoft.SharePoint.Taxonomy.ContentTypeSync"/>
  </ds:schemaRefs>
</ds:datastoreItem>
</file>

<file path=customXml/itemProps7.xml><?xml version="1.0" encoding="utf-8"?>
<ds:datastoreItem xmlns:ds="http://schemas.openxmlformats.org/officeDocument/2006/customXml" ds:itemID="{144AE05C-7C1E-40C4-899C-3D959B7CC905}">
  <ds:schemaRefs>
    <ds:schemaRef ds:uri="http://schemas.openxmlformats.org/officeDocument/2006/bibliography"/>
  </ds:schemaRefs>
</ds:datastoreItem>
</file>

<file path=customXml/itemProps8.xml><?xml version="1.0" encoding="utf-8"?>
<ds:datastoreItem xmlns:ds="http://schemas.openxmlformats.org/officeDocument/2006/customXml" ds:itemID="{9C57A142-E27D-42F4-9FCB-56A467D6CB17}"/>
</file>

<file path=customXml/itemProps9.xml><?xml version="1.0" encoding="utf-8"?>
<ds:datastoreItem xmlns:ds="http://schemas.openxmlformats.org/officeDocument/2006/customXml" ds:itemID="{82ACF13D-2F5C-499D-9C41-237FF6543242}"/>
</file>

<file path=docProps/app.xml><?xml version="1.0" encoding="utf-8"?>
<Properties xmlns="http://schemas.openxmlformats.org/officeDocument/2006/extended-properties" xmlns:vt="http://schemas.openxmlformats.org/officeDocument/2006/docPropsVTypes">
  <Template>Normal.dotm</Template>
  <TotalTime>0</TotalTime>
  <Pages>8</Pages>
  <Words>1988</Words>
  <Characters>11433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2022-01-20T01:31:00Z</dcterms:created>
  <dcterms:modified xsi:type="dcterms:W3CDTF">2022-01-20T01:31:00Z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1498bc51-388d-4b38-b346-5414e2666de9</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ies>
</file>