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1347" w14:textId="77777777" w:rsidR="00AD354B" w:rsidRDefault="005C4A86"/>
    <w:p w14:paraId="351C51D3" w14:textId="77777777" w:rsidR="00C91B5F" w:rsidRPr="00F1227F" w:rsidRDefault="00317FB3" w:rsidP="00C91B5F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>
        <w:rPr>
          <w:i w:val="0"/>
          <w:sz w:val="28"/>
          <w:szCs w:val="28"/>
        </w:rPr>
        <w:t>Schedule</w:t>
      </w:r>
    </w:p>
    <w:p w14:paraId="1A7BECFD" w14:textId="77777777" w:rsidR="00C91B5F" w:rsidRPr="001E20F4" w:rsidRDefault="00147F6C" w:rsidP="00C91B5F">
      <w:pPr>
        <w:pStyle w:val="Title"/>
      </w:pPr>
      <w:r>
        <w:t>Western Australia</w:t>
      </w:r>
      <w:r w:rsidR="007844B2">
        <w:t xml:space="preserve"> Comprehensive Cancer Centre</w:t>
      </w:r>
    </w:p>
    <w:p w14:paraId="1F3F5784" w14:textId="77777777" w:rsidR="00C91B5F" w:rsidRPr="00BE249A" w:rsidRDefault="00D54783" w:rsidP="00C91B5F">
      <w:pPr>
        <w:pStyle w:val="Subtitle"/>
      </w:pPr>
      <w:r>
        <w:t xml:space="preserve">FEDERATION FUNDING AGREEMENT – </w:t>
      </w:r>
      <w:r w:rsidR="00FA3B8E">
        <w:t>HEALTH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C91B5F" w:rsidRPr="00F00A18" w14:paraId="7E8C7B56" w14:textId="77777777" w:rsidTr="005D3905">
        <w:tc>
          <w:tcPr>
            <w:tcW w:w="9629" w:type="dxa"/>
            <w:gridSpan w:val="2"/>
            <w:shd w:val="clear" w:color="auto" w:fill="DEEAF6" w:themeFill="accent1" w:themeFillTint="33"/>
          </w:tcPr>
          <w:p w14:paraId="5C0D1FDE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C91B5F" w:rsidRPr="00F00A18" w14:paraId="6F54B8D0" w14:textId="77777777" w:rsidTr="00317FB3">
        <w:tc>
          <w:tcPr>
            <w:tcW w:w="1691" w:type="dxa"/>
            <w:shd w:val="clear" w:color="auto" w:fill="auto"/>
          </w:tcPr>
          <w:p w14:paraId="6E647D76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202E1560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22F6C0F2" w14:textId="77777777" w:rsidR="00C91B5F" w:rsidRPr="00F00A18" w:rsidRDefault="00147F6C" w:rsidP="005D390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Western Australia</w:t>
            </w:r>
          </w:p>
        </w:tc>
      </w:tr>
      <w:tr w:rsidR="00C91B5F" w:rsidRPr="00F00A18" w14:paraId="4833C447" w14:textId="77777777" w:rsidTr="00317FB3">
        <w:tc>
          <w:tcPr>
            <w:tcW w:w="1691" w:type="dxa"/>
            <w:shd w:val="clear" w:color="auto" w:fill="auto"/>
          </w:tcPr>
          <w:p w14:paraId="2042E68C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41933A63" w14:textId="68C552C3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This Schedule is expected to expire on</w:t>
            </w:r>
            <w:r w:rsidR="000929F3">
              <w:rPr>
                <w:color w:val="auto"/>
              </w:rPr>
              <w:t xml:space="preserve"> 30 June 202</w:t>
            </w:r>
            <w:r w:rsidR="00584B53">
              <w:rPr>
                <w:color w:val="auto"/>
              </w:rPr>
              <w:t>4</w:t>
            </w:r>
            <w:r w:rsidR="000C53F2">
              <w:rPr>
                <w:color w:val="auto"/>
              </w:rPr>
              <w:t xml:space="preserve"> </w:t>
            </w:r>
          </w:p>
        </w:tc>
      </w:tr>
      <w:tr w:rsidR="00C91B5F" w:rsidRPr="00F00A18" w14:paraId="7C0B28D8" w14:textId="77777777" w:rsidTr="00E903E4">
        <w:tc>
          <w:tcPr>
            <w:tcW w:w="1691" w:type="dxa"/>
            <w:shd w:val="clear" w:color="auto" w:fill="auto"/>
          </w:tcPr>
          <w:p w14:paraId="04FDA93E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tcBorders>
              <w:bottom w:val="single" w:sz="8" w:space="0" w:color="4F81BD"/>
            </w:tcBorders>
            <w:shd w:val="clear" w:color="auto" w:fill="auto"/>
          </w:tcPr>
          <w:p w14:paraId="310B2D0E" w14:textId="1C8BD3B2" w:rsidR="000929F3" w:rsidRPr="007844B2" w:rsidRDefault="00C91B5F" w:rsidP="007844B2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will support the </w:t>
            </w:r>
            <w:r w:rsidR="00584B53">
              <w:rPr>
                <w:color w:val="auto"/>
              </w:rPr>
              <w:t xml:space="preserve">development of a business case to underpin </w:t>
            </w:r>
            <w:r w:rsidR="00934301">
              <w:rPr>
                <w:color w:val="auto"/>
              </w:rPr>
              <w:t>construction</w:t>
            </w:r>
            <w:r w:rsidRPr="00F00A18">
              <w:rPr>
                <w:color w:val="auto"/>
              </w:rPr>
              <w:t xml:space="preserve"> of </w:t>
            </w:r>
            <w:r w:rsidR="000929F3">
              <w:rPr>
                <w:color w:val="auto"/>
              </w:rPr>
              <w:t xml:space="preserve">the </w:t>
            </w:r>
            <w:r w:rsidR="00147F6C">
              <w:rPr>
                <w:color w:val="auto"/>
              </w:rPr>
              <w:t>Western Australia</w:t>
            </w:r>
            <w:r w:rsidR="00905B76">
              <w:rPr>
                <w:color w:val="auto"/>
              </w:rPr>
              <w:t xml:space="preserve"> </w:t>
            </w:r>
            <w:r w:rsidR="000929F3">
              <w:rPr>
                <w:color w:val="auto"/>
              </w:rPr>
              <w:t>Comprehensive Cancer Centre</w:t>
            </w:r>
            <w:r w:rsidRPr="00F00A18">
              <w:rPr>
                <w:color w:val="auto"/>
              </w:rPr>
              <w:t>.</w:t>
            </w:r>
            <w:r w:rsidR="000929F3">
              <w:rPr>
                <w:color w:val="auto"/>
              </w:rPr>
              <w:t xml:space="preserve"> </w:t>
            </w:r>
            <w:r w:rsidR="000929F3" w:rsidRPr="007844B2">
              <w:rPr>
                <w:color w:val="auto"/>
              </w:rPr>
              <w:t xml:space="preserve">Comprehensive </w:t>
            </w:r>
            <w:r w:rsidR="007844B2">
              <w:rPr>
                <w:color w:val="auto"/>
              </w:rPr>
              <w:t>C</w:t>
            </w:r>
            <w:r w:rsidR="000929F3" w:rsidRPr="007844B2">
              <w:rPr>
                <w:color w:val="auto"/>
              </w:rPr>
              <w:t xml:space="preserve">ancer </w:t>
            </w:r>
            <w:proofErr w:type="spellStart"/>
            <w:r w:rsidR="007844B2">
              <w:rPr>
                <w:color w:val="auto"/>
              </w:rPr>
              <w:t>C</w:t>
            </w:r>
            <w:r w:rsidR="000929F3" w:rsidRPr="007844B2">
              <w:rPr>
                <w:color w:val="auto"/>
              </w:rPr>
              <w:t>entres</w:t>
            </w:r>
            <w:proofErr w:type="spellEnd"/>
            <w:r w:rsidR="000929F3" w:rsidRPr="007844B2">
              <w:rPr>
                <w:color w:val="auto"/>
              </w:rPr>
              <w:t xml:space="preserve"> offer an opportunity for the co-location of all aspects of integrated, holistic cancer care, from screening to prevention, diagnosis, </w:t>
            </w:r>
            <w:proofErr w:type="gramStart"/>
            <w:r w:rsidR="000929F3" w:rsidRPr="007844B2">
              <w:rPr>
                <w:color w:val="auto"/>
              </w:rPr>
              <w:t>treatment</w:t>
            </w:r>
            <w:proofErr w:type="gramEnd"/>
            <w:r w:rsidR="000929F3" w:rsidRPr="007844B2">
              <w:rPr>
                <w:color w:val="auto"/>
              </w:rPr>
              <w:t xml:space="preserve"> and wellness. The </w:t>
            </w:r>
            <w:proofErr w:type="spellStart"/>
            <w:r w:rsidR="000929F3" w:rsidRPr="007844B2">
              <w:rPr>
                <w:color w:val="auto"/>
              </w:rPr>
              <w:t>Centres</w:t>
            </w:r>
            <w:proofErr w:type="spellEnd"/>
            <w:r w:rsidR="000929F3" w:rsidRPr="007844B2">
              <w:rPr>
                <w:color w:val="auto"/>
              </w:rPr>
              <w:t xml:space="preserve"> are intended to treat all types of cancer, including complex and rare cancers, through the availability of multidisciplinary cancer services, and through the integration of cancer services with cancer research.  </w:t>
            </w:r>
          </w:p>
          <w:p w14:paraId="14CC48A2" w14:textId="77777777" w:rsidR="00C91B5F" w:rsidRPr="00F00A18" w:rsidRDefault="00C91B5F" w:rsidP="007844B2">
            <w:pPr>
              <w:pStyle w:val="Tableformat"/>
              <w:rPr>
                <w:color w:val="auto"/>
              </w:rPr>
            </w:pPr>
          </w:p>
        </w:tc>
      </w:tr>
      <w:tr w:rsidR="00C91B5F" w:rsidRPr="00F00A18" w14:paraId="38CF1EED" w14:textId="77777777" w:rsidTr="005135E5">
        <w:trPr>
          <w:trHeight w:val="548"/>
        </w:trPr>
        <w:tc>
          <w:tcPr>
            <w:tcW w:w="1691" w:type="dxa"/>
            <w:shd w:val="clear" w:color="auto" w:fill="auto"/>
          </w:tcPr>
          <w:p w14:paraId="532AD6EF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2D848164" w14:textId="0D0CF745" w:rsidR="009F0D43" w:rsidRDefault="00C91B5F" w:rsidP="007844B2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The Commonwealth will provide an estimated total financial contribution to the State of </w:t>
            </w:r>
            <w:r w:rsidR="000929F3">
              <w:rPr>
                <w:color w:val="auto"/>
              </w:rPr>
              <w:t>$</w:t>
            </w:r>
            <w:r w:rsidR="005135E5">
              <w:rPr>
                <w:color w:val="auto"/>
              </w:rPr>
              <w:t>2.5</w:t>
            </w:r>
            <w:r w:rsidR="000929F3">
              <w:rPr>
                <w:color w:val="auto"/>
              </w:rPr>
              <w:t xml:space="preserve"> million </w:t>
            </w:r>
            <w:r w:rsidR="000C53F2">
              <w:rPr>
                <w:color w:val="auto"/>
              </w:rPr>
              <w:t xml:space="preserve">GST exclusive </w:t>
            </w:r>
            <w:r w:rsidRPr="00F00A18">
              <w:rPr>
                <w:color w:val="auto"/>
              </w:rPr>
              <w:t>in respect of this Schedule.</w:t>
            </w:r>
          </w:p>
          <w:tbl>
            <w:tblPr>
              <w:tblpPr w:leftFromText="180" w:rightFromText="180" w:vertAnchor="text" w:horzAnchor="margin" w:tblpY="409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1162"/>
              <w:gridCol w:w="1162"/>
              <w:gridCol w:w="1163"/>
              <w:gridCol w:w="1162"/>
              <w:gridCol w:w="1163"/>
            </w:tblGrid>
            <w:tr w:rsidR="00DA3AD0" w:rsidRPr="00101AB3" w14:paraId="36FA7CBE" w14:textId="77777777" w:rsidTr="00E903E4">
              <w:trPr>
                <w:cantSplit/>
              </w:trPr>
              <w:tc>
                <w:tcPr>
                  <w:tcW w:w="1701" w:type="dxa"/>
                  <w:tcBorders>
                    <w:top w:val="single" w:sz="4" w:space="0" w:color="000080"/>
                  </w:tcBorders>
                </w:tcPr>
                <w:p w14:paraId="4F64A8C0" w14:textId="77777777" w:rsidR="00DA3AD0" w:rsidRDefault="00DA3AD0" w:rsidP="00DA3AD0">
                  <w:pPr>
                    <w:keepNext/>
                    <w:keepLines/>
                    <w:spacing w:before="40" w:after="40"/>
                    <w:ind w:left="-111"/>
                    <w:rPr>
                      <w:b/>
                      <w:sz w:val="21"/>
                      <w:szCs w:val="21"/>
                    </w:rPr>
                  </w:pPr>
                  <w:bookmarkStart w:id="0" w:name="_Hlk120538578"/>
                  <w:r>
                    <w:rPr>
                      <w:b/>
                      <w:sz w:val="21"/>
                      <w:szCs w:val="21"/>
                    </w:rPr>
                    <w:t>Table 1</w:t>
                  </w:r>
                </w:p>
                <w:p w14:paraId="63AABC44" w14:textId="77777777" w:rsidR="00DA3AD0" w:rsidRPr="005D39DD" w:rsidRDefault="00DA3AD0" w:rsidP="00DA3AD0">
                  <w:pPr>
                    <w:keepNext/>
                    <w:keepLines/>
                    <w:spacing w:before="40" w:after="40"/>
                    <w:ind w:left="-111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($ million)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280579D6" w14:textId="77777777" w:rsidR="00DA3AD0" w:rsidRDefault="00DA3AD0" w:rsidP="00DA3AD0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751FC741" w14:textId="417E6E2A" w:rsidR="00DA3AD0" w:rsidRPr="005D39DD" w:rsidRDefault="00DA3AD0" w:rsidP="00DA3AD0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2022-23</w:t>
                  </w:r>
                  <w:r w:rsidR="00FC6CC5">
                    <w:rPr>
                      <w:b/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5F2BF183" w14:textId="77777777" w:rsidR="00DA3AD0" w:rsidRDefault="00DA3AD0" w:rsidP="00DA3AD0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33DD13D2" w14:textId="77777777" w:rsidR="00DA3AD0" w:rsidRPr="005D39DD" w:rsidRDefault="00DA3AD0" w:rsidP="00DA3AD0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2023-24*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434E21FA" w14:textId="77777777" w:rsidR="00DA3AD0" w:rsidRDefault="00DA3AD0" w:rsidP="00DA3AD0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277A40A0" w14:textId="77777777" w:rsidR="00DA3AD0" w:rsidRPr="005D39DD" w:rsidRDefault="00DA3AD0" w:rsidP="00DA3AD0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2024-25*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180DF492" w14:textId="77777777" w:rsidR="00DA3AD0" w:rsidRDefault="00DA3AD0" w:rsidP="00DA3AD0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6A6C5296" w14:textId="77777777" w:rsidR="00DA3AD0" w:rsidRPr="005D39DD" w:rsidRDefault="00DA3AD0" w:rsidP="00DA3AD0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2025-26*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58A9449E" w14:textId="77777777" w:rsidR="00DA3AD0" w:rsidRDefault="00DA3AD0" w:rsidP="00DA3AD0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70BA5276" w14:textId="77777777" w:rsidR="00DA3AD0" w:rsidRPr="005D39DD" w:rsidRDefault="00DA3AD0" w:rsidP="00DA3AD0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Total</w:t>
                  </w:r>
                  <w:r>
                    <w:rPr>
                      <w:b/>
                      <w:sz w:val="21"/>
                      <w:szCs w:val="21"/>
                    </w:rPr>
                    <w:t>*</w:t>
                  </w:r>
                </w:p>
              </w:tc>
            </w:tr>
            <w:tr w:rsidR="00DA3AD0" w:rsidRPr="00101AB3" w14:paraId="70D8C343" w14:textId="77777777" w:rsidTr="00E903E4">
              <w:trPr>
                <w:cantSplit/>
              </w:trPr>
              <w:tc>
                <w:tcPr>
                  <w:tcW w:w="1701" w:type="dxa"/>
                </w:tcPr>
                <w:p w14:paraId="429052E0" w14:textId="4576D0EE" w:rsidR="0056462A" w:rsidRPr="005D39DD" w:rsidRDefault="00DA3AD0" w:rsidP="0011189D">
                  <w:pPr>
                    <w:keepNext/>
                    <w:keepLines/>
                    <w:spacing w:before="60" w:after="60"/>
                    <w:ind w:left="-111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Estimated total budget</w:t>
                  </w: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80"/>
                  </w:tcBorders>
                </w:tcPr>
                <w:p w14:paraId="35C82AA6" w14:textId="70B736E1" w:rsidR="00DA3AD0" w:rsidRPr="005D39DD" w:rsidRDefault="003D6601" w:rsidP="002778A8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5</w:t>
                  </w:r>
                  <w:r w:rsidR="005135E5">
                    <w:rPr>
                      <w:b/>
                      <w:sz w:val="21"/>
                      <w:szCs w:val="21"/>
                    </w:rPr>
                    <w:t>.0</w:t>
                  </w:r>
                  <w:r w:rsidR="00FC6CC5">
                    <w:rPr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80"/>
                  </w:tcBorders>
                </w:tcPr>
                <w:p w14:paraId="5B1902E3" w14:textId="62C43D14" w:rsidR="00DA3AD0" w:rsidRPr="005D39DD" w:rsidRDefault="005135E5" w:rsidP="00E903E4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80"/>
                  </w:tcBorders>
                </w:tcPr>
                <w:p w14:paraId="69909D79" w14:textId="17021E50" w:rsidR="00DA3AD0" w:rsidRPr="005D39DD" w:rsidRDefault="005135E5" w:rsidP="00E903E4">
                  <w:pPr>
                    <w:keepNext/>
                    <w:keepLines/>
                    <w:spacing w:before="40" w:after="40"/>
                    <w:ind w:left="255" w:firstLine="141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80"/>
                  </w:tcBorders>
                </w:tcPr>
                <w:p w14:paraId="6BF61115" w14:textId="0DA7D86D" w:rsidR="00DA3AD0" w:rsidRPr="005D39DD" w:rsidRDefault="005135E5" w:rsidP="00E903E4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80"/>
                  </w:tcBorders>
                </w:tcPr>
                <w:p w14:paraId="59FA4292" w14:textId="46F9B294" w:rsidR="00DA3AD0" w:rsidRPr="005D39DD" w:rsidRDefault="005135E5" w:rsidP="002778A8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5.00</w:t>
                  </w:r>
                </w:p>
              </w:tc>
            </w:tr>
            <w:tr w:rsidR="0011189D" w:rsidRPr="00101AB3" w14:paraId="46789414" w14:textId="77777777" w:rsidTr="00E903E4">
              <w:trPr>
                <w:cantSplit/>
              </w:trPr>
              <w:tc>
                <w:tcPr>
                  <w:tcW w:w="1701" w:type="dxa"/>
                </w:tcPr>
                <w:p w14:paraId="46C7D494" w14:textId="77777777" w:rsidR="0099330F" w:rsidRPr="00E903E4" w:rsidRDefault="0011189D" w:rsidP="0099330F">
                  <w:pPr>
                    <w:keepNext/>
                    <w:keepLines/>
                    <w:spacing w:before="60" w:after="60"/>
                    <w:ind w:left="-111"/>
                    <w:rPr>
                      <w:bCs/>
                      <w:sz w:val="21"/>
                      <w:szCs w:val="21"/>
                    </w:rPr>
                  </w:pPr>
                  <w:r w:rsidRPr="00E903E4">
                    <w:rPr>
                      <w:bCs/>
                      <w:sz w:val="21"/>
                      <w:szCs w:val="21"/>
                    </w:rPr>
                    <w:t>Less estimated National Partnership Payments</w:t>
                  </w:r>
                </w:p>
              </w:tc>
              <w:tc>
                <w:tcPr>
                  <w:tcW w:w="1162" w:type="dxa"/>
                </w:tcPr>
                <w:p w14:paraId="7B3319B0" w14:textId="1D681524" w:rsidR="0011189D" w:rsidRPr="00E903E4" w:rsidDel="003D6601" w:rsidRDefault="005135E5" w:rsidP="002778A8">
                  <w:pPr>
                    <w:keepNext/>
                    <w:keepLines/>
                    <w:spacing w:before="40" w:after="40"/>
                    <w:jc w:val="right"/>
                    <w:rPr>
                      <w:bCs/>
                      <w:sz w:val="21"/>
                      <w:szCs w:val="21"/>
                    </w:rPr>
                  </w:pPr>
                  <w:r w:rsidRPr="00E903E4">
                    <w:rPr>
                      <w:bCs/>
                      <w:sz w:val="21"/>
                      <w:szCs w:val="21"/>
                    </w:rPr>
                    <w:t>2.50</w:t>
                  </w:r>
                </w:p>
              </w:tc>
              <w:tc>
                <w:tcPr>
                  <w:tcW w:w="1162" w:type="dxa"/>
                </w:tcPr>
                <w:p w14:paraId="726D72AA" w14:textId="1E46E25A" w:rsidR="0011189D" w:rsidRPr="00E903E4" w:rsidDel="003D6601" w:rsidRDefault="005135E5" w:rsidP="00E903E4">
                  <w:pPr>
                    <w:keepNext/>
                    <w:keepLines/>
                    <w:spacing w:before="40" w:after="40"/>
                    <w:jc w:val="right"/>
                    <w:rPr>
                      <w:bCs/>
                      <w:sz w:val="21"/>
                      <w:szCs w:val="21"/>
                    </w:rPr>
                  </w:pPr>
                  <w:r w:rsidRPr="00E903E4">
                    <w:rPr>
                      <w:bCs/>
                      <w:sz w:val="21"/>
                      <w:szCs w:val="21"/>
                    </w:rPr>
                    <w:t>0</w:t>
                  </w:r>
                  <w:r w:rsidR="0011189D" w:rsidRPr="00E903E4">
                    <w:rPr>
                      <w:bCs/>
                      <w:sz w:val="21"/>
                      <w:szCs w:val="21"/>
                    </w:rPr>
                    <w:t>.</w:t>
                  </w:r>
                  <w:r w:rsidRPr="00E903E4">
                    <w:rPr>
                      <w:bCs/>
                      <w:sz w:val="21"/>
                      <w:szCs w:val="21"/>
                    </w:rPr>
                    <w:t>00</w:t>
                  </w:r>
                </w:p>
              </w:tc>
              <w:tc>
                <w:tcPr>
                  <w:tcW w:w="1163" w:type="dxa"/>
                </w:tcPr>
                <w:p w14:paraId="6BD4DC2A" w14:textId="0738B492" w:rsidR="0011189D" w:rsidRPr="00E903E4" w:rsidDel="003D6601" w:rsidRDefault="005135E5" w:rsidP="00E903E4">
                  <w:pPr>
                    <w:keepNext/>
                    <w:keepLines/>
                    <w:spacing w:before="40" w:after="40"/>
                    <w:ind w:left="255" w:firstLine="141"/>
                    <w:jc w:val="right"/>
                    <w:rPr>
                      <w:bCs/>
                      <w:sz w:val="21"/>
                      <w:szCs w:val="21"/>
                    </w:rPr>
                  </w:pPr>
                  <w:r w:rsidRPr="00E903E4">
                    <w:rPr>
                      <w:bCs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1162" w:type="dxa"/>
                </w:tcPr>
                <w:p w14:paraId="600F3390" w14:textId="46F631D6" w:rsidR="0011189D" w:rsidRPr="00E903E4" w:rsidDel="003D6601" w:rsidRDefault="005135E5" w:rsidP="00E903E4">
                  <w:pPr>
                    <w:keepNext/>
                    <w:keepLines/>
                    <w:spacing w:before="40" w:after="40"/>
                    <w:jc w:val="right"/>
                    <w:rPr>
                      <w:bCs/>
                      <w:sz w:val="21"/>
                      <w:szCs w:val="21"/>
                    </w:rPr>
                  </w:pPr>
                  <w:r w:rsidRPr="00E903E4">
                    <w:rPr>
                      <w:bCs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1163" w:type="dxa"/>
                </w:tcPr>
                <w:p w14:paraId="423A0257" w14:textId="4540B8C3" w:rsidR="0011189D" w:rsidRPr="00E903E4" w:rsidDel="0056462A" w:rsidRDefault="005135E5" w:rsidP="002778A8">
                  <w:pPr>
                    <w:keepNext/>
                    <w:keepLines/>
                    <w:spacing w:before="40" w:after="40"/>
                    <w:jc w:val="right"/>
                    <w:rPr>
                      <w:bCs/>
                      <w:sz w:val="21"/>
                      <w:szCs w:val="21"/>
                    </w:rPr>
                  </w:pPr>
                  <w:r w:rsidRPr="00E903E4">
                    <w:rPr>
                      <w:bCs/>
                      <w:sz w:val="21"/>
                      <w:szCs w:val="21"/>
                    </w:rPr>
                    <w:t>2.50</w:t>
                  </w:r>
                </w:p>
              </w:tc>
            </w:tr>
            <w:tr w:rsidR="0099330F" w:rsidRPr="00101AB3" w14:paraId="0B50AA28" w14:textId="77777777" w:rsidTr="00E903E4">
              <w:trPr>
                <w:cantSplit/>
              </w:trPr>
              <w:tc>
                <w:tcPr>
                  <w:tcW w:w="1701" w:type="dxa"/>
                  <w:tcBorders>
                    <w:bottom w:val="single" w:sz="4" w:space="0" w:color="000080"/>
                  </w:tcBorders>
                </w:tcPr>
                <w:p w14:paraId="1AD5A041" w14:textId="77777777" w:rsidR="0099330F" w:rsidRPr="00E903E4" w:rsidRDefault="0099330F" w:rsidP="00E903E4">
                  <w:pPr>
                    <w:keepNext/>
                    <w:keepLines/>
                    <w:spacing w:before="40" w:after="40"/>
                    <w:ind w:left="-111"/>
                    <w:rPr>
                      <w:sz w:val="21"/>
                      <w:szCs w:val="21"/>
                    </w:rPr>
                  </w:pPr>
                  <w:r w:rsidRPr="00E903E4">
                    <w:rPr>
                      <w:sz w:val="21"/>
                      <w:szCs w:val="21"/>
                    </w:rPr>
                    <w:t>Balance of non-Commonwealth contributions</w:t>
                  </w:r>
                </w:p>
              </w:tc>
              <w:tc>
                <w:tcPr>
                  <w:tcW w:w="1162" w:type="dxa"/>
                  <w:tcBorders>
                    <w:bottom w:val="single" w:sz="4" w:space="0" w:color="000080"/>
                  </w:tcBorders>
                </w:tcPr>
                <w:p w14:paraId="1071A10D" w14:textId="0A4E3A5B" w:rsidR="0099330F" w:rsidRPr="00E903E4" w:rsidRDefault="005135E5" w:rsidP="002778A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E903E4">
                    <w:rPr>
                      <w:sz w:val="21"/>
                      <w:szCs w:val="21"/>
                    </w:rPr>
                    <w:t>2.5</w:t>
                  </w:r>
                  <w:r w:rsidR="0099330F" w:rsidRPr="00E903E4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bottom w:val="single" w:sz="4" w:space="0" w:color="000080"/>
                  </w:tcBorders>
                </w:tcPr>
                <w:p w14:paraId="723C357A" w14:textId="77777777" w:rsidR="0099330F" w:rsidRPr="00E903E4" w:rsidRDefault="0099330F" w:rsidP="00E903E4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E903E4">
                    <w:rPr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1163" w:type="dxa"/>
                  <w:tcBorders>
                    <w:bottom w:val="single" w:sz="4" w:space="0" w:color="000080"/>
                  </w:tcBorders>
                </w:tcPr>
                <w:p w14:paraId="0ADC8DA6" w14:textId="77777777" w:rsidR="0099330F" w:rsidRPr="00E903E4" w:rsidRDefault="0099330F" w:rsidP="00E903E4">
                  <w:pPr>
                    <w:keepNext/>
                    <w:keepLines/>
                    <w:spacing w:before="40" w:after="40"/>
                    <w:ind w:left="255" w:firstLine="141"/>
                    <w:jc w:val="right"/>
                    <w:rPr>
                      <w:sz w:val="21"/>
                      <w:szCs w:val="21"/>
                    </w:rPr>
                  </w:pPr>
                  <w:r w:rsidRPr="00E903E4">
                    <w:rPr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1162" w:type="dxa"/>
                  <w:tcBorders>
                    <w:bottom w:val="single" w:sz="4" w:space="0" w:color="000080"/>
                  </w:tcBorders>
                </w:tcPr>
                <w:p w14:paraId="4A32C463" w14:textId="77777777" w:rsidR="0099330F" w:rsidRPr="00E903E4" w:rsidRDefault="0099330F" w:rsidP="00E903E4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E903E4">
                    <w:rPr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1163" w:type="dxa"/>
                  <w:tcBorders>
                    <w:bottom w:val="single" w:sz="4" w:space="0" w:color="000080"/>
                  </w:tcBorders>
                </w:tcPr>
                <w:p w14:paraId="18A4F4D1" w14:textId="79AE62E4" w:rsidR="0099330F" w:rsidRPr="00E903E4" w:rsidRDefault="005135E5" w:rsidP="002778A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E903E4">
                    <w:rPr>
                      <w:sz w:val="21"/>
                      <w:szCs w:val="21"/>
                    </w:rPr>
                    <w:t>2.50</w:t>
                  </w:r>
                </w:p>
              </w:tc>
            </w:tr>
            <w:bookmarkEnd w:id="0"/>
          </w:tbl>
          <w:p w14:paraId="0EC9C037" w14:textId="77777777" w:rsidR="007844B2" w:rsidRDefault="007844B2" w:rsidP="007844B2">
            <w:pPr>
              <w:rPr>
                <w:lang w:eastAsia="en-AU"/>
              </w:rPr>
            </w:pPr>
          </w:p>
          <w:p w14:paraId="78E698BC" w14:textId="77777777" w:rsidR="00FC6CC5" w:rsidRDefault="00FC6CC5" w:rsidP="007844B2">
            <w:pPr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*</w:t>
            </w:r>
            <w:r w:rsidRPr="00FC6CC5">
              <w:rPr>
                <w:sz w:val="18"/>
                <w:szCs w:val="18"/>
                <w:lang w:eastAsia="en-AU"/>
              </w:rPr>
              <w:t>Further payments will be subject to agreement of project deliverables within the business case.</w:t>
            </w:r>
          </w:p>
          <w:p w14:paraId="2C865748" w14:textId="56543E4B" w:rsidR="00FC6CC5" w:rsidRPr="007844B2" w:rsidRDefault="00FC6CC5" w:rsidP="007844B2">
            <w:pPr>
              <w:rPr>
                <w:lang w:eastAsia="en-AU"/>
              </w:rPr>
            </w:pPr>
          </w:p>
        </w:tc>
      </w:tr>
      <w:tr w:rsidR="00C91B5F" w:rsidRPr="00F00A18" w14:paraId="380797DF" w14:textId="77777777" w:rsidTr="00317FB3">
        <w:tc>
          <w:tcPr>
            <w:tcW w:w="1691" w:type="dxa"/>
            <w:shd w:val="clear" w:color="auto" w:fill="auto"/>
          </w:tcPr>
          <w:p w14:paraId="7CE245A8" w14:textId="4CC8F93E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Additional terms</w:t>
            </w:r>
          </w:p>
        </w:tc>
        <w:tc>
          <w:tcPr>
            <w:tcW w:w="7938" w:type="dxa"/>
            <w:shd w:val="clear" w:color="auto" w:fill="auto"/>
          </w:tcPr>
          <w:p w14:paraId="0F973CE3" w14:textId="0BCEAC0E" w:rsidR="00C91B5F" w:rsidRPr="007844B2" w:rsidRDefault="000C53F2" w:rsidP="005D3905">
            <w:pPr>
              <w:pStyle w:val="Tableformat"/>
              <w:rPr>
                <w:iCs w:val="0"/>
                <w:color w:val="auto"/>
              </w:rPr>
            </w:pPr>
            <w:r>
              <w:rPr>
                <w:color w:val="auto"/>
              </w:rPr>
              <w:t>Initial funding in Financial Year 2022-23</w:t>
            </w:r>
            <w:r w:rsidR="00C7363F">
              <w:rPr>
                <w:color w:val="auto"/>
              </w:rPr>
              <w:t xml:space="preserve"> of $</w:t>
            </w:r>
            <w:r w:rsidR="005135E5">
              <w:rPr>
                <w:color w:val="auto"/>
              </w:rPr>
              <w:t>2.5</w:t>
            </w:r>
            <w:r w:rsidR="00C7363F">
              <w:rPr>
                <w:color w:val="auto"/>
              </w:rPr>
              <w:t xml:space="preserve"> million</w:t>
            </w:r>
            <w:r>
              <w:rPr>
                <w:color w:val="auto"/>
              </w:rPr>
              <w:t xml:space="preserve"> is </w:t>
            </w:r>
            <w:r w:rsidR="001C01F1">
              <w:rPr>
                <w:color w:val="auto"/>
              </w:rPr>
              <w:t xml:space="preserve">a </w:t>
            </w:r>
            <w:r>
              <w:rPr>
                <w:color w:val="auto"/>
              </w:rPr>
              <w:t xml:space="preserve">contribution to the </w:t>
            </w:r>
            <w:r w:rsidR="005135E5">
              <w:rPr>
                <w:color w:val="auto"/>
              </w:rPr>
              <w:t xml:space="preserve">$5 million </w:t>
            </w:r>
            <w:r>
              <w:rPr>
                <w:color w:val="auto"/>
              </w:rPr>
              <w:t>business case to support the project</w:t>
            </w:r>
            <w:r w:rsidR="00584B53">
              <w:rPr>
                <w:color w:val="auto"/>
              </w:rPr>
              <w:t>. F</w:t>
            </w:r>
            <w:r>
              <w:rPr>
                <w:color w:val="auto"/>
              </w:rPr>
              <w:t>urther payments will be subject to agreement of project deliverables within the business case.</w:t>
            </w:r>
            <w:r w:rsidR="001D2A86">
              <w:rPr>
                <w:color w:val="auto"/>
              </w:rPr>
              <w:t xml:space="preserve"> The Commonwealth has committed $375 million to this project, dependent of a matching contribution from Western Australia.</w:t>
            </w:r>
          </w:p>
        </w:tc>
      </w:tr>
    </w:tbl>
    <w:p w14:paraId="165A23D3" w14:textId="77777777" w:rsidR="00C91B5F" w:rsidRPr="00F00A18" w:rsidRDefault="00C91B5F" w:rsidP="00C91B5F"/>
    <w:p w14:paraId="1B1D1904" w14:textId="77777777" w:rsidR="00C91B5F" w:rsidRDefault="00C91B5F" w:rsidP="00C91B5F"/>
    <w:p w14:paraId="46556D3E" w14:textId="77777777" w:rsidR="002B64DB" w:rsidRPr="00F00A18" w:rsidRDefault="002B64DB" w:rsidP="002B64DB"/>
    <w:tbl>
      <w:tblPr>
        <w:tblW w:w="5366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4180"/>
        <w:gridCol w:w="1838"/>
        <w:gridCol w:w="1468"/>
      </w:tblGrid>
      <w:tr w:rsidR="002B64DB" w:rsidRPr="00F00A18" w14:paraId="5A459C3B" w14:textId="77777777" w:rsidTr="002B64DB">
        <w:trPr>
          <w:trHeight w:val="484"/>
        </w:trPr>
        <w:tc>
          <w:tcPr>
            <w:tcW w:w="10322" w:type="dxa"/>
            <w:gridSpan w:val="4"/>
            <w:shd w:val="clear" w:color="auto" w:fill="DEEAF6" w:themeFill="accent1" w:themeFillTint="33"/>
          </w:tcPr>
          <w:p w14:paraId="564CC59B" w14:textId="77777777" w:rsidR="002B64DB" w:rsidRPr="00F00A18" w:rsidRDefault="002B64DB" w:rsidP="003F16B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2: Performance requirements, reporting and payment summary</w:t>
            </w:r>
          </w:p>
        </w:tc>
      </w:tr>
      <w:tr w:rsidR="002B64DB" w:rsidRPr="00F00A18" w14:paraId="5368A751" w14:textId="77777777" w:rsidTr="002B64DB">
        <w:trPr>
          <w:trHeight w:val="802"/>
        </w:trPr>
        <w:tc>
          <w:tcPr>
            <w:tcW w:w="2325" w:type="dxa"/>
            <w:shd w:val="clear" w:color="auto" w:fill="F2F2F2" w:themeFill="background1" w:themeFillShade="F2"/>
          </w:tcPr>
          <w:p w14:paraId="3B8763DE" w14:textId="77777777" w:rsidR="002B64DB" w:rsidRPr="00F00A18" w:rsidRDefault="002B64DB" w:rsidP="003F16B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4477" w:type="dxa"/>
            <w:shd w:val="clear" w:color="auto" w:fill="F2F2F2" w:themeFill="background1" w:themeFillShade="F2"/>
          </w:tcPr>
          <w:p w14:paraId="540F0CB8" w14:textId="77777777" w:rsidR="002B64DB" w:rsidRPr="00F00A18" w:rsidRDefault="002B64DB" w:rsidP="003F16B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14:paraId="6067DD36" w14:textId="77777777" w:rsidR="002B64DB" w:rsidRPr="00F00A18" w:rsidRDefault="002B64DB" w:rsidP="003F16B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14:paraId="0B9E4FD0" w14:textId="77777777" w:rsidR="002B64DB" w:rsidRPr="00F00A18" w:rsidRDefault="002B64DB" w:rsidP="003F16B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B64DB" w:rsidRPr="00F00A18" w14:paraId="6199EBE8" w14:textId="77777777" w:rsidTr="002B64DB">
        <w:trPr>
          <w:trHeight w:val="628"/>
        </w:trPr>
        <w:tc>
          <w:tcPr>
            <w:tcW w:w="232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70E7B693" w14:textId="77777777" w:rsidR="002B64DB" w:rsidRPr="00F00A18" w:rsidRDefault="002B64DB" w:rsidP="003F16B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Establishment of the Western Australian Comprehensive Cancer Centre</w:t>
            </w:r>
          </w:p>
        </w:tc>
        <w:tc>
          <w:tcPr>
            <w:tcW w:w="44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275B87" w14:textId="329B34D5" w:rsidR="004950BE" w:rsidRPr="00104485" w:rsidRDefault="002B64DB" w:rsidP="002778A8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Signing of Federation Funding Agreement</w:t>
            </w:r>
            <w:r w:rsidR="004950BE">
              <w:rPr>
                <w:color w:val="auto"/>
              </w:rPr>
              <w:t xml:space="preserve"> Schedule</w:t>
            </w:r>
          </w:p>
        </w:tc>
        <w:tc>
          <w:tcPr>
            <w:tcW w:w="1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EF2394" w14:textId="77777777" w:rsidR="002B64DB" w:rsidRPr="00104485" w:rsidRDefault="004950BE" w:rsidP="003F16B5">
            <w:pPr>
              <w:pStyle w:val="Milestonetable"/>
              <w:rPr>
                <w:color w:val="auto"/>
              </w:rPr>
            </w:pPr>
            <w:r w:rsidRPr="00325B9B">
              <w:rPr>
                <w:color w:val="auto"/>
              </w:rPr>
              <w:t>February 2023</w:t>
            </w:r>
          </w:p>
        </w:tc>
        <w:tc>
          <w:tcPr>
            <w:tcW w:w="15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34E74B" w14:textId="31406514" w:rsidR="002B64DB" w:rsidRPr="00F00A18" w:rsidRDefault="005135E5" w:rsidP="003F16B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$2,500,000</w:t>
            </w:r>
          </w:p>
        </w:tc>
      </w:tr>
      <w:tr w:rsidR="002B64DB" w:rsidRPr="00F00A18" w14:paraId="1D2EAF25" w14:textId="77777777" w:rsidTr="002B64DB">
        <w:trPr>
          <w:trHeight w:val="697"/>
        </w:trPr>
        <w:tc>
          <w:tcPr>
            <w:tcW w:w="232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68FBFDF1" w14:textId="77777777" w:rsidR="002B64DB" w:rsidRPr="00F00A18" w:rsidRDefault="002B64DB" w:rsidP="003F16B5">
            <w:pPr>
              <w:pStyle w:val="Milestonetable"/>
              <w:rPr>
                <w:color w:val="auto"/>
              </w:rPr>
            </w:pPr>
          </w:p>
        </w:tc>
        <w:tc>
          <w:tcPr>
            <w:tcW w:w="44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49FE83" w14:textId="79B01377" w:rsidR="002B64DB" w:rsidRPr="00F00A18" w:rsidRDefault="002B64DB" w:rsidP="003F16B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Completion of business case and agreement of proposed works, timelines and outcomes for the project and future funding</w:t>
            </w:r>
          </w:p>
        </w:tc>
        <w:tc>
          <w:tcPr>
            <w:tcW w:w="1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B5BA02" w14:textId="77777777" w:rsidR="002B64DB" w:rsidRPr="00104485" w:rsidRDefault="002B64DB" w:rsidP="003F16B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Ma</w:t>
            </w:r>
            <w:r w:rsidR="00584B53">
              <w:rPr>
                <w:color w:val="auto"/>
              </w:rPr>
              <w:t>rch</w:t>
            </w:r>
            <w:r w:rsidRPr="00104485">
              <w:rPr>
                <w:color w:val="auto"/>
              </w:rPr>
              <w:t xml:space="preserve"> 202</w:t>
            </w:r>
            <w:r w:rsidR="00584B53">
              <w:rPr>
                <w:color w:val="auto"/>
              </w:rPr>
              <w:t>4</w:t>
            </w:r>
          </w:p>
        </w:tc>
        <w:tc>
          <w:tcPr>
            <w:tcW w:w="15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ADD76F" w14:textId="77777777" w:rsidR="002B64DB" w:rsidRPr="00F00A18" w:rsidRDefault="002B64DB" w:rsidP="003F16B5">
            <w:pPr>
              <w:pStyle w:val="Milestonetable"/>
              <w:jc w:val="right"/>
              <w:rPr>
                <w:color w:val="auto"/>
              </w:rPr>
            </w:pPr>
          </w:p>
        </w:tc>
      </w:tr>
    </w:tbl>
    <w:p w14:paraId="2301CE9F" w14:textId="77777777" w:rsidR="002B64DB" w:rsidRDefault="002B64DB" w:rsidP="002B64DB"/>
    <w:p w14:paraId="17607BBC" w14:textId="77777777" w:rsidR="00C91B5F" w:rsidRDefault="00C91B5F" w:rsidP="00C91B5F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6B77AA32" w14:textId="77777777" w:rsidR="00C91B5F" w:rsidRDefault="00C91B5F" w:rsidP="00C91B5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C91B5F" w:rsidRPr="00A50751" w14:paraId="7C1D4045" w14:textId="77777777" w:rsidTr="005D3905">
        <w:trPr>
          <w:cantSplit/>
          <w:jc w:val="center"/>
        </w:trPr>
        <w:tc>
          <w:tcPr>
            <w:tcW w:w="4536" w:type="dxa"/>
          </w:tcPr>
          <w:p w14:paraId="68C92444" w14:textId="77777777" w:rsidR="00C91B5F" w:rsidRPr="004A0AE7" w:rsidRDefault="00C91B5F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 of Australia by</w:t>
            </w:r>
          </w:p>
          <w:p w14:paraId="07813852" w14:textId="77777777" w:rsidR="00C91B5F" w:rsidRPr="00A50751" w:rsidRDefault="00C91B5F" w:rsidP="005D3905">
            <w:pPr>
              <w:pStyle w:val="LineForSignature"/>
            </w:pPr>
            <w:r>
              <w:br/>
            </w:r>
            <w:r>
              <w:tab/>
            </w:r>
          </w:p>
          <w:p w14:paraId="035A5FAF" w14:textId="77777777" w:rsidR="00C91B5F" w:rsidRDefault="00C91B5F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</w:t>
            </w:r>
            <w:r w:rsidR="00696400">
              <w:rPr>
                <w:rStyle w:val="Bold"/>
              </w:rPr>
              <w:t xml:space="preserve"> Mark Butler</w:t>
            </w:r>
            <w:r>
              <w:rPr>
                <w:rStyle w:val="Bold"/>
              </w:rPr>
              <w:t xml:space="preserve"> MP</w:t>
            </w:r>
          </w:p>
          <w:p w14:paraId="3D157166" w14:textId="77777777" w:rsidR="00C91B5F" w:rsidRDefault="00C91B5F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696400">
              <w:rPr>
                <w:lang w:val="en-GB"/>
              </w:rPr>
              <w:t>Health and Aged Care</w:t>
            </w:r>
            <w:r>
              <w:rPr>
                <w:lang w:val="en-GB"/>
              </w:rPr>
              <w:t xml:space="preserve"> </w:t>
            </w:r>
          </w:p>
          <w:p w14:paraId="7AAC3210" w14:textId="77777777" w:rsidR="00C91B5F" w:rsidRDefault="00C91B5F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</w:t>
            </w:r>
            <w:proofErr w:type="gramStart"/>
            <w:r>
              <w:rPr>
                <w:lang w:val="en-GB"/>
              </w:rPr>
              <w:t>Day]  [</w:t>
            </w:r>
            <w:proofErr w:type="gramEnd"/>
            <w:r>
              <w:rPr>
                <w:lang w:val="en-GB"/>
              </w:rPr>
              <w:t>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B09921D" w14:textId="77777777" w:rsidR="00C91B5F" w:rsidRPr="00A50751" w:rsidRDefault="00C91B5F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79373793" w14:textId="77777777" w:rsidR="00C91B5F" w:rsidRPr="004A0AE7" w:rsidRDefault="00C91B5F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 xml:space="preserve">State of </w:t>
            </w:r>
            <w:r w:rsidR="00A84C9C">
              <w:t xml:space="preserve">Western Australia </w:t>
            </w:r>
            <w:r w:rsidRPr="004A0AE7">
              <w:t>by</w:t>
            </w:r>
          </w:p>
          <w:p w14:paraId="565C08D3" w14:textId="77777777" w:rsidR="00C91B5F" w:rsidRPr="00A50751" w:rsidRDefault="00C91B5F" w:rsidP="005D3905">
            <w:pPr>
              <w:pStyle w:val="LineForSignature"/>
            </w:pPr>
            <w:r>
              <w:br/>
            </w:r>
            <w:r w:rsidRPr="00A50751">
              <w:tab/>
            </w:r>
          </w:p>
          <w:p w14:paraId="23CB5B66" w14:textId="77777777" w:rsidR="00C91B5F" w:rsidRDefault="00C91B5F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F70894">
              <w:rPr>
                <w:rStyle w:val="Bold"/>
              </w:rPr>
              <w:t xml:space="preserve">Amber-Jade </w:t>
            </w:r>
            <w:proofErr w:type="gramStart"/>
            <w:r w:rsidR="00F70894">
              <w:rPr>
                <w:rStyle w:val="Bold"/>
              </w:rPr>
              <w:t xml:space="preserve">Sanderson </w:t>
            </w:r>
            <w:r>
              <w:rPr>
                <w:rStyle w:val="Bold"/>
              </w:rPr>
              <w:t xml:space="preserve"> M</w:t>
            </w:r>
            <w:r w:rsidR="00F70894">
              <w:rPr>
                <w:rStyle w:val="Bold"/>
              </w:rPr>
              <w:t>LA</w:t>
            </w:r>
            <w:proofErr w:type="gramEnd"/>
          </w:p>
          <w:p w14:paraId="4B7E1C3D" w14:textId="77777777" w:rsidR="00C91B5F" w:rsidRDefault="00C91B5F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F70894">
              <w:rPr>
                <w:lang w:val="en-GB"/>
              </w:rPr>
              <w:t>Health and Mental Health</w:t>
            </w:r>
            <w:r>
              <w:rPr>
                <w:lang w:val="en-GB"/>
              </w:rPr>
              <w:t xml:space="preserve"> </w:t>
            </w:r>
          </w:p>
          <w:p w14:paraId="400E353D" w14:textId="77777777" w:rsidR="00C91B5F" w:rsidRPr="00A50751" w:rsidRDefault="00C91B5F" w:rsidP="005D3905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</w:t>
            </w:r>
            <w:proofErr w:type="gramStart"/>
            <w:r>
              <w:rPr>
                <w:lang w:val="en-GB"/>
              </w:rPr>
              <w:t>Day]  [</w:t>
            </w:r>
            <w:proofErr w:type="gramEnd"/>
            <w:r>
              <w:rPr>
                <w:lang w:val="en-GB"/>
              </w:rPr>
              <w:t>Month]  [Year]</w:t>
            </w:r>
          </w:p>
        </w:tc>
      </w:tr>
    </w:tbl>
    <w:p w14:paraId="0937927A" w14:textId="77777777" w:rsidR="00884E8F" w:rsidRDefault="00C91B5F" w:rsidP="00884E8F">
      <w:r>
        <w:rPr>
          <w:lang w:val="en-GB"/>
        </w:rPr>
        <w:t xml:space="preserve"> </w:t>
      </w:r>
    </w:p>
    <w:p w14:paraId="33FB0C17" w14:textId="77777777" w:rsidR="00884E8F" w:rsidRPr="00F00A18" w:rsidRDefault="00884E8F" w:rsidP="00884E8F"/>
    <w:p w14:paraId="410BA9EB" w14:textId="77777777" w:rsidR="00C91B5F" w:rsidRDefault="00C91B5F" w:rsidP="00696400"/>
    <w:sectPr w:rsidR="00C91B5F" w:rsidSect="00884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A1B1" w14:textId="77777777" w:rsidR="005C4A86" w:rsidRDefault="005C4A86">
      <w:r>
        <w:separator/>
      </w:r>
    </w:p>
  </w:endnote>
  <w:endnote w:type="continuationSeparator" w:id="0">
    <w:p w14:paraId="3DB0558A" w14:textId="77777777" w:rsidR="005C4A86" w:rsidRDefault="005C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2D23" w14:textId="77777777" w:rsidR="005C4A86" w:rsidRDefault="005C4A86">
      <w:r>
        <w:separator/>
      </w:r>
    </w:p>
  </w:footnote>
  <w:footnote w:type="continuationSeparator" w:id="0">
    <w:p w14:paraId="4E61E5F1" w14:textId="77777777" w:rsidR="005C4A86" w:rsidRDefault="005C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30DA9"/>
    <w:multiLevelType w:val="hybridMultilevel"/>
    <w:tmpl w:val="00065310"/>
    <w:lvl w:ilvl="0" w:tplc="1B6E902A">
      <w:numFmt w:val="bullet"/>
      <w:lvlText w:val=""/>
      <w:lvlJc w:val="left"/>
      <w:pPr>
        <w:ind w:left="24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1" w15:restartNumberingAfterBreak="0">
    <w:nsid w:val="68025E0F"/>
    <w:multiLevelType w:val="hybridMultilevel"/>
    <w:tmpl w:val="3E3A882C"/>
    <w:lvl w:ilvl="0" w:tplc="DBB43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3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349EF"/>
    <w:rsid w:val="000367CA"/>
    <w:rsid w:val="000815BD"/>
    <w:rsid w:val="00085CAF"/>
    <w:rsid w:val="000929F3"/>
    <w:rsid w:val="000A3CC8"/>
    <w:rsid w:val="000C53F2"/>
    <w:rsid w:val="000F7E14"/>
    <w:rsid w:val="00101F13"/>
    <w:rsid w:val="0011189D"/>
    <w:rsid w:val="001259D4"/>
    <w:rsid w:val="001358EB"/>
    <w:rsid w:val="00147F6C"/>
    <w:rsid w:val="00152160"/>
    <w:rsid w:val="00152DDA"/>
    <w:rsid w:val="00164A1E"/>
    <w:rsid w:val="001C01F1"/>
    <w:rsid w:val="001D2A86"/>
    <w:rsid w:val="00222865"/>
    <w:rsid w:val="00224AE0"/>
    <w:rsid w:val="002778A8"/>
    <w:rsid w:val="002B64DB"/>
    <w:rsid w:val="002E1615"/>
    <w:rsid w:val="002E5A20"/>
    <w:rsid w:val="00316DFD"/>
    <w:rsid w:val="00317FB3"/>
    <w:rsid w:val="003303EE"/>
    <w:rsid w:val="00364D13"/>
    <w:rsid w:val="003B1836"/>
    <w:rsid w:val="003D6601"/>
    <w:rsid w:val="003E770D"/>
    <w:rsid w:val="004065C8"/>
    <w:rsid w:val="00434C5C"/>
    <w:rsid w:val="00470CD9"/>
    <w:rsid w:val="004950BE"/>
    <w:rsid w:val="005135E5"/>
    <w:rsid w:val="0056311A"/>
    <w:rsid w:val="0056462A"/>
    <w:rsid w:val="005733C0"/>
    <w:rsid w:val="00584B53"/>
    <w:rsid w:val="005C4A86"/>
    <w:rsid w:val="005E5869"/>
    <w:rsid w:val="006226C7"/>
    <w:rsid w:val="0064121C"/>
    <w:rsid w:val="006803CD"/>
    <w:rsid w:val="00696400"/>
    <w:rsid w:val="006A0572"/>
    <w:rsid w:val="006B6E73"/>
    <w:rsid w:val="006D3DED"/>
    <w:rsid w:val="007844B2"/>
    <w:rsid w:val="00824954"/>
    <w:rsid w:val="00884E8F"/>
    <w:rsid w:val="008B6053"/>
    <w:rsid w:val="008E5C92"/>
    <w:rsid w:val="008E62E2"/>
    <w:rsid w:val="00905B76"/>
    <w:rsid w:val="009112DA"/>
    <w:rsid w:val="00934301"/>
    <w:rsid w:val="009424C5"/>
    <w:rsid w:val="009722D9"/>
    <w:rsid w:val="00984ECB"/>
    <w:rsid w:val="0099330F"/>
    <w:rsid w:val="009C3443"/>
    <w:rsid w:val="009D5BA6"/>
    <w:rsid w:val="009D7C0F"/>
    <w:rsid w:val="009F0D43"/>
    <w:rsid w:val="00A020B2"/>
    <w:rsid w:val="00A65C44"/>
    <w:rsid w:val="00A7101C"/>
    <w:rsid w:val="00A84C9C"/>
    <w:rsid w:val="00AD7C1C"/>
    <w:rsid w:val="00AE12D1"/>
    <w:rsid w:val="00B02B05"/>
    <w:rsid w:val="00B04010"/>
    <w:rsid w:val="00B36E53"/>
    <w:rsid w:val="00B41FB7"/>
    <w:rsid w:val="00B63981"/>
    <w:rsid w:val="00B7398C"/>
    <w:rsid w:val="00B90F1B"/>
    <w:rsid w:val="00B9419A"/>
    <w:rsid w:val="00BB0778"/>
    <w:rsid w:val="00BD6E01"/>
    <w:rsid w:val="00C007C6"/>
    <w:rsid w:val="00C02D65"/>
    <w:rsid w:val="00C25BE5"/>
    <w:rsid w:val="00C704D2"/>
    <w:rsid w:val="00C7363F"/>
    <w:rsid w:val="00C91B5F"/>
    <w:rsid w:val="00CA54E0"/>
    <w:rsid w:val="00CB5CF7"/>
    <w:rsid w:val="00CD2C4C"/>
    <w:rsid w:val="00CF0B25"/>
    <w:rsid w:val="00D54783"/>
    <w:rsid w:val="00D72A49"/>
    <w:rsid w:val="00D948A5"/>
    <w:rsid w:val="00DA3AD0"/>
    <w:rsid w:val="00DE0037"/>
    <w:rsid w:val="00E00CF2"/>
    <w:rsid w:val="00E2156A"/>
    <w:rsid w:val="00E222BA"/>
    <w:rsid w:val="00E849F9"/>
    <w:rsid w:val="00E903E4"/>
    <w:rsid w:val="00EE41B2"/>
    <w:rsid w:val="00EF6C73"/>
    <w:rsid w:val="00F23530"/>
    <w:rsid w:val="00F6201D"/>
    <w:rsid w:val="00F70894"/>
    <w:rsid w:val="00FA0D7C"/>
    <w:rsid w:val="00FA11A4"/>
    <w:rsid w:val="00FA3B8E"/>
    <w:rsid w:val="00FC461B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75E4"/>
  <w15:chartTrackingRefBased/>
  <w15:docId w15:val="{9DFF7502-E5FE-4E11-B99E-E62EBCA1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5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3F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3F2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F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7861" ma:contentTypeDescription=" " ma:contentTypeScope="" ma:versionID="4dcd6025ce3fe05aa227a371e099d4d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http://schemas.microsoft.com/sharepoint/v4" targetNamespace="http://schemas.microsoft.com/office/2006/metadata/properties" ma:root="true" ma:fieldsID="116af7369b48f077cba1a0cb86df0efa" ns1:_="" ns2:_="" ns3:_="">
    <xsd:import namespace="http://schemas.microsoft.com/sharepoint/v3"/>
    <xsd:import namespace="0f563589-9cf9-4143-b1eb-fb0534803d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TaxCatchAll" minOccurs="0"/>
                <xsd:element ref="ns2:TaxCatchAllLabe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2</Value>
    </TaxCatchAll>
    <IconOverlay xmlns="http://schemas.microsoft.com/sharepoint/v4" xsi:nil="true"/>
    <_dlc_DocId xmlns="0f563589-9cf9-4143-b1eb-fb0534803d38">2023FG-64-115676</_dlc_DocId>
    <_dlc_DocIdUrl xmlns="0f563589-9cf9-4143-b1eb-fb0534803d38">
      <Url>http://tweb/sites/fg/csrd/_layouts/15/DocIdRedir.aspx?ID=2023FG-64-115676</Url>
      <Description>2023FG-64-115676</Description>
    </_dlc_DocIdUrl>
  </documentManagement>
</p:properties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71649-D103-48E0-9B5F-BAA18E6DBC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E8562E-305B-412B-BA88-ABAAAF611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7E25A-4A0F-4064-9AA3-BC512B33075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FD900B8-6070-407E-B433-89E316A15907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30F65ACE-AD7D-4F61-BF0B-28C2AA570E4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Housing, Community Services and Other - Bilateral/Simple multilateral Schedule Template</vt:lpstr>
    </vt:vector>
  </TitlesOfParts>
  <Company>Department of the Prime Minister and Cabinet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Housing, Community Services and Other - Bilateral/Simple multilateral Schedule Template</dc:title>
  <dc:subject/>
  <dc:creator>Le, Alan</dc:creator>
  <cp:keywords/>
  <dc:description/>
  <cp:lastModifiedBy>Alan Le</cp:lastModifiedBy>
  <cp:revision>5</cp:revision>
  <dcterms:created xsi:type="dcterms:W3CDTF">2022-12-01T03:29:00Z</dcterms:created>
  <dcterms:modified xsi:type="dcterms:W3CDTF">2022-12-07T01:17:00Z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d1dee418-e933-43f0-bdfe-81a830d1af3f</vt:lpwstr>
  </property>
  <property fmtid="{D5CDD505-2E9C-101B-9397-08002B2CF9AE}" pid="3" name="lb508a4dc5e84436a0fe496b536466aa">
    <vt:lpwstr>TSY RA-8748 - Retain as national archives|243f2231-dbfc-4282-b24a-c9b768286bd0</vt:lpwstr>
  </property>
  <property fmtid="{D5CDD505-2E9C-101B-9397-08002B2CF9AE}" pid="4" name="ContentTypeId">
    <vt:lpwstr>0x010100348D01E61E107C4DA4B97E380EA20D47005CDF45B49E80F24CAD80DFC012154DA9</vt:lpwstr>
  </property>
  <property fmtid="{D5CDD505-2E9C-101B-9397-08002B2CF9AE}" pid="5" name="TSYRecordClass">
    <vt:lpwstr>2;#TSY RA-8748 - Retain as national archives|243f2231-dbfc-4282-b24a-c9b768286bd0</vt:lpwstr>
  </property>
</Properties>
</file>