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B52" w14:textId="77777777" w:rsidR="00AD354B" w:rsidRDefault="00836309"/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4D4E33AD" w:rsidR="00C91B5F" w:rsidRPr="001E20F4" w:rsidRDefault="001D5490" w:rsidP="00C91B5F">
      <w:pPr>
        <w:pStyle w:val="Title"/>
      </w:pPr>
      <w:r>
        <w:t xml:space="preserve">Child Development </w:t>
      </w:r>
      <w:r w:rsidR="00E327C8">
        <w:t>Assessment Service</w:t>
      </w:r>
      <w:r>
        <w:t xml:space="preserve"> </w:t>
      </w:r>
      <w:r w:rsidR="00E327C8">
        <w:t>in the Macarthur region: temporary 4-year multidisciplinary enhancement</w:t>
      </w:r>
    </w:p>
    <w:p w14:paraId="028FB178" w14:textId="68799FCA" w:rsidR="00C91B5F" w:rsidRPr="00BE249A" w:rsidRDefault="00D54783" w:rsidP="00C91B5F">
      <w:pPr>
        <w:pStyle w:val="Subtitle"/>
      </w:pPr>
      <w:r>
        <w:t xml:space="preserve">FEDERATION FUNDING AGREEMENT – </w:t>
      </w:r>
      <w:r w:rsidR="00FA3B8E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73502BB0" w14:textId="64D36DA9" w:rsidR="00C91B5F" w:rsidRPr="00F00A18" w:rsidRDefault="001D5490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616696B5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A97341">
              <w:rPr>
                <w:color w:val="auto"/>
              </w:rPr>
              <w:t>3</w:t>
            </w:r>
            <w:r w:rsidR="00B1201F">
              <w:rPr>
                <w:color w:val="auto"/>
              </w:rPr>
              <w:t>1</w:t>
            </w:r>
            <w:r w:rsidR="00A97341">
              <w:rPr>
                <w:color w:val="auto"/>
              </w:rPr>
              <w:t xml:space="preserve"> </w:t>
            </w:r>
            <w:r w:rsidR="00B1201F">
              <w:rPr>
                <w:color w:val="auto"/>
              </w:rPr>
              <w:t>August</w:t>
            </w:r>
            <w:r w:rsidR="00A97341">
              <w:rPr>
                <w:color w:val="auto"/>
              </w:rPr>
              <w:t xml:space="preserve"> 202</w:t>
            </w:r>
            <w:r w:rsidR="00B1201F">
              <w:rPr>
                <w:color w:val="auto"/>
              </w:rPr>
              <w:t>7</w:t>
            </w:r>
            <w:r w:rsidR="009B5485">
              <w:rPr>
                <w:color w:val="auto"/>
              </w:rPr>
              <w:t>.</w:t>
            </w:r>
          </w:p>
        </w:tc>
      </w:tr>
      <w:tr w:rsidR="00C91B5F" w:rsidRPr="00F00A18" w14:paraId="516BC532" w14:textId="77777777" w:rsidTr="00DC32A2">
        <w:trPr>
          <w:trHeight w:val="4320"/>
        </w:trPr>
        <w:tc>
          <w:tcPr>
            <w:tcW w:w="1691" w:type="dxa"/>
            <w:shd w:val="clear" w:color="auto" w:fill="auto"/>
          </w:tcPr>
          <w:p w14:paraId="511BE93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16A07A64" w14:textId="3B5FAC38" w:rsidR="00C91B5F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</w:t>
            </w:r>
            <w:r w:rsidR="00E327C8">
              <w:rPr>
                <w:color w:val="auto"/>
              </w:rPr>
              <w:t xml:space="preserve">improve access to early intervention and development assessment services for children living in the Campbelltown, </w:t>
            </w:r>
            <w:proofErr w:type="gramStart"/>
            <w:r w:rsidR="00E327C8">
              <w:rPr>
                <w:color w:val="auto"/>
              </w:rPr>
              <w:t>Camden</w:t>
            </w:r>
            <w:proofErr w:type="gramEnd"/>
            <w:r w:rsidR="00E327C8">
              <w:rPr>
                <w:color w:val="auto"/>
              </w:rPr>
              <w:t xml:space="preserve"> and </w:t>
            </w:r>
            <w:proofErr w:type="spellStart"/>
            <w:r w:rsidR="00E327C8">
              <w:rPr>
                <w:color w:val="auto"/>
              </w:rPr>
              <w:t>Wollondilly</w:t>
            </w:r>
            <w:proofErr w:type="spellEnd"/>
            <w:r w:rsidR="00E327C8">
              <w:rPr>
                <w:color w:val="auto"/>
              </w:rPr>
              <w:t xml:space="preserve"> Local Government Areas, referred to as the Macarthur region.</w:t>
            </w:r>
          </w:p>
          <w:p w14:paraId="57561B0E" w14:textId="1E589993" w:rsidR="00DC32A2" w:rsidRDefault="00DC32A2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The Macarthur Child Development and Assessment Service (CDAS) </w:t>
            </w:r>
            <w:r w:rsidR="00C3724A">
              <w:rPr>
                <w:color w:val="auto"/>
              </w:rPr>
              <w:t xml:space="preserve">will </w:t>
            </w:r>
            <w:r>
              <w:rPr>
                <w:color w:val="auto"/>
              </w:rPr>
              <w:t>enhance current services for children aged 2-6 years with developmental delay concerns.</w:t>
            </w:r>
          </w:p>
          <w:p w14:paraId="36CF7FEF" w14:textId="118F308D" w:rsidR="00E327C8" w:rsidRPr="00F00A18" w:rsidRDefault="00E327C8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DC32A2">
              <w:rPr>
                <w:color w:val="auto"/>
              </w:rPr>
              <w:t>CDAS</w:t>
            </w:r>
            <w:r w:rsidR="00C3724A">
              <w:rPr>
                <w:color w:val="auto"/>
              </w:rPr>
              <w:t xml:space="preserve"> </w:t>
            </w:r>
            <w:r w:rsidR="00DC32A2">
              <w:rPr>
                <w:color w:val="auto"/>
              </w:rPr>
              <w:t xml:space="preserve">will enable more children to be seen, with a </w:t>
            </w:r>
            <w:r w:rsidR="00D50BE7">
              <w:rPr>
                <w:color w:val="auto"/>
              </w:rPr>
              <w:t xml:space="preserve">reduced </w:t>
            </w:r>
            <w:r w:rsidR="00DC32A2">
              <w:rPr>
                <w:color w:val="auto"/>
              </w:rPr>
              <w:t xml:space="preserve">waiting time, for assessment by a </w:t>
            </w:r>
            <w:proofErr w:type="spellStart"/>
            <w:r w:rsidR="00DC32A2">
              <w:rPr>
                <w:color w:val="auto"/>
              </w:rPr>
              <w:t>paediatrician</w:t>
            </w:r>
            <w:proofErr w:type="spellEnd"/>
            <w:r w:rsidR="00DC32A2">
              <w:rPr>
                <w:color w:val="auto"/>
              </w:rPr>
              <w:t xml:space="preserve"> or a multidisciplinary diagnostic and assessment team. The model of care will be enhanced by additional allied health resources providing early intervention screening and services. </w:t>
            </w:r>
          </w:p>
        </w:tc>
      </w:tr>
      <w:tr w:rsidR="00C91B5F" w:rsidRPr="00F00A18" w14:paraId="2C63A902" w14:textId="77777777" w:rsidTr="00C3724A">
        <w:trPr>
          <w:trHeight w:val="4384"/>
        </w:trPr>
        <w:tc>
          <w:tcPr>
            <w:tcW w:w="1691" w:type="dxa"/>
            <w:shd w:val="clear" w:color="auto" w:fill="auto"/>
          </w:tcPr>
          <w:p w14:paraId="2E78F30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110CBB4" w14:textId="002C00AB" w:rsidR="00C91B5F" w:rsidRPr="00F00A18" w:rsidRDefault="0064121C" w:rsidP="005D3905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EB322D" wp14:editId="302C060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781685</wp:posOffset>
                      </wp:positionV>
                      <wp:extent cx="4248150" cy="204787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53"/>
                                    <w:gridCol w:w="1033"/>
                                    <w:gridCol w:w="992"/>
                                  </w:tblGrid>
                                  <w:tr w:rsidR="001D5490" w:rsidRPr="00101AB3" w14:paraId="533FE7BA" w14:textId="77777777" w:rsidTr="001D5490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65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C2FFDE8" w14:textId="77777777" w:rsidR="00555C8F" w:rsidRDefault="001D5490" w:rsidP="001D549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Table 1 </w:t>
                                        </w:r>
                                      </w:p>
                                      <w:p w14:paraId="6430D4A7" w14:textId="27964DB6" w:rsidR="001D5490" w:rsidRPr="005D39DD" w:rsidRDefault="001D5490" w:rsidP="001D549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05AF358" w14:textId="046BA705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10B22B8" w14:textId="13BB93A1" w:rsidR="001D5490" w:rsidRPr="005D39DD" w:rsidRDefault="001D5490" w:rsidP="001D5490">
                                        <w:pPr>
                                          <w:keepNext/>
                                          <w:keepLines/>
                                          <w:spacing w:before="40" w:after="12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1D5490" w:rsidRPr="00101AB3" w14:paraId="54AEFD11" w14:textId="77777777" w:rsidTr="001D5490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65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67E61F0A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2CEE1F2B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="001D5490" w:rsidRPr="00101AB3" w14:paraId="4D48DC1E" w14:textId="77777777" w:rsidTr="001D5490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653" w:type="dxa"/>
                                      </w:tcPr>
                                      <w:p w14:paraId="582F5190" w14:textId="77777777" w:rsidR="001D5490" w:rsidRPr="0064121C" w:rsidRDefault="001D5490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4121C"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2A58D9BB" w14:textId="006328D7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4E7A84E3" w14:textId="7F12344D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="001D5490" w:rsidRPr="00101AB3" w14:paraId="406CC52C" w14:textId="77777777" w:rsidTr="001D5490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65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1D5490" w:rsidRPr="008C6B79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77777777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3E00CBB3" w:rsidR="001D5490" w:rsidRPr="005D39DD" w:rsidRDefault="001D549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32099DE6" w:rsidR="00C91B5F" w:rsidRPr="00101AB3" w:rsidRDefault="00C91B5F" w:rsidP="001D54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61.55pt;width:334.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gxDQIAAPcDAAAOAAAAZHJzL2Uyb0RvYy54bWysU9uO0zAQfUfiHyy/01yU0m7UdLV0KUJa&#10;FqSFD3Acp7FwPMZ2m5SvZ+xkuwXeEH6wPJ7xmZkzx5vbsVfkJKyToCuaLVJKhObQSH2o6Lev+zdr&#10;SpxnumEKtKjoWTh6u339ajOYUuTQgWqEJQiiXTmYinbemzJJHO9Ez9wCjNDobMH2zKNpD0lj2YDo&#10;vUryNH2bDGAbY4EL5/D2fnLSbcRvW8H957Z1whNVUazNx93GvQ57st2w8mCZ6SSfy2D/UEXPpMak&#10;F6h75hk5WvkXVC+5BQetX3DoE2hbyUXsAbvJ0j+6eeqYEbEXJMeZC03u/8Hyx9OT+WKJH9/BiAOM&#10;TTjzAPy7Ixp2HdMHcWctDJ1gDSbOAmXJYFw5Pw1Uu9IFkHr4BA0OmR09RKCxtX1gBfskiI4DOF9I&#10;F6MnHC+LvFhnS3Rx9OVpsVqvljEHK5+fG+v8BwE9CYeKWpxqhGenB+dDOax8DgnZHCjZ7KVS0bCH&#10;eqcsOTFUwD6uGf23MKXJUNGbZb6MyBrC+yiOXnpUqJJ9RddpWJNmAh3vdRNDPJNqOmMlSs/8BEom&#10;cvxYjxgYeKqhOSNTFiYl4s/BQwf2JyUDqrCi7seRWUGJ+qiR7ZusKIJso1EsVzka9tpTX3uY5ghV&#10;UU/JdNz5KPXAg4Y7nEorI18vlcy1oroijfNPCPK9tmPUy3/d/gIAAP//AwBQSwMEFAAGAAgAAAAh&#10;ACFZt3LgAAAACgEAAA8AAABkcnMvZG93bnJldi54bWxMj8tug0AMRfeV+g8jR+qmSoYkPApliNpK&#10;rbpNmg8YwAEUxoOYSSB/X3fVLG0fXZ+b72bTiyuOrrOkYL0KQCBVtu6oUXD8+Vy+gHBeU617S6jg&#10;hg52xeNDrrPaTrTH68E3gkPIZVpB6/2QSemqFo12Kzsg8e1kR6M9j2Mj61FPHG56uQmCWBrdEX9o&#10;9YAfLVbnw8UoOH1Pz1E6lV/+mOzD+F13SWlvSj0t5rdXEB5n/w/Dnz6rQ8FOpb1Q7USvYJlumeT9&#10;ZrsGwUAcpQmIUkEYRjHIIpf3FYpfAAAA//8DAFBLAQItABQABgAIAAAAIQC2gziS/gAAAOEBAAAT&#10;AAAAAAAAAAAAAAAAAAAAAABbQ29udGVudF9UeXBlc10ueG1sUEsBAi0AFAAGAAgAAAAhADj9If/W&#10;AAAAlAEAAAsAAAAAAAAAAAAAAAAALwEAAF9yZWxzLy5yZWxzUEsBAi0AFAAGAAgAAAAhADRTGDEN&#10;AgAA9wMAAA4AAAAAAAAAAAAAAAAALgIAAGRycy9lMm9Eb2MueG1sUEsBAi0AFAAGAAgAAAAhACFZ&#10;t3LgAAAACgEAAA8AAAAAAAAAAAAAAAAAZwQAAGRycy9kb3ducmV2LnhtbFBLBQYAAAAABAAEAPMA&#10;AAB0BQAAAAA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1033"/>
                              <w:gridCol w:w="992"/>
                            </w:tblGrid>
                            <w:tr w:rsidR="001D5490" w:rsidRPr="00101AB3" w14:paraId="533FE7BA" w14:textId="77777777" w:rsidTr="001D5490">
                              <w:trPr>
                                <w:cantSplit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C2FFDE8" w14:textId="77777777" w:rsidR="00555C8F" w:rsidRDefault="001D5490" w:rsidP="001D5490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Table 1 </w:t>
                                  </w:r>
                                </w:p>
                                <w:p w14:paraId="6430D4A7" w14:textId="27964DB6" w:rsidR="001D5490" w:rsidRPr="005D39DD" w:rsidRDefault="001D5490" w:rsidP="001D5490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05AF358" w14:textId="046BA705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10B22B8" w14:textId="13BB93A1" w:rsidR="001D5490" w:rsidRPr="005D39DD" w:rsidRDefault="001D5490" w:rsidP="001D5490">
                                  <w:pPr>
                                    <w:keepNext/>
                                    <w:keepLines/>
                                    <w:spacing w:before="40" w:after="12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D5490" w:rsidRPr="00101AB3" w14:paraId="54AEFD11" w14:textId="77777777" w:rsidTr="001D5490">
                              <w:trPr>
                                <w:cantSplit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67E61F0A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2CEE1F2B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1D5490" w:rsidRPr="00101AB3" w14:paraId="4D48DC1E" w14:textId="77777777" w:rsidTr="001D5490">
                              <w:trPr>
                                <w:cantSplit/>
                              </w:trPr>
                              <w:tc>
                                <w:tcPr>
                                  <w:tcW w:w="2653" w:type="dxa"/>
                                </w:tcPr>
                                <w:p w14:paraId="582F5190" w14:textId="77777777" w:rsidR="001D5490" w:rsidRPr="0064121C" w:rsidRDefault="001D5490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64121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A58D9BB" w14:textId="006328D7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7A84E3" w14:textId="7F12344D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1D5490" w:rsidRPr="00101AB3" w14:paraId="406CC52C" w14:textId="77777777" w:rsidTr="001D5490">
                              <w:trPr>
                                <w:cantSplit/>
                              </w:trPr>
                              <w:tc>
                                <w:tcPr>
                                  <w:tcW w:w="265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1D5490" w:rsidRPr="008C6B79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77777777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3E00CBB3" w:rsidR="001D5490" w:rsidRPr="005D39DD" w:rsidRDefault="001D549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27D4F2F1" w14:textId="32099DE6" w:rsidR="00C91B5F" w:rsidRPr="00101AB3" w:rsidRDefault="00C91B5F" w:rsidP="001D54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 xml:space="preserve">The Commonwealth will provide an estimated total financial contribution to </w:t>
            </w:r>
            <w:r w:rsidR="001D5490">
              <w:rPr>
                <w:color w:val="auto"/>
              </w:rPr>
              <w:t xml:space="preserve">New South Wales </w:t>
            </w:r>
            <w:r w:rsidR="00C91B5F" w:rsidRPr="00F00A18">
              <w:rPr>
                <w:color w:val="auto"/>
              </w:rPr>
              <w:t>of $</w:t>
            </w:r>
            <w:r w:rsidR="001D5490">
              <w:rPr>
                <w:color w:val="auto"/>
              </w:rPr>
              <w:t>4.0 million</w:t>
            </w:r>
            <w:r w:rsidR="00C91B5F" w:rsidRPr="00F00A18">
              <w:rPr>
                <w:color w:val="auto"/>
              </w:rPr>
              <w:t xml:space="preserve"> in respect of this Schedule.</w:t>
            </w:r>
          </w:p>
        </w:tc>
      </w:tr>
    </w:tbl>
    <w:p w14:paraId="3CA07E3E" w14:textId="77777777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FD7C46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658"/>
        <w:gridCol w:w="1929"/>
        <w:gridCol w:w="1699"/>
      </w:tblGrid>
      <w:tr w:rsidR="00C91B5F" w:rsidRPr="00F00A18" w14:paraId="666D7A2C" w14:textId="77777777" w:rsidTr="005D3905">
        <w:tc>
          <w:tcPr>
            <w:tcW w:w="14550" w:type="dxa"/>
            <w:gridSpan w:val="4"/>
            <w:shd w:val="clear" w:color="auto" w:fill="DEEAF6" w:themeFill="accent1" w:themeFillTint="33"/>
          </w:tcPr>
          <w:p w14:paraId="560DB1DE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45D97D64" w14:textId="77777777" w:rsidTr="005D3905">
        <w:tc>
          <w:tcPr>
            <w:tcW w:w="3264" w:type="dxa"/>
            <w:shd w:val="clear" w:color="auto" w:fill="F2F2F2" w:themeFill="background1" w:themeFillShade="F2"/>
          </w:tcPr>
          <w:p w14:paraId="10F4D2BD" w14:textId="03D37F3B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="00B1201F">
              <w:rPr>
                <w:b/>
                <w:color w:val="auto"/>
              </w:rPr>
              <w:t>s</w:t>
            </w:r>
          </w:p>
        </w:tc>
        <w:tc>
          <w:tcPr>
            <w:tcW w:w="7658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C91B5F" w:rsidRPr="00F00A18" w14:paraId="6D142D4F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AC35BA" w14:textId="204F005B" w:rsidR="00C91B5F" w:rsidRPr="00F00A18" w:rsidRDefault="00BF711C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Implementation Plan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F697" w14:textId="2ABB7912" w:rsidR="00C91B5F" w:rsidRPr="00F00A18" w:rsidRDefault="00BF711C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Project Plan outlines project objective, activities, staffing, budget, and performance measures over the period 1 July 2023 to 30 June 2027.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5D8A7070" w:rsidR="00C91B5F" w:rsidRPr="00F00A18" w:rsidRDefault="00BF711C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15 </w:t>
            </w:r>
            <w:r w:rsidR="00C5435A">
              <w:rPr>
                <w:color w:val="auto"/>
              </w:rPr>
              <w:t xml:space="preserve">May </w:t>
            </w:r>
            <w:r w:rsidR="00A97341">
              <w:rPr>
                <w:color w:val="auto"/>
              </w:rPr>
              <w:t>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34592D72" w:rsidR="00C91B5F" w:rsidRPr="00F00A18" w:rsidRDefault="00C91B5F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A97341">
              <w:rPr>
                <w:color w:val="auto"/>
              </w:rPr>
              <w:t>4.00</w:t>
            </w:r>
            <w:r w:rsidRPr="00F00A18">
              <w:rPr>
                <w:color w:val="auto"/>
              </w:rPr>
              <w:t>m</w:t>
            </w:r>
          </w:p>
        </w:tc>
      </w:tr>
      <w:tr w:rsidR="009B5485" w:rsidRPr="00F00A18" w14:paraId="154AF829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B1A70A" w14:textId="6FB788EC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Workforce established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1F21C" w14:textId="487266BF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Recruitment commences</w:t>
            </w:r>
            <w:r w:rsidR="00BF711C">
              <w:rPr>
                <w:color w:val="auto"/>
              </w:rPr>
              <w:t xml:space="preserve"> for temporary workforce, including developmental </w:t>
            </w:r>
            <w:proofErr w:type="spellStart"/>
            <w:r w:rsidR="00BF711C">
              <w:rPr>
                <w:color w:val="auto"/>
              </w:rPr>
              <w:t>paediatrician</w:t>
            </w:r>
            <w:proofErr w:type="spellEnd"/>
            <w:r w:rsidR="00BF711C">
              <w:rPr>
                <w:color w:val="auto"/>
              </w:rPr>
              <w:t>, senior fellow, allied health workers, and clinical nurse specialist.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22751" w14:textId="2DDED5F5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 July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FB0DBE" w14:textId="4617BA2C" w:rsidR="009B5485" w:rsidRDefault="009B548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BF711C" w:rsidRPr="00F00A18" w14:paraId="4753F083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384F1" w14:textId="1BDAE315" w:rsidR="00BF711C" w:rsidRDefault="00BF711C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Premises refurbished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009AA" w14:textId="1265A184" w:rsidR="00BF711C" w:rsidRDefault="00836309" w:rsidP="005D3905">
            <w:pPr>
              <w:pStyle w:val="Milestonetable"/>
              <w:rPr>
                <w:color w:val="auto"/>
              </w:rPr>
            </w:pPr>
            <w:hyperlink r:id="rId17" w:history="1">
              <w:proofErr w:type="spellStart"/>
              <w:r w:rsidR="00E327C8" w:rsidRPr="00E327C8">
                <w:rPr>
                  <w:rStyle w:val="Hyperlink"/>
                </w:rPr>
                <w:t>Rosemeadow</w:t>
              </w:r>
              <w:proofErr w:type="spellEnd"/>
              <w:r w:rsidR="00E327C8" w:rsidRPr="00E327C8">
                <w:rPr>
                  <w:rStyle w:val="Hyperlink"/>
                </w:rPr>
                <w:t xml:space="preserve"> Community Health Centre</w:t>
              </w:r>
            </w:hyperlink>
            <w:r w:rsidR="00E327C8">
              <w:rPr>
                <w:color w:val="auto"/>
              </w:rPr>
              <w:t xml:space="preserve"> refurbished to accommodate additional staff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9F78D3" w14:textId="341C2AB3" w:rsidR="00BF711C" w:rsidRDefault="00E327C8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01 July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B2E17" w14:textId="36DC97AF" w:rsidR="00BF711C" w:rsidRDefault="00E327C8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9B5485" w:rsidRPr="00F00A18" w14:paraId="7A468CFB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4601F1" w14:textId="0F6818C2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Evaluation Framework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57043" w14:textId="43CE7555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Evaluation framework and resources established and endorsed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0A1E4" w14:textId="2D1E37D5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December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FF82B8" w14:textId="3031C98F" w:rsidR="009B5485" w:rsidRDefault="009B5485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9B5485" w:rsidRPr="00F00A18" w14:paraId="2FAE4B34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F81F59" w14:textId="796D8C44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25% increase in the proportion of patients receiving developmental assessment, on 2022 levels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76156" w14:textId="675A90D0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Staff established, clinical systems established, staff training and competencies assessments complete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BE0F70" w14:textId="56493F79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 June 2024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30471" w14:textId="77777777" w:rsidR="009B5485" w:rsidRDefault="009B5485" w:rsidP="005D3905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B1201F" w:rsidRPr="00F00A18" w14:paraId="0A3FA77A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E55E3B" w14:textId="46D56BDE" w:rsidR="00B1201F" w:rsidRDefault="00B1201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Performance Report</w:t>
            </w:r>
            <w:r w:rsidR="00540B5F">
              <w:rPr>
                <w:color w:val="auto"/>
              </w:rPr>
              <w:t xml:space="preserve"> 1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5CEBBA" w14:textId="17F56C8D" w:rsidR="00B1201F" w:rsidRDefault="00B1201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Report </w:t>
            </w:r>
            <w:r w:rsidR="00540B5F">
              <w:rPr>
                <w:color w:val="auto"/>
              </w:rPr>
              <w:t xml:space="preserve">on </w:t>
            </w:r>
            <w:r w:rsidR="00D2501B">
              <w:rPr>
                <w:color w:val="auto"/>
              </w:rPr>
              <w:t xml:space="preserve">the </w:t>
            </w:r>
            <w:r w:rsidR="00BF711C">
              <w:rPr>
                <w:color w:val="auto"/>
              </w:rPr>
              <w:t>activities</w:t>
            </w:r>
            <w:r w:rsidR="00D2501B">
              <w:rPr>
                <w:color w:val="auto"/>
              </w:rPr>
              <w:t xml:space="preserve"> undertaken, expenditure to date and outcomes achieved during</w:t>
            </w:r>
            <w:r w:rsidR="00540B5F">
              <w:rPr>
                <w:color w:val="auto"/>
              </w:rPr>
              <w:t xml:space="preserve"> the period 1 July 2023 to 30 June 2024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CC26CB" w14:textId="2675BB15" w:rsidR="00B1201F" w:rsidRDefault="00540B5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9B5485">
              <w:rPr>
                <w:color w:val="auto"/>
              </w:rPr>
              <w:t xml:space="preserve"> August </w:t>
            </w:r>
            <w:r>
              <w:rPr>
                <w:color w:val="auto"/>
              </w:rPr>
              <w:t>2024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F92CFC" w14:textId="7232605F" w:rsidR="00B1201F" w:rsidRDefault="00540B5F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B1201F" w:rsidRPr="00F00A18" w14:paraId="24E5A370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08A466" w14:textId="5606F487" w:rsidR="00B1201F" w:rsidRDefault="00540B5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Performance Report 2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7B5EC" w14:textId="5582E620" w:rsidR="00B1201F" w:rsidRDefault="00540B5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Report </w:t>
            </w:r>
            <w:r w:rsidR="00710AB3">
              <w:rPr>
                <w:color w:val="auto"/>
              </w:rPr>
              <w:t>on</w:t>
            </w:r>
            <w:r>
              <w:rPr>
                <w:color w:val="auto"/>
              </w:rPr>
              <w:t xml:space="preserve"> </w:t>
            </w:r>
            <w:r w:rsidR="00D2501B">
              <w:rPr>
                <w:color w:val="auto"/>
              </w:rPr>
              <w:t xml:space="preserve">the </w:t>
            </w:r>
            <w:r w:rsidR="00BF711C">
              <w:rPr>
                <w:color w:val="auto"/>
              </w:rPr>
              <w:t>activities</w:t>
            </w:r>
            <w:r w:rsidR="00D2501B">
              <w:rPr>
                <w:color w:val="auto"/>
              </w:rPr>
              <w:t xml:space="preserve"> undertaken, expenditure to date and outcomes achieved during </w:t>
            </w:r>
            <w:r>
              <w:rPr>
                <w:color w:val="auto"/>
              </w:rPr>
              <w:t>the period 1 July 2024 to 30 June 2025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E28C" w14:textId="0D96D226" w:rsidR="00B1201F" w:rsidRDefault="00540B5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555C8F">
              <w:rPr>
                <w:color w:val="auto"/>
              </w:rPr>
              <w:t xml:space="preserve"> August </w:t>
            </w:r>
            <w:r>
              <w:rPr>
                <w:color w:val="auto"/>
              </w:rPr>
              <w:t>2025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1D719" w14:textId="37B8D62F" w:rsidR="00B1201F" w:rsidRDefault="00540B5F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B1201F" w:rsidRPr="00F00A18" w14:paraId="3BC8D8B2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AB4A47" w14:textId="25980397" w:rsidR="00B1201F" w:rsidRDefault="00540B5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Performance Report 3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D4D80" w14:textId="2519FCEB" w:rsidR="00B1201F" w:rsidRDefault="00710AB3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Report on </w:t>
            </w:r>
            <w:r w:rsidR="00D2501B">
              <w:rPr>
                <w:color w:val="auto"/>
              </w:rPr>
              <w:t xml:space="preserve">the processes undertaken, expenditure to date and outcomes achieved during </w:t>
            </w:r>
            <w:r>
              <w:rPr>
                <w:color w:val="auto"/>
              </w:rPr>
              <w:t>the period 1 July 2025 to 30 June 2026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A2FAD2" w14:textId="6E08B426" w:rsidR="00B1201F" w:rsidRDefault="00710AB3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555C8F">
              <w:rPr>
                <w:color w:val="auto"/>
              </w:rPr>
              <w:t xml:space="preserve"> August </w:t>
            </w:r>
            <w:r>
              <w:rPr>
                <w:color w:val="auto"/>
              </w:rPr>
              <w:t>2026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D2387" w14:textId="3FAFA9C4" w:rsidR="00B1201F" w:rsidRDefault="00710AB3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E327C8" w:rsidRPr="00F00A18" w14:paraId="7EBA13D2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76AAF1" w14:textId="6F49293B" w:rsidR="00E327C8" w:rsidRDefault="00E327C8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Service Evaluation Report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88ACBB" w14:textId="4DA40947" w:rsidR="00E327C8" w:rsidRDefault="00E327C8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Report completed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5738DA" w14:textId="3C56B483" w:rsidR="00E327C8" w:rsidRDefault="00E327C8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December 2026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2D08DE" w14:textId="6A41FE46" w:rsidR="00E327C8" w:rsidRDefault="00E327C8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9B5485" w:rsidRPr="00F00A18" w14:paraId="660ECF4A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47D92" w14:textId="02B4646B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100% increase in the proportion of patients receiving developmental assessment, on 202</w:t>
            </w:r>
            <w:r w:rsidR="00645138">
              <w:rPr>
                <w:color w:val="auto"/>
              </w:rPr>
              <w:t>2</w:t>
            </w:r>
            <w:r>
              <w:rPr>
                <w:color w:val="auto"/>
              </w:rPr>
              <w:t xml:space="preserve"> levels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F22108" w14:textId="3EC0AEF0" w:rsidR="009B5485" w:rsidRDefault="009B5485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Staff established, clinical systems established, staff training and competencies assessments complete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EA0553" w14:textId="7DC2E039" w:rsidR="009B5485" w:rsidRDefault="00555C8F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 June 2027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B1DB0" w14:textId="77777777" w:rsidR="009B5485" w:rsidRDefault="009B5485" w:rsidP="005D3905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B1201F" w:rsidRPr="00F00A18" w14:paraId="3BDD7F08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69B47C" w14:textId="13FAF541" w:rsidR="00B1201F" w:rsidRDefault="00710AB3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Performance Report 4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DDD9B" w14:textId="6D316F96" w:rsidR="00B1201F" w:rsidRDefault="00710AB3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Report on </w:t>
            </w:r>
            <w:r w:rsidR="00D2501B">
              <w:rPr>
                <w:color w:val="auto"/>
              </w:rPr>
              <w:t xml:space="preserve">the processes undertaken, expenditure to date and outcomes achieved during </w:t>
            </w:r>
            <w:r>
              <w:rPr>
                <w:color w:val="auto"/>
              </w:rPr>
              <w:t>the period 1 July 2026 to 30 June 2027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B2DA4" w14:textId="5EF4066C" w:rsidR="00B1201F" w:rsidRDefault="00710AB3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555C8F">
              <w:rPr>
                <w:color w:val="auto"/>
              </w:rPr>
              <w:t xml:space="preserve"> August </w:t>
            </w:r>
            <w:r>
              <w:rPr>
                <w:color w:val="auto"/>
              </w:rPr>
              <w:t>2027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C2DE78" w14:textId="5A277B43" w:rsidR="00B1201F" w:rsidRDefault="00710AB3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C91B5F" w:rsidRPr="00F00A18" w14:paraId="02A510C6" w14:textId="77777777" w:rsidTr="005D3905">
        <w:tc>
          <w:tcPr>
            <w:tcW w:w="3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B159A" w14:textId="1348276D" w:rsidR="00C91B5F" w:rsidRPr="00F00A18" w:rsidRDefault="00A97341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Final Report</w:t>
            </w:r>
          </w:p>
        </w:tc>
        <w:tc>
          <w:tcPr>
            <w:tcW w:w="76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88FFC" w14:textId="1C92CA1A" w:rsidR="00C91B5F" w:rsidRPr="00F00A18" w:rsidRDefault="00A97341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Report on the outcomes achieved</w:t>
            </w:r>
            <w:r w:rsidR="00710AB3">
              <w:rPr>
                <w:color w:val="auto"/>
              </w:rPr>
              <w:t xml:space="preserve"> in the period 1 July 2023 to 30 June 2027.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52A7375F" w:rsidR="00C91B5F" w:rsidRPr="00F00A18" w:rsidRDefault="00A97341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2501B">
              <w:rPr>
                <w:color w:val="auto"/>
              </w:rPr>
              <w:t>1</w:t>
            </w:r>
            <w:r w:rsidR="00555C8F">
              <w:rPr>
                <w:color w:val="auto"/>
              </w:rPr>
              <w:t xml:space="preserve"> August </w:t>
            </w:r>
            <w:r w:rsidR="00D2501B">
              <w:rPr>
                <w:color w:val="auto"/>
              </w:rPr>
              <w:t>2027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4ABF0" w14:textId="38ACF27E" w:rsidR="00C91B5F" w:rsidRPr="00F00A18" w:rsidRDefault="00A97341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3CA5FCAF" w14:textId="77777777" w:rsidR="00C91B5F" w:rsidRDefault="00C91B5F" w:rsidP="00C91B5F"/>
    <w:p w14:paraId="4308380E" w14:textId="77777777" w:rsidR="00555C8F" w:rsidRDefault="00555C8F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245F9C3" w14:textId="16C94928" w:rsidR="00C91B5F" w:rsidRDefault="00C91B5F" w:rsidP="00C91B5F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18BB34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005D3905">
        <w:trPr>
          <w:cantSplit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47726BA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64FB4721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A97341">
              <w:rPr>
                <w:rStyle w:val="Bold"/>
              </w:rPr>
              <w:t>Mark Butler</w:t>
            </w:r>
            <w:r>
              <w:rPr>
                <w:rStyle w:val="Bold"/>
              </w:rPr>
              <w:t xml:space="preserve"> MP</w:t>
            </w:r>
          </w:p>
          <w:p w14:paraId="3A42D2ED" w14:textId="7B5F1E08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A97341">
              <w:rPr>
                <w:lang w:val="en-GB"/>
              </w:rPr>
              <w:t>Health and Aged Care</w:t>
            </w:r>
          </w:p>
          <w:p w14:paraId="30A29548" w14:textId="6369DB5B" w:rsidR="00C91B5F" w:rsidRDefault="00C91B5F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[Day] </w:t>
            </w:r>
            <w:r w:rsidR="00B04542">
              <w:rPr>
                <w:lang w:val="en-GB"/>
              </w:rPr>
              <w:t>May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2E24F9BD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r w:rsidR="00A97341">
              <w:t>New South Wales</w:t>
            </w:r>
            <w:r w:rsidRPr="004A0AE7">
              <w:t xml:space="preserve"> by</w:t>
            </w:r>
          </w:p>
          <w:p w14:paraId="522400CC" w14:textId="77777777" w:rsidR="00C91B5F" w:rsidRPr="00A50751" w:rsidRDefault="00C91B5F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6358EA02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710AB3">
              <w:rPr>
                <w:rStyle w:val="Bold"/>
              </w:rPr>
              <w:t>_______________</w:t>
            </w:r>
            <w:r>
              <w:rPr>
                <w:rStyle w:val="Bold"/>
              </w:rPr>
              <w:t>MP</w:t>
            </w:r>
          </w:p>
          <w:p w14:paraId="00EE9A7E" w14:textId="62D41B86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A97341">
              <w:rPr>
                <w:lang w:val="en-GB"/>
              </w:rPr>
              <w:t>Health and Medical Research</w:t>
            </w:r>
            <w:r>
              <w:rPr>
                <w:lang w:val="en-GB"/>
              </w:rPr>
              <w:t xml:space="preserve"> </w:t>
            </w:r>
          </w:p>
          <w:p w14:paraId="5CA98839" w14:textId="6F112FA3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r w:rsidRPr="00B04542">
              <w:rPr>
                <w:rFonts w:ascii="Corbel" w:hAnsi="Corbel"/>
                <w:lang w:val="en-GB"/>
              </w:rPr>
              <w:t xml:space="preserve">Day] </w:t>
            </w:r>
            <w:r w:rsidR="00B04542" w:rsidRPr="00B04542">
              <w:rPr>
                <w:rFonts w:ascii="Corbel" w:hAnsi="Corbel"/>
                <w:lang w:val="en-GB"/>
              </w:rPr>
              <w:t>May 2023</w:t>
            </w:r>
          </w:p>
        </w:tc>
      </w:tr>
    </w:tbl>
    <w:p w14:paraId="084B2D80" w14:textId="77777777" w:rsidR="00A97341" w:rsidRDefault="00A97341" w:rsidP="00884E8F">
      <w:pPr>
        <w:rPr>
          <w:lang w:val="en-GB"/>
        </w:rPr>
        <w:sectPr w:rsidR="00A97341" w:rsidSect="007E44E6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673500F4" w14:textId="2B2F2721" w:rsidR="00C91B5F" w:rsidRDefault="00C91B5F" w:rsidP="00A97341"/>
    <w:sectPr w:rsidR="00C91B5F" w:rsidSect="00A9734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CE36" w14:textId="77777777" w:rsidR="00127C1C" w:rsidRDefault="00127C1C">
      <w:r>
        <w:separator/>
      </w:r>
    </w:p>
  </w:endnote>
  <w:endnote w:type="continuationSeparator" w:id="0">
    <w:p w14:paraId="34024B0E" w14:textId="77777777" w:rsidR="00127C1C" w:rsidRDefault="0012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31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01" w14:textId="77777777" w:rsidR="00815B50" w:rsidRDefault="00836309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7E4" w14:textId="77777777" w:rsidR="00815B50" w:rsidRPr="00CA24B0" w:rsidRDefault="00836309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DCF2" w14:textId="77777777" w:rsidR="00127C1C" w:rsidRDefault="00127C1C">
      <w:r>
        <w:separator/>
      </w:r>
    </w:p>
  </w:footnote>
  <w:footnote w:type="continuationSeparator" w:id="0">
    <w:p w14:paraId="435C6F88" w14:textId="77777777" w:rsidR="00127C1C" w:rsidRDefault="0012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E06" w14:textId="77777777" w:rsidR="00815B50" w:rsidRDefault="00836309" w:rsidP="007E44E6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815B50" w:rsidRDefault="00836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231A7"/>
    <w:rsid w:val="000F7E14"/>
    <w:rsid w:val="00101F13"/>
    <w:rsid w:val="00111634"/>
    <w:rsid w:val="00127C1C"/>
    <w:rsid w:val="001358EB"/>
    <w:rsid w:val="00152DDA"/>
    <w:rsid w:val="00164A1E"/>
    <w:rsid w:val="001D5490"/>
    <w:rsid w:val="00270142"/>
    <w:rsid w:val="002D0CE4"/>
    <w:rsid w:val="00316DFD"/>
    <w:rsid w:val="00317024"/>
    <w:rsid w:val="00317FB3"/>
    <w:rsid w:val="003C0211"/>
    <w:rsid w:val="003F0AC2"/>
    <w:rsid w:val="00401A6E"/>
    <w:rsid w:val="00481B0C"/>
    <w:rsid w:val="0049147F"/>
    <w:rsid w:val="004E41E6"/>
    <w:rsid w:val="00540B5F"/>
    <w:rsid w:val="00555C8F"/>
    <w:rsid w:val="0064121C"/>
    <w:rsid w:val="00645138"/>
    <w:rsid w:val="006A0572"/>
    <w:rsid w:val="006B6E73"/>
    <w:rsid w:val="00710AB3"/>
    <w:rsid w:val="007A6552"/>
    <w:rsid w:val="00836309"/>
    <w:rsid w:val="00884E8F"/>
    <w:rsid w:val="008E62E2"/>
    <w:rsid w:val="009424C5"/>
    <w:rsid w:val="009B5485"/>
    <w:rsid w:val="009C3443"/>
    <w:rsid w:val="009D5BA6"/>
    <w:rsid w:val="009E03EC"/>
    <w:rsid w:val="00A020B2"/>
    <w:rsid w:val="00A65C44"/>
    <w:rsid w:val="00A7101C"/>
    <w:rsid w:val="00A97341"/>
    <w:rsid w:val="00AD062A"/>
    <w:rsid w:val="00B04542"/>
    <w:rsid w:val="00B1201F"/>
    <w:rsid w:val="00B36C6A"/>
    <w:rsid w:val="00B63981"/>
    <w:rsid w:val="00B910DF"/>
    <w:rsid w:val="00BB0778"/>
    <w:rsid w:val="00BC0505"/>
    <w:rsid w:val="00BC29D7"/>
    <w:rsid w:val="00BD6E01"/>
    <w:rsid w:val="00BF711C"/>
    <w:rsid w:val="00C14442"/>
    <w:rsid w:val="00C33EF3"/>
    <w:rsid w:val="00C3724A"/>
    <w:rsid w:val="00C5435A"/>
    <w:rsid w:val="00C704D2"/>
    <w:rsid w:val="00C91B5F"/>
    <w:rsid w:val="00CA54E0"/>
    <w:rsid w:val="00CC6DB9"/>
    <w:rsid w:val="00CF0B25"/>
    <w:rsid w:val="00D2501B"/>
    <w:rsid w:val="00D50BE7"/>
    <w:rsid w:val="00D54783"/>
    <w:rsid w:val="00D72A49"/>
    <w:rsid w:val="00DC32A2"/>
    <w:rsid w:val="00DE0037"/>
    <w:rsid w:val="00DE30F0"/>
    <w:rsid w:val="00E327C8"/>
    <w:rsid w:val="00FA3B8E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0156E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01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1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1163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32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wslhd.health.nsw.gov.au/communityhealth/centres_rosemeadow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_dlc_DocId xmlns="0f563589-9cf9-4143-b1eb-fb0534803d38">2020FG-64-81302</_dlc_DocId>
    <_dlc_DocIdUrl xmlns="0f563589-9cf9-4143-b1eb-fb0534803d38">
      <Url>http://tweb/sites/fg/csrd/_layouts/15/DocIdRedir.aspx?ID=2020FG-64-81302</Url>
      <Description>2020FG-64-81302</Description>
    </_dlc_DocIdUrl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5ACE-AD7D-4F61-BF0B-28C2AA570E4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847E25A-4A0F-4064-9AA3-BC512B33075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05FE5E9-A257-472B-9D38-89B69562A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571649-D103-48E0-9B5F-BAA18E6DBC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527</Words>
  <Characters>3066</Characters>
  <Application>Microsoft Office Word</Application>
  <DocSecurity>0</DocSecurity>
  <Lines>122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Department of Health and Aged Care</cp:lastModifiedBy>
  <cp:revision>3</cp:revision>
  <dcterms:created xsi:type="dcterms:W3CDTF">2023-03-27T23:00:00Z</dcterms:created>
  <dcterms:modified xsi:type="dcterms:W3CDTF">2023-03-27T23:02:00Z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fd086c81-9e2b-4c5d-95bd-fe11840b4a41</vt:lpwstr>
  </property>
</Properties>
</file>