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33F8" w14:textId="77777777" w:rsidR="00D32DFF" w:rsidRPr="00F1227F" w:rsidRDefault="00D32DFF" w:rsidP="00D32DF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>Schedule</w:t>
      </w:r>
    </w:p>
    <w:p w14:paraId="61B0A888" w14:textId="77777777" w:rsidR="00D32DFF" w:rsidRPr="001E20F4" w:rsidRDefault="00D32DFF" w:rsidP="00D32DFF">
      <w:pPr>
        <w:pStyle w:val="Title"/>
      </w:pPr>
      <w:r>
        <w:t>Construction of the Launceston Hospice</w:t>
      </w:r>
    </w:p>
    <w:p w14:paraId="513E486A" w14:textId="77777777" w:rsidR="00D32DFF" w:rsidRPr="00BE249A" w:rsidRDefault="00D32DFF" w:rsidP="00D32DFF">
      <w:pPr>
        <w:pStyle w:val="Subtitle"/>
      </w:pPr>
      <w:r>
        <w:t>FEDERATION FUNDING AGREEMENT – HEALTH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D32DFF" w:rsidRPr="00F00A18" w14:paraId="375866CC" w14:textId="77777777" w:rsidTr="001B229B">
        <w:tc>
          <w:tcPr>
            <w:tcW w:w="9629" w:type="dxa"/>
            <w:gridSpan w:val="2"/>
            <w:shd w:val="clear" w:color="auto" w:fill="D9E2F3" w:themeFill="accent1" w:themeFillTint="33"/>
          </w:tcPr>
          <w:p w14:paraId="5D6CF0A2" w14:textId="77777777" w:rsidR="00D32DFF" w:rsidRPr="00F00A18" w:rsidRDefault="00D32DFF" w:rsidP="001B229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D32DFF" w:rsidRPr="00F00A18" w14:paraId="01DD940F" w14:textId="77777777" w:rsidTr="001B229B">
        <w:tc>
          <w:tcPr>
            <w:tcW w:w="1691" w:type="dxa"/>
            <w:shd w:val="clear" w:color="auto" w:fill="auto"/>
          </w:tcPr>
          <w:p w14:paraId="556C61D2" w14:textId="77777777" w:rsidR="00D32DFF" w:rsidRPr="00F00A18" w:rsidRDefault="00D32DFF" w:rsidP="001B229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39F19A98" w14:textId="77777777" w:rsidR="00D32DFF" w:rsidRPr="00F00A18" w:rsidRDefault="00D32DFF" w:rsidP="001B229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04C482E1" w14:textId="77777777" w:rsidR="00D32DFF" w:rsidRPr="00F00A18" w:rsidRDefault="00D32DFF" w:rsidP="001B229B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Tasmania</w:t>
            </w:r>
            <w:r w:rsidRPr="00F00A18">
              <w:rPr>
                <w:color w:val="auto"/>
              </w:rPr>
              <w:t xml:space="preserve"> </w:t>
            </w:r>
          </w:p>
        </w:tc>
      </w:tr>
      <w:tr w:rsidR="00D32DFF" w:rsidRPr="00F00A18" w14:paraId="55A5C63E" w14:textId="77777777" w:rsidTr="001B229B">
        <w:tc>
          <w:tcPr>
            <w:tcW w:w="1691" w:type="dxa"/>
            <w:shd w:val="clear" w:color="auto" w:fill="auto"/>
          </w:tcPr>
          <w:p w14:paraId="2C85BE45" w14:textId="77777777" w:rsidR="00D32DFF" w:rsidRPr="00F00A18" w:rsidRDefault="00D32DFF" w:rsidP="001B229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21E1271A" w14:textId="77777777" w:rsidR="00D32DFF" w:rsidRPr="00F00A18" w:rsidRDefault="00D32DFF" w:rsidP="001B229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expire on </w:t>
            </w:r>
            <w:r>
              <w:rPr>
                <w:color w:val="auto"/>
              </w:rPr>
              <w:t>30 June 2026</w:t>
            </w:r>
            <w:r w:rsidRPr="00F00A18">
              <w:rPr>
                <w:color w:val="auto"/>
              </w:rPr>
              <w:t>.</w:t>
            </w:r>
          </w:p>
        </w:tc>
      </w:tr>
      <w:tr w:rsidR="00D32DFF" w:rsidRPr="00F00A18" w14:paraId="753C257E" w14:textId="77777777" w:rsidTr="001B229B">
        <w:tc>
          <w:tcPr>
            <w:tcW w:w="1691" w:type="dxa"/>
            <w:shd w:val="clear" w:color="auto" w:fill="auto"/>
          </w:tcPr>
          <w:p w14:paraId="53B32265" w14:textId="77777777" w:rsidR="00D32DFF" w:rsidRPr="00F00A18" w:rsidRDefault="00D32DFF" w:rsidP="001B229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1A3B6FC9" w14:textId="4A43CE27" w:rsidR="00D32DFF" w:rsidRPr="00F00A18" w:rsidRDefault="00D32DFF" w:rsidP="001B229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will </w:t>
            </w:r>
            <w:r>
              <w:rPr>
                <w:color w:val="auto"/>
              </w:rPr>
              <w:t>provide funding to enable construction of the Launceston Hospice – a dedicated hospice</w:t>
            </w:r>
            <w:r w:rsidR="00913BF2">
              <w:rPr>
                <w:color w:val="auto"/>
              </w:rPr>
              <w:t xml:space="preserve"> and hospice respite</w:t>
            </w:r>
            <w:r>
              <w:rPr>
                <w:color w:val="auto"/>
              </w:rPr>
              <w:t xml:space="preserve"> care facility located in the Launceston General Hospital precinct for people with life-limiting conditions and their families and carers.</w:t>
            </w:r>
          </w:p>
        </w:tc>
      </w:tr>
      <w:tr w:rsidR="00D32DFF" w:rsidRPr="00F00A18" w14:paraId="08C6C55B" w14:textId="77777777" w:rsidTr="001B229B">
        <w:trPr>
          <w:trHeight w:val="5538"/>
        </w:trPr>
        <w:tc>
          <w:tcPr>
            <w:tcW w:w="1691" w:type="dxa"/>
            <w:shd w:val="clear" w:color="auto" w:fill="auto"/>
          </w:tcPr>
          <w:p w14:paraId="1F774AD0" w14:textId="77777777" w:rsidR="00D32DFF" w:rsidRPr="00F00A18" w:rsidRDefault="00D32DFF" w:rsidP="001B229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3E7DC0BD" w14:textId="26487CC5" w:rsidR="00D32DFF" w:rsidRDefault="00D32DFF" w:rsidP="001B229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The Commonwealth will provide an estimated total financial contribution to </w:t>
            </w:r>
            <w:r w:rsidR="00DE491E">
              <w:rPr>
                <w:color w:val="auto"/>
              </w:rPr>
              <w:t>Tasmania</w:t>
            </w:r>
            <w:r w:rsidRPr="00F00A18">
              <w:rPr>
                <w:color w:val="auto"/>
              </w:rPr>
              <w:t xml:space="preserve"> of $</w:t>
            </w:r>
            <w:r>
              <w:rPr>
                <w:color w:val="auto"/>
              </w:rPr>
              <w:t>20.0</w:t>
            </w:r>
            <w:r w:rsidRPr="00F00A18">
              <w:rPr>
                <w:color w:val="auto"/>
              </w:rPr>
              <w:t>m in respect of this Schedule.</w:t>
            </w:r>
          </w:p>
          <w:p w14:paraId="7957EED2" w14:textId="77777777" w:rsidR="00D32DFF" w:rsidRDefault="00D32DFF" w:rsidP="001B229B">
            <w:pPr>
              <w:pStyle w:val="Tableformat"/>
              <w:rPr>
                <w:color w:val="auto"/>
              </w:rPr>
            </w:pPr>
          </w:p>
          <w:tbl>
            <w:tblPr>
              <w:tblW w:w="0" w:type="auto"/>
              <w:tblInd w:w="478" w:type="dxa"/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942"/>
              <w:gridCol w:w="943"/>
              <w:gridCol w:w="942"/>
              <w:gridCol w:w="943"/>
              <w:gridCol w:w="943"/>
            </w:tblGrid>
            <w:tr w:rsidR="00D32DFF" w:rsidRPr="00101AB3" w14:paraId="14B714D0" w14:textId="77777777" w:rsidTr="001B229B">
              <w:trPr>
                <w:cantSplit/>
              </w:trPr>
              <w:tc>
                <w:tcPr>
                  <w:tcW w:w="2127" w:type="dxa"/>
                  <w:tcBorders>
                    <w:top w:val="single" w:sz="4" w:space="0" w:color="000080"/>
                    <w:bottom w:val="single" w:sz="4" w:space="0" w:color="000080"/>
                  </w:tcBorders>
                  <w:vAlign w:val="center"/>
                </w:tcPr>
                <w:p w14:paraId="3D71D82A" w14:textId="77777777" w:rsidR="00D32DFF" w:rsidRDefault="00D32DFF" w:rsidP="001B229B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Table 1</w:t>
                  </w:r>
                </w:p>
                <w:p w14:paraId="537E900F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($ million)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80"/>
                    <w:bottom w:val="single" w:sz="4" w:space="0" w:color="000080"/>
                  </w:tcBorders>
                  <w:vAlign w:val="center"/>
                </w:tcPr>
                <w:p w14:paraId="39697042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2022-23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80"/>
                    <w:bottom w:val="single" w:sz="4" w:space="0" w:color="000080"/>
                  </w:tcBorders>
                  <w:vAlign w:val="center"/>
                </w:tcPr>
                <w:p w14:paraId="1D046188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2023-24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80"/>
                    <w:bottom w:val="single" w:sz="4" w:space="0" w:color="000080"/>
                  </w:tcBorders>
                  <w:vAlign w:val="center"/>
                </w:tcPr>
                <w:p w14:paraId="4C1E51CF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2024-25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80"/>
                    <w:bottom w:val="single" w:sz="4" w:space="0" w:color="000080"/>
                  </w:tcBorders>
                  <w:vAlign w:val="center"/>
                </w:tcPr>
                <w:p w14:paraId="42353CE7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2025-26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80"/>
                    <w:bottom w:val="single" w:sz="4" w:space="0" w:color="000080"/>
                  </w:tcBorders>
                  <w:vAlign w:val="center"/>
                </w:tcPr>
                <w:p w14:paraId="0F6E476F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Total</w:t>
                  </w:r>
                </w:p>
              </w:tc>
            </w:tr>
            <w:tr w:rsidR="00D32DFF" w:rsidRPr="00101AB3" w14:paraId="61C90D86" w14:textId="77777777" w:rsidTr="001B229B">
              <w:trPr>
                <w:cantSplit/>
              </w:trPr>
              <w:tc>
                <w:tcPr>
                  <w:tcW w:w="2127" w:type="dxa"/>
                  <w:tcBorders>
                    <w:top w:val="single" w:sz="4" w:space="0" w:color="000080"/>
                  </w:tcBorders>
                </w:tcPr>
                <w:p w14:paraId="4EA63ED6" w14:textId="77777777" w:rsidR="00D32DFF" w:rsidRPr="005D39DD" w:rsidRDefault="00D32DFF" w:rsidP="001B229B">
                  <w:pPr>
                    <w:keepNext/>
                    <w:keepLines/>
                    <w:spacing w:before="60" w:after="6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Estimated total budget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80"/>
                  </w:tcBorders>
                </w:tcPr>
                <w:p w14:paraId="5AC57853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5</w:t>
                  </w:r>
                  <w:r w:rsidRPr="005D39DD">
                    <w:rPr>
                      <w:b/>
                      <w:sz w:val="21"/>
                      <w:szCs w:val="21"/>
                    </w:rPr>
                    <w:t>.0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80"/>
                  </w:tcBorders>
                </w:tcPr>
                <w:p w14:paraId="64A5E729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5</w:t>
                  </w:r>
                  <w:r w:rsidRPr="005D39DD">
                    <w:rPr>
                      <w:b/>
                      <w:sz w:val="21"/>
                      <w:szCs w:val="21"/>
                    </w:rPr>
                    <w:t>.0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80"/>
                  </w:tcBorders>
                </w:tcPr>
                <w:p w14:paraId="4BA1F605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5</w:t>
                  </w:r>
                  <w:r w:rsidRPr="005D39DD">
                    <w:rPr>
                      <w:b/>
                      <w:sz w:val="21"/>
                      <w:szCs w:val="21"/>
                    </w:rPr>
                    <w:t>.0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80"/>
                  </w:tcBorders>
                </w:tcPr>
                <w:p w14:paraId="1F680DC3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5</w:t>
                  </w:r>
                  <w:r w:rsidRPr="005D39DD">
                    <w:rPr>
                      <w:b/>
                      <w:sz w:val="21"/>
                      <w:szCs w:val="21"/>
                    </w:rPr>
                    <w:t>.0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80"/>
                  </w:tcBorders>
                </w:tcPr>
                <w:p w14:paraId="75E4B38D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</w:t>
                  </w:r>
                  <w:r w:rsidRPr="005D39DD">
                    <w:rPr>
                      <w:b/>
                      <w:sz w:val="21"/>
                      <w:szCs w:val="21"/>
                    </w:rPr>
                    <w:t>.0</w:t>
                  </w:r>
                </w:p>
              </w:tc>
            </w:tr>
            <w:tr w:rsidR="00D32DFF" w:rsidRPr="00101AB3" w14:paraId="68B050B0" w14:textId="77777777" w:rsidTr="001B229B">
              <w:trPr>
                <w:cantSplit/>
              </w:trPr>
              <w:tc>
                <w:tcPr>
                  <w:tcW w:w="2127" w:type="dxa"/>
                </w:tcPr>
                <w:p w14:paraId="7918BDB2" w14:textId="77777777" w:rsidR="00D32DFF" w:rsidRPr="0064121C" w:rsidRDefault="00D32DFF" w:rsidP="001B229B">
                  <w:pPr>
                    <w:keepNext/>
                    <w:keepLines/>
                    <w:spacing w:before="60" w:after="60"/>
                    <w:ind w:left="-111"/>
                    <w:rPr>
                      <w:i/>
                      <w:iCs/>
                      <w:sz w:val="21"/>
                      <w:szCs w:val="21"/>
                    </w:rPr>
                  </w:pPr>
                  <w:r w:rsidRPr="0064121C">
                    <w:rPr>
                      <w:i/>
                      <w:iCs/>
                      <w:sz w:val="21"/>
                      <w:szCs w:val="21"/>
                    </w:rPr>
                    <w:t xml:space="preserve">Less estimated National Partnership Payments </w:t>
                  </w:r>
                </w:p>
              </w:tc>
              <w:tc>
                <w:tcPr>
                  <w:tcW w:w="942" w:type="dxa"/>
                </w:tcPr>
                <w:p w14:paraId="453244B5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5.0</w:t>
                  </w:r>
                </w:p>
              </w:tc>
              <w:tc>
                <w:tcPr>
                  <w:tcW w:w="943" w:type="dxa"/>
                </w:tcPr>
                <w:p w14:paraId="3482B516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5.0</w:t>
                  </w:r>
                </w:p>
              </w:tc>
              <w:tc>
                <w:tcPr>
                  <w:tcW w:w="942" w:type="dxa"/>
                </w:tcPr>
                <w:p w14:paraId="1569E4F6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5.0</w:t>
                  </w:r>
                </w:p>
              </w:tc>
              <w:tc>
                <w:tcPr>
                  <w:tcW w:w="943" w:type="dxa"/>
                </w:tcPr>
                <w:p w14:paraId="1A816E49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5.0</w:t>
                  </w:r>
                </w:p>
              </w:tc>
              <w:tc>
                <w:tcPr>
                  <w:tcW w:w="943" w:type="dxa"/>
                </w:tcPr>
                <w:p w14:paraId="7270B3D8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20.0</w:t>
                  </w:r>
                </w:p>
              </w:tc>
            </w:tr>
            <w:tr w:rsidR="00D32DFF" w:rsidRPr="00101AB3" w14:paraId="23B84497" w14:textId="77777777" w:rsidTr="001B229B">
              <w:trPr>
                <w:cantSplit/>
              </w:trPr>
              <w:tc>
                <w:tcPr>
                  <w:tcW w:w="2127" w:type="dxa"/>
                  <w:tcBorders>
                    <w:bottom w:val="single" w:sz="4" w:space="0" w:color="000080"/>
                  </w:tcBorders>
                </w:tcPr>
                <w:p w14:paraId="4F146D71" w14:textId="77777777" w:rsidR="00D32DFF" w:rsidRPr="008C6B79" w:rsidRDefault="00D32DFF" w:rsidP="001B229B">
                  <w:pPr>
                    <w:keepNext/>
                    <w:keepLines/>
                    <w:spacing w:before="40" w:after="40"/>
                    <w:ind w:left="-111"/>
                    <w:rPr>
                      <w:sz w:val="21"/>
                      <w:szCs w:val="21"/>
                    </w:rPr>
                  </w:pPr>
                  <w:r w:rsidRPr="008C6B79">
                    <w:rPr>
                      <w:sz w:val="21"/>
                      <w:szCs w:val="21"/>
                    </w:rPr>
                    <w:t>Balance of non-Commonwealth contributions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000080"/>
                  </w:tcBorders>
                </w:tcPr>
                <w:p w14:paraId="5DB76B67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943" w:type="dxa"/>
                  <w:tcBorders>
                    <w:bottom w:val="single" w:sz="4" w:space="0" w:color="000080"/>
                  </w:tcBorders>
                </w:tcPr>
                <w:p w14:paraId="60A04913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000080"/>
                  </w:tcBorders>
                </w:tcPr>
                <w:p w14:paraId="00204502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943" w:type="dxa"/>
                  <w:tcBorders>
                    <w:bottom w:val="single" w:sz="4" w:space="0" w:color="000080"/>
                  </w:tcBorders>
                </w:tcPr>
                <w:p w14:paraId="71040ECD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943" w:type="dxa"/>
                  <w:tcBorders>
                    <w:bottom w:val="single" w:sz="4" w:space="0" w:color="000080"/>
                  </w:tcBorders>
                </w:tcPr>
                <w:p w14:paraId="43B8CDB4" w14:textId="77777777" w:rsidR="00D32DFF" w:rsidRPr="005D39DD" w:rsidRDefault="00D32DFF" w:rsidP="001B229B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</w:t>
                  </w:r>
                </w:p>
              </w:tc>
            </w:tr>
          </w:tbl>
          <w:p w14:paraId="6F2C124B" w14:textId="77777777" w:rsidR="00D32DFF" w:rsidRPr="00F00A18" w:rsidRDefault="00D32DFF" w:rsidP="001B229B">
            <w:pPr>
              <w:pStyle w:val="Tableformat"/>
              <w:rPr>
                <w:color w:val="auto"/>
              </w:rPr>
            </w:pPr>
          </w:p>
        </w:tc>
      </w:tr>
      <w:tr w:rsidR="00D32DFF" w:rsidRPr="00F00A18" w14:paraId="27979D10" w14:textId="77777777" w:rsidTr="001B229B">
        <w:tc>
          <w:tcPr>
            <w:tcW w:w="1691" w:type="dxa"/>
            <w:shd w:val="clear" w:color="auto" w:fill="auto"/>
          </w:tcPr>
          <w:p w14:paraId="4C8DDC25" w14:textId="754FCC8A" w:rsidR="00D32DFF" w:rsidRPr="00F00A18" w:rsidRDefault="00D32DFF" w:rsidP="001B229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Additional terms</w:t>
            </w:r>
          </w:p>
        </w:tc>
        <w:tc>
          <w:tcPr>
            <w:tcW w:w="7938" w:type="dxa"/>
            <w:shd w:val="clear" w:color="auto" w:fill="auto"/>
          </w:tcPr>
          <w:p w14:paraId="79435819" w14:textId="7B1F71D0" w:rsidR="003A2339" w:rsidRPr="000C0A0F" w:rsidRDefault="003A2339" w:rsidP="009316C1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The funding under this Schedule is for the construction of the Hospice only, while</w:t>
            </w:r>
            <w:r w:rsidR="007D53AE">
              <w:rPr>
                <w:iCs w:val="0"/>
                <w:color w:val="auto"/>
              </w:rPr>
              <w:t xml:space="preserve"> the</w:t>
            </w:r>
            <w:r>
              <w:rPr>
                <w:iCs w:val="0"/>
                <w:color w:val="auto"/>
              </w:rPr>
              <w:t xml:space="preserve"> service model and operation of the hospice will be the responsibility of the Tasmanian Government.</w:t>
            </w:r>
          </w:p>
        </w:tc>
      </w:tr>
    </w:tbl>
    <w:p w14:paraId="29342141" w14:textId="2EBD4774" w:rsidR="001C0A55" w:rsidRDefault="007D53AE"/>
    <w:p w14:paraId="4A71F27B" w14:textId="77777777" w:rsidR="00D32DFF" w:rsidRDefault="00D32DFF" w:rsidP="00D32DFF">
      <w:pPr>
        <w:widowControl/>
        <w:spacing w:after="160" w:line="259" w:lineRule="auto"/>
        <w:sectPr w:rsidR="00D32DF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81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7322"/>
        <w:gridCol w:w="1853"/>
        <w:gridCol w:w="1861"/>
      </w:tblGrid>
      <w:tr w:rsidR="00D32DFF" w:rsidRPr="00F00A18" w14:paraId="26CB63D5" w14:textId="77777777" w:rsidTr="008F6E3D">
        <w:tc>
          <w:tcPr>
            <w:tcW w:w="14164" w:type="dxa"/>
            <w:gridSpan w:val="4"/>
            <w:shd w:val="clear" w:color="auto" w:fill="D9E2F3" w:themeFill="accent1" w:themeFillTint="33"/>
          </w:tcPr>
          <w:p w14:paraId="5BA367A1" w14:textId="77777777" w:rsidR="00D32DFF" w:rsidRPr="00F00A18" w:rsidRDefault="00D32DFF" w:rsidP="001B229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D32DFF" w:rsidRPr="00F00A18" w14:paraId="312D39A5" w14:textId="77777777" w:rsidTr="008F6E3D">
        <w:tc>
          <w:tcPr>
            <w:tcW w:w="3128" w:type="dxa"/>
            <w:shd w:val="clear" w:color="auto" w:fill="F2F2F2" w:themeFill="background1" w:themeFillShade="F2"/>
          </w:tcPr>
          <w:p w14:paraId="63C19BC6" w14:textId="77777777" w:rsidR="00D32DFF" w:rsidRPr="00F00A18" w:rsidRDefault="00D32DFF" w:rsidP="001B229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323" w:type="dxa"/>
            <w:shd w:val="clear" w:color="auto" w:fill="F2F2F2" w:themeFill="background1" w:themeFillShade="F2"/>
          </w:tcPr>
          <w:p w14:paraId="1581DA04" w14:textId="77777777" w:rsidR="00D32DFF" w:rsidRPr="00F00A18" w:rsidRDefault="00D32DFF" w:rsidP="001B229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853" w:type="dxa"/>
            <w:shd w:val="clear" w:color="auto" w:fill="F2F2F2" w:themeFill="background1" w:themeFillShade="F2"/>
          </w:tcPr>
          <w:p w14:paraId="31959230" w14:textId="77777777" w:rsidR="00D32DFF" w:rsidRPr="00F00A18" w:rsidRDefault="00D32DFF" w:rsidP="001B229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861" w:type="dxa"/>
            <w:shd w:val="clear" w:color="auto" w:fill="F2F2F2" w:themeFill="background1" w:themeFillShade="F2"/>
          </w:tcPr>
          <w:p w14:paraId="521600E5" w14:textId="77777777" w:rsidR="00D32DFF" w:rsidRPr="00F00A18" w:rsidRDefault="00D32DFF" w:rsidP="001B229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  <w:r>
              <w:rPr>
                <w:b/>
                <w:color w:val="auto"/>
              </w:rPr>
              <w:t xml:space="preserve"> </w:t>
            </w:r>
          </w:p>
        </w:tc>
      </w:tr>
      <w:tr w:rsidR="00D847B5" w:rsidRPr="00F00A18" w14:paraId="282ED9E4" w14:textId="77777777" w:rsidTr="008F6E3D">
        <w:trPr>
          <w:trHeight w:val="1515"/>
        </w:trPr>
        <w:tc>
          <w:tcPr>
            <w:tcW w:w="312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2F092A5C" w14:textId="74775592" w:rsidR="00D847B5" w:rsidRPr="004C3F8B" w:rsidRDefault="00D847B5" w:rsidP="001B229B">
            <w:pPr>
              <w:pStyle w:val="Milestonetable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</w:t>
            </w:r>
            <w:r w:rsidRPr="003B5595">
              <w:rPr>
                <w:color w:val="1F4E79" w:themeColor="accent5" w:themeShade="80"/>
              </w:rPr>
              <w:t>onstruction</w:t>
            </w:r>
            <w:r w:rsidR="00D56EFE">
              <w:rPr>
                <w:color w:val="1F4E79" w:themeColor="accent5" w:themeShade="80"/>
              </w:rPr>
              <w:t xml:space="preserve"> of a </w:t>
            </w:r>
            <w:r w:rsidRPr="003B5595">
              <w:rPr>
                <w:color w:val="1F4E79" w:themeColor="accent5" w:themeShade="80"/>
              </w:rPr>
              <w:t>hospice</w:t>
            </w:r>
            <w:r w:rsidR="00B415F9">
              <w:rPr>
                <w:color w:val="1F4E79" w:themeColor="accent5" w:themeShade="80"/>
              </w:rPr>
              <w:t xml:space="preserve"> and hospice respite care</w:t>
            </w:r>
            <w:r w:rsidRPr="003B5595">
              <w:rPr>
                <w:color w:val="1F4E79" w:themeColor="accent5" w:themeShade="80"/>
              </w:rPr>
              <w:t xml:space="preserve"> facility</w:t>
            </w:r>
            <w:r w:rsidR="003A2339">
              <w:rPr>
                <w:color w:val="1F4E79" w:themeColor="accent5" w:themeShade="80"/>
              </w:rPr>
              <w:t xml:space="preserve"> with</w:t>
            </w:r>
            <w:r w:rsidR="00664067">
              <w:rPr>
                <w:color w:val="1F4E79" w:themeColor="accent5" w:themeShade="80"/>
              </w:rPr>
              <w:t xml:space="preserve"> </w:t>
            </w:r>
            <w:r w:rsidR="005D7A18">
              <w:rPr>
                <w:color w:val="1F4E79" w:themeColor="accent5" w:themeShade="80"/>
              </w:rPr>
              <w:t>capacity for</w:t>
            </w:r>
            <w:r w:rsidR="003A2339">
              <w:rPr>
                <w:color w:val="1F4E79" w:themeColor="accent5" w:themeShade="80"/>
              </w:rPr>
              <w:t xml:space="preserve"> </w:t>
            </w:r>
            <w:r w:rsidR="00337592">
              <w:rPr>
                <w:color w:val="1F4E79" w:themeColor="accent5" w:themeShade="80"/>
              </w:rPr>
              <w:t xml:space="preserve">at least </w:t>
            </w:r>
            <w:r w:rsidR="003A2339">
              <w:rPr>
                <w:color w:val="1F4E79" w:themeColor="accent5" w:themeShade="80"/>
              </w:rPr>
              <w:t>10 beds</w:t>
            </w:r>
            <w:r w:rsidRPr="003B5595">
              <w:rPr>
                <w:color w:val="1F4E79" w:themeColor="accent5" w:themeShade="80"/>
              </w:rPr>
              <w:t xml:space="preserve"> within the Launceston General Hospital Precinct, Launceston, Tasmania, that will operate 24 hours a day, seven days a week.</w:t>
            </w:r>
          </w:p>
        </w:tc>
        <w:tc>
          <w:tcPr>
            <w:tcW w:w="732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48C79FB" w14:textId="4DE28EFC" w:rsidR="00D847B5" w:rsidRDefault="0050315A" w:rsidP="001B229B">
            <w:pPr>
              <w:pStyle w:val="Milestonetable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Annual </w:t>
            </w:r>
            <w:r w:rsidR="00D847B5">
              <w:rPr>
                <w:color w:val="1F4E79" w:themeColor="accent5" w:themeShade="80"/>
              </w:rPr>
              <w:t>Progress Report 1</w:t>
            </w:r>
            <w:r w:rsidR="00D847B5" w:rsidRPr="004C3F8B">
              <w:rPr>
                <w:color w:val="1F4E79" w:themeColor="accent5" w:themeShade="80"/>
              </w:rPr>
              <w:t xml:space="preserve"> </w:t>
            </w:r>
            <w:r>
              <w:rPr>
                <w:color w:val="1F4E79" w:themeColor="accent5" w:themeShade="80"/>
              </w:rPr>
              <w:t>(2022-23)</w:t>
            </w:r>
            <w:r w:rsidR="00D847B5">
              <w:rPr>
                <w:color w:val="1F4E79" w:themeColor="accent5" w:themeShade="80"/>
              </w:rPr>
              <w:t xml:space="preserve">- </w:t>
            </w:r>
            <w:r w:rsidR="00D847B5" w:rsidRPr="004C3F8B">
              <w:rPr>
                <w:color w:val="1F4E79" w:themeColor="accent5" w:themeShade="80"/>
              </w:rPr>
              <w:t>This report must outline</w:t>
            </w:r>
            <w:r w:rsidR="00D847B5">
              <w:rPr>
                <w:color w:val="1F4E79" w:themeColor="accent5" w:themeShade="80"/>
              </w:rPr>
              <w:t>:</w:t>
            </w:r>
          </w:p>
          <w:p w14:paraId="68AD46EC" w14:textId="2D9B7DE4" w:rsidR="00D847B5" w:rsidRDefault="00D847B5" w:rsidP="004F05F2">
            <w:pPr>
              <w:pStyle w:val="Milestonetable"/>
              <w:numPr>
                <w:ilvl w:val="0"/>
                <w:numId w:val="2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the proposed</w:t>
            </w:r>
            <w:r w:rsidRPr="004C3F8B">
              <w:rPr>
                <w:color w:val="1F4E79" w:themeColor="accent5" w:themeShade="80"/>
              </w:rPr>
              <w:t xml:space="preserve"> steps and timeframes to </w:t>
            </w:r>
            <w:r w:rsidR="00381C9E">
              <w:rPr>
                <w:color w:val="1F4E79" w:themeColor="accent5" w:themeShade="80"/>
              </w:rPr>
              <w:t xml:space="preserve">develop the </w:t>
            </w:r>
            <w:r w:rsidRPr="004C3F8B">
              <w:rPr>
                <w:color w:val="1F4E79" w:themeColor="accent5" w:themeShade="80"/>
              </w:rPr>
              <w:t>project plan for the construction of the hospice facility</w:t>
            </w:r>
            <w:r>
              <w:rPr>
                <w:color w:val="1F4E79" w:themeColor="accent5" w:themeShade="80"/>
              </w:rPr>
              <w:t>; and</w:t>
            </w:r>
          </w:p>
          <w:p w14:paraId="0DAAE6D6" w14:textId="022D3A02" w:rsidR="00D847B5" w:rsidRPr="00D847B5" w:rsidRDefault="00D847B5" w:rsidP="00D847B5">
            <w:pPr>
              <w:pStyle w:val="Milestonetable"/>
              <w:numPr>
                <w:ilvl w:val="0"/>
                <w:numId w:val="2"/>
              </w:numPr>
              <w:rPr>
                <w:color w:val="1F4E79" w:themeColor="accent5" w:themeShade="80"/>
              </w:rPr>
            </w:pPr>
            <w:r w:rsidRPr="004C3F8B">
              <w:rPr>
                <w:color w:val="1F4E79" w:themeColor="accent5" w:themeShade="80"/>
              </w:rPr>
              <w:t>plan</w:t>
            </w:r>
            <w:r>
              <w:rPr>
                <w:color w:val="1F4E79" w:themeColor="accent5" w:themeShade="80"/>
              </w:rPr>
              <w:t>ned approach to</w:t>
            </w:r>
            <w:r w:rsidRPr="004C3F8B">
              <w:rPr>
                <w:color w:val="1F4E79" w:themeColor="accent5" w:themeShade="80"/>
              </w:rPr>
              <w:t xml:space="preserve"> critical stakeholder consultation and engagement</w:t>
            </w:r>
            <w:r w:rsidR="00BA33E9">
              <w:rPr>
                <w:color w:val="1F4E79" w:themeColor="accent5" w:themeShade="80"/>
              </w:rPr>
              <w:t>.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0666A4B" w14:textId="4F5A059A" w:rsidR="00D847B5" w:rsidRPr="008008A4" w:rsidRDefault="008008A4" w:rsidP="001B229B">
            <w:pPr>
              <w:pStyle w:val="Milestonetable"/>
              <w:rPr>
                <w:color w:val="1F4E79" w:themeColor="accent5" w:themeShade="80"/>
              </w:rPr>
            </w:pPr>
            <w:r w:rsidRPr="008008A4">
              <w:rPr>
                <w:color w:val="1F4E79" w:themeColor="accent5" w:themeShade="80"/>
              </w:rPr>
              <w:t>31</w:t>
            </w:r>
            <w:r>
              <w:rPr>
                <w:color w:val="1F4E79" w:themeColor="accent5" w:themeShade="80"/>
              </w:rPr>
              <w:t>/05/2023</w:t>
            </w:r>
          </w:p>
        </w:tc>
        <w:tc>
          <w:tcPr>
            <w:tcW w:w="186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D1BA250" w14:textId="213BE4C0" w:rsidR="00D847B5" w:rsidRPr="004C3F8B" w:rsidRDefault="00D847B5" w:rsidP="00D847B5">
            <w:pPr>
              <w:pStyle w:val="Milestonetable"/>
              <w:jc w:val="right"/>
              <w:rPr>
                <w:color w:val="1F4E79" w:themeColor="accent5" w:themeShade="80"/>
              </w:rPr>
            </w:pPr>
            <w:r w:rsidRPr="004C3F8B">
              <w:rPr>
                <w:color w:val="1F4E79" w:themeColor="accent5" w:themeShade="80"/>
              </w:rPr>
              <w:t>$5.0m</w:t>
            </w:r>
            <w:r>
              <w:rPr>
                <w:color w:val="1F4E79" w:themeColor="accent5" w:themeShade="80"/>
              </w:rPr>
              <w:t>, following acceptance of Progress Report 1</w:t>
            </w:r>
          </w:p>
        </w:tc>
      </w:tr>
      <w:tr w:rsidR="0050315A" w:rsidRPr="00F00A18" w14:paraId="0602540C" w14:textId="77777777" w:rsidTr="008F6E3D">
        <w:trPr>
          <w:trHeight w:val="1515"/>
        </w:trPr>
        <w:tc>
          <w:tcPr>
            <w:tcW w:w="3128" w:type="dxa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18429E3E" w14:textId="77777777" w:rsidR="0050315A" w:rsidRDefault="0050315A" w:rsidP="001B229B">
            <w:pPr>
              <w:pStyle w:val="Milestonetable"/>
              <w:rPr>
                <w:color w:val="1F4E79" w:themeColor="accent5" w:themeShade="80"/>
              </w:rPr>
            </w:pPr>
          </w:p>
        </w:tc>
        <w:tc>
          <w:tcPr>
            <w:tcW w:w="732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EBD5FBA" w14:textId="5BAC654D" w:rsidR="0050315A" w:rsidRDefault="0050315A" w:rsidP="001B229B">
            <w:pPr>
              <w:pStyle w:val="Milestonetable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Project Plan – This plan should provide a detailed description of the key milestones and timeframes for the construction of the hospice facility and include the site location.  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20E4D0B" w14:textId="0CB6DC3D" w:rsidR="0050315A" w:rsidRPr="004C3F8B" w:rsidRDefault="0050315A" w:rsidP="001B229B">
            <w:pPr>
              <w:pStyle w:val="Milestonetable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31/</w:t>
            </w:r>
            <w:r w:rsidR="000203E6">
              <w:rPr>
                <w:color w:val="1F4E79" w:themeColor="accent5" w:themeShade="80"/>
              </w:rPr>
              <w:t>1</w:t>
            </w:r>
            <w:r>
              <w:rPr>
                <w:color w:val="1F4E79" w:themeColor="accent5" w:themeShade="80"/>
              </w:rPr>
              <w:t>0/2023</w:t>
            </w:r>
          </w:p>
        </w:tc>
        <w:tc>
          <w:tcPr>
            <w:tcW w:w="186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9AE7D1C" w14:textId="58A25D87" w:rsidR="0050315A" w:rsidRPr="004C3F8B" w:rsidRDefault="0050315A" w:rsidP="001B229B">
            <w:pPr>
              <w:pStyle w:val="Milestonetable"/>
              <w:jc w:val="righ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NIL</w:t>
            </w:r>
          </w:p>
        </w:tc>
      </w:tr>
      <w:tr w:rsidR="00D847B5" w:rsidRPr="00F00A18" w14:paraId="3F3DE377" w14:textId="77777777" w:rsidTr="008F6E3D">
        <w:trPr>
          <w:trHeight w:val="2529"/>
        </w:trPr>
        <w:tc>
          <w:tcPr>
            <w:tcW w:w="312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5CD046E1" w14:textId="77777777" w:rsidR="00D847B5" w:rsidRPr="004C3F8B" w:rsidRDefault="00D847B5" w:rsidP="001B229B">
            <w:pPr>
              <w:pStyle w:val="Milestonetable"/>
              <w:rPr>
                <w:color w:val="1F4E79" w:themeColor="accent5" w:themeShade="80"/>
              </w:rPr>
            </w:pPr>
          </w:p>
        </w:tc>
        <w:tc>
          <w:tcPr>
            <w:tcW w:w="732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6B5EC41" w14:textId="54D8D15E" w:rsidR="00D847B5" w:rsidRDefault="00087D08" w:rsidP="0050315A">
            <w:pPr>
              <w:pStyle w:val="Milestonetable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Annual </w:t>
            </w:r>
            <w:r w:rsidR="00D847B5" w:rsidRPr="004C3F8B">
              <w:rPr>
                <w:color w:val="1F4E79" w:themeColor="accent5" w:themeShade="80"/>
              </w:rPr>
              <w:t>Progress Report 2</w:t>
            </w:r>
            <w:r w:rsidR="00D847B5">
              <w:rPr>
                <w:color w:val="1F4E79" w:themeColor="accent5" w:themeShade="80"/>
              </w:rPr>
              <w:t xml:space="preserve"> </w:t>
            </w:r>
            <w:r>
              <w:rPr>
                <w:color w:val="1F4E79" w:themeColor="accent5" w:themeShade="80"/>
              </w:rPr>
              <w:t>(2023-24)</w:t>
            </w:r>
            <w:r w:rsidR="00D847B5">
              <w:rPr>
                <w:color w:val="1F4E79" w:themeColor="accent5" w:themeShade="80"/>
              </w:rPr>
              <w:t xml:space="preserve">- </w:t>
            </w:r>
            <w:r w:rsidR="00D847B5" w:rsidRPr="004C3F8B">
              <w:rPr>
                <w:color w:val="1F4E79" w:themeColor="accent5" w:themeShade="80"/>
              </w:rPr>
              <w:t xml:space="preserve">This report should demonstrate what has been achieved in the reporting period and what is intended to be undertaken in the upcoming reporting period. The report must include: </w:t>
            </w:r>
          </w:p>
          <w:p w14:paraId="6C184B5B" w14:textId="130F27AB" w:rsidR="00C1606E" w:rsidRDefault="0050315A" w:rsidP="00AF32A1">
            <w:pPr>
              <w:pStyle w:val="Milestonetable"/>
              <w:numPr>
                <w:ilvl w:val="0"/>
                <w:numId w:val="3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evidence that demonstrates progress against the project plan</w:t>
            </w:r>
            <w:r w:rsidR="004C7F83">
              <w:rPr>
                <w:color w:val="1F4E79" w:themeColor="accent5" w:themeShade="80"/>
              </w:rPr>
              <w:t xml:space="preserve"> including build details for the hospice</w:t>
            </w:r>
            <w:r>
              <w:rPr>
                <w:color w:val="1F4E79" w:themeColor="accent5" w:themeShade="80"/>
              </w:rPr>
              <w:t>.</w:t>
            </w:r>
          </w:p>
          <w:p w14:paraId="74022F47" w14:textId="61FD8C7D" w:rsidR="00D847B5" w:rsidRPr="00787B7A" w:rsidRDefault="00D847B5" w:rsidP="00AF32A1">
            <w:pPr>
              <w:pStyle w:val="Milestonetable"/>
              <w:numPr>
                <w:ilvl w:val="0"/>
                <w:numId w:val="3"/>
              </w:numPr>
              <w:rPr>
                <w:color w:val="1F4E79" w:themeColor="accent5" w:themeShade="80"/>
              </w:rPr>
            </w:pPr>
            <w:r w:rsidRPr="00787B7A">
              <w:rPr>
                <w:color w:val="1F4E79" w:themeColor="accent5" w:themeShade="80"/>
              </w:rPr>
              <w:t>details of critical stakeholder engagement</w:t>
            </w:r>
            <w:r w:rsidR="002610B9">
              <w:rPr>
                <w:color w:val="1F4E79" w:themeColor="accent5" w:themeShade="80"/>
              </w:rPr>
              <w:t>,</w:t>
            </w:r>
            <w:r w:rsidR="004C7F83">
              <w:rPr>
                <w:color w:val="1F4E79" w:themeColor="accent5" w:themeShade="80"/>
              </w:rPr>
              <w:t xml:space="preserve"> </w:t>
            </w:r>
            <w:r w:rsidR="0015620D">
              <w:rPr>
                <w:color w:val="1F4E79" w:themeColor="accent5" w:themeShade="80"/>
              </w:rPr>
              <w:t>including</w:t>
            </w:r>
            <w:r w:rsidRPr="00787B7A">
              <w:rPr>
                <w:color w:val="1F4E79" w:themeColor="accent5" w:themeShade="80"/>
              </w:rPr>
              <w:t xml:space="preserve"> fostering a culturally safe facility</w:t>
            </w:r>
            <w:r w:rsidR="004C7F83">
              <w:rPr>
                <w:color w:val="1F4E79" w:themeColor="accent5" w:themeShade="80"/>
              </w:rPr>
              <w:t xml:space="preserve"> where relevant</w:t>
            </w:r>
            <w:r w:rsidR="00C901B0">
              <w:rPr>
                <w:color w:val="1F4E79" w:themeColor="accent5" w:themeShade="80"/>
              </w:rPr>
              <w:t xml:space="preserve">; </w:t>
            </w:r>
            <w:r w:rsidR="00540CA5">
              <w:rPr>
                <w:color w:val="1F4E79" w:themeColor="accent5" w:themeShade="80"/>
              </w:rPr>
              <w:t>and</w:t>
            </w:r>
          </w:p>
          <w:p w14:paraId="3D3C0234" w14:textId="7CE403B7" w:rsidR="00381C9E" w:rsidRPr="00540CA5" w:rsidRDefault="00C1606E" w:rsidP="00540CA5">
            <w:pPr>
              <w:pStyle w:val="Milestonetable"/>
              <w:numPr>
                <w:ilvl w:val="0"/>
                <w:numId w:val="3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where relevant, </w:t>
            </w:r>
            <w:r w:rsidR="00D847B5" w:rsidRPr="004C3F8B">
              <w:rPr>
                <w:color w:val="1F4E79" w:themeColor="accent5" w:themeShade="80"/>
              </w:rPr>
              <w:t xml:space="preserve">details of any matters that have arisen which could adversely impact on the delivery of </w:t>
            </w:r>
            <w:r w:rsidR="00913BF2">
              <w:rPr>
                <w:color w:val="1F4E79" w:themeColor="accent5" w:themeShade="80"/>
              </w:rPr>
              <w:t xml:space="preserve">the construction of </w:t>
            </w:r>
            <w:r w:rsidR="00D847B5" w:rsidRPr="004C3F8B">
              <w:rPr>
                <w:color w:val="1F4E79" w:themeColor="accent5" w:themeShade="80"/>
              </w:rPr>
              <w:t>the hospice, and how Tasmania propose</w:t>
            </w:r>
            <w:r w:rsidR="00D847B5">
              <w:rPr>
                <w:color w:val="1F4E79" w:themeColor="accent5" w:themeShade="80"/>
              </w:rPr>
              <w:t>s</w:t>
            </w:r>
            <w:r w:rsidR="00D847B5" w:rsidRPr="004C3F8B">
              <w:rPr>
                <w:color w:val="1F4E79" w:themeColor="accent5" w:themeShade="80"/>
              </w:rPr>
              <w:t xml:space="preserve"> to resolve these matters</w:t>
            </w:r>
            <w:r w:rsidR="00540CA5">
              <w:rPr>
                <w:color w:val="1F4E79" w:themeColor="accent5" w:themeShade="80"/>
              </w:rPr>
              <w:t>.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4819B5F" w14:textId="77777777" w:rsidR="00D847B5" w:rsidRPr="004C3F8B" w:rsidRDefault="00D847B5" w:rsidP="001B229B">
            <w:pPr>
              <w:pStyle w:val="Milestonetable"/>
              <w:rPr>
                <w:color w:val="1F4E79" w:themeColor="accent5" w:themeShade="80"/>
              </w:rPr>
            </w:pPr>
            <w:r w:rsidRPr="004C3F8B">
              <w:rPr>
                <w:color w:val="1F4E79" w:themeColor="accent5" w:themeShade="80"/>
              </w:rPr>
              <w:t>30/04/2024</w:t>
            </w:r>
          </w:p>
          <w:p w14:paraId="422D4960" w14:textId="28644A75" w:rsidR="00D847B5" w:rsidRPr="004C3F8B" w:rsidRDefault="00D847B5" w:rsidP="001B229B">
            <w:pPr>
              <w:pStyle w:val="Milestonetable"/>
              <w:rPr>
                <w:color w:val="1F4E79" w:themeColor="accent5" w:themeShade="80"/>
              </w:rPr>
            </w:pPr>
          </w:p>
        </w:tc>
        <w:tc>
          <w:tcPr>
            <w:tcW w:w="186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E64C276" w14:textId="34F4A4D5" w:rsidR="00D847B5" w:rsidRPr="004C3F8B" w:rsidRDefault="00D847B5" w:rsidP="001B229B">
            <w:pPr>
              <w:pStyle w:val="Milestonetable"/>
              <w:jc w:val="right"/>
              <w:rPr>
                <w:color w:val="1F4E79" w:themeColor="accent5" w:themeShade="80"/>
              </w:rPr>
            </w:pPr>
            <w:r w:rsidRPr="004C3F8B">
              <w:rPr>
                <w:color w:val="1F4E79" w:themeColor="accent5" w:themeShade="80"/>
              </w:rPr>
              <w:t>$</w:t>
            </w:r>
            <w:r>
              <w:rPr>
                <w:color w:val="1F4E79" w:themeColor="accent5" w:themeShade="80"/>
              </w:rPr>
              <w:t>5.0</w:t>
            </w:r>
            <w:r w:rsidRPr="004C3F8B">
              <w:rPr>
                <w:color w:val="1F4E79" w:themeColor="accent5" w:themeShade="80"/>
              </w:rPr>
              <w:t>m</w:t>
            </w:r>
            <w:r>
              <w:rPr>
                <w:color w:val="1F4E79" w:themeColor="accent5" w:themeShade="80"/>
              </w:rPr>
              <w:t>, following acceptance of Progress Report 2</w:t>
            </w:r>
          </w:p>
          <w:p w14:paraId="5A8519DC" w14:textId="77777777" w:rsidR="00D847B5" w:rsidRPr="004C3F8B" w:rsidRDefault="00D847B5" w:rsidP="001B229B">
            <w:pPr>
              <w:pStyle w:val="Milestonetable"/>
              <w:jc w:val="right"/>
              <w:rPr>
                <w:color w:val="1F4E79" w:themeColor="accent5" w:themeShade="80"/>
              </w:rPr>
            </w:pPr>
          </w:p>
        </w:tc>
      </w:tr>
      <w:tr w:rsidR="00D32DFF" w:rsidRPr="00F00A18" w14:paraId="5091EFA3" w14:textId="77777777" w:rsidTr="008F6E3D">
        <w:tc>
          <w:tcPr>
            <w:tcW w:w="312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5A088FC9" w14:textId="77777777" w:rsidR="00D32DFF" w:rsidRPr="004C3F8B" w:rsidRDefault="00D32DFF" w:rsidP="001B229B">
            <w:pPr>
              <w:pStyle w:val="Milestonetable"/>
              <w:rPr>
                <w:color w:val="1F4E79" w:themeColor="accent5" w:themeShade="80"/>
              </w:rPr>
            </w:pPr>
          </w:p>
        </w:tc>
        <w:tc>
          <w:tcPr>
            <w:tcW w:w="7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C4EF7F" w14:textId="1567B539" w:rsidR="000F4A23" w:rsidRDefault="00087D08" w:rsidP="003A4C00">
            <w:pPr>
              <w:pStyle w:val="Milestonetable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Annual </w:t>
            </w:r>
            <w:r w:rsidR="00D32DFF" w:rsidRPr="004C3F8B">
              <w:rPr>
                <w:color w:val="1F4E79" w:themeColor="accent5" w:themeShade="80"/>
              </w:rPr>
              <w:t xml:space="preserve">Progress Report </w:t>
            </w:r>
            <w:r w:rsidR="006563B4">
              <w:rPr>
                <w:color w:val="1F4E79" w:themeColor="accent5" w:themeShade="80"/>
              </w:rPr>
              <w:t>3</w:t>
            </w:r>
            <w:r w:rsidR="00D32DFF">
              <w:rPr>
                <w:color w:val="1F4E79" w:themeColor="accent5" w:themeShade="80"/>
              </w:rPr>
              <w:t xml:space="preserve"> </w:t>
            </w:r>
            <w:r>
              <w:rPr>
                <w:color w:val="1F4E79" w:themeColor="accent5" w:themeShade="80"/>
              </w:rPr>
              <w:t xml:space="preserve">(2024-25) </w:t>
            </w:r>
            <w:r w:rsidR="00D32DFF">
              <w:rPr>
                <w:color w:val="1F4E79" w:themeColor="accent5" w:themeShade="80"/>
              </w:rPr>
              <w:t xml:space="preserve">- </w:t>
            </w:r>
            <w:r w:rsidR="00D32DFF" w:rsidRPr="004C3F8B">
              <w:rPr>
                <w:color w:val="1F4E79" w:themeColor="accent5" w:themeShade="80"/>
              </w:rPr>
              <w:t>This report should demonstrate</w:t>
            </w:r>
            <w:r w:rsidR="003A4C00">
              <w:rPr>
                <w:color w:val="1F4E79" w:themeColor="accent5" w:themeShade="80"/>
              </w:rPr>
              <w:t xml:space="preserve"> </w:t>
            </w:r>
            <w:r w:rsidR="00D32DFF" w:rsidRPr="004C3F8B">
              <w:rPr>
                <w:color w:val="1F4E79" w:themeColor="accent5" w:themeShade="80"/>
              </w:rPr>
              <w:t>what has been achieved in the reporting period and what is intended to be undertaken in the upcoming reporting period</w:t>
            </w:r>
            <w:r w:rsidR="000F4A23">
              <w:rPr>
                <w:color w:val="1F4E79" w:themeColor="accent5" w:themeShade="80"/>
              </w:rPr>
              <w:t xml:space="preserve">. </w:t>
            </w:r>
            <w:r w:rsidR="00D32DFF" w:rsidRPr="004C3F8B">
              <w:rPr>
                <w:color w:val="1F4E79" w:themeColor="accent5" w:themeShade="80"/>
              </w:rPr>
              <w:t>The report must include:</w:t>
            </w:r>
          </w:p>
          <w:p w14:paraId="51AC8377" w14:textId="26742F10" w:rsidR="00233A25" w:rsidRDefault="00233A25" w:rsidP="004C7F83">
            <w:pPr>
              <w:pStyle w:val="Milestonetable"/>
              <w:numPr>
                <w:ilvl w:val="0"/>
                <w:numId w:val="7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evidence that demonstrates progress against the project plan.</w:t>
            </w:r>
          </w:p>
          <w:p w14:paraId="7BB59DBC" w14:textId="232E201B" w:rsidR="004C7F83" w:rsidRPr="00787B7A" w:rsidRDefault="004C7F83" w:rsidP="004C7F83">
            <w:pPr>
              <w:pStyle w:val="Milestonetable"/>
              <w:numPr>
                <w:ilvl w:val="0"/>
                <w:numId w:val="7"/>
              </w:numPr>
              <w:rPr>
                <w:color w:val="1F4E79" w:themeColor="accent5" w:themeShade="80"/>
              </w:rPr>
            </w:pPr>
            <w:r w:rsidRPr="00787B7A">
              <w:rPr>
                <w:color w:val="1F4E79" w:themeColor="accent5" w:themeShade="80"/>
              </w:rPr>
              <w:t>details of critical stakeholder engagement</w:t>
            </w:r>
            <w:r>
              <w:rPr>
                <w:color w:val="1F4E79" w:themeColor="accent5" w:themeShade="80"/>
              </w:rPr>
              <w:t xml:space="preserve">, </w:t>
            </w:r>
            <w:r w:rsidR="008D00AE">
              <w:rPr>
                <w:color w:val="1F4E79" w:themeColor="accent5" w:themeShade="80"/>
              </w:rPr>
              <w:t>including</w:t>
            </w:r>
            <w:r w:rsidR="008D00AE" w:rsidRPr="00787B7A">
              <w:rPr>
                <w:color w:val="1F4E79" w:themeColor="accent5" w:themeShade="80"/>
              </w:rPr>
              <w:t xml:space="preserve"> fostering </w:t>
            </w:r>
            <w:r w:rsidRPr="00787B7A">
              <w:rPr>
                <w:color w:val="1F4E79" w:themeColor="accent5" w:themeShade="80"/>
              </w:rPr>
              <w:t>a culturally safe facility</w:t>
            </w:r>
            <w:r>
              <w:rPr>
                <w:color w:val="1F4E79" w:themeColor="accent5" w:themeShade="80"/>
              </w:rPr>
              <w:t xml:space="preserve"> where relevant; and</w:t>
            </w:r>
          </w:p>
          <w:p w14:paraId="1580EDF6" w14:textId="0081D178" w:rsidR="008F4271" w:rsidRPr="00C1606E" w:rsidRDefault="00C1606E" w:rsidP="004C7F83">
            <w:pPr>
              <w:pStyle w:val="Milestonetable"/>
              <w:numPr>
                <w:ilvl w:val="0"/>
                <w:numId w:val="7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lastRenderedPageBreak/>
              <w:t xml:space="preserve">where relevant, </w:t>
            </w:r>
            <w:r w:rsidR="00D32DFF" w:rsidRPr="00C1606E">
              <w:rPr>
                <w:color w:val="1F4E79" w:themeColor="accent5" w:themeShade="80"/>
              </w:rPr>
              <w:t xml:space="preserve">details of any matters that have arisen which could adversely impact on the delivery of the </w:t>
            </w:r>
            <w:r w:rsidR="00913BF2">
              <w:rPr>
                <w:color w:val="1F4E79" w:themeColor="accent5" w:themeShade="80"/>
              </w:rPr>
              <w:t xml:space="preserve">construction of the </w:t>
            </w:r>
            <w:r w:rsidR="00D32DFF" w:rsidRPr="00C1606E">
              <w:rPr>
                <w:color w:val="1F4E79" w:themeColor="accent5" w:themeShade="80"/>
              </w:rPr>
              <w:t>hospice, and how Tasmania propose</w:t>
            </w:r>
            <w:r w:rsidR="00D847B5" w:rsidRPr="00C1606E">
              <w:rPr>
                <w:color w:val="1F4E79" w:themeColor="accent5" w:themeShade="80"/>
              </w:rPr>
              <w:t>s</w:t>
            </w:r>
            <w:r w:rsidR="00D32DFF" w:rsidRPr="00C1606E">
              <w:rPr>
                <w:color w:val="1F4E79" w:themeColor="accent5" w:themeShade="80"/>
              </w:rPr>
              <w:t xml:space="preserve"> to resolve these matters. 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35A4FA" w14:textId="77777777" w:rsidR="00D32DFF" w:rsidRPr="004C3F8B" w:rsidRDefault="00D32DFF" w:rsidP="001B229B">
            <w:pPr>
              <w:pStyle w:val="Milestonetable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lastRenderedPageBreak/>
              <w:t>30/04/2025</w:t>
            </w:r>
          </w:p>
        </w:tc>
        <w:tc>
          <w:tcPr>
            <w:tcW w:w="18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06BD8C" w14:textId="49FA5B0B" w:rsidR="00D32DFF" w:rsidRPr="004C3F8B" w:rsidRDefault="00D32DFF" w:rsidP="001B229B">
            <w:pPr>
              <w:pStyle w:val="Milestonetable"/>
              <w:jc w:val="right"/>
              <w:rPr>
                <w:color w:val="1F4E79" w:themeColor="accent5" w:themeShade="80"/>
              </w:rPr>
            </w:pPr>
            <w:r w:rsidRPr="004C3F8B">
              <w:rPr>
                <w:color w:val="1F4E79" w:themeColor="accent5" w:themeShade="80"/>
              </w:rPr>
              <w:t>$5</w:t>
            </w:r>
            <w:r w:rsidR="006563B4">
              <w:rPr>
                <w:color w:val="1F4E79" w:themeColor="accent5" w:themeShade="80"/>
              </w:rPr>
              <w:t>.0</w:t>
            </w:r>
            <w:r w:rsidRPr="004C3F8B">
              <w:rPr>
                <w:color w:val="1F4E79" w:themeColor="accent5" w:themeShade="80"/>
              </w:rPr>
              <w:t>m</w:t>
            </w:r>
            <w:r>
              <w:rPr>
                <w:color w:val="1F4E79" w:themeColor="accent5" w:themeShade="80"/>
              </w:rPr>
              <w:t xml:space="preserve">, following acceptance of Progress Report </w:t>
            </w:r>
            <w:r w:rsidR="00940A49">
              <w:rPr>
                <w:color w:val="1F4E79" w:themeColor="accent5" w:themeShade="80"/>
              </w:rPr>
              <w:t>3</w:t>
            </w:r>
          </w:p>
          <w:p w14:paraId="0CA27C94" w14:textId="77777777" w:rsidR="00D32DFF" w:rsidRPr="004C3F8B" w:rsidRDefault="00D32DFF" w:rsidP="001B229B">
            <w:pPr>
              <w:pStyle w:val="Milestonetable"/>
              <w:jc w:val="right"/>
              <w:rPr>
                <w:color w:val="1F4E79" w:themeColor="accent5" w:themeShade="80"/>
              </w:rPr>
            </w:pPr>
          </w:p>
        </w:tc>
      </w:tr>
      <w:tr w:rsidR="00D32DFF" w:rsidRPr="00F00A18" w14:paraId="26A3983F" w14:textId="77777777" w:rsidTr="008F6E3D">
        <w:tc>
          <w:tcPr>
            <w:tcW w:w="312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09A3310F" w14:textId="77777777" w:rsidR="00D32DFF" w:rsidRPr="004C3F8B" w:rsidRDefault="00D32DFF" w:rsidP="001B229B">
            <w:pPr>
              <w:pStyle w:val="Milestonetable"/>
              <w:rPr>
                <w:color w:val="1F4E79" w:themeColor="accent5" w:themeShade="80"/>
              </w:rPr>
            </w:pPr>
          </w:p>
        </w:tc>
        <w:tc>
          <w:tcPr>
            <w:tcW w:w="7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BA0514" w14:textId="3F99A4B8" w:rsidR="00D847B5" w:rsidRDefault="00087D08" w:rsidP="001B229B">
            <w:pPr>
              <w:pStyle w:val="Milestonetable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Annual </w:t>
            </w:r>
            <w:r w:rsidR="00D32DFF" w:rsidRPr="004C3F8B">
              <w:rPr>
                <w:color w:val="1F4E79" w:themeColor="accent5" w:themeShade="80"/>
              </w:rPr>
              <w:t xml:space="preserve">Progress Report </w:t>
            </w:r>
            <w:r w:rsidR="00D847B5">
              <w:rPr>
                <w:color w:val="1F4E79" w:themeColor="accent5" w:themeShade="80"/>
              </w:rPr>
              <w:t>4</w:t>
            </w:r>
            <w:r>
              <w:rPr>
                <w:color w:val="1F4E79" w:themeColor="accent5" w:themeShade="80"/>
              </w:rPr>
              <w:t xml:space="preserve"> (2025-26)</w:t>
            </w:r>
            <w:r w:rsidR="00D32DFF">
              <w:rPr>
                <w:color w:val="1F4E79" w:themeColor="accent5" w:themeShade="80"/>
              </w:rPr>
              <w:t xml:space="preserve"> - </w:t>
            </w:r>
            <w:r w:rsidR="00D32DFF" w:rsidRPr="004C3F8B">
              <w:rPr>
                <w:color w:val="1F4E79" w:themeColor="accent5" w:themeShade="80"/>
              </w:rPr>
              <w:t xml:space="preserve">This report should demonstrate what has been achieved in the reporting period and what is intended to be undertaken in the upcoming reporting period. The report must include: </w:t>
            </w:r>
          </w:p>
          <w:p w14:paraId="55EBF06C" w14:textId="16E4BE39" w:rsidR="00233A25" w:rsidRDefault="00233A25" w:rsidP="004C7F83">
            <w:pPr>
              <w:pStyle w:val="Milestonetable"/>
              <w:numPr>
                <w:ilvl w:val="0"/>
                <w:numId w:val="7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evidence that demonstrates progress against the project plan.</w:t>
            </w:r>
          </w:p>
          <w:p w14:paraId="51531767" w14:textId="7D9154D2" w:rsidR="004C7F83" w:rsidRPr="00787B7A" w:rsidRDefault="004C7F83" w:rsidP="004C7F83">
            <w:pPr>
              <w:pStyle w:val="Milestonetable"/>
              <w:numPr>
                <w:ilvl w:val="0"/>
                <w:numId w:val="7"/>
              </w:numPr>
              <w:rPr>
                <w:color w:val="1F4E79" w:themeColor="accent5" w:themeShade="80"/>
              </w:rPr>
            </w:pPr>
            <w:r w:rsidRPr="00787B7A">
              <w:rPr>
                <w:color w:val="1F4E79" w:themeColor="accent5" w:themeShade="80"/>
              </w:rPr>
              <w:t>details of critical stakeholder engagement</w:t>
            </w:r>
            <w:r>
              <w:rPr>
                <w:color w:val="1F4E79" w:themeColor="accent5" w:themeShade="80"/>
              </w:rPr>
              <w:t xml:space="preserve">, </w:t>
            </w:r>
            <w:r w:rsidR="008D00AE">
              <w:rPr>
                <w:color w:val="1F4E79" w:themeColor="accent5" w:themeShade="80"/>
              </w:rPr>
              <w:t>including</w:t>
            </w:r>
            <w:r w:rsidR="008D00AE" w:rsidRPr="00787B7A">
              <w:rPr>
                <w:color w:val="1F4E79" w:themeColor="accent5" w:themeShade="80"/>
              </w:rPr>
              <w:t xml:space="preserve"> fostering </w:t>
            </w:r>
            <w:r w:rsidRPr="00787B7A">
              <w:rPr>
                <w:color w:val="1F4E79" w:themeColor="accent5" w:themeShade="80"/>
              </w:rPr>
              <w:t>a culturally safe facility</w:t>
            </w:r>
            <w:r>
              <w:rPr>
                <w:color w:val="1F4E79" w:themeColor="accent5" w:themeShade="80"/>
              </w:rPr>
              <w:t xml:space="preserve"> where relevant; and</w:t>
            </w:r>
          </w:p>
          <w:p w14:paraId="549DD50E" w14:textId="2EB0789D" w:rsidR="00D32DFF" w:rsidRPr="004C3F8B" w:rsidRDefault="00C1606E" w:rsidP="004C7F83">
            <w:pPr>
              <w:pStyle w:val="Milestonetable"/>
              <w:numPr>
                <w:ilvl w:val="0"/>
                <w:numId w:val="7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where relevant, </w:t>
            </w:r>
            <w:r w:rsidR="00D32DFF" w:rsidRPr="004C3F8B">
              <w:rPr>
                <w:color w:val="1F4E79" w:themeColor="accent5" w:themeShade="80"/>
              </w:rPr>
              <w:t>details of any matters that have arisen which could adversely impact on the delivery of the</w:t>
            </w:r>
            <w:r w:rsidR="00913BF2">
              <w:rPr>
                <w:color w:val="1F4E79" w:themeColor="accent5" w:themeShade="80"/>
              </w:rPr>
              <w:t xml:space="preserve"> construction of the</w:t>
            </w:r>
            <w:r w:rsidR="00D32DFF" w:rsidRPr="004C3F8B">
              <w:rPr>
                <w:color w:val="1F4E79" w:themeColor="accent5" w:themeShade="80"/>
              </w:rPr>
              <w:t xml:space="preserve"> hospice, and how Tasmania propose</w:t>
            </w:r>
            <w:r w:rsidR="00D847B5">
              <w:rPr>
                <w:color w:val="1F4E79" w:themeColor="accent5" w:themeShade="80"/>
              </w:rPr>
              <w:t>s</w:t>
            </w:r>
            <w:r w:rsidR="00D32DFF" w:rsidRPr="004C3F8B">
              <w:rPr>
                <w:color w:val="1F4E79" w:themeColor="accent5" w:themeShade="80"/>
              </w:rPr>
              <w:t xml:space="preserve"> to resolve these matters. 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03544D" w14:textId="48DC88A4" w:rsidR="00D32DFF" w:rsidRPr="004C3F8B" w:rsidRDefault="00D32DFF" w:rsidP="001B229B">
            <w:pPr>
              <w:pStyle w:val="Milestonetable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30/</w:t>
            </w:r>
            <w:r w:rsidR="00BF347C">
              <w:rPr>
                <w:color w:val="1F4E79" w:themeColor="accent5" w:themeShade="80"/>
              </w:rPr>
              <w:t>4/2026</w:t>
            </w:r>
          </w:p>
        </w:tc>
        <w:tc>
          <w:tcPr>
            <w:tcW w:w="18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C5DC20" w14:textId="033E7DE0" w:rsidR="00D32DFF" w:rsidRPr="004C3F8B" w:rsidRDefault="00D32DFF" w:rsidP="001B229B">
            <w:pPr>
              <w:pStyle w:val="Milestonetable"/>
              <w:jc w:val="right"/>
              <w:rPr>
                <w:color w:val="1F4E79" w:themeColor="accent5" w:themeShade="80"/>
              </w:rPr>
            </w:pPr>
            <w:r w:rsidRPr="004C3F8B">
              <w:rPr>
                <w:color w:val="1F4E79" w:themeColor="accent5" w:themeShade="80"/>
              </w:rPr>
              <w:t>$</w:t>
            </w:r>
            <w:r w:rsidR="00586D66">
              <w:rPr>
                <w:color w:val="1F4E79" w:themeColor="accent5" w:themeShade="80"/>
              </w:rPr>
              <w:t>5.0</w:t>
            </w:r>
            <w:r w:rsidRPr="004C3F8B">
              <w:rPr>
                <w:color w:val="1F4E79" w:themeColor="accent5" w:themeShade="80"/>
              </w:rPr>
              <w:t>m</w:t>
            </w:r>
            <w:r>
              <w:rPr>
                <w:color w:val="1F4E79" w:themeColor="accent5" w:themeShade="80"/>
              </w:rPr>
              <w:t xml:space="preserve">, following acceptance of Progress Report </w:t>
            </w:r>
            <w:r w:rsidR="00D847B5">
              <w:rPr>
                <w:color w:val="1F4E79" w:themeColor="accent5" w:themeShade="80"/>
              </w:rPr>
              <w:t>4</w:t>
            </w:r>
          </w:p>
          <w:p w14:paraId="299A7C69" w14:textId="77777777" w:rsidR="00D32DFF" w:rsidRPr="004C3F8B" w:rsidRDefault="00D32DFF" w:rsidP="001B229B">
            <w:pPr>
              <w:pStyle w:val="Milestonetable"/>
              <w:jc w:val="right"/>
              <w:rPr>
                <w:color w:val="1F4E79" w:themeColor="accent5" w:themeShade="80"/>
              </w:rPr>
            </w:pPr>
          </w:p>
        </w:tc>
      </w:tr>
      <w:tr w:rsidR="00D32DFF" w:rsidRPr="00F00A18" w14:paraId="601955FB" w14:textId="77777777" w:rsidTr="008F6E3D">
        <w:tc>
          <w:tcPr>
            <w:tcW w:w="312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D146307" w14:textId="77777777" w:rsidR="00D32DFF" w:rsidRPr="004C3F8B" w:rsidRDefault="00D32DFF" w:rsidP="001B229B">
            <w:pPr>
              <w:pStyle w:val="Milestonetable"/>
              <w:rPr>
                <w:color w:val="1F4E79" w:themeColor="accent5" w:themeShade="80"/>
              </w:rPr>
            </w:pPr>
          </w:p>
        </w:tc>
        <w:tc>
          <w:tcPr>
            <w:tcW w:w="7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2801F2" w14:textId="3F2BB87D" w:rsidR="00D32DFF" w:rsidRPr="004C3F8B" w:rsidRDefault="00D32DFF" w:rsidP="001B229B">
            <w:pPr>
              <w:pStyle w:val="Milestonetable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Practical Completion </w:t>
            </w:r>
            <w:r w:rsidRPr="004C3F8B">
              <w:rPr>
                <w:color w:val="1F4E79" w:themeColor="accent5" w:themeShade="80"/>
              </w:rPr>
              <w:t xml:space="preserve">Report </w:t>
            </w:r>
            <w:r>
              <w:rPr>
                <w:color w:val="1F4E79" w:themeColor="accent5" w:themeShade="80"/>
              </w:rPr>
              <w:t xml:space="preserve">- </w:t>
            </w:r>
            <w:r w:rsidRPr="004C3F8B">
              <w:rPr>
                <w:color w:val="1F4E79" w:themeColor="accent5" w:themeShade="80"/>
              </w:rPr>
              <w:t xml:space="preserve">This report demonstrates that the </w:t>
            </w:r>
            <w:r w:rsidR="002A25AB">
              <w:rPr>
                <w:color w:val="1F4E79" w:themeColor="accent5" w:themeShade="80"/>
              </w:rPr>
              <w:t>works are complete</w:t>
            </w:r>
            <w:r w:rsidRPr="004C3F8B">
              <w:rPr>
                <w:color w:val="1F4E79" w:themeColor="accent5" w:themeShade="80"/>
              </w:rPr>
              <w:t xml:space="preserve">. The report must outline what was delivered and how it has aligned with the original </w:t>
            </w:r>
            <w:r w:rsidR="00233A25">
              <w:rPr>
                <w:color w:val="1F4E79" w:themeColor="accent5" w:themeShade="80"/>
              </w:rPr>
              <w:t>project plan</w:t>
            </w:r>
            <w:r w:rsidRPr="004C3F8B">
              <w:rPr>
                <w:color w:val="1F4E79" w:themeColor="accent5" w:themeShade="80"/>
              </w:rPr>
              <w:t>, any delay</w:t>
            </w:r>
            <w:r w:rsidR="00233A25">
              <w:rPr>
                <w:color w:val="1F4E79" w:themeColor="accent5" w:themeShade="80"/>
              </w:rPr>
              <w:t>s</w:t>
            </w:r>
            <w:r w:rsidRPr="004C3F8B">
              <w:rPr>
                <w:color w:val="1F4E79" w:themeColor="accent5" w:themeShade="80"/>
              </w:rPr>
              <w:t xml:space="preserve"> experienced and reasons for them, lessons learned, and benefits for the community. 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DF8B3E" w14:textId="151F91C9" w:rsidR="00D32DFF" w:rsidRPr="004C3F8B" w:rsidRDefault="00087D08" w:rsidP="001B229B">
            <w:pPr>
              <w:pStyle w:val="Milestonetable"/>
              <w:rPr>
                <w:color w:val="1F4E79" w:themeColor="accent5" w:themeShade="80"/>
              </w:rPr>
            </w:pPr>
            <w:r w:rsidRPr="00614E81">
              <w:t xml:space="preserve">No later than </w:t>
            </w:r>
            <w:r>
              <w:t>4</w:t>
            </w:r>
            <w:r w:rsidRPr="00614E81">
              <w:t xml:space="preserve"> months </w:t>
            </w:r>
            <w:r w:rsidR="002A25AB">
              <w:t>after awarding of practical completion</w:t>
            </w:r>
          </w:p>
        </w:tc>
        <w:tc>
          <w:tcPr>
            <w:tcW w:w="18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6E6B5C" w14:textId="5A5FE45E" w:rsidR="00D32DFF" w:rsidRPr="004C3F8B" w:rsidRDefault="00087D08" w:rsidP="00901E69">
            <w:pPr>
              <w:pStyle w:val="Milestonetable"/>
              <w:jc w:val="righ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NIL</w:t>
            </w:r>
          </w:p>
        </w:tc>
      </w:tr>
    </w:tbl>
    <w:p w14:paraId="3EDF5CD7" w14:textId="77777777" w:rsidR="00D32DFF" w:rsidRDefault="00D32DFF" w:rsidP="00D32DFF">
      <w:pPr>
        <w:widowControl/>
        <w:spacing w:after="160" w:line="259" w:lineRule="auto"/>
        <w:sectPr w:rsidR="00D32DFF" w:rsidSect="00D32DF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ED98727" w14:textId="77777777" w:rsidR="00D32DFF" w:rsidRDefault="00D32DFF" w:rsidP="00D32DFF">
      <w:pPr>
        <w:rPr>
          <w:lang w:val="en-GB"/>
        </w:rPr>
      </w:pPr>
      <w:r w:rsidRPr="00A50751">
        <w:rPr>
          <w:lang w:val="en-GB"/>
        </w:rPr>
        <w:lastRenderedPageBreak/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7A22D8BA" w14:textId="77777777" w:rsidR="00D32DFF" w:rsidRDefault="00D32DFF" w:rsidP="00D32DF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D32DFF" w:rsidRPr="00A50751" w14:paraId="4300DD72" w14:textId="77777777" w:rsidTr="001B229B">
        <w:trPr>
          <w:cantSplit/>
          <w:jc w:val="center"/>
        </w:trPr>
        <w:tc>
          <w:tcPr>
            <w:tcW w:w="4536" w:type="dxa"/>
          </w:tcPr>
          <w:p w14:paraId="25E157A0" w14:textId="77777777" w:rsidR="00D32DFF" w:rsidRPr="004A0AE7" w:rsidRDefault="00D32DFF" w:rsidP="001B229B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country-region">
              <w:smartTag w:uri="urn:schemas-microsoft-com:office:smarttags" w:element="place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50EB58EF" w14:textId="77777777" w:rsidR="00D32DFF" w:rsidRPr="00A50751" w:rsidRDefault="00D32DFF" w:rsidP="001B229B">
            <w:pPr>
              <w:pStyle w:val="LineForSignature"/>
            </w:pPr>
            <w:r>
              <w:br/>
            </w:r>
            <w:r>
              <w:tab/>
            </w:r>
          </w:p>
          <w:p w14:paraId="6FBFB16C" w14:textId="77777777" w:rsidR="00D32DFF" w:rsidRDefault="00D32DFF" w:rsidP="001B229B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Mark Butler MP</w:t>
            </w:r>
          </w:p>
          <w:p w14:paraId="28066BF4" w14:textId="77777777" w:rsidR="00D32DFF" w:rsidRDefault="00D32DFF" w:rsidP="001B229B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Health </w:t>
            </w:r>
          </w:p>
          <w:p w14:paraId="196842E3" w14:textId="77777777" w:rsidR="00D32DFF" w:rsidRDefault="00D32DFF" w:rsidP="001B229B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FDAD0BC" w14:textId="77777777" w:rsidR="00D32DFF" w:rsidRPr="00A50751" w:rsidRDefault="00D32DFF" w:rsidP="001B229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886A713" w14:textId="77777777" w:rsidR="00D32DFF" w:rsidRPr="004A0AE7" w:rsidRDefault="00D32DFF" w:rsidP="001B229B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 xml:space="preserve">State of </w:t>
            </w:r>
            <w:r>
              <w:t>Tasmania</w:t>
            </w:r>
            <w:r w:rsidRPr="004A0AE7">
              <w:t xml:space="preserve"> by</w:t>
            </w:r>
          </w:p>
          <w:p w14:paraId="00C4312A" w14:textId="77777777" w:rsidR="00D32DFF" w:rsidRPr="00A50751" w:rsidRDefault="00D32DFF" w:rsidP="001B229B">
            <w:pPr>
              <w:pStyle w:val="LineForSignature"/>
            </w:pPr>
            <w:r>
              <w:br/>
            </w:r>
            <w:r w:rsidRPr="00A50751">
              <w:tab/>
            </w:r>
          </w:p>
          <w:p w14:paraId="019EC0A6" w14:textId="77777777" w:rsidR="00D32DFF" w:rsidRDefault="00D32DFF" w:rsidP="001B229B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Jeremy Rockliff MP</w:t>
            </w:r>
          </w:p>
          <w:p w14:paraId="4251501C" w14:textId="77777777" w:rsidR="00D32DFF" w:rsidRDefault="00D32DFF" w:rsidP="001B229B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Health </w:t>
            </w:r>
          </w:p>
          <w:p w14:paraId="447B232A" w14:textId="77777777" w:rsidR="00D32DFF" w:rsidRPr="00A50751" w:rsidRDefault="00D32DFF" w:rsidP="001B229B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27941F22" w14:textId="534CA83F" w:rsidR="00D32DFF" w:rsidRDefault="00D32DFF" w:rsidP="00D32DFF">
      <w:pPr>
        <w:widowControl/>
        <w:spacing w:after="160" w:line="259" w:lineRule="auto"/>
      </w:pPr>
    </w:p>
    <w:sectPr w:rsidR="00D32DFF" w:rsidSect="00D32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BC12" w14:textId="77777777" w:rsidR="007B797A" w:rsidRDefault="007B797A" w:rsidP="00D32DFF">
      <w:r>
        <w:separator/>
      </w:r>
    </w:p>
  </w:endnote>
  <w:endnote w:type="continuationSeparator" w:id="0">
    <w:p w14:paraId="7B133148" w14:textId="77777777" w:rsidR="007B797A" w:rsidRDefault="007B797A" w:rsidP="00D3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59DA" w14:textId="77777777" w:rsidR="00D32DFF" w:rsidRDefault="00D32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6C84" w14:textId="77777777" w:rsidR="00D32DFF" w:rsidRDefault="00D32D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9C74" w14:textId="77777777" w:rsidR="00D32DFF" w:rsidRDefault="00D32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6041" w14:textId="77777777" w:rsidR="007B797A" w:rsidRDefault="007B797A" w:rsidP="00D32DFF">
      <w:r>
        <w:separator/>
      </w:r>
    </w:p>
  </w:footnote>
  <w:footnote w:type="continuationSeparator" w:id="0">
    <w:p w14:paraId="21E9B94E" w14:textId="77777777" w:rsidR="007B797A" w:rsidRDefault="007B797A" w:rsidP="00D3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4322" w14:textId="77777777" w:rsidR="00D32DFF" w:rsidRDefault="00D32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3D79" w14:textId="4F395C70" w:rsidR="00D32DFF" w:rsidRDefault="00D32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4F87" w14:textId="77777777" w:rsidR="00D32DFF" w:rsidRDefault="00D32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A93"/>
    <w:multiLevelType w:val="hybridMultilevel"/>
    <w:tmpl w:val="AFDE4E52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73A7262"/>
    <w:multiLevelType w:val="hybridMultilevel"/>
    <w:tmpl w:val="DFC413A0"/>
    <w:lvl w:ilvl="0" w:tplc="1090C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7429B"/>
    <w:multiLevelType w:val="hybridMultilevel"/>
    <w:tmpl w:val="FBFA613A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CBB73CA"/>
    <w:multiLevelType w:val="hybridMultilevel"/>
    <w:tmpl w:val="A24E1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4135"/>
    <w:multiLevelType w:val="hybridMultilevel"/>
    <w:tmpl w:val="B1F0ED88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E4C79D9"/>
    <w:multiLevelType w:val="hybridMultilevel"/>
    <w:tmpl w:val="7F88F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062DF"/>
    <w:multiLevelType w:val="hybridMultilevel"/>
    <w:tmpl w:val="A5E24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FF"/>
    <w:rsid w:val="000203E6"/>
    <w:rsid w:val="00025008"/>
    <w:rsid w:val="00033102"/>
    <w:rsid w:val="00087D08"/>
    <w:rsid w:val="0009420C"/>
    <w:rsid w:val="00097524"/>
    <w:rsid w:val="000C07EC"/>
    <w:rsid w:val="000D78C9"/>
    <w:rsid w:val="000F1C62"/>
    <w:rsid w:val="000F4A23"/>
    <w:rsid w:val="000F6048"/>
    <w:rsid w:val="00106B6C"/>
    <w:rsid w:val="001215A4"/>
    <w:rsid w:val="001223E3"/>
    <w:rsid w:val="00123C7C"/>
    <w:rsid w:val="0014695C"/>
    <w:rsid w:val="00153398"/>
    <w:rsid w:val="0015620D"/>
    <w:rsid w:val="001738CF"/>
    <w:rsid w:val="00183FE3"/>
    <w:rsid w:val="001A1C35"/>
    <w:rsid w:val="001C20D3"/>
    <w:rsid w:val="001D7B37"/>
    <w:rsid w:val="001E11E5"/>
    <w:rsid w:val="001F2CF8"/>
    <w:rsid w:val="00222102"/>
    <w:rsid w:val="00233A25"/>
    <w:rsid w:val="00243D82"/>
    <w:rsid w:val="002610B9"/>
    <w:rsid w:val="00270B65"/>
    <w:rsid w:val="002A18F3"/>
    <w:rsid w:val="002A25AB"/>
    <w:rsid w:val="002A30E9"/>
    <w:rsid w:val="002C4044"/>
    <w:rsid w:val="002E6EDB"/>
    <w:rsid w:val="003049DB"/>
    <w:rsid w:val="00316F6C"/>
    <w:rsid w:val="00323426"/>
    <w:rsid w:val="00337592"/>
    <w:rsid w:val="003411B9"/>
    <w:rsid w:val="003468DE"/>
    <w:rsid w:val="00381C9E"/>
    <w:rsid w:val="003A2339"/>
    <w:rsid w:val="003A4C00"/>
    <w:rsid w:val="003B243D"/>
    <w:rsid w:val="003E3531"/>
    <w:rsid w:val="003E413D"/>
    <w:rsid w:val="003E511C"/>
    <w:rsid w:val="00406C27"/>
    <w:rsid w:val="0041090D"/>
    <w:rsid w:val="00446E12"/>
    <w:rsid w:val="00457189"/>
    <w:rsid w:val="00461937"/>
    <w:rsid w:val="00470135"/>
    <w:rsid w:val="004706A2"/>
    <w:rsid w:val="0047279B"/>
    <w:rsid w:val="00480CFD"/>
    <w:rsid w:val="004948F7"/>
    <w:rsid w:val="004B6AC4"/>
    <w:rsid w:val="004C7F83"/>
    <w:rsid w:val="004E3A24"/>
    <w:rsid w:val="004E512E"/>
    <w:rsid w:val="004F05F2"/>
    <w:rsid w:val="004F4656"/>
    <w:rsid w:val="00501A04"/>
    <w:rsid w:val="0050315A"/>
    <w:rsid w:val="0050395E"/>
    <w:rsid w:val="005157D2"/>
    <w:rsid w:val="00540CA5"/>
    <w:rsid w:val="00586D66"/>
    <w:rsid w:val="005926B4"/>
    <w:rsid w:val="005939E8"/>
    <w:rsid w:val="005A4D74"/>
    <w:rsid w:val="005A5A62"/>
    <w:rsid w:val="005B2CA3"/>
    <w:rsid w:val="005C5AC3"/>
    <w:rsid w:val="005C7CB5"/>
    <w:rsid w:val="005D7A18"/>
    <w:rsid w:val="005F1CA8"/>
    <w:rsid w:val="005F506B"/>
    <w:rsid w:val="0060082B"/>
    <w:rsid w:val="00644014"/>
    <w:rsid w:val="0064644F"/>
    <w:rsid w:val="006563B4"/>
    <w:rsid w:val="00664067"/>
    <w:rsid w:val="00672C24"/>
    <w:rsid w:val="00680309"/>
    <w:rsid w:val="00684933"/>
    <w:rsid w:val="00686E12"/>
    <w:rsid w:val="006A089E"/>
    <w:rsid w:val="006B492D"/>
    <w:rsid w:val="006D2B71"/>
    <w:rsid w:val="006D764A"/>
    <w:rsid w:val="006E2285"/>
    <w:rsid w:val="00727F05"/>
    <w:rsid w:val="00735309"/>
    <w:rsid w:val="00744468"/>
    <w:rsid w:val="0075535B"/>
    <w:rsid w:val="00776AE0"/>
    <w:rsid w:val="00787B7A"/>
    <w:rsid w:val="007B797A"/>
    <w:rsid w:val="007C23F5"/>
    <w:rsid w:val="007C4AA3"/>
    <w:rsid w:val="007D53AE"/>
    <w:rsid w:val="007F2479"/>
    <w:rsid w:val="007F785F"/>
    <w:rsid w:val="008008A4"/>
    <w:rsid w:val="00823D45"/>
    <w:rsid w:val="00856607"/>
    <w:rsid w:val="008577F5"/>
    <w:rsid w:val="00860002"/>
    <w:rsid w:val="00860152"/>
    <w:rsid w:val="00863B92"/>
    <w:rsid w:val="0086489B"/>
    <w:rsid w:val="0089489C"/>
    <w:rsid w:val="008A7518"/>
    <w:rsid w:val="008D00AE"/>
    <w:rsid w:val="008D57A5"/>
    <w:rsid w:val="008E658D"/>
    <w:rsid w:val="008F4271"/>
    <w:rsid w:val="008F6E3D"/>
    <w:rsid w:val="00901E69"/>
    <w:rsid w:val="00913BF2"/>
    <w:rsid w:val="00920435"/>
    <w:rsid w:val="009316C1"/>
    <w:rsid w:val="00940A49"/>
    <w:rsid w:val="009572A8"/>
    <w:rsid w:val="009632BB"/>
    <w:rsid w:val="0097524A"/>
    <w:rsid w:val="0098380A"/>
    <w:rsid w:val="009A1613"/>
    <w:rsid w:val="009B5684"/>
    <w:rsid w:val="009C6CAC"/>
    <w:rsid w:val="009D0249"/>
    <w:rsid w:val="009F78E9"/>
    <w:rsid w:val="00A249F1"/>
    <w:rsid w:val="00A52740"/>
    <w:rsid w:val="00A6293C"/>
    <w:rsid w:val="00A70291"/>
    <w:rsid w:val="00A76184"/>
    <w:rsid w:val="00AD5FC9"/>
    <w:rsid w:val="00AE7DB6"/>
    <w:rsid w:val="00AF32A1"/>
    <w:rsid w:val="00AF7293"/>
    <w:rsid w:val="00B17854"/>
    <w:rsid w:val="00B2384B"/>
    <w:rsid w:val="00B415F9"/>
    <w:rsid w:val="00B534CF"/>
    <w:rsid w:val="00B61D41"/>
    <w:rsid w:val="00B71839"/>
    <w:rsid w:val="00B97677"/>
    <w:rsid w:val="00BA0923"/>
    <w:rsid w:val="00BA33E9"/>
    <w:rsid w:val="00BA3890"/>
    <w:rsid w:val="00BC31CA"/>
    <w:rsid w:val="00BE45E2"/>
    <w:rsid w:val="00BF347C"/>
    <w:rsid w:val="00C01C3C"/>
    <w:rsid w:val="00C1606E"/>
    <w:rsid w:val="00C20379"/>
    <w:rsid w:val="00C31CE0"/>
    <w:rsid w:val="00C36E77"/>
    <w:rsid w:val="00C51C03"/>
    <w:rsid w:val="00C6170A"/>
    <w:rsid w:val="00C70978"/>
    <w:rsid w:val="00C8139F"/>
    <w:rsid w:val="00C901B0"/>
    <w:rsid w:val="00C90D0D"/>
    <w:rsid w:val="00CB2D72"/>
    <w:rsid w:val="00CC6939"/>
    <w:rsid w:val="00D061AE"/>
    <w:rsid w:val="00D32DFF"/>
    <w:rsid w:val="00D355BC"/>
    <w:rsid w:val="00D544FF"/>
    <w:rsid w:val="00D56EFE"/>
    <w:rsid w:val="00D6612F"/>
    <w:rsid w:val="00D725C2"/>
    <w:rsid w:val="00D847B5"/>
    <w:rsid w:val="00DB18BA"/>
    <w:rsid w:val="00DC6EBD"/>
    <w:rsid w:val="00DC7E5E"/>
    <w:rsid w:val="00DD2C23"/>
    <w:rsid w:val="00DE491E"/>
    <w:rsid w:val="00E016A8"/>
    <w:rsid w:val="00E0397E"/>
    <w:rsid w:val="00E11186"/>
    <w:rsid w:val="00E12F5F"/>
    <w:rsid w:val="00E20EA9"/>
    <w:rsid w:val="00E320CC"/>
    <w:rsid w:val="00E4570D"/>
    <w:rsid w:val="00E576AF"/>
    <w:rsid w:val="00E92028"/>
    <w:rsid w:val="00EA5703"/>
    <w:rsid w:val="00EC3D2A"/>
    <w:rsid w:val="00EC5E97"/>
    <w:rsid w:val="00F04728"/>
    <w:rsid w:val="00F20BA8"/>
    <w:rsid w:val="00F3047C"/>
    <w:rsid w:val="00F6082D"/>
    <w:rsid w:val="00F81CE8"/>
    <w:rsid w:val="00F862F1"/>
    <w:rsid w:val="00F877C7"/>
    <w:rsid w:val="00FC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F955401"/>
  <w15:chartTrackingRefBased/>
  <w15:docId w15:val="{26156933-170B-414B-BE11-CA0D0124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2DF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D32D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Subtitle">
    <w:name w:val="Subtitle"/>
    <w:basedOn w:val="Normal"/>
    <w:link w:val="SubtitleChar"/>
    <w:uiPriority w:val="11"/>
    <w:qFormat/>
    <w:rsid w:val="00D32DF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32DF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D32DF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32DF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Paragraphnumbering">
    <w:name w:val="Paragraph numbering"/>
    <w:basedOn w:val="Normal"/>
    <w:link w:val="ParagraphnumberingChar"/>
    <w:qFormat/>
    <w:rsid w:val="00D32DF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D32DF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D32DF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D32DFF"/>
    <w:rPr>
      <w:rFonts w:ascii="Corbel" w:eastAsia="Times New Roman" w:hAnsi="Corbel" w:cs="Arial"/>
      <w:iCs/>
      <w:color w:val="2F5496" w:themeColor="accent1" w:themeShade="BF"/>
      <w:sz w:val="26"/>
      <w:szCs w:val="26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D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2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F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2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FF"/>
    <w:rPr>
      <w:lang w:val="en-US"/>
    </w:rPr>
  </w:style>
  <w:style w:type="paragraph" w:customStyle="1" w:styleId="Milestonetable">
    <w:name w:val="Milestone table"/>
    <w:basedOn w:val="Tableformat"/>
    <w:link w:val="MilestonetableChar"/>
    <w:qFormat/>
    <w:rsid w:val="00D32DF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D32DFF"/>
    <w:rPr>
      <w:rFonts w:ascii="Corbel" w:eastAsia="Times New Roman" w:hAnsi="Corbel" w:cs="Arial"/>
      <w:iCs/>
      <w:color w:val="2F5496" w:themeColor="accent1" w:themeShade="BF"/>
      <w:sz w:val="20"/>
      <w:szCs w:val="20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32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DFF"/>
    <w:rPr>
      <w:sz w:val="20"/>
      <w:szCs w:val="20"/>
      <w:lang w:val="en-US"/>
    </w:rPr>
  </w:style>
  <w:style w:type="paragraph" w:customStyle="1" w:styleId="SingleParagraph">
    <w:name w:val="Single Paragraph"/>
    <w:basedOn w:val="Normal"/>
    <w:rsid w:val="00D32DF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D32DFF"/>
    <w:rPr>
      <w:b/>
    </w:rPr>
  </w:style>
  <w:style w:type="paragraph" w:customStyle="1" w:styleId="Signed">
    <w:name w:val="Signed"/>
    <w:basedOn w:val="Normal"/>
    <w:rsid w:val="00D32DF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D32DF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D32DFF"/>
    <w:rPr>
      <w:b/>
      <w:i/>
    </w:rPr>
  </w:style>
  <w:style w:type="paragraph" w:customStyle="1" w:styleId="LineForSignature">
    <w:name w:val="LineForSignature"/>
    <w:basedOn w:val="Normal"/>
    <w:rsid w:val="00D32DF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85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7524A"/>
    <w:pPr>
      <w:spacing w:after="0" w:line="240" w:lineRule="auto"/>
    </w:pPr>
    <w:rPr>
      <w:lang w:val="en-US"/>
    </w:rPr>
  </w:style>
  <w:style w:type="character" w:customStyle="1" w:styleId="ui-provider">
    <w:name w:val="ui-provider"/>
    <w:basedOn w:val="DefaultParagraphFont"/>
    <w:rsid w:val="00AF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7861" ma:contentTypeDescription=" " ma:contentTypeScope="" ma:versionID="4dcd6025ce3fe05aa227a371e099d4d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116af7369b48f077cba1a0cb86df0efa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_dlc_DocId xmlns="0f563589-9cf9-4143-b1eb-fb0534803d38">2023FG-64-114671</_dlc_DocId>
    <_dlc_DocIdUrl xmlns="0f563589-9cf9-4143-b1eb-fb0534803d38">
      <Url>http://tweb/sites/fg/csrd/_layouts/15/DocIdRedir.aspx?ID=2023FG-64-114671</Url>
      <Description>2023FG-64-114671</Description>
    </_dlc_DocIdUrl>
  </documentManagement>
</p:properties>
</file>

<file path=customXml/itemProps1.xml><?xml version="1.0" encoding="utf-8"?>
<ds:datastoreItem xmlns:ds="http://schemas.openxmlformats.org/officeDocument/2006/customXml" ds:itemID="{B0906D7C-0E01-4A2A-BBB3-9D549C7A0A5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C5A257C-8C29-4582-A23A-C0B7DE8EF5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9DB7A7-520A-4DA0-BE69-85533A26CF3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CE3B285-0289-46FE-AF68-A186197A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06F24B-4A4B-402B-8C69-8729E8BF5FD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F98A549-0FF7-4D31-AFAB-D6802FE07EF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9A67EBC-9740-4176-B950-FD7CA075C83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f563589-9cf9-4143-b1eb-fb0534803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Courtney</dc:creator>
  <cp:keywords/>
  <dc:description/>
  <cp:lastModifiedBy>MOORE, Cathy</cp:lastModifiedBy>
  <cp:revision>4</cp:revision>
  <cp:lastPrinted>2023-04-03T07:03:00Z</cp:lastPrinted>
  <dcterms:created xsi:type="dcterms:W3CDTF">2023-04-14T04:28:00Z</dcterms:created>
  <dcterms:modified xsi:type="dcterms:W3CDTF">2023-04-14T04:30:00Z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lb508a4dc5e84436a0fe496b536466aa">
    <vt:lpwstr>TSY RA-8748 - Retain as national archives|243f2231-dbfc-4282-b24a-c9b768286bd0</vt:lpwstr>
  </property>
  <property fmtid="{D5CDD505-2E9C-101B-9397-08002B2CF9AE}" pid="4" name="_dlc_DocIdItemGuid">
    <vt:lpwstr>0665d123-8b4c-4499-ad9c-639c97b334b2</vt:lpwstr>
  </property>
  <property fmtid="{D5CDD505-2E9C-101B-9397-08002B2CF9AE}" pid="5" name="TSYRecordClass">
    <vt:lpwstr>2;#TSY RA-8748 - Retain as national archives|243f2231-dbfc-4282-b24a-c9b768286bd0</vt:lpwstr>
  </property>
</Properties>
</file>