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9F42E6" w14:paraId="5254F169" w14:textId="77777777" w:rsidTr="00652BFB">
        <w:tc>
          <w:tcPr>
            <w:tcW w:w="817" w:type="pct"/>
          </w:tcPr>
          <w:p w14:paraId="5254F167" w14:textId="77777777" w:rsidR="009F42E6" w:rsidRDefault="009F42E6" w:rsidP="00652BFB">
            <w:bookmarkStart w:id="0" w:name="_GoBack"/>
            <w:bookmarkEnd w:id="0"/>
          </w:p>
        </w:tc>
        <w:tc>
          <w:tcPr>
            <w:tcW w:w="4183" w:type="pct"/>
          </w:tcPr>
          <w:p w14:paraId="5254F168" w14:textId="77777777" w:rsidR="009F42E6" w:rsidRDefault="009F42E6" w:rsidP="00652BFB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5254F16A" w14:textId="371FB3A5" w:rsidR="009F42E6" w:rsidRPr="0044106B" w:rsidRDefault="00F142E3" w:rsidP="009F42E6">
      <w:pPr>
        <w:pStyle w:val="Title"/>
        <w:jc w:val="right"/>
        <w:rPr>
          <w:rFonts w:ascii="Consolas" w:hAnsi="Consolas" w:cs="Consolas"/>
          <w:sz w:val="40"/>
        </w:rPr>
      </w:pPr>
      <w:r w:rsidRPr="0044106B">
        <w:rPr>
          <w:rFonts w:ascii="Consolas" w:hAnsi="Consolas" w:cs="Consolas"/>
          <w:sz w:val="40"/>
        </w:rPr>
        <w:t xml:space="preserve">Schedule </w:t>
      </w:r>
      <w:r w:rsidR="00692299" w:rsidRPr="007D3EEA">
        <w:rPr>
          <w:rFonts w:ascii="Consolas" w:hAnsi="Consolas" w:cs="Consolas"/>
          <w:sz w:val="40"/>
        </w:rPr>
        <w:t>A</w:t>
      </w:r>
      <w:r w:rsidR="00833B77">
        <w:rPr>
          <w:rFonts w:ascii="Consolas" w:hAnsi="Consolas" w:cs="Consolas"/>
          <w:sz w:val="40"/>
        </w:rPr>
        <w:t>D</w:t>
      </w:r>
    </w:p>
    <w:p w14:paraId="5254F16B" w14:textId="53C43BF9" w:rsidR="009F42E6" w:rsidRPr="0044106B" w:rsidRDefault="009F42E6" w:rsidP="00225E78">
      <w:pPr>
        <w:pStyle w:val="Title"/>
        <w:ind w:right="-188"/>
        <w:rPr>
          <w:rFonts w:ascii="Consolas" w:hAnsi="Consolas" w:cs="Consolas"/>
          <w:sz w:val="56"/>
          <w:szCs w:val="56"/>
        </w:rPr>
      </w:pPr>
      <w:r w:rsidRPr="0044106B">
        <w:rPr>
          <w:rFonts w:ascii="Consolas" w:hAnsi="Consolas" w:cs="Consolas"/>
          <w:sz w:val="56"/>
          <w:szCs w:val="56"/>
        </w:rPr>
        <w:t xml:space="preserve">National </w:t>
      </w:r>
      <w:r w:rsidR="00F142E3" w:rsidRPr="0044106B">
        <w:rPr>
          <w:rFonts w:ascii="Consolas" w:hAnsi="Consolas" w:cs="Consolas"/>
          <w:sz w:val="56"/>
          <w:szCs w:val="56"/>
        </w:rPr>
        <w:t>Browsing</w:t>
      </w:r>
      <w:r w:rsidRPr="0044106B">
        <w:rPr>
          <w:rFonts w:ascii="Consolas" w:hAnsi="Consolas" w:cs="Consolas"/>
          <w:sz w:val="56"/>
          <w:szCs w:val="56"/>
        </w:rPr>
        <w:t xml:space="preserve"> Ant</w:t>
      </w:r>
      <w:r w:rsidR="000D6C6F">
        <w:rPr>
          <w:rFonts w:ascii="Consolas" w:hAnsi="Consolas" w:cs="Consolas"/>
          <w:sz w:val="56"/>
          <w:szCs w:val="56"/>
        </w:rPr>
        <w:t xml:space="preserve"> </w:t>
      </w:r>
      <w:r w:rsidR="00692299">
        <w:rPr>
          <w:rFonts w:ascii="Consolas" w:hAnsi="Consolas" w:cs="Consolas"/>
          <w:sz w:val="56"/>
          <w:szCs w:val="56"/>
        </w:rPr>
        <w:t>Western Australia</w:t>
      </w:r>
      <w:r w:rsidR="00A94B58">
        <w:rPr>
          <w:rFonts w:ascii="Consolas" w:hAnsi="Consolas" w:cs="Consolas"/>
          <w:sz w:val="56"/>
          <w:szCs w:val="56"/>
        </w:rPr>
        <w:t xml:space="preserve"> Eradication </w:t>
      </w:r>
      <w:r w:rsidR="00DF05D6">
        <w:rPr>
          <w:rFonts w:ascii="Consolas" w:hAnsi="Consolas" w:cs="Consolas"/>
          <w:sz w:val="56"/>
          <w:szCs w:val="56"/>
        </w:rPr>
        <w:t>Program</w:t>
      </w:r>
    </w:p>
    <w:p w14:paraId="5254F16C" w14:textId="77777777" w:rsidR="009F42E6" w:rsidRPr="0044106B" w:rsidRDefault="009F42E6" w:rsidP="009F42E6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>Part 1: Preliminaries</w:t>
      </w:r>
    </w:p>
    <w:p w14:paraId="7456D70B" w14:textId="0FE9B606" w:rsidR="00C84467" w:rsidRPr="00C84467" w:rsidRDefault="009F42E6" w:rsidP="00C84467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FD546E">
        <w:rPr>
          <w:rFonts w:ascii="Corbel" w:hAnsi="Corbel" w:cs="Calibri"/>
          <w:sz w:val="23"/>
          <w:szCs w:val="23"/>
        </w:rPr>
        <w:t xml:space="preserve">National </w:t>
      </w:r>
      <w:r w:rsidR="00A94B58">
        <w:rPr>
          <w:rFonts w:ascii="Corbel" w:hAnsi="Corbel" w:cs="Calibri"/>
          <w:sz w:val="23"/>
          <w:szCs w:val="23"/>
        </w:rPr>
        <w:t xml:space="preserve">Browsing Ant Eradication Program - </w:t>
      </w:r>
      <w:r w:rsidR="00BA341C">
        <w:rPr>
          <w:rFonts w:ascii="Corbel" w:hAnsi="Corbel" w:cs="Calibri"/>
          <w:sz w:val="23"/>
          <w:szCs w:val="23"/>
        </w:rPr>
        <w:t>Western Australia</w:t>
      </w:r>
      <w:r w:rsidR="00BA341C" w:rsidRPr="0044106B">
        <w:rPr>
          <w:rFonts w:ascii="Corbel" w:hAnsi="Corbel" w:cs="Calibri"/>
          <w:sz w:val="23"/>
          <w:szCs w:val="23"/>
        </w:rPr>
        <w:t xml:space="preserve"> </w:t>
      </w:r>
      <w:r w:rsidRPr="00225E78">
        <w:rPr>
          <w:rFonts w:ascii="Corbel" w:hAnsi="Corbel" w:cs="Calibri"/>
          <w:sz w:val="23"/>
          <w:szCs w:val="23"/>
        </w:rPr>
        <w:t xml:space="preserve">from </w:t>
      </w:r>
      <w:r w:rsidR="00692299">
        <w:rPr>
          <w:rFonts w:ascii="Corbel" w:hAnsi="Corbel" w:cs="Calibri"/>
          <w:sz w:val="23"/>
          <w:szCs w:val="23"/>
        </w:rPr>
        <w:t>2018-19</w:t>
      </w:r>
      <w:r w:rsidRPr="00225E78">
        <w:rPr>
          <w:rFonts w:ascii="Corbel" w:hAnsi="Corbel" w:cs="Calibri"/>
          <w:sz w:val="23"/>
          <w:szCs w:val="23"/>
        </w:rPr>
        <w:t xml:space="preserve"> to </w:t>
      </w:r>
      <w:r w:rsidR="00DF05D6">
        <w:rPr>
          <w:rFonts w:ascii="Corbel" w:hAnsi="Corbel" w:cs="Calibri"/>
          <w:sz w:val="23"/>
          <w:szCs w:val="23"/>
        </w:rPr>
        <w:t>2021-22</w:t>
      </w:r>
      <w:r w:rsidRPr="0044106B">
        <w:rPr>
          <w:rFonts w:ascii="Corbel" w:hAnsi="Corbel" w:cs="Calibri"/>
          <w:sz w:val="23"/>
          <w:szCs w:val="23"/>
        </w:rPr>
        <w:t xml:space="preserve"> and to facilitate the Commonwealth’s cost-shared contribution to </w:t>
      </w:r>
      <w:r w:rsidR="00692299">
        <w:rPr>
          <w:rFonts w:ascii="Corbel" w:hAnsi="Corbel" w:cs="Calibri"/>
          <w:sz w:val="23"/>
          <w:szCs w:val="23"/>
        </w:rPr>
        <w:t>Western Australia</w:t>
      </w:r>
      <w:r w:rsidRPr="0044106B">
        <w:rPr>
          <w:rFonts w:ascii="Corbel" w:hAnsi="Corbel" w:cs="Calibri"/>
          <w:sz w:val="23"/>
          <w:szCs w:val="23"/>
        </w:rPr>
        <w:t>, the combatant stat</w:t>
      </w:r>
      <w:r w:rsidR="00DF05D6">
        <w:rPr>
          <w:rFonts w:ascii="Corbel" w:hAnsi="Corbel" w:cs="Calibri"/>
          <w:sz w:val="23"/>
          <w:szCs w:val="23"/>
        </w:rPr>
        <w:t>e for this eradication program</w:t>
      </w:r>
      <w:r w:rsidRPr="0044106B">
        <w:rPr>
          <w:rFonts w:ascii="Corbel" w:hAnsi="Corbel" w:cs="Calibri"/>
          <w:sz w:val="23"/>
          <w:szCs w:val="23"/>
        </w:rPr>
        <w:t>.</w:t>
      </w:r>
    </w:p>
    <w:p w14:paraId="5254F16E" w14:textId="28CC606D" w:rsidR="009F42E6" w:rsidRPr="0044106B" w:rsidRDefault="009F42E6" w:rsidP="00C40DF7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>The</w:t>
      </w:r>
      <w:r w:rsidR="00BA341C">
        <w:rPr>
          <w:rFonts w:ascii="Corbel" w:hAnsi="Corbel" w:cs="Calibri"/>
          <w:sz w:val="23"/>
          <w:szCs w:val="23"/>
        </w:rPr>
        <w:t xml:space="preserve"> </w:t>
      </w:r>
      <w:r w:rsidR="00A94B58">
        <w:rPr>
          <w:rFonts w:ascii="Corbel" w:hAnsi="Corbel" w:cs="Calibri"/>
          <w:sz w:val="23"/>
          <w:szCs w:val="23"/>
        </w:rPr>
        <w:t>National Browsing Ant Eradication Program - Western Australia</w:t>
      </w:r>
      <w:r w:rsidR="00A94B58" w:rsidRPr="0044106B">
        <w:rPr>
          <w:rFonts w:ascii="Corbel" w:hAnsi="Corbel" w:cs="Calibri"/>
          <w:sz w:val="23"/>
          <w:szCs w:val="23"/>
        </w:rPr>
        <w:t xml:space="preserve"> </w:t>
      </w:r>
      <w:r w:rsidRPr="0044106B">
        <w:rPr>
          <w:rFonts w:ascii="Corbel" w:hAnsi="Corbel" w:cs="Calibri"/>
          <w:sz w:val="23"/>
          <w:szCs w:val="23"/>
        </w:rPr>
        <w:t>is being conducted under the National Environmental Biosecurity Response Agreement (NEBRA)</w:t>
      </w:r>
      <w:r w:rsidR="00CE0BA7">
        <w:rPr>
          <w:rFonts w:ascii="Corbel" w:hAnsi="Corbel" w:cs="Calibri"/>
          <w:sz w:val="23"/>
          <w:szCs w:val="23"/>
        </w:rPr>
        <w:t xml:space="preserve">, as agreed by the National Biosecurity Management Group (NBMG) on </w:t>
      </w:r>
      <w:r w:rsidR="00BA341C">
        <w:rPr>
          <w:rFonts w:ascii="Corbel" w:hAnsi="Corbel" w:cs="Calibri"/>
          <w:sz w:val="23"/>
          <w:szCs w:val="23"/>
        </w:rPr>
        <w:t>27</w:t>
      </w:r>
      <w:r w:rsidR="00DF05D6">
        <w:rPr>
          <w:rFonts w:ascii="Corbel" w:hAnsi="Corbel" w:cs="Calibri"/>
          <w:sz w:val="23"/>
          <w:szCs w:val="23"/>
        </w:rPr>
        <w:t xml:space="preserve"> </w:t>
      </w:r>
      <w:r w:rsidR="00BA341C">
        <w:rPr>
          <w:rFonts w:ascii="Corbel" w:hAnsi="Corbel" w:cs="Calibri"/>
          <w:sz w:val="23"/>
          <w:szCs w:val="23"/>
        </w:rPr>
        <w:t xml:space="preserve">February </w:t>
      </w:r>
      <w:r w:rsidR="00DF05D6">
        <w:rPr>
          <w:rFonts w:ascii="Corbel" w:hAnsi="Corbel" w:cs="Calibri"/>
          <w:sz w:val="23"/>
          <w:szCs w:val="23"/>
        </w:rPr>
        <w:t>201</w:t>
      </w:r>
      <w:r w:rsidR="007D3EEA">
        <w:rPr>
          <w:rFonts w:ascii="Corbel" w:hAnsi="Corbel" w:cs="Calibri"/>
          <w:sz w:val="23"/>
          <w:szCs w:val="23"/>
        </w:rPr>
        <w:t>9</w:t>
      </w:r>
      <w:r w:rsidR="00CE0BA7">
        <w:rPr>
          <w:rFonts w:ascii="Corbel" w:hAnsi="Corbel" w:cs="Calibri"/>
          <w:sz w:val="23"/>
          <w:szCs w:val="23"/>
        </w:rPr>
        <w:t>.</w:t>
      </w:r>
    </w:p>
    <w:p w14:paraId="5254F16F" w14:textId="788AC071" w:rsidR="009F42E6" w:rsidRDefault="004A7DE9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Financial commitments are approved by the NBMG subject to budget considerations. </w:t>
      </w:r>
      <w:r w:rsidR="00FE0642" w:rsidRPr="0044106B">
        <w:rPr>
          <w:rFonts w:ascii="Corbel" w:hAnsi="Corbel" w:cs="Calibri"/>
          <w:sz w:val="23"/>
          <w:szCs w:val="23"/>
        </w:rPr>
        <w:t>The</w:t>
      </w:r>
      <w:r w:rsidR="00FE0642">
        <w:rPr>
          <w:rFonts w:ascii="Corbel" w:hAnsi="Corbel" w:cs="Calibri"/>
          <w:sz w:val="23"/>
          <w:szCs w:val="23"/>
        </w:rPr>
        <w:t xml:space="preserve"> </w:t>
      </w:r>
      <w:r w:rsidR="00CA75D6" w:rsidRPr="00CA75D6">
        <w:rPr>
          <w:rFonts w:ascii="Corbel" w:hAnsi="Corbel" w:cs="Calibri"/>
          <w:i/>
          <w:sz w:val="23"/>
          <w:szCs w:val="23"/>
        </w:rPr>
        <w:t>Lepisiota frauenfeldi</w:t>
      </w:r>
      <w:r w:rsidR="00CA75D6">
        <w:rPr>
          <w:rFonts w:ascii="Corbel" w:hAnsi="Corbel" w:cs="Calibri"/>
          <w:sz w:val="23"/>
          <w:szCs w:val="23"/>
        </w:rPr>
        <w:t xml:space="preserve"> (</w:t>
      </w:r>
      <w:r w:rsidR="007D3EEA">
        <w:rPr>
          <w:rFonts w:ascii="Corbel" w:hAnsi="Corbel" w:cs="Calibri"/>
          <w:sz w:val="23"/>
          <w:szCs w:val="23"/>
        </w:rPr>
        <w:t>B</w:t>
      </w:r>
      <w:r w:rsidR="00FD546E" w:rsidRPr="007D3EEA">
        <w:rPr>
          <w:rFonts w:ascii="Corbel" w:hAnsi="Corbel" w:cs="Calibri"/>
          <w:i/>
          <w:sz w:val="23"/>
          <w:szCs w:val="23"/>
        </w:rPr>
        <w:t>rowsing ant</w:t>
      </w:r>
      <w:r w:rsidR="00CA75D6">
        <w:rPr>
          <w:rFonts w:ascii="Corbel" w:hAnsi="Corbel" w:cs="Calibri"/>
          <w:i/>
          <w:sz w:val="23"/>
          <w:szCs w:val="23"/>
        </w:rPr>
        <w:t>)</w:t>
      </w:r>
      <w:r w:rsidR="00FD546E" w:rsidRPr="007D3EEA">
        <w:rPr>
          <w:rFonts w:ascii="Corbel" w:hAnsi="Corbel" w:cs="Calibri"/>
          <w:i/>
          <w:sz w:val="23"/>
          <w:szCs w:val="23"/>
        </w:rPr>
        <w:t xml:space="preserve"> </w:t>
      </w:r>
      <w:r w:rsidR="007D3EEA">
        <w:rPr>
          <w:rFonts w:ascii="Corbel" w:hAnsi="Corbel" w:cs="Calibri"/>
          <w:i/>
          <w:sz w:val="23"/>
          <w:szCs w:val="23"/>
        </w:rPr>
        <w:t>r</w:t>
      </w:r>
      <w:r w:rsidR="00CA75D6">
        <w:rPr>
          <w:rFonts w:ascii="Corbel" w:hAnsi="Corbel" w:cs="Calibri"/>
          <w:i/>
          <w:sz w:val="23"/>
          <w:szCs w:val="23"/>
        </w:rPr>
        <w:t>esponse plan</w:t>
      </w:r>
      <w:r w:rsidR="00FD546E" w:rsidRPr="007D3EEA">
        <w:rPr>
          <w:rFonts w:ascii="Corbel" w:hAnsi="Corbel" w:cs="Calibri"/>
          <w:i/>
          <w:sz w:val="23"/>
          <w:szCs w:val="23"/>
        </w:rPr>
        <w:t xml:space="preserve"> Western Australia</w:t>
      </w:r>
      <w:r w:rsidR="007D3EEA">
        <w:rPr>
          <w:rFonts w:ascii="Corbel" w:hAnsi="Corbel" w:cs="Calibri"/>
          <w:sz w:val="23"/>
          <w:szCs w:val="23"/>
        </w:rPr>
        <w:t xml:space="preserve"> </w:t>
      </w:r>
      <w:r w:rsidR="00A94B58">
        <w:rPr>
          <w:rFonts w:ascii="Corbel" w:hAnsi="Corbel" w:cs="Calibri"/>
          <w:sz w:val="23"/>
          <w:szCs w:val="23"/>
        </w:rPr>
        <w:t xml:space="preserve">(the Response Plan) </w:t>
      </w:r>
      <w:r>
        <w:rPr>
          <w:rFonts w:ascii="Corbel" w:hAnsi="Corbel"/>
          <w:sz w:val="23"/>
          <w:szCs w:val="23"/>
        </w:rPr>
        <w:t xml:space="preserve">budget </w:t>
      </w:r>
      <w:r>
        <w:rPr>
          <w:rFonts w:ascii="Corbel" w:hAnsi="Corbel" w:cs="Calibri"/>
          <w:sz w:val="23"/>
          <w:szCs w:val="23"/>
        </w:rPr>
        <w:t xml:space="preserve">was </w:t>
      </w:r>
      <w:r w:rsidR="009F42E6" w:rsidRPr="0044106B">
        <w:rPr>
          <w:rFonts w:ascii="Corbel" w:hAnsi="Corbel" w:cs="Calibri"/>
          <w:sz w:val="23"/>
          <w:szCs w:val="23"/>
        </w:rPr>
        <w:t>approved</w:t>
      </w:r>
      <w:r w:rsidR="00A94B58">
        <w:rPr>
          <w:rFonts w:ascii="Corbel" w:hAnsi="Corbel" w:cs="Calibri"/>
          <w:sz w:val="23"/>
          <w:szCs w:val="23"/>
        </w:rPr>
        <w:t xml:space="preserve"> on 27 February 2019 </w:t>
      </w:r>
      <w:r w:rsidR="009F42E6" w:rsidRPr="0044106B">
        <w:rPr>
          <w:rFonts w:ascii="Corbel" w:hAnsi="Corbel" w:cs="Calibri"/>
          <w:sz w:val="23"/>
          <w:szCs w:val="23"/>
        </w:rPr>
        <w:t>in accordance with the NEBRA</w:t>
      </w:r>
      <w:r w:rsidR="00CE0BA7">
        <w:rPr>
          <w:rFonts w:ascii="Corbel" w:hAnsi="Corbel" w:cs="Calibri"/>
          <w:sz w:val="23"/>
          <w:szCs w:val="23"/>
        </w:rPr>
        <w:t>.</w:t>
      </w:r>
    </w:p>
    <w:p w14:paraId="5254F171" w14:textId="0151E237" w:rsidR="009F42E6" w:rsidRPr="0044106B" w:rsidRDefault="004A7DE9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required, t</w:t>
      </w:r>
      <w:r w:rsidR="00F25EE3">
        <w:rPr>
          <w:rFonts w:ascii="Corbel" w:hAnsi="Corbel" w:cs="Calibri"/>
          <w:sz w:val="23"/>
          <w:szCs w:val="23"/>
        </w:rPr>
        <w:t>his</w:t>
      </w:r>
      <w:r w:rsidR="000D6C6F">
        <w:rPr>
          <w:rFonts w:ascii="Corbel" w:hAnsi="Corbel" w:cs="Calibri"/>
          <w:sz w:val="23"/>
          <w:szCs w:val="23"/>
        </w:rPr>
        <w:t xml:space="preserve"> </w:t>
      </w:r>
      <w:r w:rsidR="00854DCF">
        <w:rPr>
          <w:rFonts w:ascii="Corbel" w:hAnsi="Corbel" w:cs="Calibri"/>
          <w:sz w:val="23"/>
          <w:szCs w:val="23"/>
        </w:rPr>
        <w:t>S</w:t>
      </w:r>
      <w:r w:rsidR="00F25EE3">
        <w:rPr>
          <w:rFonts w:ascii="Corbel" w:hAnsi="Corbel" w:cs="Calibri"/>
          <w:sz w:val="23"/>
          <w:szCs w:val="23"/>
        </w:rPr>
        <w:t>chedule will be</w:t>
      </w:r>
      <w:r w:rsidR="009F42E6" w:rsidRPr="0044106B">
        <w:rPr>
          <w:rFonts w:ascii="Corbel" w:hAnsi="Corbel" w:cs="Calibri"/>
          <w:sz w:val="23"/>
          <w:szCs w:val="23"/>
        </w:rPr>
        <w:t xml:space="preserve"> reviewed in conjunction with reviews of the </w:t>
      </w:r>
      <w:r w:rsidR="00F25EE3">
        <w:rPr>
          <w:rFonts w:ascii="Corbel" w:hAnsi="Corbel" w:cs="Calibri"/>
          <w:sz w:val="23"/>
          <w:szCs w:val="23"/>
        </w:rPr>
        <w:t>e</w:t>
      </w:r>
      <w:r w:rsidR="009F42E6" w:rsidRPr="0044106B">
        <w:rPr>
          <w:rFonts w:ascii="Corbel" w:hAnsi="Corbel" w:cs="Calibri"/>
          <w:sz w:val="23"/>
          <w:szCs w:val="23"/>
        </w:rPr>
        <w:t xml:space="preserve">radication </w:t>
      </w:r>
      <w:r w:rsidR="00DF05D6">
        <w:rPr>
          <w:rFonts w:ascii="Corbel" w:hAnsi="Corbel" w:cs="Calibri"/>
          <w:sz w:val="23"/>
          <w:szCs w:val="23"/>
        </w:rPr>
        <w:t>program</w:t>
      </w:r>
      <w:r w:rsidR="009F42E6" w:rsidRPr="0044106B">
        <w:rPr>
          <w:rFonts w:ascii="Corbel" w:hAnsi="Corbel" w:cs="Calibri"/>
          <w:sz w:val="23"/>
          <w:szCs w:val="23"/>
        </w:rPr>
        <w:t xml:space="preserve"> in accordance with the provisions of the NEBRA.</w:t>
      </w:r>
    </w:p>
    <w:p w14:paraId="5254F172" w14:textId="77777777" w:rsidR="009F42E6" w:rsidRPr="0044106B" w:rsidRDefault="009F42E6" w:rsidP="009F42E6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>Part 2: FORMALITIES</w:t>
      </w:r>
      <w:r w:rsidRPr="0044106B">
        <w:rPr>
          <w:rFonts w:cs="Arial"/>
        </w:rPr>
        <w:tab/>
      </w:r>
    </w:p>
    <w:p w14:paraId="5254F173" w14:textId="663B5C8B" w:rsidR="009F42E6" w:rsidRPr="0044106B" w:rsidRDefault="009F42E6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>The Parties to this Schedule are the Co</w:t>
      </w:r>
      <w:r w:rsidR="00FE0642">
        <w:rPr>
          <w:rFonts w:ascii="Corbel" w:hAnsi="Corbel" w:cs="Calibri"/>
          <w:sz w:val="23"/>
          <w:szCs w:val="23"/>
        </w:rPr>
        <w:t>mmonwealth of Australia and Western Australia</w:t>
      </w:r>
      <w:r w:rsidRPr="0044106B">
        <w:rPr>
          <w:rFonts w:ascii="Corbel" w:hAnsi="Corbel" w:cs="Calibri"/>
          <w:sz w:val="23"/>
          <w:szCs w:val="23"/>
        </w:rPr>
        <w:t>.</w:t>
      </w:r>
    </w:p>
    <w:p w14:paraId="5254F174" w14:textId="6BBBCA34" w:rsidR="009F42E6" w:rsidRPr="004A7DE9" w:rsidRDefault="009F42E6" w:rsidP="009F42E6">
      <w:pPr>
        <w:pStyle w:val="Normalnumbered"/>
        <w:numPr>
          <w:ilvl w:val="0"/>
          <w:numId w:val="2"/>
        </w:numPr>
        <w:spacing w:after="240" w:line="260" w:lineRule="exact"/>
      </w:pPr>
      <w:r w:rsidRPr="0044106B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FE0642">
        <w:rPr>
          <w:rFonts w:ascii="Corbel" w:hAnsi="Corbel" w:cs="Calibri"/>
          <w:sz w:val="23"/>
          <w:szCs w:val="23"/>
        </w:rPr>
        <w:t>Western Australian</w:t>
      </w:r>
      <w:r w:rsidRPr="0044106B">
        <w:rPr>
          <w:rFonts w:ascii="Corbel" w:hAnsi="Corbel" w:cs="Calibri"/>
          <w:sz w:val="23"/>
          <w:szCs w:val="23"/>
        </w:rPr>
        <w:t xml:space="preserve"> ministers with portfolio responsibility for national biosecurity emergency management</w:t>
      </w:r>
      <w:r w:rsidR="007D3EEA">
        <w:rPr>
          <w:rFonts w:ascii="Corbel" w:hAnsi="Corbel" w:cs="Calibri"/>
          <w:sz w:val="23"/>
          <w:szCs w:val="23"/>
        </w:rPr>
        <w:t xml:space="preserve"> and will expire on 30 June 2023</w:t>
      </w:r>
      <w:r w:rsidRPr="0044106B">
        <w:rPr>
          <w:rFonts w:ascii="Corbel" w:hAnsi="Corbel" w:cs="Calibri"/>
          <w:sz w:val="23"/>
          <w:szCs w:val="23"/>
        </w:rPr>
        <w:t xml:space="preserve">, or upon completion or termination of the </w:t>
      </w:r>
      <w:r w:rsidR="00FD546E">
        <w:rPr>
          <w:rFonts w:ascii="Corbel" w:hAnsi="Corbel" w:cs="Calibri"/>
          <w:sz w:val="23"/>
          <w:szCs w:val="23"/>
        </w:rPr>
        <w:t>National browsing ant eradication program Western Australia</w:t>
      </w:r>
      <w:r w:rsidR="00FD546E" w:rsidRPr="0044106B">
        <w:rPr>
          <w:rFonts w:ascii="Corbel" w:hAnsi="Corbel" w:cs="Calibri"/>
          <w:sz w:val="23"/>
          <w:szCs w:val="23"/>
        </w:rPr>
        <w:t xml:space="preserve"> </w:t>
      </w:r>
      <w:r w:rsidR="004A7DE9">
        <w:rPr>
          <w:rFonts w:ascii="Corbel" w:hAnsi="Corbel" w:cs="Calibri"/>
          <w:sz w:val="23"/>
          <w:szCs w:val="23"/>
        </w:rPr>
        <w:t>as determined</w:t>
      </w:r>
      <w:r w:rsidRPr="0044106B">
        <w:rPr>
          <w:rFonts w:ascii="Corbel" w:hAnsi="Corbel" w:cs="Calibri"/>
          <w:sz w:val="23"/>
          <w:szCs w:val="23"/>
        </w:rPr>
        <w:t xml:space="preserve"> by the NBMG, including </w:t>
      </w:r>
      <w:r w:rsidR="00D1564C">
        <w:rPr>
          <w:rFonts w:ascii="Corbel" w:hAnsi="Corbel" w:cs="Calibri"/>
          <w:sz w:val="23"/>
          <w:szCs w:val="23"/>
        </w:rPr>
        <w:t xml:space="preserve">endorsement of </w:t>
      </w:r>
      <w:r w:rsidRPr="0044106B">
        <w:rPr>
          <w:rFonts w:ascii="Corbel" w:hAnsi="Corbel" w:cs="Calibri"/>
          <w:sz w:val="23"/>
          <w:szCs w:val="23"/>
        </w:rPr>
        <w:t xml:space="preserve">the final </w:t>
      </w:r>
      <w:r w:rsidR="00F25EE3">
        <w:rPr>
          <w:rFonts w:ascii="Corbel" w:hAnsi="Corbel" w:cs="Calibri"/>
          <w:sz w:val="23"/>
          <w:szCs w:val="23"/>
        </w:rPr>
        <w:t>progress report</w:t>
      </w:r>
      <w:r w:rsidRPr="0044106B">
        <w:rPr>
          <w:rFonts w:ascii="Corbel" w:hAnsi="Corbel" w:cs="Calibri"/>
          <w:sz w:val="23"/>
          <w:szCs w:val="23"/>
        </w:rPr>
        <w:t xml:space="preserve"> and processing of final payments against milestones, </w:t>
      </w:r>
      <w:r w:rsidRPr="0044106B">
        <w:rPr>
          <w:rFonts w:ascii="Corbel" w:hAnsi="Corbel"/>
          <w:sz w:val="23"/>
          <w:szCs w:val="20"/>
        </w:rPr>
        <w:t xml:space="preserve">unless </w:t>
      </w:r>
      <w:r w:rsidR="00F25EE3">
        <w:rPr>
          <w:rFonts w:ascii="Corbel" w:hAnsi="Corbel"/>
          <w:sz w:val="23"/>
          <w:szCs w:val="20"/>
        </w:rPr>
        <w:t>terminated earlier or extended as</w:t>
      </w:r>
      <w:r w:rsidRPr="0044106B">
        <w:rPr>
          <w:rFonts w:ascii="Corbel" w:hAnsi="Corbel"/>
          <w:sz w:val="23"/>
          <w:szCs w:val="20"/>
        </w:rPr>
        <w:t xml:space="preserve"> agreed in writing by the Parties</w:t>
      </w:r>
      <w:r w:rsidRPr="0044106B">
        <w:rPr>
          <w:rFonts w:ascii="Corbel" w:hAnsi="Corbel" w:cs="Calibri"/>
          <w:sz w:val="23"/>
          <w:szCs w:val="23"/>
        </w:rPr>
        <w:t xml:space="preserve">. </w:t>
      </w:r>
    </w:p>
    <w:p w14:paraId="5254F175" w14:textId="77777777" w:rsidR="009F42E6" w:rsidRPr="00225E78" w:rsidRDefault="009F42E6" w:rsidP="00225E78">
      <w:pPr>
        <w:pStyle w:val="Heading1"/>
        <w:keepLines w:val="0"/>
        <w:spacing w:before="360" w:after="180"/>
        <w:rPr>
          <w:rFonts w:cs="Arial"/>
        </w:rPr>
      </w:pPr>
      <w:r w:rsidRPr="0044106B">
        <w:rPr>
          <w:rFonts w:cs="Arial"/>
        </w:rPr>
        <w:t xml:space="preserve">Part 3: </w:t>
      </w:r>
      <w:r w:rsidRPr="0044106B">
        <w:rPr>
          <w:rFonts w:cs="Arial"/>
        </w:rPr>
        <w:tab/>
        <w:t>PROJECT ELEMENTS AND MILESTONES</w:t>
      </w:r>
    </w:p>
    <w:p w14:paraId="0EC41155" w14:textId="3E42182D" w:rsidR="00376CA5" w:rsidRPr="007919E9" w:rsidRDefault="009F42E6" w:rsidP="007919E9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bookmarkStart w:id="1" w:name="tempbookmark"/>
      <w:bookmarkEnd w:id="1"/>
      <w:r w:rsidRPr="007919E9">
        <w:rPr>
          <w:rFonts w:ascii="Corbel" w:hAnsi="Corbel" w:cs="Calibri"/>
          <w:sz w:val="23"/>
          <w:szCs w:val="23"/>
        </w:rPr>
        <w:t xml:space="preserve">The project elements </w:t>
      </w:r>
      <w:r w:rsidR="003660C3" w:rsidRPr="007919E9">
        <w:rPr>
          <w:rFonts w:ascii="Corbel" w:hAnsi="Corbel" w:cs="Calibri"/>
          <w:sz w:val="23"/>
          <w:szCs w:val="23"/>
        </w:rPr>
        <w:t xml:space="preserve">for the </w:t>
      </w:r>
      <w:r w:rsidR="00A94B58" w:rsidRPr="007919E9">
        <w:rPr>
          <w:rFonts w:ascii="Corbel" w:hAnsi="Corbel" w:cs="Calibri"/>
          <w:sz w:val="23"/>
          <w:szCs w:val="23"/>
        </w:rPr>
        <w:t>National Browsing Ant Eradication Program - Western Australia</w:t>
      </w:r>
      <w:r w:rsidR="00FD546E" w:rsidRPr="007919E9">
        <w:rPr>
          <w:rFonts w:ascii="Corbel" w:hAnsi="Corbel" w:cs="Calibri"/>
          <w:sz w:val="23"/>
          <w:szCs w:val="23"/>
        </w:rPr>
        <w:t xml:space="preserve"> </w:t>
      </w:r>
      <w:r w:rsidR="00F25EE3" w:rsidRPr="007919E9">
        <w:rPr>
          <w:rFonts w:ascii="Corbel" w:hAnsi="Corbel" w:cs="Calibri"/>
          <w:sz w:val="23"/>
          <w:szCs w:val="23"/>
        </w:rPr>
        <w:t>are</w:t>
      </w:r>
      <w:r w:rsidR="00C40DF7" w:rsidRPr="007919E9">
        <w:rPr>
          <w:rFonts w:ascii="Corbel" w:hAnsi="Corbel" w:cs="Calibri"/>
          <w:sz w:val="23"/>
          <w:szCs w:val="23"/>
        </w:rPr>
        <w:t xml:space="preserve"> as</w:t>
      </w:r>
      <w:r w:rsidR="00F25EE3" w:rsidRPr="007919E9">
        <w:rPr>
          <w:rFonts w:ascii="Corbel" w:hAnsi="Corbel" w:cs="Calibri"/>
          <w:sz w:val="23"/>
          <w:szCs w:val="23"/>
        </w:rPr>
        <w:t xml:space="preserve"> described in the </w:t>
      </w:r>
      <w:r w:rsidR="00286B6E" w:rsidRPr="008A7DB8">
        <w:rPr>
          <w:rFonts w:ascii="Corbel" w:hAnsi="Corbel" w:cs="Calibri"/>
          <w:i/>
          <w:sz w:val="23"/>
          <w:szCs w:val="23"/>
        </w:rPr>
        <w:t>Lepisiota frauenfeldi</w:t>
      </w:r>
      <w:r w:rsidR="00286B6E" w:rsidRPr="007919E9">
        <w:rPr>
          <w:rFonts w:ascii="Corbel" w:hAnsi="Corbel" w:cs="Calibri"/>
          <w:sz w:val="23"/>
          <w:szCs w:val="23"/>
        </w:rPr>
        <w:t xml:space="preserve"> (Browsing ant) Response Plan Western Australia </w:t>
      </w:r>
      <w:r w:rsidR="00C45825" w:rsidRPr="007919E9">
        <w:rPr>
          <w:rFonts w:ascii="Corbel" w:hAnsi="Corbel" w:cs="Calibri"/>
          <w:sz w:val="23"/>
          <w:szCs w:val="23"/>
        </w:rPr>
        <w:t>Response Plan</w:t>
      </w:r>
      <w:r w:rsidR="00FD546E" w:rsidRPr="007919E9">
        <w:rPr>
          <w:rFonts w:ascii="Corbel" w:hAnsi="Corbel" w:cs="Calibri"/>
          <w:sz w:val="23"/>
          <w:szCs w:val="23"/>
        </w:rPr>
        <w:t>.</w:t>
      </w:r>
      <w:r w:rsidR="00451012" w:rsidRPr="007919E9">
        <w:rPr>
          <w:rFonts w:ascii="Corbel" w:hAnsi="Corbel" w:cs="Calibri"/>
          <w:sz w:val="23"/>
          <w:szCs w:val="23"/>
        </w:rPr>
        <w:t xml:space="preserve"> </w:t>
      </w:r>
      <w:r w:rsidR="00680978" w:rsidRPr="007919E9">
        <w:rPr>
          <w:rFonts w:ascii="Corbel" w:hAnsi="Corbel" w:cs="Calibri"/>
          <w:sz w:val="23"/>
          <w:szCs w:val="23"/>
        </w:rPr>
        <w:t>Western Australia</w:t>
      </w:r>
      <w:r w:rsidR="00AA5E58" w:rsidRPr="007919E9">
        <w:rPr>
          <w:rFonts w:ascii="Corbel" w:hAnsi="Corbel" w:cs="Calibri"/>
          <w:sz w:val="23"/>
          <w:szCs w:val="23"/>
        </w:rPr>
        <w:t xml:space="preserve"> is responsible for delivering the following elements in accordance with the Response Plan:</w:t>
      </w:r>
    </w:p>
    <w:p w14:paraId="5254F178" w14:textId="7D1AFFED" w:rsidR="009F42E6" w:rsidRPr="007D3032" w:rsidRDefault="005B024A" w:rsidP="007D3EEA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 w:rsidRPr="00117FF8">
        <w:rPr>
          <w:rFonts w:cs="Calibri"/>
          <w:i/>
          <w:color w:val="auto"/>
          <w:szCs w:val="23"/>
        </w:rPr>
        <w:t>Surveillance</w:t>
      </w:r>
    </w:p>
    <w:p w14:paraId="7E05B206" w14:textId="77777777" w:rsidR="00A94B58" w:rsidRDefault="00F05BCA" w:rsidP="00386E2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 w:rsidRPr="007D3EEA">
        <w:rPr>
          <w:rFonts w:cs="Calibri"/>
          <w:szCs w:val="23"/>
        </w:rPr>
        <w:t>Surveillance</w:t>
      </w:r>
      <w:r w:rsidR="007C19F1" w:rsidRPr="007D3EEA">
        <w:rPr>
          <w:rFonts w:cs="Calibri"/>
          <w:szCs w:val="23"/>
        </w:rPr>
        <w:t xml:space="preserve"> of </w:t>
      </w:r>
      <w:r w:rsidR="0046165F" w:rsidRPr="007D3EEA">
        <w:rPr>
          <w:rFonts w:cs="Calibri"/>
          <w:szCs w:val="23"/>
        </w:rPr>
        <w:t xml:space="preserve">high risk premise such as industrial areas, refuse and waste recycle centres, freight yards and landscaping and nursery industries. </w:t>
      </w:r>
      <w:r w:rsidR="00DC7EC0" w:rsidRPr="007D3EEA">
        <w:rPr>
          <w:rFonts w:cs="Calibri"/>
          <w:szCs w:val="23"/>
        </w:rPr>
        <w:t>Surveillance is undertaken by hand coll</w:t>
      </w:r>
      <w:r w:rsidR="0097737B" w:rsidRPr="007D3EEA">
        <w:rPr>
          <w:rFonts w:cs="Calibri"/>
          <w:szCs w:val="23"/>
        </w:rPr>
        <w:t>ection, lures and traps and</w:t>
      </w:r>
      <w:r w:rsidR="00115165" w:rsidRPr="007D3EEA">
        <w:rPr>
          <w:rFonts w:cs="Calibri"/>
          <w:szCs w:val="23"/>
        </w:rPr>
        <w:t xml:space="preserve"> </w:t>
      </w:r>
      <w:r w:rsidR="00DC7EC0" w:rsidRPr="007D3EEA">
        <w:rPr>
          <w:rFonts w:cs="Calibri"/>
          <w:szCs w:val="23"/>
        </w:rPr>
        <w:t xml:space="preserve">detection dogs. </w:t>
      </w:r>
    </w:p>
    <w:p w14:paraId="1EB86676" w14:textId="5B562D1B" w:rsidR="00A94B58" w:rsidRDefault="00FB56AA" w:rsidP="00386E2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>
        <w:rPr>
          <w:rFonts w:cs="Calibri"/>
          <w:szCs w:val="23"/>
        </w:rPr>
        <w:t>Delimiting</w:t>
      </w:r>
      <w:r w:rsidR="00A94B58">
        <w:rPr>
          <w:rFonts w:cs="Calibri"/>
          <w:szCs w:val="23"/>
        </w:rPr>
        <w:t xml:space="preserve"> surveillance </w:t>
      </w:r>
      <w:r>
        <w:rPr>
          <w:rFonts w:cs="Calibri"/>
          <w:szCs w:val="23"/>
        </w:rPr>
        <w:t xml:space="preserve">of at risk locations such as waste transfer stations, transport companies, mining and agricultural operations, earthmoving and equipment hire companies, sentinel sites, etc. </w:t>
      </w:r>
    </w:p>
    <w:p w14:paraId="140D477E" w14:textId="4197B3A5" w:rsidR="00FB56AA" w:rsidRDefault="00FB56AA" w:rsidP="00A659BC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>
        <w:rPr>
          <w:rFonts w:cs="Calibri"/>
          <w:szCs w:val="23"/>
        </w:rPr>
        <w:lastRenderedPageBreak/>
        <w:t>Tracing surveillance at high risk premises that have direct association with previous infested sites, handle plant material, handle internationally operative containers and handle the dumping of green-waste and other landscaping materials.</w:t>
      </w:r>
    </w:p>
    <w:p w14:paraId="346DDF1C" w14:textId="7A9BED56" w:rsidR="007D3032" w:rsidRPr="007D3EEA" w:rsidRDefault="00C200C0" w:rsidP="00386E2A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>
        <w:rPr>
          <w:rFonts w:cs="Calibri"/>
          <w:szCs w:val="23"/>
        </w:rPr>
        <w:t xml:space="preserve">Proof of freedom surveillance will continue for two years after the last detection following the completion of the treatment regime. </w:t>
      </w:r>
    </w:p>
    <w:p w14:paraId="5254F17F" w14:textId="5D2F9167" w:rsidR="009F42E6" w:rsidRPr="0046165F" w:rsidRDefault="009F42E6" w:rsidP="00386E2A">
      <w:pPr>
        <w:pStyle w:val="ListParagraph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992" w:hanging="567"/>
        <w:rPr>
          <w:rFonts w:cs="Calibri"/>
          <w:szCs w:val="23"/>
        </w:rPr>
      </w:pPr>
      <w:r w:rsidRPr="00FD546E">
        <w:rPr>
          <w:rFonts w:cs="Calibri"/>
          <w:i/>
          <w:color w:val="auto"/>
          <w:szCs w:val="23"/>
        </w:rPr>
        <w:t>Treatment</w:t>
      </w:r>
    </w:p>
    <w:p w14:paraId="33DD7DF2" w14:textId="1DAE222C" w:rsidR="0046165F" w:rsidRPr="007D3EEA" w:rsidRDefault="00A23064" w:rsidP="00386E2A">
      <w:pPr>
        <w:pStyle w:val="ListParagraph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 w:rsidRPr="007D3EEA">
        <w:rPr>
          <w:rFonts w:cs="Calibri"/>
          <w:szCs w:val="23"/>
        </w:rPr>
        <w:t xml:space="preserve">Treatment regime consists of </w:t>
      </w:r>
      <w:r w:rsidR="00C200C0">
        <w:rPr>
          <w:rFonts w:cs="Calibri"/>
          <w:szCs w:val="23"/>
        </w:rPr>
        <w:t>infestations is one baiting treatment, followed two to three weeks later with a spray treatment.</w:t>
      </w:r>
    </w:p>
    <w:p w14:paraId="5254F181" w14:textId="77777777" w:rsidR="009F42E6" w:rsidRPr="00BB44F1" w:rsidRDefault="009F42E6" w:rsidP="00386E2A">
      <w:pPr>
        <w:pStyle w:val="ListParagraph"/>
        <w:keepNext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2" w:hanging="567"/>
        <w:rPr>
          <w:rFonts w:cs="Calibri"/>
          <w:szCs w:val="23"/>
        </w:rPr>
      </w:pPr>
      <w:r w:rsidRPr="009F5B88">
        <w:rPr>
          <w:rFonts w:cs="Calibri"/>
          <w:i/>
          <w:color w:val="auto"/>
          <w:szCs w:val="23"/>
        </w:rPr>
        <w:t>Community engagement</w:t>
      </w:r>
    </w:p>
    <w:p w14:paraId="0972AE58" w14:textId="71664F64" w:rsidR="00BB44F1" w:rsidRPr="007D3EEA" w:rsidRDefault="0096132F" w:rsidP="00386E2A">
      <w:pPr>
        <w:pStyle w:val="ListParagraph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 w:rsidRPr="007D3EEA">
        <w:rPr>
          <w:rFonts w:cs="Calibri"/>
          <w:szCs w:val="23"/>
        </w:rPr>
        <w:t xml:space="preserve">The communications plan includes targeted and tailored community engagement strategies. Two citizen science Ant Blitz campaigns are included in this strategy, as well as a community awareness kit for </w:t>
      </w:r>
      <w:r w:rsidR="005A7849" w:rsidRPr="007D3EEA">
        <w:rPr>
          <w:rFonts w:cs="Calibri"/>
          <w:szCs w:val="23"/>
        </w:rPr>
        <w:t>businesses</w:t>
      </w:r>
      <w:r w:rsidRPr="007D3EEA">
        <w:rPr>
          <w:rFonts w:cs="Calibri"/>
          <w:szCs w:val="23"/>
        </w:rPr>
        <w:t xml:space="preserve"> and a school engagement ‘School of Ant’ program. </w:t>
      </w:r>
    </w:p>
    <w:p w14:paraId="5254F185" w14:textId="0D626003" w:rsidR="009F42E6" w:rsidRPr="005F251F" w:rsidRDefault="00C200C0" w:rsidP="00225E78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993" w:hanging="567"/>
        <w:rPr>
          <w:rFonts w:cs="Calibri"/>
          <w:szCs w:val="23"/>
        </w:rPr>
      </w:pPr>
      <w:r>
        <w:rPr>
          <w:rFonts w:cs="Calibri"/>
          <w:i/>
          <w:color w:val="auto"/>
          <w:szCs w:val="23"/>
        </w:rPr>
        <w:t>Research</w:t>
      </w:r>
    </w:p>
    <w:p w14:paraId="55DBADCD" w14:textId="120A00A6" w:rsidR="005F251F" w:rsidRPr="007D3EEA" w:rsidRDefault="004B0B26" w:rsidP="00386E2A">
      <w:pPr>
        <w:pStyle w:val="ListParagraph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120"/>
        <w:ind w:left="1145" w:hanging="357"/>
        <w:rPr>
          <w:rFonts w:cs="Calibri"/>
          <w:szCs w:val="23"/>
        </w:rPr>
      </w:pPr>
      <w:r w:rsidRPr="007D3EEA">
        <w:rPr>
          <w:rFonts w:cs="Calibri"/>
          <w:szCs w:val="23"/>
        </w:rPr>
        <w:t xml:space="preserve">Genetic analysis </w:t>
      </w:r>
      <w:r w:rsidR="001555F6" w:rsidRPr="007D3EEA">
        <w:rPr>
          <w:rFonts w:cs="Calibri"/>
          <w:szCs w:val="23"/>
        </w:rPr>
        <w:t xml:space="preserve">will be conducted as per the response plan. The budget also includes funds to sequence the full mitochondrial genome of a representative from each of the Australian incursions which will be added to the public database. </w:t>
      </w:r>
    </w:p>
    <w:p w14:paraId="4B8AE350" w14:textId="29A3B9A3" w:rsidR="008F5324" w:rsidRPr="006363E8" w:rsidRDefault="009F42E6" w:rsidP="008F5324">
      <w:pPr>
        <w:pStyle w:val="Normalnumbered"/>
        <w:numPr>
          <w:ilvl w:val="0"/>
          <w:numId w:val="2"/>
        </w:numPr>
        <w:ind w:left="357" w:hanging="357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>To qualify for the ass</w:t>
      </w:r>
      <w:r w:rsidR="00CC0B55" w:rsidRPr="0044106B">
        <w:rPr>
          <w:rFonts w:ascii="Corbel" w:hAnsi="Corbel" w:cs="Calibri"/>
          <w:sz w:val="23"/>
          <w:szCs w:val="23"/>
        </w:rPr>
        <w:t xml:space="preserve">ociated payment, </w:t>
      </w:r>
      <w:r w:rsidR="00603112">
        <w:rPr>
          <w:rFonts w:ascii="Corbel" w:hAnsi="Corbel" w:cs="Calibri"/>
          <w:sz w:val="23"/>
          <w:szCs w:val="23"/>
        </w:rPr>
        <w:t xml:space="preserve">Western Australia </w:t>
      </w:r>
      <w:r w:rsidRPr="0044106B">
        <w:rPr>
          <w:rFonts w:ascii="Corbel" w:hAnsi="Corbel" w:cs="Calibri"/>
          <w:sz w:val="23"/>
          <w:szCs w:val="23"/>
        </w:rPr>
        <w:t>must meet the following milestones:</w:t>
      </w:r>
    </w:p>
    <w:p w14:paraId="5254F18B" w14:textId="77777777" w:rsidR="009F42E6" w:rsidRPr="0044106B" w:rsidRDefault="009F42E6" w:rsidP="009F42E6">
      <w:pPr>
        <w:keepNext/>
        <w:spacing w:before="120" w:after="120"/>
        <w:rPr>
          <w:b/>
          <w:color w:val="auto"/>
          <w:szCs w:val="20"/>
        </w:rPr>
      </w:pPr>
      <w:r w:rsidRPr="0044106B">
        <w:rPr>
          <w:b/>
          <w:color w:val="auto"/>
          <w:szCs w:val="20"/>
        </w:rPr>
        <w:t>Table 1: Milestones</w:t>
      </w:r>
    </w:p>
    <w:tbl>
      <w:tblPr>
        <w:tblW w:w="47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1"/>
        <w:gridCol w:w="1348"/>
        <w:gridCol w:w="2191"/>
      </w:tblGrid>
      <w:tr w:rsidR="009F42E6" w:rsidRPr="0044106B" w14:paraId="5254F18F" w14:textId="77777777" w:rsidTr="00250666">
        <w:trPr>
          <w:jc w:val="center"/>
        </w:trPr>
        <w:tc>
          <w:tcPr>
            <w:tcW w:w="2918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  <w:vAlign w:val="center"/>
          </w:tcPr>
          <w:p w14:paraId="5254F18C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Milestones</w:t>
            </w:r>
          </w:p>
        </w:tc>
        <w:tc>
          <w:tcPr>
            <w:tcW w:w="793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  <w:vAlign w:val="center"/>
          </w:tcPr>
          <w:p w14:paraId="5254F18D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Due date</w:t>
            </w:r>
          </w:p>
        </w:tc>
        <w:tc>
          <w:tcPr>
            <w:tcW w:w="1289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D5DCE4" w:themeFill="text2" w:themeFillTint="33"/>
          </w:tcPr>
          <w:p w14:paraId="5254F18E" w14:textId="77777777" w:rsidR="009F42E6" w:rsidRPr="00C51999" w:rsidRDefault="009F42E6" w:rsidP="00652BFB">
            <w:pPr>
              <w:jc w:val="center"/>
              <w:rPr>
                <w:rFonts w:cs="Calibri"/>
                <w:b/>
                <w:szCs w:val="23"/>
              </w:rPr>
            </w:pPr>
            <w:r w:rsidRPr="00C51999">
              <w:rPr>
                <w:rFonts w:cs="Calibri"/>
                <w:b/>
                <w:szCs w:val="23"/>
              </w:rPr>
              <w:t>Payment</w:t>
            </w:r>
          </w:p>
        </w:tc>
      </w:tr>
      <w:tr w:rsidR="0011475D" w:rsidRPr="0044106B" w14:paraId="0D913CAA" w14:textId="77777777" w:rsidTr="00250666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1FF4CE0B" w14:textId="5F272916" w:rsidR="0011475D" w:rsidRPr="00C51999" w:rsidRDefault="00034C1B" w:rsidP="00E66308">
            <w:pPr>
              <w:spacing w:before="60" w:after="60"/>
              <w:rPr>
                <w:rFonts w:cs="Calibri"/>
                <w:b/>
                <w:szCs w:val="23"/>
              </w:rPr>
            </w:pPr>
            <w:r>
              <w:rPr>
                <w:rFonts w:cs="Calibri"/>
                <w:b/>
                <w:szCs w:val="23"/>
              </w:rPr>
              <w:t>2018-19</w:t>
            </w:r>
          </w:p>
        </w:tc>
      </w:tr>
      <w:tr w:rsidR="00015A0A" w:rsidRPr="0044106B" w14:paraId="3B035EC0" w14:textId="77777777" w:rsidTr="00250666">
        <w:trPr>
          <w:trHeight w:val="615"/>
          <w:jc w:val="center"/>
        </w:trPr>
        <w:tc>
          <w:tcPr>
            <w:tcW w:w="2918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1A50141" w14:textId="0370193E" w:rsidR="00015A0A" w:rsidRPr="00CE0BA7" w:rsidRDefault="00A61950" w:rsidP="00EA7AF2">
            <w:pPr>
              <w:spacing w:before="120" w:after="12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NMG</w:t>
            </w:r>
            <w:r w:rsidR="00250666">
              <w:rPr>
                <w:iCs/>
                <w:color w:val="auto"/>
              </w:rPr>
              <w:t xml:space="preserve"> agreement to the 2018-19 to 2021-22 response plan and </w:t>
            </w:r>
            <w:r w:rsidR="00EA7AF2">
              <w:rPr>
                <w:iCs/>
                <w:color w:val="auto"/>
              </w:rPr>
              <w:t>National Biosecurity Management Consultative Committee (NBMCC) agreement that all known infestations of browsing ant in Western Australia have been treated and surveillance of</w:t>
            </w:r>
            <w:r w:rsidR="005A7849">
              <w:rPr>
                <w:rFonts w:cs="Calibri"/>
                <w:szCs w:val="23"/>
              </w:rPr>
              <w:t xml:space="preserve"> </w:t>
            </w:r>
            <w:r w:rsidR="00EA7AF2">
              <w:rPr>
                <w:rFonts w:cs="Calibri"/>
                <w:szCs w:val="23"/>
              </w:rPr>
              <w:t xml:space="preserve">at risk premises has been completed. </w:t>
            </w:r>
          </w:p>
        </w:tc>
        <w:tc>
          <w:tcPr>
            <w:tcW w:w="79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22DD6C8" w14:textId="29B0D6E9" w:rsidR="00015A0A" w:rsidRPr="000E4CC2" w:rsidRDefault="00CE036F" w:rsidP="00843ED3">
            <w:pPr>
              <w:spacing w:before="120" w:after="120"/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 xml:space="preserve">June </w:t>
            </w:r>
            <w:r w:rsidR="004A4D8E">
              <w:rPr>
                <w:rFonts w:cs="Calibri"/>
                <w:color w:val="auto"/>
                <w:sz w:val="21"/>
                <w:szCs w:val="21"/>
              </w:rPr>
              <w:t>2019</w:t>
            </w:r>
          </w:p>
        </w:tc>
        <w:tc>
          <w:tcPr>
            <w:tcW w:w="1289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4F296AF" w14:textId="77777777" w:rsidR="00EB7F71" w:rsidRDefault="00643E48" w:rsidP="00EB7F7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Up to </w:t>
            </w:r>
          </w:p>
          <w:p w14:paraId="23958B07" w14:textId="598B9562" w:rsidR="00015A0A" w:rsidRDefault="004A4D8E" w:rsidP="00EB7F7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$</w:t>
            </w:r>
            <w:r w:rsidR="004A7451">
              <w:rPr>
                <w:rFonts w:cs="Calibri"/>
                <w:sz w:val="21"/>
                <w:szCs w:val="21"/>
              </w:rPr>
              <w:t>444,678</w:t>
            </w:r>
          </w:p>
        </w:tc>
      </w:tr>
      <w:tr w:rsidR="0011475D" w:rsidRPr="0044106B" w14:paraId="4505D42D" w14:textId="77777777" w:rsidTr="00250666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74DFB3E8" w14:textId="05DD7669" w:rsidR="0011475D" w:rsidRPr="0011475D" w:rsidRDefault="00034C1B" w:rsidP="00843ED3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>
              <w:rPr>
                <w:b/>
                <w:iCs/>
                <w:color w:val="auto"/>
              </w:rPr>
              <w:t>2019-20</w:t>
            </w:r>
          </w:p>
        </w:tc>
      </w:tr>
      <w:tr w:rsidR="004A7451" w:rsidRPr="0044106B" w14:paraId="60B03D38" w14:textId="77777777" w:rsidTr="00250666">
        <w:trPr>
          <w:trHeight w:val="699"/>
          <w:jc w:val="center"/>
        </w:trPr>
        <w:tc>
          <w:tcPr>
            <w:tcW w:w="2918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214586D" w14:textId="45C76B8C" w:rsidR="004A7451" w:rsidRPr="00CE0BA7" w:rsidRDefault="00EB7F71" w:rsidP="00EA7AF2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2018-19 Annual</w:t>
            </w:r>
            <w:r w:rsidR="00CE036F">
              <w:rPr>
                <w:iCs/>
                <w:color w:val="auto"/>
              </w:rPr>
              <w:t xml:space="preserve"> report</w:t>
            </w:r>
            <w:r w:rsidR="004A7451">
              <w:rPr>
                <w:iCs/>
                <w:color w:val="auto"/>
              </w:rPr>
              <w:t xml:space="preserve"> endorsed by the NBMCC demonstrating satisfactory progress towards the above project elements as per the agreed Response Plan.</w:t>
            </w:r>
          </w:p>
        </w:tc>
        <w:tc>
          <w:tcPr>
            <w:tcW w:w="79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1913705" w14:textId="4EB46493" w:rsidR="004A7451" w:rsidRPr="000E4CC2" w:rsidRDefault="00C6440B" w:rsidP="004A7451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September 2019</w:t>
            </w:r>
          </w:p>
        </w:tc>
        <w:tc>
          <w:tcPr>
            <w:tcW w:w="1289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2CB4BC5" w14:textId="77777777" w:rsidR="00386E2A" w:rsidRDefault="00386E2A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Up to </w:t>
            </w:r>
          </w:p>
          <w:p w14:paraId="6AF8AA75" w14:textId="2C269F02" w:rsidR="004A7451" w:rsidRDefault="004A7451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$481,551</w:t>
            </w:r>
          </w:p>
        </w:tc>
      </w:tr>
      <w:tr w:rsidR="004A7451" w:rsidRPr="0011475D" w14:paraId="6C59161B" w14:textId="77777777" w:rsidTr="00250666">
        <w:trPr>
          <w:trHeight w:val="274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45E7E56B" w14:textId="79EA9CF0" w:rsidR="004A7451" w:rsidRPr="0011475D" w:rsidRDefault="004A7451" w:rsidP="004A7451">
            <w:pPr>
              <w:spacing w:before="60" w:after="60"/>
              <w:rPr>
                <w:rFonts w:cs="Calibri"/>
                <w:b/>
                <w:sz w:val="21"/>
                <w:szCs w:val="21"/>
              </w:rPr>
            </w:pPr>
            <w:r>
              <w:rPr>
                <w:b/>
                <w:iCs/>
                <w:color w:val="auto"/>
              </w:rPr>
              <w:t>2020-21</w:t>
            </w:r>
          </w:p>
        </w:tc>
      </w:tr>
      <w:tr w:rsidR="004A7451" w:rsidRPr="0044106B" w14:paraId="2B656542" w14:textId="77777777" w:rsidTr="00250666">
        <w:trPr>
          <w:trHeight w:val="993"/>
          <w:jc w:val="center"/>
        </w:trPr>
        <w:tc>
          <w:tcPr>
            <w:tcW w:w="2918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63A2E7C" w14:textId="54450E28" w:rsidR="004A7451" w:rsidRPr="00CE0BA7" w:rsidRDefault="00C6440B" w:rsidP="00EA7AF2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2019-20 Annual report endorsed by the NBMCC demonstrating satisfactory progress towards the above project elements as per the agreed Response Plan.</w:t>
            </w:r>
          </w:p>
        </w:tc>
        <w:tc>
          <w:tcPr>
            <w:tcW w:w="79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115FBA3" w14:textId="7FBAE5D8" w:rsidR="004A7451" w:rsidRPr="000E4CC2" w:rsidRDefault="00C6440B" w:rsidP="004A7451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September 2020</w:t>
            </w:r>
          </w:p>
        </w:tc>
        <w:tc>
          <w:tcPr>
            <w:tcW w:w="1289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CE503A8" w14:textId="77777777" w:rsidR="00386E2A" w:rsidRDefault="00386E2A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Up to </w:t>
            </w:r>
          </w:p>
          <w:p w14:paraId="53638154" w14:textId="68CA1540" w:rsidR="004A7451" w:rsidRDefault="004A7451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$442,102</w:t>
            </w:r>
          </w:p>
        </w:tc>
      </w:tr>
      <w:tr w:rsidR="004A7451" w:rsidRPr="0044106B" w14:paraId="4FCC8301" w14:textId="77777777" w:rsidTr="00250666">
        <w:trPr>
          <w:trHeight w:val="416"/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BDD6EE" w:themeFill="accent1" w:themeFillTint="66"/>
            <w:vAlign w:val="center"/>
          </w:tcPr>
          <w:p w14:paraId="2738F99B" w14:textId="7E5176BF" w:rsidR="004A7451" w:rsidRDefault="004A7451" w:rsidP="004A7451">
            <w:pPr>
              <w:rPr>
                <w:rFonts w:cs="Calibri"/>
                <w:sz w:val="21"/>
                <w:szCs w:val="21"/>
              </w:rPr>
            </w:pPr>
            <w:r>
              <w:rPr>
                <w:b/>
                <w:iCs/>
                <w:color w:val="auto"/>
              </w:rPr>
              <w:t>2021-22</w:t>
            </w:r>
          </w:p>
        </w:tc>
      </w:tr>
      <w:tr w:rsidR="004A7451" w:rsidRPr="0044106B" w14:paraId="05326EFC" w14:textId="77777777" w:rsidTr="00250666">
        <w:trPr>
          <w:trHeight w:val="993"/>
          <w:jc w:val="center"/>
        </w:trPr>
        <w:tc>
          <w:tcPr>
            <w:tcW w:w="2918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9BC7456" w14:textId="6760AE5E" w:rsidR="004A7451" w:rsidRDefault="00C6440B" w:rsidP="00EA7AF2">
            <w:pPr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2020-21 Annual report endorsed by </w:t>
            </w:r>
            <w:r w:rsidR="00EA7AF2">
              <w:rPr>
                <w:iCs/>
                <w:color w:val="auto"/>
              </w:rPr>
              <w:t>the NBMCC</w:t>
            </w:r>
            <w:r>
              <w:rPr>
                <w:iCs/>
                <w:color w:val="auto"/>
              </w:rPr>
              <w:t xml:space="preserve"> demonstrating satisfactory progress towards the above project elements as per the agreed Response Plan.</w:t>
            </w:r>
          </w:p>
        </w:tc>
        <w:tc>
          <w:tcPr>
            <w:tcW w:w="79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DC7D0E6" w14:textId="53DDC867" w:rsidR="004A7451" w:rsidRDefault="00C6440B" w:rsidP="004A7451">
            <w:pPr>
              <w:jc w:val="center"/>
              <w:rPr>
                <w:rFonts w:cs="Calibri"/>
                <w:color w:val="auto"/>
                <w:sz w:val="21"/>
                <w:szCs w:val="21"/>
              </w:rPr>
            </w:pPr>
            <w:r>
              <w:rPr>
                <w:rFonts w:cs="Calibri"/>
                <w:color w:val="auto"/>
                <w:sz w:val="21"/>
                <w:szCs w:val="21"/>
              </w:rPr>
              <w:t>September 2021</w:t>
            </w:r>
          </w:p>
        </w:tc>
        <w:tc>
          <w:tcPr>
            <w:tcW w:w="1289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6F531289" w14:textId="77777777" w:rsidR="00386E2A" w:rsidRDefault="00386E2A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Up to </w:t>
            </w:r>
          </w:p>
          <w:p w14:paraId="45A5D03C" w14:textId="60FB01A3" w:rsidR="004A7451" w:rsidRDefault="004A7451" w:rsidP="004A7451">
            <w:pPr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$64,999</w:t>
            </w:r>
          </w:p>
        </w:tc>
      </w:tr>
    </w:tbl>
    <w:p w14:paraId="5254F19C" w14:textId="77777777" w:rsidR="009F42E6" w:rsidRPr="0044106B" w:rsidRDefault="009F42E6" w:rsidP="009F42E6">
      <w:pPr>
        <w:pStyle w:val="Heading1"/>
        <w:keepLines w:val="0"/>
        <w:spacing w:before="240" w:after="180"/>
        <w:rPr>
          <w:rFonts w:cs="Arial"/>
        </w:rPr>
      </w:pPr>
      <w:r w:rsidRPr="0044106B">
        <w:rPr>
          <w:rFonts w:cs="Arial"/>
        </w:rPr>
        <w:t>PART 4:</w:t>
      </w:r>
      <w:r w:rsidRPr="0044106B">
        <w:rPr>
          <w:rFonts w:cs="Arial"/>
        </w:rPr>
        <w:tab/>
        <w:t>REPORTING ARRANGEMENTS</w:t>
      </w:r>
    </w:p>
    <w:p w14:paraId="5254F19D" w14:textId="06C4FF4E" w:rsidR="009F42E6" w:rsidRDefault="006075B1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Western Australia</w:t>
      </w:r>
      <w:r w:rsidR="00451012">
        <w:rPr>
          <w:rFonts w:ascii="Corbel" w:hAnsi="Corbel" w:cs="Calibri"/>
          <w:sz w:val="23"/>
          <w:szCs w:val="23"/>
        </w:rPr>
        <w:t xml:space="preserve"> </w:t>
      </w:r>
      <w:r w:rsidR="009F42E6" w:rsidRPr="0044106B">
        <w:rPr>
          <w:rFonts w:ascii="Corbel" w:hAnsi="Corbel" w:cs="Calibri"/>
          <w:sz w:val="23"/>
          <w:szCs w:val="23"/>
        </w:rPr>
        <w:t>will report against the agreed milestones as outlined in Table 1</w:t>
      </w:r>
      <w:r w:rsidR="00467E6C">
        <w:rPr>
          <w:rFonts w:ascii="Corbel" w:hAnsi="Corbel" w:cs="Calibri"/>
          <w:sz w:val="23"/>
          <w:szCs w:val="23"/>
        </w:rPr>
        <w:t>.</w:t>
      </w:r>
    </w:p>
    <w:p w14:paraId="0EA15397" w14:textId="546B3DA5" w:rsidR="00C200C0" w:rsidRPr="00C200C0" w:rsidRDefault="00C200C0" w:rsidP="00C200C0">
      <w:pPr>
        <w:pStyle w:val="ListParagraph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rPr>
          <w:rFonts w:cs="Calibri"/>
          <w:szCs w:val="23"/>
        </w:rPr>
      </w:pPr>
      <w:r w:rsidRPr="007D3EEA">
        <w:rPr>
          <w:rFonts w:cs="Calibri"/>
          <w:szCs w:val="23"/>
        </w:rPr>
        <w:t>An efficiency audit will be conducted at the end of the response and a</w:t>
      </w:r>
      <w:r>
        <w:rPr>
          <w:rFonts w:cs="Calibri"/>
          <w:szCs w:val="23"/>
        </w:rPr>
        <w:t xml:space="preserve"> review point has been included at </w:t>
      </w:r>
      <w:r w:rsidRPr="007D3EEA">
        <w:rPr>
          <w:rFonts w:cs="Calibri"/>
          <w:szCs w:val="23"/>
        </w:rPr>
        <w:t xml:space="preserve">the end of 2019-2020. </w:t>
      </w:r>
    </w:p>
    <w:p w14:paraId="2F42F540" w14:textId="0590C307" w:rsidR="00015A0A" w:rsidRDefault="006075B1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Western Australia</w:t>
      </w:r>
      <w:r w:rsidR="009568F7">
        <w:rPr>
          <w:rFonts w:ascii="Corbel" w:hAnsi="Corbel" w:cs="Calibri"/>
          <w:sz w:val="23"/>
          <w:szCs w:val="23"/>
        </w:rPr>
        <w:t xml:space="preserve"> will provide a final report demonstrating completion of the</w:t>
      </w:r>
      <w:r w:rsidR="0006440B">
        <w:rPr>
          <w:rFonts w:ascii="Corbel" w:hAnsi="Corbel" w:cs="Calibri"/>
          <w:sz w:val="23"/>
          <w:szCs w:val="23"/>
        </w:rPr>
        <w:t xml:space="preserve"> eradication program in 2021-22</w:t>
      </w:r>
      <w:r w:rsidR="009568F7">
        <w:rPr>
          <w:rFonts w:ascii="Corbel" w:hAnsi="Corbel" w:cs="Calibri"/>
          <w:sz w:val="23"/>
          <w:szCs w:val="23"/>
        </w:rPr>
        <w:t xml:space="preserve"> </w:t>
      </w:r>
      <w:r w:rsidR="009568F7" w:rsidRPr="00386E2A">
        <w:rPr>
          <w:rFonts w:ascii="Corbel" w:hAnsi="Corbel" w:cs="Calibri"/>
          <w:sz w:val="23"/>
          <w:szCs w:val="23"/>
        </w:rPr>
        <w:t>within three months</w:t>
      </w:r>
      <w:r w:rsidR="009568F7">
        <w:rPr>
          <w:rFonts w:ascii="Corbel" w:hAnsi="Corbel" w:cs="Calibri"/>
          <w:sz w:val="23"/>
          <w:szCs w:val="23"/>
        </w:rPr>
        <w:t xml:space="preserve"> of completion</w:t>
      </w:r>
      <w:r w:rsidR="0006440B">
        <w:rPr>
          <w:rFonts w:ascii="Corbel" w:hAnsi="Corbel" w:cs="Calibri"/>
          <w:sz w:val="23"/>
          <w:szCs w:val="23"/>
        </w:rPr>
        <w:t xml:space="preserve"> of operational requirements of the Response Plan including demonstration of completion of outputs under the agreed Response Plan.</w:t>
      </w:r>
    </w:p>
    <w:p w14:paraId="27D8A0F8" w14:textId="41E3E18E" w:rsidR="00AA5E58" w:rsidRPr="0044106B" w:rsidRDefault="003722B8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Circumstances may give rise to additional reporting being sought in accordance with the NEBRA</w:t>
      </w:r>
      <w:r w:rsidR="00AA5E58">
        <w:rPr>
          <w:rFonts w:ascii="Corbel" w:hAnsi="Corbel" w:cs="Calibri"/>
          <w:sz w:val="23"/>
          <w:szCs w:val="23"/>
        </w:rPr>
        <w:t>.</w:t>
      </w:r>
    </w:p>
    <w:p w14:paraId="5254F19F" w14:textId="77777777" w:rsidR="009F42E6" w:rsidRPr="0044106B" w:rsidRDefault="009F42E6" w:rsidP="009F42E6">
      <w:pPr>
        <w:pStyle w:val="Heading1"/>
        <w:keepLines w:val="0"/>
        <w:spacing w:before="240" w:after="180"/>
        <w:rPr>
          <w:rFonts w:cs="Arial"/>
        </w:rPr>
      </w:pPr>
      <w:r w:rsidRPr="0044106B">
        <w:rPr>
          <w:rFonts w:cs="Arial"/>
        </w:rPr>
        <w:t>PART 5: FINANCIAL ARRANGEMENTS</w:t>
      </w:r>
    </w:p>
    <w:p w14:paraId="5254F1A0" w14:textId="0928F745" w:rsidR="009F42E6" w:rsidRDefault="009F42E6" w:rsidP="009F42E6">
      <w:pPr>
        <w:pStyle w:val="Normalnumbered"/>
        <w:numPr>
          <w:ilvl w:val="0"/>
          <w:numId w:val="2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44106B">
        <w:rPr>
          <w:rFonts w:ascii="Corbel" w:hAnsi="Corbel" w:cs="Calibri"/>
          <w:sz w:val="23"/>
          <w:szCs w:val="23"/>
        </w:rPr>
        <w:t xml:space="preserve">The </w:t>
      </w:r>
      <w:r w:rsidR="00591514">
        <w:rPr>
          <w:rFonts w:ascii="Corbel" w:hAnsi="Corbel" w:cs="Calibri"/>
          <w:sz w:val="23"/>
          <w:szCs w:val="23"/>
        </w:rPr>
        <w:t xml:space="preserve">Commonwealth’s </w:t>
      </w:r>
      <w:r w:rsidR="00AA5E58" w:rsidRPr="0044106B">
        <w:rPr>
          <w:rFonts w:ascii="Corbel" w:hAnsi="Corbel" w:cs="Calibri"/>
          <w:sz w:val="23"/>
          <w:szCs w:val="23"/>
        </w:rPr>
        <w:t>agreed</w:t>
      </w:r>
      <w:r w:rsidR="00AA5E58">
        <w:rPr>
          <w:rFonts w:ascii="Corbel" w:hAnsi="Corbel" w:cs="Calibri"/>
          <w:sz w:val="23"/>
          <w:szCs w:val="23"/>
        </w:rPr>
        <w:t xml:space="preserve"> </w:t>
      </w:r>
      <w:r w:rsidRPr="0044106B">
        <w:rPr>
          <w:rFonts w:ascii="Corbel" w:hAnsi="Corbel" w:cs="Calibri"/>
          <w:sz w:val="23"/>
          <w:szCs w:val="23"/>
        </w:rPr>
        <w:t xml:space="preserve">financial contribution for the </w:t>
      </w:r>
      <w:r w:rsidR="00A94B58">
        <w:rPr>
          <w:rFonts w:ascii="Corbel" w:hAnsi="Corbel" w:cs="Calibri"/>
          <w:sz w:val="23"/>
          <w:szCs w:val="23"/>
        </w:rPr>
        <w:t>National Browsing Ant Eradication Program - Western Australia</w:t>
      </w:r>
      <w:r w:rsidR="00A94B58" w:rsidRPr="0044106B">
        <w:rPr>
          <w:rFonts w:ascii="Corbel" w:hAnsi="Corbel" w:cs="Calibri"/>
          <w:sz w:val="23"/>
          <w:szCs w:val="23"/>
        </w:rPr>
        <w:t xml:space="preserve"> </w:t>
      </w:r>
      <w:r w:rsidRPr="0044106B">
        <w:rPr>
          <w:rFonts w:ascii="Corbel" w:hAnsi="Corbel" w:cs="Calibri"/>
          <w:sz w:val="23"/>
          <w:szCs w:val="23"/>
        </w:rPr>
        <w:t xml:space="preserve">is outlined in Table 2 and payable in accordance with the </w:t>
      </w:r>
      <w:r w:rsidR="00280192">
        <w:rPr>
          <w:rFonts w:ascii="Corbel" w:hAnsi="Corbel" w:cs="Calibri"/>
          <w:sz w:val="23"/>
          <w:szCs w:val="23"/>
        </w:rPr>
        <w:t>milestones set out in Table 1. </w:t>
      </w:r>
      <w:r w:rsidRPr="0044106B">
        <w:rPr>
          <w:rFonts w:ascii="Corbel" w:hAnsi="Corbel" w:cs="Calibri"/>
          <w:sz w:val="23"/>
          <w:szCs w:val="23"/>
        </w:rPr>
        <w:t>All payments are exclusive of GST.</w:t>
      </w:r>
    </w:p>
    <w:p w14:paraId="5254F1A1" w14:textId="7F473144" w:rsidR="009F42E6" w:rsidRPr="0044106B" w:rsidRDefault="009F42E6" w:rsidP="009F42E6">
      <w:pPr>
        <w:pStyle w:val="Heading3"/>
        <w:spacing w:before="120" w:after="120"/>
        <w:rPr>
          <w:rFonts w:ascii="Corbel" w:hAnsi="Corbel"/>
          <w:color w:val="auto"/>
        </w:rPr>
      </w:pPr>
      <w:r w:rsidRPr="0044106B">
        <w:rPr>
          <w:rFonts w:ascii="Corbel" w:hAnsi="Corbel"/>
          <w:color w:val="auto"/>
        </w:rPr>
        <w:t xml:space="preserve">Table 2: Estimated financial contributions </w:t>
      </w:r>
    </w:p>
    <w:tbl>
      <w:tblPr>
        <w:tblStyle w:val="TableGrid"/>
        <w:tblW w:w="8147" w:type="dxa"/>
        <w:tblInd w:w="421" w:type="dxa"/>
        <w:tblLook w:val="04A0" w:firstRow="1" w:lastRow="0" w:firstColumn="1" w:lastColumn="0" w:noHBand="0" w:noVBand="1"/>
      </w:tblPr>
      <w:tblGrid>
        <w:gridCol w:w="2581"/>
        <w:gridCol w:w="1390"/>
        <w:gridCol w:w="1392"/>
        <w:gridCol w:w="1392"/>
        <w:gridCol w:w="1392"/>
      </w:tblGrid>
      <w:tr w:rsidR="008D299F" w:rsidRPr="0044106B" w14:paraId="5254F1A6" w14:textId="1EFB51C2" w:rsidTr="0080709D">
        <w:trPr>
          <w:trHeight w:val="1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254F1A2" w14:textId="2C84AA1F" w:rsidR="008D299F" w:rsidRPr="00F70B3C" w:rsidRDefault="008D299F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</w:p>
        </w:tc>
        <w:tc>
          <w:tcPr>
            <w:tcW w:w="1390" w:type="dxa"/>
            <w:shd w:val="clear" w:color="auto" w:fill="BDD6EE" w:themeFill="accent1" w:themeFillTint="66"/>
          </w:tcPr>
          <w:p w14:paraId="66974A00" w14:textId="767938AF" w:rsidR="008D299F" w:rsidRPr="00503B64" w:rsidRDefault="008D299F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 w:rsidRPr="00503B64">
              <w:rPr>
                <w:rFonts w:ascii="Corbel" w:hAnsi="Corbel"/>
                <w:color w:val="auto"/>
              </w:rPr>
              <w:t>2018-19</w:t>
            </w:r>
          </w:p>
        </w:tc>
        <w:tc>
          <w:tcPr>
            <w:tcW w:w="1392" w:type="dxa"/>
            <w:shd w:val="clear" w:color="auto" w:fill="BDD6EE" w:themeFill="accent1" w:themeFillTint="66"/>
            <w:vAlign w:val="center"/>
          </w:tcPr>
          <w:p w14:paraId="5254F1A3" w14:textId="6DA704DA" w:rsidR="008D299F" w:rsidRPr="00503B64" w:rsidRDefault="00386E2A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 w:rsidRPr="00503B64">
              <w:rPr>
                <w:rFonts w:ascii="Corbel" w:hAnsi="Corbel"/>
                <w:color w:val="auto"/>
              </w:rPr>
              <w:t>201</w:t>
            </w:r>
            <w:r w:rsidR="008D299F" w:rsidRPr="00503B64">
              <w:rPr>
                <w:rFonts w:ascii="Corbel" w:hAnsi="Corbel"/>
                <w:color w:val="auto"/>
              </w:rPr>
              <w:t>9-20</w:t>
            </w:r>
          </w:p>
        </w:tc>
        <w:tc>
          <w:tcPr>
            <w:tcW w:w="1392" w:type="dxa"/>
            <w:shd w:val="clear" w:color="auto" w:fill="BDD6EE" w:themeFill="accent1" w:themeFillTint="66"/>
            <w:vAlign w:val="center"/>
          </w:tcPr>
          <w:p w14:paraId="5254F1A4" w14:textId="4F281284" w:rsidR="008D299F" w:rsidRPr="00503B64" w:rsidRDefault="008D299F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 w:rsidRPr="00503B64">
              <w:rPr>
                <w:rFonts w:ascii="Corbel" w:hAnsi="Corbel"/>
                <w:color w:val="auto"/>
              </w:rPr>
              <w:t>2020-21</w:t>
            </w:r>
          </w:p>
        </w:tc>
        <w:tc>
          <w:tcPr>
            <w:tcW w:w="1392" w:type="dxa"/>
            <w:shd w:val="clear" w:color="auto" w:fill="BDD6EE" w:themeFill="accent1" w:themeFillTint="66"/>
            <w:vAlign w:val="center"/>
          </w:tcPr>
          <w:p w14:paraId="5254F1A5" w14:textId="671C890C" w:rsidR="008D299F" w:rsidRPr="00503B64" w:rsidRDefault="00BE53DA" w:rsidP="00C51999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color w:val="auto"/>
              </w:rPr>
            </w:pPr>
            <w:r w:rsidRPr="00503B64">
              <w:rPr>
                <w:rFonts w:ascii="Corbel" w:hAnsi="Corbel"/>
                <w:color w:val="auto"/>
              </w:rPr>
              <w:t>2021-22</w:t>
            </w:r>
          </w:p>
        </w:tc>
      </w:tr>
      <w:tr w:rsidR="008D299F" w:rsidRPr="0044106B" w14:paraId="5254F1AB" w14:textId="7BA71632" w:rsidTr="0080709D">
        <w:trPr>
          <w:trHeight w:val="167"/>
        </w:trPr>
        <w:tc>
          <w:tcPr>
            <w:tcW w:w="2581" w:type="dxa"/>
          </w:tcPr>
          <w:p w14:paraId="5254F1A7" w14:textId="561C5C9F" w:rsidR="008D299F" w:rsidRPr="0044106B" w:rsidRDefault="008D299F" w:rsidP="00591514">
            <w:pPr>
              <w:pStyle w:val="Heading3"/>
              <w:spacing w:before="120" w:after="120"/>
              <w:outlineLvl w:val="2"/>
              <w:rPr>
                <w:rFonts w:ascii="Corbel" w:hAnsi="Corbel"/>
                <w:color w:val="auto"/>
              </w:rPr>
            </w:pPr>
            <w:r>
              <w:rPr>
                <w:rFonts w:ascii="Corbel" w:hAnsi="Corbel"/>
                <w:b w:val="0"/>
                <w:color w:val="auto"/>
              </w:rPr>
              <w:t>Commonwealth</w:t>
            </w:r>
          </w:p>
        </w:tc>
        <w:tc>
          <w:tcPr>
            <w:tcW w:w="1390" w:type="dxa"/>
          </w:tcPr>
          <w:p w14:paraId="512A5735" w14:textId="62400ED8" w:rsidR="008D299F" w:rsidRPr="00503B64" w:rsidRDefault="00BE53DA" w:rsidP="000D6C6F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503B64">
              <w:rPr>
                <w:rFonts w:ascii="Corbel" w:hAnsi="Corbel" w:cs="Calibri"/>
                <w:b w:val="0"/>
                <w:color w:val="auto"/>
                <w:sz w:val="21"/>
                <w:szCs w:val="21"/>
              </w:rPr>
              <w:t>$444,678</w:t>
            </w:r>
          </w:p>
        </w:tc>
        <w:tc>
          <w:tcPr>
            <w:tcW w:w="1392" w:type="dxa"/>
            <w:vAlign w:val="center"/>
          </w:tcPr>
          <w:p w14:paraId="5254F1A8" w14:textId="323362D2" w:rsidR="008D299F" w:rsidRPr="00503B64" w:rsidRDefault="00BE53DA" w:rsidP="000D6C6F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503B64">
              <w:rPr>
                <w:rFonts w:ascii="Corbel" w:hAnsi="Corbel" w:cs="Calibri"/>
                <w:b w:val="0"/>
                <w:color w:val="auto"/>
                <w:sz w:val="21"/>
                <w:szCs w:val="21"/>
              </w:rPr>
              <w:t>$481,551</w:t>
            </w:r>
          </w:p>
        </w:tc>
        <w:tc>
          <w:tcPr>
            <w:tcW w:w="1392" w:type="dxa"/>
            <w:vAlign w:val="center"/>
          </w:tcPr>
          <w:p w14:paraId="5254F1A9" w14:textId="3427FD55" w:rsidR="008D299F" w:rsidRPr="00503B64" w:rsidRDefault="00BE53DA" w:rsidP="008A65A8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503B64">
              <w:rPr>
                <w:rFonts w:ascii="Corbel" w:hAnsi="Corbel" w:cs="Calibri"/>
                <w:b w:val="0"/>
                <w:color w:val="auto"/>
                <w:sz w:val="21"/>
                <w:szCs w:val="21"/>
              </w:rPr>
              <w:t>$442,102</w:t>
            </w:r>
          </w:p>
        </w:tc>
        <w:tc>
          <w:tcPr>
            <w:tcW w:w="1392" w:type="dxa"/>
            <w:vAlign w:val="center"/>
          </w:tcPr>
          <w:p w14:paraId="5254F1AA" w14:textId="44513AFB" w:rsidR="008D299F" w:rsidRPr="00503B64" w:rsidRDefault="00BE53DA" w:rsidP="008A65A8">
            <w:pPr>
              <w:pStyle w:val="Heading3"/>
              <w:spacing w:before="120" w:after="120"/>
              <w:jc w:val="center"/>
              <w:outlineLvl w:val="2"/>
              <w:rPr>
                <w:rFonts w:ascii="Corbel" w:hAnsi="Corbel"/>
                <w:b w:val="0"/>
                <w:color w:val="auto"/>
              </w:rPr>
            </w:pPr>
            <w:r w:rsidRPr="00503B64">
              <w:rPr>
                <w:rFonts w:ascii="Corbel" w:hAnsi="Corbel" w:cs="Calibri"/>
                <w:b w:val="0"/>
                <w:color w:val="auto"/>
                <w:sz w:val="21"/>
                <w:szCs w:val="21"/>
              </w:rPr>
              <w:t>$64,999</w:t>
            </w:r>
          </w:p>
        </w:tc>
      </w:tr>
    </w:tbl>
    <w:p w14:paraId="1FEFA635" w14:textId="5F4B539A" w:rsidR="009418DA" w:rsidRDefault="009418DA" w:rsidP="00E05F60">
      <w:pPr>
        <w:pStyle w:val="Heading1"/>
      </w:pPr>
    </w:p>
    <w:p w14:paraId="67D33347" w14:textId="77777777" w:rsidR="009418DA" w:rsidRDefault="009418DA">
      <w:pPr>
        <w:spacing w:after="160" w:line="259" w:lineRule="auto"/>
        <w:rPr>
          <w:rFonts w:ascii="Consolas" w:hAnsi="Consolas"/>
          <w:bCs/>
          <w:caps/>
          <w:color w:val="3D4B67"/>
          <w:kern w:val="32"/>
          <w:sz w:val="32"/>
          <w:szCs w:val="36"/>
        </w:rPr>
      </w:pPr>
      <w:r>
        <w:br w:type="page"/>
      </w:r>
    </w:p>
    <w:p w14:paraId="5CD48050" w14:textId="77777777" w:rsidR="009418DA" w:rsidRDefault="009418DA" w:rsidP="00E05F60">
      <w:pPr>
        <w:pStyle w:val="Heading1"/>
      </w:pPr>
    </w:p>
    <w:p w14:paraId="5254F1AE" w14:textId="2398E2D0" w:rsidR="009F42E6" w:rsidRPr="00E05F60" w:rsidRDefault="00E05F60" w:rsidP="00E05F60">
      <w:pPr>
        <w:pStyle w:val="Heading1"/>
      </w:pPr>
      <w:r>
        <w:t>P</w:t>
      </w:r>
      <w:r w:rsidR="009F42E6" w:rsidRPr="0044106B">
        <w:t>ART 6:</w:t>
      </w:r>
      <w:r w:rsidR="009F42E6" w:rsidRPr="0044106B">
        <w:tab/>
        <w:t>Sign off</w:t>
      </w:r>
    </w:p>
    <w:p w14:paraId="5254F1AF" w14:textId="77777777" w:rsidR="009F42E6" w:rsidRPr="0044106B" w:rsidRDefault="009F42E6" w:rsidP="009F42E6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44106B">
        <w:rPr>
          <w:rFonts w:cs="Calibri"/>
          <w:szCs w:val="23"/>
          <w:lang w:val="en-GB"/>
        </w:rPr>
        <w:t>The Parties have confirmed their commitment to this Schedule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9F42E6" w:rsidRPr="0044106B" w14:paraId="5254F1B7" w14:textId="77777777" w:rsidTr="00652BFB">
        <w:tc>
          <w:tcPr>
            <w:tcW w:w="5192" w:type="dxa"/>
            <w:vAlign w:val="center"/>
          </w:tcPr>
          <w:p w14:paraId="5254F1B0" w14:textId="77777777" w:rsidR="009F42E6" w:rsidRPr="0044106B" w:rsidRDefault="009F42E6" w:rsidP="00652BFB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44106B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4106B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5254F1B1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2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336E4EFC" w14:textId="77777777" w:rsidR="00E05F60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9D8F5EF" w14:textId="77777777" w:rsidR="00E05F60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3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br/>
              <w:t>Signature</w:t>
            </w:r>
          </w:p>
        </w:tc>
        <w:tc>
          <w:tcPr>
            <w:tcW w:w="290" w:type="dxa"/>
          </w:tcPr>
          <w:p w14:paraId="5254F1B4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5254F1B5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6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br/>
              <w:t>Date</w:t>
            </w:r>
          </w:p>
        </w:tc>
      </w:tr>
      <w:tr w:rsidR="009F42E6" w:rsidRPr="0044106B" w14:paraId="5254F1BB" w14:textId="77777777" w:rsidTr="00652BFB">
        <w:tc>
          <w:tcPr>
            <w:tcW w:w="9464" w:type="dxa"/>
            <w:gridSpan w:val="3"/>
          </w:tcPr>
          <w:p w14:paraId="035CEF16" w14:textId="77777777" w:rsidR="00CC07CD" w:rsidRDefault="00CC07CD" w:rsidP="00CC07CD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Senator the Honourable Bridget McKenzie</w:t>
            </w:r>
          </w:p>
          <w:p w14:paraId="71E65CE5" w14:textId="77777777" w:rsidR="009F42E6" w:rsidRDefault="00CC07CD" w:rsidP="00CC07CD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Minister for Agriculture</w:t>
            </w:r>
            <w:r w:rsidRPr="0044106B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5254F1BA" w14:textId="637A9D03" w:rsidR="00CC07CD" w:rsidRPr="0044106B" w:rsidRDefault="00CC07CD" w:rsidP="00CC07CD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9F42E6" w:rsidRPr="0044106B" w14:paraId="5254F1C7" w14:textId="77777777" w:rsidTr="00652BFB">
        <w:tc>
          <w:tcPr>
            <w:tcW w:w="5192" w:type="dxa"/>
            <w:vAlign w:val="center"/>
          </w:tcPr>
          <w:p w14:paraId="5254F1BC" w14:textId="4DA373C8" w:rsidR="009F42E6" w:rsidRPr="0044106B" w:rsidRDefault="009F42E6" w:rsidP="00652BFB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44106B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44106B">
              <w:rPr>
                <w:rFonts w:ascii="Corbel" w:hAnsi="Corbel"/>
                <w:sz w:val="23"/>
                <w:szCs w:val="23"/>
              </w:rPr>
              <w:t xml:space="preserve"> for and on behalf of the</w:t>
            </w:r>
            <w:r w:rsidR="00CE6902">
              <w:rPr>
                <w:rFonts w:ascii="Corbel" w:hAnsi="Corbel"/>
                <w:sz w:val="23"/>
                <w:szCs w:val="23"/>
              </w:rPr>
              <w:t xml:space="preserve"> State of Western Australia</w:t>
            </w:r>
            <w:r w:rsidR="00CC0B55" w:rsidRPr="0044106B">
              <w:rPr>
                <w:rFonts w:ascii="Corbel" w:hAnsi="Corbel"/>
                <w:sz w:val="23"/>
                <w:szCs w:val="23"/>
              </w:rPr>
              <w:t xml:space="preserve"> </w:t>
            </w:r>
            <w:r w:rsidRPr="0044106B">
              <w:rPr>
                <w:rFonts w:ascii="Corbel" w:hAnsi="Corbel"/>
                <w:sz w:val="23"/>
                <w:szCs w:val="23"/>
              </w:rPr>
              <w:t>by</w:t>
            </w:r>
          </w:p>
          <w:p w14:paraId="5254F1BD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E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BF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0" w14:textId="77777777" w:rsidR="009F42E6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35FAA3E" w14:textId="77777777" w:rsidR="00E05F60" w:rsidRPr="0044106B" w:rsidRDefault="00E05F60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1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254F1C2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5254F1C3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4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5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254F1C6" w14:textId="77777777" w:rsidR="009F42E6" w:rsidRPr="0044106B" w:rsidRDefault="009F42E6" w:rsidP="00652BFB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44106B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9F42E6" w14:paraId="5254F1CB" w14:textId="77777777" w:rsidTr="00652BFB">
        <w:trPr>
          <w:trHeight w:val="822"/>
        </w:trPr>
        <w:tc>
          <w:tcPr>
            <w:tcW w:w="9464" w:type="dxa"/>
            <w:gridSpan w:val="3"/>
          </w:tcPr>
          <w:p w14:paraId="3D448DFD" w14:textId="77777777" w:rsidR="00CE6902" w:rsidRDefault="00CE6902" w:rsidP="00CE6902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 xml:space="preserve">The Honourable Alannah MacTiernan MLC </w:t>
            </w:r>
          </w:p>
          <w:p w14:paraId="5254F1CA" w14:textId="6EC8CB4F" w:rsidR="0044106B" w:rsidRDefault="00CE6902" w:rsidP="00CE6902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 xml:space="preserve">Minister for Agriculture and Food </w:t>
            </w:r>
          </w:p>
        </w:tc>
      </w:tr>
    </w:tbl>
    <w:p w14:paraId="5254F1CC" w14:textId="77777777" w:rsidR="009F42E6" w:rsidRDefault="009F42E6" w:rsidP="009F42E6"/>
    <w:p w14:paraId="5254F1CD" w14:textId="77777777" w:rsidR="00652BFB" w:rsidRDefault="00652BFB"/>
    <w:sectPr w:rsidR="00652BFB" w:rsidSect="0088305B">
      <w:footerReference w:type="default" r:id="rId14"/>
      <w:headerReference w:type="first" r:id="rId15"/>
      <w:footerReference w:type="first" r:id="rId16"/>
      <w:pgSz w:w="11906" w:h="16838" w:code="9"/>
      <w:pgMar w:top="851" w:right="1440" w:bottom="1021" w:left="1440" w:header="624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81B7" w14:textId="77777777" w:rsidR="006E5F65" w:rsidRDefault="006E5F65">
      <w:r>
        <w:separator/>
      </w:r>
    </w:p>
  </w:endnote>
  <w:endnote w:type="continuationSeparator" w:id="0">
    <w:p w14:paraId="259F2891" w14:textId="77777777" w:rsidR="006E5F65" w:rsidRDefault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F1D3" w14:textId="70ED6DC7" w:rsidR="00596D08" w:rsidRPr="0088305B" w:rsidRDefault="00B30EAC" w:rsidP="0088305B">
    <w:pPr>
      <w:pStyle w:val="Title"/>
      <w:rPr>
        <w:rFonts w:cs="Consolas"/>
        <w:color w:val="auto"/>
        <w:sz w:val="20"/>
        <w:szCs w:val="20"/>
      </w:rPr>
    </w:pPr>
    <w:r w:rsidRPr="0088305B">
      <w:rPr>
        <w:rFonts w:cs="Consolas"/>
        <w:color w:val="auto"/>
        <w:sz w:val="20"/>
        <w:szCs w:val="20"/>
      </w:rPr>
      <w:t xml:space="preserve">Schedule </w:t>
    </w:r>
    <w:r w:rsidR="00792638" w:rsidRPr="0088305B">
      <w:rPr>
        <w:rFonts w:cs="Consolas"/>
        <w:color w:val="auto"/>
        <w:sz w:val="20"/>
        <w:szCs w:val="20"/>
      </w:rPr>
      <w:t>A</w:t>
    </w:r>
    <w:r w:rsidR="00311FD3">
      <w:rPr>
        <w:rFonts w:cs="Consolas"/>
        <w:color w:val="auto"/>
        <w:sz w:val="20"/>
        <w:szCs w:val="20"/>
      </w:rPr>
      <w:t>D</w:t>
    </w:r>
    <w:r w:rsidR="00225E78" w:rsidRPr="0088305B">
      <w:rPr>
        <w:rFonts w:cs="Consolas"/>
        <w:color w:val="auto"/>
        <w:sz w:val="20"/>
        <w:szCs w:val="20"/>
      </w:rPr>
      <w:t xml:space="preserve"> - National </w:t>
    </w:r>
    <w:r w:rsidR="003A720C" w:rsidRPr="0088305B">
      <w:rPr>
        <w:rFonts w:cs="Consolas"/>
        <w:color w:val="auto"/>
        <w:sz w:val="20"/>
        <w:szCs w:val="20"/>
      </w:rPr>
      <w:t>B</w:t>
    </w:r>
    <w:r w:rsidR="00225E78" w:rsidRPr="0088305B">
      <w:rPr>
        <w:rFonts w:cs="Consolas"/>
        <w:color w:val="auto"/>
        <w:sz w:val="20"/>
        <w:szCs w:val="20"/>
      </w:rPr>
      <w:t xml:space="preserve">rowsing </w:t>
    </w:r>
    <w:r w:rsidR="009A1D96" w:rsidRPr="0088305B">
      <w:rPr>
        <w:rFonts w:cs="Consolas"/>
        <w:color w:val="auto"/>
        <w:sz w:val="20"/>
        <w:szCs w:val="20"/>
      </w:rPr>
      <w:t>A</w:t>
    </w:r>
    <w:r w:rsidR="00225E78" w:rsidRPr="0088305B">
      <w:rPr>
        <w:rFonts w:cs="Consolas"/>
        <w:color w:val="auto"/>
        <w:sz w:val="20"/>
        <w:szCs w:val="20"/>
      </w:rPr>
      <w:t xml:space="preserve">nt </w:t>
    </w:r>
    <w:r w:rsidR="00792638" w:rsidRPr="0088305B">
      <w:rPr>
        <w:rFonts w:cs="Consolas"/>
        <w:color w:val="auto"/>
        <w:sz w:val="20"/>
        <w:szCs w:val="20"/>
      </w:rPr>
      <w:t>Western Australia</w:t>
    </w:r>
    <w:r w:rsidR="00854DCF" w:rsidRPr="0088305B">
      <w:rPr>
        <w:rFonts w:cs="Consolas"/>
        <w:color w:val="auto"/>
        <w:sz w:val="20"/>
        <w:szCs w:val="20"/>
      </w:rPr>
      <w:t xml:space="preserve"> </w:t>
    </w:r>
    <w:r w:rsidR="003A720C" w:rsidRPr="0088305B">
      <w:rPr>
        <w:rFonts w:cs="Consolas"/>
        <w:color w:val="auto"/>
        <w:sz w:val="20"/>
        <w:szCs w:val="20"/>
      </w:rPr>
      <w:t>E</w:t>
    </w:r>
    <w:r w:rsidR="00225E78" w:rsidRPr="0088305B">
      <w:rPr>
        <w:rFonts w:cs="Consolas"/>
        <w:color w:val="auto"/>
        <w:sz w:val="20"/>
        <w:szCs w:val="20"/>
      </w:rPr>
      <w:t xml:space="preserve">radication </w:t>
    </w:r>
    <w:r w:rsidR="00DF05D6" w:rsidRPr="0088305B">
      <w:rPr>
        <w:rFonts w:cs="Consolas"/>
        <w:color w:val="auto"/>
        <w:sz w:val="20"/>
        <w:szCs w:val="20"/>
      </w:rPr>
      <w:t>Program</w:t>
    </w:r>
    <w:r w:rsidR="00596D08" w:rsidRPr="0088305B">
      <w:rPr>
        <w:rFonts w:cs="Consolas"/>
        <w:color w:val="auto"/>
        <w:sz w:val="20"/>
        <w:szCs w:val="20"/>
      </w:rPr>
      <w:t xml:space="preserve"> </w:t>
    </w:r>
    <w:r w:rsidR="0088305B">
      <w:rPr>
        <w:rFonts w:cs="Consolas"/>
        <w:color w:val="auto"/>
        <w:sz w:val="20"/>
        <w:szCs w:val="20"/>
      </w:rPr>
      <w:tab/>
    </w:r>
    <w:r w:rsidR="0088305B">
      <w:rPr>
        <w:rFonts w:cs="Consolas"/>
        <w:color w:val="auto"/>
        <w:sz w:val="20"/>
        <w:szCs w:val="20"/>
      </w:rPr>
      <w:tab/>
    </w:r>
    <w:r w:rsidR="0088305B">
      <w:rPr>
        <w:rFonts w:cs="Consolas"/>
        <w:color w:val="auto"/>
        <w:sz w:val="20"/>
        <w:szCs w:val="20"/>
      </w:rPr>
      <w:tab/>
    </w:r>
    <w:r w:rsidR="0088305B">
      <w:rPr>
        <w:rFonts w:cs="Consolas"/>
        <w:color w:val="auto"/>
        <w:sz w:val="20"/>
        <w:szCs w:val="20"/>
      </w:rPr>
      <w:tab/>
    </w:r>
    <w:r w:rsidR="00596D08" w:rsidRPr="00225E78">
      <w:rPr>
        <w:sz w:val="23"/>
        <w:szCs w:val="23"/>
      </w:rPr>
      <w:fldChar w:fldCharType="begin"/>
    </w:r>
    <w:r w:rsidR="00596D08" w:rsidRPr="00225E78">
      <w:rPr>
        <w:sz w:val="23"/>
        <w:szCs w:val="23"/>
      </w:rPr>
      <w:instrText xml:space="preserve"> PAGE  \* Arabic  \* MERGEFORMAT </w:instrText>
    </w:r>
    <w:r w:rsidR="00596D08" w:rsidRPr="00225E78">
      <w:rPr>
        <w:sz w:val="23"/>
        <w:szCs w:val="23"/>
      </w:rPr>
      <w:fldChar w:fldCharType="separate"/>
    </w:r>
    <w:r w:rsidR="00080CCF">
      <w:rPr>
        <w:noProof/>
        <w:sz w:val="23"/>
        <w:szCs w:val="23"/>
      </w:rPr>
      <w:t>4</w:t>
    </w:r>
    <w:r w:rsidR="00596D08" w:rsidRPr="00225E78">
      <w:rPr>
        <w:sz w:val="23"/>
        <w:szCs w:val="23"/>
      </w:rPr>
      <w:fldChar w:fldCharType="end"/>
    </w:r>
  </w:p>
  <w:p w14:paraId="5254F1D4" w14:textId="77777777" w:rsidR="00596D08" w:rsidRDefault="00596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0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F1D5" w14:textId="44ABA202" w:rsidR="00225E78" w:rsidRDefault="00225E78">
        <w:pPr>
          <w:pStyle w:val="Footer"/>
          <w:jc w:val="center"/>
        </w:pPr>
        <w:r w:rsidRPr="00225E78">
          <w:rPr>
            <w:rFonts w:ascii="Corbel" w:hAnsi="Corbel"/>
            <w:sz w:val="23"/>
            <w:szCs w:val="23"/>
          </w:rPr>
          <w:fldChar w:fldCharType="begin"/>
        </w:r>
        <w:r w:rsidRPr="00225E78">
          <w:rPr>
            <w:rFonts w:ascii="Corbel" w:hAnsi="Corbel"/>
            <w:sz w:val="23"/>
            <w:szCs w:val="23"/>
          </w:rPr>
          <w:instrText xml:space="preserve"> PAGE   \* MERGEFORMAT </w:instrText>
        </w:r>
        <w:r w:rsidRPr="00225E78">
          <w:rPr>
            <w:rFonts w:ascii="Corbel" w:hAnsi="Corbel"/>
            <w:sz w:val="23"/>
            <w:szCs w:val="23"/>
          </w:rPr>
          <w:fldChar w:fldCharType="separate"/>
        </w:r>
        <w:r w:rsidR="00BE1AE8">
          <w:rPr>
            <w:rFonts w:ascii="Corbel" w:hAnsi="Corbel"/>
            <w:noProof/>
            <w:sz w:val="23"/>
            <w:szCs w:val="23"/>
          </w:rPr>
          <w:t>1</w:t>
        </w:r>
        <w:r w:rsidRPr="00225E78">
          <w:rPr>
            <w:rFonts w:ascii="Corbel" w:hAnsi="Corbel"/>
            <w:noProof/>
            <w:sz w:val="23"/>
            <w:szCs w:val="23"/>
          </w:rPr>
          <w:fldChar w:fldCharType="end"/>
        </w:r>
      </w:p>
    </w:sdtContent>
  </w:sdt>
  <w:p w14:paraId="5254F1D6" w14:textId="77777777" w:rsidR="00225E78" w:rsidRDefault="0022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12D1" w14:textId="77777777" w:rsidR="006E5F65" w:rsidRDefault="006E5F65">
      <w:r>
        <w:separator/>
      </w:r>
    </w:p>
  </w:footnote>
  <w:footnote w:type="continuationSeparator" w:id="0">
    <w:p w14:paraId="3CDCEAD2" w14:textId="77777777" w:rsidR="006E5F65" w:rsidRDefault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5799" w14:textId="30C2D11B" w:rsidR="00C40DF7" w:rsidRDefault="00C4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FE9"/>
    <w:multiLevelType w:val="hybridMultilevel"/>
    <w:tmpl w:val="CA7ECFA4"/>
    <w:lvl w:ilvl="0" w:tplc="43FC69B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932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68A7299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68E79F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55C0114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2487" w:hanging="360"/>
      </w:pPr>
    </w:lvl>
    <w:lvl w:ilvl="1" w:tplc="0C090019">
      <w:start w:val="1"/>
      <w:numFmt w:val="lowerLetter"/>
      <w:lvlText w:val="%2."/>
      <w:lvlJc w:val="left"/>
      <w:pPr>
        <w:ind w:left="3207" w:hanging="360"/>
      </w:pPr>
    </w:lvl>
    <w:lvl w:ilvl="2" w:tplc="0C09001B" w:tentative="1">
      <w:start w:val="1"/>
      <w:numFmt w:val="lowerRoman"/>
      <w:lvlText w:val="%3."/>
      <w:lvlJc w:val="right"/>
      <w:pPr>
        <w:ind w:left="3927" w:hanging="180"/>
      </w:pPr>
    </w:lvl>
    <w:lvl w:ilvl="3" w:tplc="0C09000F" w:tentative="1">
      <w:start w:val="1"/>
      <w:numFmt w:val="decimal"/>
      <w:lvlText w:val="%4."/>
      <w:lvlJc w:val="left"/>
      <w:pPr>
        <w:ind w:left="4647" w:hanging="360"/>
      </w:pPr>
    </w:lvl>
    <w:lvl w:ilvl="4" w:tplc="0C090019" w:tentative="1">
      <w:start w:val="1"/>
      <w:numFmt w:val="lowerLetter"/>
      <w:lvlText w:val="%5."/>
      <w:lvlJc w:val="left"/>
      <w:pPr>
        <w:ind w:left="5367" w:hanging="360"/>
      </w:pPr>
    </w:lvl>
    <w:lvl w:ilvl="5" w:tplc="0C09001B" w:tentative="1">
      <w:start w:val="1"/>
      <w:numFmt w:val="lowerRoman"/>
      <w:lvlText w:val="%6."/>
      <w:lvlJc w:val="right"/>
      <w:pPr>
        <w:ind w:left="6087" w:hanging="180"/>
      </w:pPr>
    </w:lvl>
    <w:lvl w:ilvl="6" w:tplc="0C09000F" w:tentative="1">
      <w:start w:val="1"/>
      <w:numFmt w:val="decimal"/>
      <w:lvlText w:val="%7."/>
      <w:lvlJc w:val="left"/>
      <w:pPr>
        <w:ind w:left="6807" w:hanging="360"/>
      </w:pPr>
    </w:lvl>
    <w:lvl w:ilvl="7" w:tplc="0C090019" w:tentative="1">
      <w:start w:val="1"/>
      <w:numFmt w:val="lowerLetter"/>
      <w:lvlText w:val="%8."/>
      <w:lvlJc w:val="left"/>
      <w:pPr>
        <w:ind w:left="7527" w:hanging="360"/>
      </w:pPr>
    </w:lvl>
    <w:lvl w:ilvl="8" w:tplc="0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2800AC6"/>
    <w:multiLevelType w:val="hybridMultilevel"/>
    <w:tmpl w:val="A936F89C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5D389968">
      <w:start w:val="3"/>
      <w:numFmt w:val="lowerLetter"/>
      <w:lvlText w:val="(%2)"/>
      <w:lvlJc w:val="left"/>
      <w:pPr>
        <w:ind w:left="1211" w:hanging="360"/>
      </w:pPr>
      <w:rPr>
        <w:rFonts w:hint="default"/>
        <w:i w:val="0"/>
        <w:color w:val="auto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42B8"/>
    <w:multiLevelType w:val="hybridMultilevel"/>
    <w:tmpl w:val="88D6FA40"/>
    <w:lvl w:ilvl="0" w:tplc="43FC69B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926766F"/>
    <w:multiLevelType w:val="hybridMultilevel"/>
    <w:tmpl w:val="25825658"/>
    <w:lvl w:ilvl="0" w:tplc="E9C81FEC">
      <w:start w:val="1"/>
      <w:numFmt w:val="lowerLetter"/>
      <w:lvlText w:val="(%1)"/>
      <w:lvlJc w:val="left"/>
      <w:pPr>
        <w:ind w:left="220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81EC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B4428BB"/>
    <w:multiLevelType w:val="hybridMultilevel"/>
    <w:tmpl w:val="5D201AE2"/>
    <w:lvl w:ilvl="0" w:tplc="43FC69B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B9346A"/>
    <w:multiLevelType w:val="hybridMultilevel"/>
    <w:tmpl w:val="F9CA4788"/>
    <w:lvl w:ilvl="0" w:tplc="43FC69B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F65E4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1CBD"/>
    <w:multiLevelType w:val="hybridMultilevel"/>
    <w:tmpl w:val="6EA8B8FC"/>
    <w:lvl w:ilvl="0" w:tplc="43FC69B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1916727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22C2A1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3D8421B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784FC6"/>
    <w:multiLevelType w:val="hybridMultilevel"/>
    <w:tmpl w:val="4D4CEAA8"/>
    <w:lvl w:ilvl="0" w:tplc="43FC69B6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EB3B50"/>
    <w:multiLevelType w:val="hybridMultilevel"/>
    <w:tmpl w:val="225A6182"/>
    <w:lvl w:ilvl="0" w:tplc="0C09001B">
      <w:start w:val="1"/>
      <w:numFmt w:val="lowerRoman"/>
      <w:lvlText w:val="%1."/>
      <w:lvlJc w:val="righ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E5A29AD"/>
    <w:multiLevelType w:val="multilevel"/>
    <w:tmpl w:val="2946B06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12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6"/>
    <w:rsid w:val="00015A0A"/>
    <w:rsid w:val="000160ED"/>
    <w:rsid w:val="00017CD6"/>
    <w:rsid w:val="000321AB"/>
    <w:rsid w:val="00034C1B"/>
    <w:rsid w:val="00044C5F"/>
    <w:rsid w:val="0006440B"/>
    <w:rsid w:val="0007529F"/>
    <w:rsid w:val="00080CCF"/>
    <w:rsid w:val="000837C9"/>
    <w:rsid w:val="000B28B4"/>
    <w:rsid w:val="000B4A22"/>
    <w:rsid w:val="000C3F5A"/>
    <w:rsid w:val="000C670A"/>
    <w:rsid w:val="000D6C6F"/>
    <w:rsid w:val="000E4CC2"/>
    <w:rsid w:val="0011475D"/>
    <w:rsid w:val="00115165"/>
    <w:rsid w:val="00117FF8"/>
    <w:rsid w:val="00146FD8"/>
    <w:rsid w:val="0015391A"/>
    <w:rsid w:val="001555F6"/>
    <w:rsid w:val="00157DB0"/>
    <w:rsid w:val="00175E28"/>
    <w:rsid w:val="00192658"/>
    <w:rsid w:val="001A51CD"/>
    <w:rsid w:val="001B5F4D"/>
    <w:rsid w:val="001F4C39"/>
    <w:rsid w:val="002250F4"/>
    <w:rsid w:val="00225E78"/>
    <w:rsid w:val="002419F7"/>
    <w:rsid w:val="00250666"/>
    <w:rsid w:val="00280192"/>
    <w:rsid w:val="00286B6E"/>
    <w:rsid w:val="002E6F92"/>
    <w:rsid w:val="003026EC"/>
    <w:rsid w:val="00310C30"/>
    <w:rsid w:val="00311FD3"/>
    <w:rsid w:val="003328BF"/>
    <w:rsid w:val="003450FF"/>
    <w:rsid w:val="003660C3"/>
    <w:rsid w:val="00367458"/>
    <w:rsid w:val="003722B8"/>
    <w:rsid w:val="00376CA5"/>
    <w:rsid w:val="00380060"/>
    <w:rsid w:val="00386E2A"/>
    <w:rsid w:val="003A720C"/>
    <w:rsid w:val="003C4350"/>
    <w:rsid w:val="003C5C76"/>
    <w:rsid w:val="003D200E"/>
    <w:rsid w:val="003E7758"/>
    <w:rsid w:val="00400A96"/>
    <w:rsid w:val="00425E9F"/>
    <w:rsid w:val="0044106B"/>
    <w:rsid w:val="004474BE"/>
    <w:rsid w:val="00451012"/>
    <w:rsid w:val="0045259B"/>
    <w:rsid w:val="0046165F"/>
    <w:rsid w:val="004616C8"/>
    <w:rsid w:val="00467E6C"/>
    <w:rsid w:val="00497A29"/>
    <w:rsid w:val="004A1398"/>
    <w:rsid w:val="004A3DEF"/>
    <w:rsid w:val="004A4D8E"/>
    <w:rsid w:val="004A7451"/>
    <w:rsid w:val="004A7DE9"/>
    <w:rsid w:val="004B0B26"/>
    <w:rsid w:val="004B718C"/>
    <w:rsid w:val="004C5169"/>
    <w:rsid w:val="00503B64"/>
    <w:rsid w:val="00507011"/>
    <w:rsid w:val="00516921"/>
    <w:rsid w:val="00524B65"/>
    <w:rsid w:val="005455E3"/>
    <w:rsid w:val="005562B5"/>
    <w:rsid w:val="005644AA"/>
    <w:rsid w:val="00591514"/>
    <w:rsid w:val="00596D08"/>
    <w:rsid w:val="005A7849"/>
    <w:rsid w:val="005B024A"/>
    <w:rsid w:val="005D18C4"/>
    <w:rsid w:val="005E6BB4"/>
    <w:rsid w:val="005F251F"/>
    <w:rsid w:val="005F486A"/>
    <w:rsid w:val="00602D5C"/>
    <w:rsid w:val="00603112"/>
    <w:rsid w:val="006075B1"/>
    <w:rsid w:val="006140F4"/>
    <w:rsid w:val="006145D8"/>
    <w:rsid w:val="006363E8"/>
    <w:rsid w:val="00643E48"/>
    <w:rsid w:val="00650203"/>
    <w:rsid w:val="00652BFB"/>
    <w:rsid w:val="00680978"/>
    <w:rsid w:val="00692299"/>
    <w:rsid w:val="006A18BF"/>
    <w:rsid w:val="006E5F65"/>
    <w:rsid w:val="0073538D"/>
    <w:rsid w:val="00787D5E"/>
    <w:rsid w:val="007919E9"/>
    <w:rsid w:val="00792638"/>
    <w:rsid w:val="007C19F1"/>
    <w:rsid w:val="007C6B53"/>
    <w:rsid w:val="007C6E98"/>
    <w:rsid w:val="007D3032"/>
    <w:rsid w:val="007D3EEA"/>
    <w:rsid w:val="007E2EA8"/>
    <w:rsid w:val="007E6860"/>
    <w:rsid w:val="007F1813"/>
    <w:rsid w:val="0080480F"/>
    <w:rsid w:val="0080709D"/>
    <w:rsid w:val="00833B77"/>
    <w:rsid w:val="00843ED3"/>
    <w:rsid w:val="00854DCF"/>
    <w:rsid w:val="0088305B"/>
    <w:rsid w:val="008A0C9D"/>
    <w:rsid w:val="008A65A8"/>
    <w:rsid w:val="008A7DB8"/>
    <w:rsid w:val="008B2042"/>
    <w:rsid w:val="008B4E06"/>
    <w:rsid w:val="008D299F"/>
    <w:rsid w:val="008D3FD8"/>
    <w:rsid w:val="008F5324"/>
    <w:rsid w:val="00927527"/>
    <w:rsid w:val="00932248"/>
    <w:rsid w:val="009418DA"/>
    <w:rsid w:val="009568F7"/>
    <w:rsid w:val="0096132F"/>
    <w:rsid w:val="0096147B"/>
    <w:rsid w:val="0097737B"/>
    <w:rsid w:val="009A1D96"/>
    <w:rsid w:val="009F42E6"/>
    <w:rsid w:val="009F5B88"/>
    <w:rsid w:val="00A23064"/>
    <w:rsid w:val="00A3437D"/>
    <w:rsid w:val="00A61950"/>
    <w:rsid w:val="00A63821"/>
    <w:rsid w:val="00A659BC"/>
    <w:rsid w:val="00A732B1"/>
    <w:rsid w:val="00A94B58"/>
    <w:rsid w:val="00AA5E58"/>
    <w:rsid w:val="00AE0660"/>
    <w:rsid w:val="00AF6599"/>
    <w:rsid w:val="00B2092D"/>
    <w:rsid w:val="00B30EAC"/>
    <w:rsid w:val="00B32421"/>
    <w:rsid w:val="00B42567"/>
    <w:rsid w:val="00BA12F3"/>
    <w:rsid w:val="00BA341C"/>
    <w:rsid w:val="00BB44F1"/>
    <w:rsid w:val="00BE0AF4"/>
    <w:rsid w:val="00BE1AE8"/>
    <w:rsid w:val="00BE53DA"/>
    <w:rsid w:val="00BE5594"/>
    <w:rsid w:val="00BF2B00"/>
    <w:rsid w:val="00BF4537"/>
    <w:rsid w:val="00BF7468"/>
    <w:rsid w:val="00C13D5B"/>
    <w:rsid w:val="00C200C0"/>
    <w:rsid w:val="00C40DF7"/>
    <w:rsid w:val="00C45825"/>
    <w:rsid w:val="00C51999"/>
    <w:rsid w:val="00C6440B"/>
    <w:rsid w:val="00C726ED"/>
    <w:rsid w:val="00C84467"/>
    <w:rsid w:val="00CA75D6"/>
    <w:rsid w:val="00CC07CD"/>
    <w:rsid w:val="00CC0B55"/>
    <w:rsid w:val="00CD0043"/>
    <w:rsid w:val="00CE036F"/>
    <w:rsid w:val="00CE05AF"/>
    <w:rsid w:val="00CE0BA7"/>
    <w:rsid w:val="00CE6902"/>
    <w:rsid w:val="00CF645E"/>
    <w:rsid w:val="00CF6A02"/>
    <w:rsid w:val="00D1564C"/>
    <w:rsid w:val="00D30FC3"/>
    <w:rsid w:val="00D4310C"/>
    <w:rsid w:val="00D62342"/>
    <w:rsid w:val="00D774CA"/>
    <w:rsid w:val="00D81164"/>
    <w:rsid w:val="00D93766"/>
    <w:rsid w:val="00DA7519"/>
    <w:rsid w:val="00DB002D"/>
    <w:rsid w:val="00DC7EC0"/>
    <w:rsid w:val="00DD1B59"/>
    <w:rsid w:val="00DF05D6"/>
    <w:rsid w:val="00E05F60"/>
    <w:rsid w:val="00E145B6"/>
    <w:rsid w:val="00E251CE"/>
    <w:rsid w:val="00E26855"/>
    <w:rsid w:val="00E26CBB"/>
    <w:rsid w:val="00E576B6"/>
    <w:rsid w:val="00E66308"/>
    <w:rsid w:val="00EA7AF2"/>
    <w:rsid w:val="00EB147E"/>
    <w:rsid w:val="00EB7F71"/>
    <w:rsid w:val="00EC302B"/>
    <w:rsid w:val="00F04278"/>
    <w:rsid w:val="00F05BCA"/>
    <w:rsid w:val="00F142E3"/>
    <w:rsid w:val="00F21407"/>
    <w:rsid w:val="00F25EE3"/>
    <w:rsid w:val="00F4556C"/>
    <w:rsid w:val="00F639A2"/>
    <w:rsid w:val="00F70B3C"/>
    <w:rsid w:val="00F9006E"/>
    <w:rsid w:val="00FA06B0"/>
    <w:rsid w:val="00FB56AA"/>
    <w:rsid w:val="00FD334F"/>
    <w:rsid w:val="00FD546E"/>
    <w:rsid w:val="00FE0642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54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6"/>
    <w:pPr>
      <w:spacing w:after="0" w:line="240" w:lineRule="auto"/>
    </w:pPr>
    <w:rPr>
      <w:rFonts w:ascii="Corbel" w:eastAsia="Times New Roman" w:hAnsi="Corbel" w:cs="Times New Roman"/>
      <w:color w:val="000000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F42E6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42E6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2E6"/>
    <w:rPr>
      <w:rFonts w:ascii="Consolas" w:eastAsia="Times New Roman" w:hAnsi="Consolas" w:cs="Times New Roman"/>
      <w:bCs/>
      <w:caps/>
      <w:color w:val="3D4B67"/>
      <w:kern w:val="32"/>
      <w:sz w:val="32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9F42E6"/>
    <w:rPr>
      <w:rFonts w:ascii="Consolas" w:eastAsia="Times New Roman" w:hAnsi="Consolas" w:cs="Times New Roman"/>
      <w:b/>
      <w:color w:val="3D4B67"/>
      <w:sz w:val="23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9F42E6"/>
    <w:pPr>
      <w:ind w:left="720"/>
    </w:pPr>
  </w:style>
  <w:style w:type="paragraph" w:styleId="Footer">
    <w:name w:val="footer"/>
    <w:basedOn w:val="Normal"/>
    <w:link w:val="FooterChar"/>
    <w:uiPriority w:val="99"/>
    <w:rsid w:val="009F42E6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F42E6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9F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greementParties">
    <w:name w:val="AgreementParties"/>
    <w:uiPriority w:val="99"/>
    <w:rsid w:val="009F42E6"/>
    <w:pPr>
      <w:numPr>
        <w:numId w:val="1"/>
      </w:numPr>
      <w:spacing w:before="120" w:after="120" w:line="240" w:lineRule="auto"/>
    </w:pPr>
    <w:rPr>
      <w:rFonts w:ascii="Consolas" w:eastAsia="Times New Roman" w:hAnsi="Consolas" w:cs="Consolas"/>
      <w:color w:val="3D4B67"/>
      <w:sz w:val="30"/>
      <w:szCs w:val="30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9F42E6"/>
    <w:rPr>
      <w:color w:val="3D4B67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9F42E6"/>
    <w:rPr>
      <w:rFonts w:ascii="Corbel" w:eastAsia="Times New Roman" w:hAnsi="Corbel" w:cs="Times New Roman"/>
      <w:color w:val="3D4B67"/>
      <w:sz w:val="72"/>
      <w:szCs w:val="72"/>
      <w:lang w:eastAsia="ja-JP"/>
    </w:rPr>
  </w:style>
  <w:style w:type="paragraph" w:customStyle="1" w:styleId="Normalnumbered">
    <w:name w:val="Normal numbered"/>
    <w:basedOn w:val="Normal"/>
    <w:link w:val="NormalnumberedChar"/>
    <w:rsid w:val="009F42E6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9F42E6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customStyle="1" w:styleId="SignedBold">
    <w:name w:val="SignedBold"/>
    <w:uiPriority w:val="99"/>
    <w:rsid w:val="009F42E6"/>
    <w:rPr>
      <w:b/>
      <w:bCs/>
      <w:i/>
      <w:iCs/>
    </w:rPr>
  </w:style>
  <w:style w:type="character" w:customStyle="1" w:styleId="NormalnumberedChar">
    <w:name w:val="Normal numbered Char"/>
    <w:link w:val="Normalnumbered"/>
    <w:locked/>
    <w:rsid w:val="009F42E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2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42E6"/>
    <w:rPr>
      <w:rFonts w:eastAsiaTheme="minorEastAsia"/>
      <w:color w:val="5A5A5A" w:themeColor="text1" w:themeTint="A5"/>
      <w:spacing w:val="15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C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B55"/>
    <w:rPr>
      <w:rFonts w:ascii="Corbel" w:eastAsia="Times New Roman" w:hAnsi="Corbel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55"/>
    <w:rPr>
      <w:rFonts w:ascii="Corbel" w:eastAsia="Times New Roman" w:hAnsi="Corbel" w:cs="Times New Roman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55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30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C3"/>
    <w:rPr>
      <w:rFonts w:ascii="Corbel" w:eastAsia="Times New Roman" w:hAnsi="Corbel" w:cs="Times New Roman"/>
      <w:color w:val="000000"/>
      <w:sz w:val="23"/>
      <w:szCs w:val="24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2419F7"/>
    <w:pPr>
      <w:numPr>
        <w:numId w:val="20"/>
      </w:numPr>
      <w:spacing w:after="120"/>
    </w:pPr>
    <w:rPr>
      <w:rFonts w:cs="Calibri"/>
      <w:szCs w:val="23"/>
    </w:rPr>
  </w:style>
  <w:style w:type="character" w:customStyle="1" w:styleId="OutlineNumbered1Char">
    <w:name w:val="Outline Numbered 1 Char"/>
    <w:basedOn w:val="NormalnumberedChar"/>
    <w:link w:val="OutlineNumbered1"/>
    <w:rsid w:val="002419F7"/>
    <w:rPr>
      <w:rFonts w:ascii="Corbel" w:eastAsia="Times New Roman" w:hAnsi="Corbel" w:cs="Calibri"/>
      <w:color w:val="000000"/>
      <w:sz w:val="23"/>
      <w:szCs w:val="23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2419F7"/>
    <w:pPr>
      <w:numPr>
        <w:ilvl w:val="1"/>
        <w:numId w:val="20"/>
      </w:numPr>
      <w:spacing w:after="120"/>
    </w:pPr>
    <w:rPr>
      <w:rFonts w:cs="Calibri"/>
      <w:szCs w:val="23"/>
    </w:rPr>
  </w:style>
  <w:style w:type="character" w:customStyle="1" w:styleId="OutlineNumbered2Char">
    <w:name w:val="Outline Numbered 2 Char"/>
    <w:basedOn w:val="NormalnumberedChar"/>
    <w:link w:val="OutlineNumbered2"/>
    <w:rsid w:val="002419F7"/>
    <w:rPr>
      <w:rFonts w:ascii="Corbel" w:eastAsia="Times New Roman" w:hAnsi="Corbel" w:cs="Calibri"/>
      <w:color w:val="000000"/>
      <w:sz w:val="23"/>
      <w:szCs w:val="23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2419F7"/>
    <w:pPr>
      <w:numPr>
        <w:ilvl w:val="2"/>
        <w:numId w:val="20"/>
      </w:numPr>
      <w:spacing w:after="120"/>
    </w:pPr>
    <w:rPr>
      <w:rFonts w:cs="Calibri"/>
      <w:szCs w:val="23"/>
    </w:rPr>
  </w:style>
  <w:style w:type="character" w:customStyle="1" w:styleId="OutlineNumbered3Char">
    <w:name w:val="Outline Numbered 3 Char"/>
    <w:basedOn w:val="NormalnumberedChar"/>
    <w:link w:val="OutlineNumbered3"/>
    <w:rsid w:val="002419F7"/>
    <w:rPr>
      <w:rFonts w:ascii="Corbel" w:eastAsia="Times New Roman" w:hAnsi="Corbel" w:cs="Calibri"/>
      <w:color w:val="000000"/>
      <w:sz w:val="23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5582" ma:contentTypeDescription=" " ma:contentTypeScope="" ma:versionID="9386434a7012346db3c4133ffd22b0ec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2019FG-64-69356</_dlc_DocId>
    <_dlc_DocIdUrl xmlns="0f563589-9cf9-4143-b1eb-fb0534803d38">
      <Url>http://tweb/sites/fg/csrd/_layouts/15/DocIdRedir.aspx?ID=2019FG-64-69356</Url>
      <Description>2019FG-64-69356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E544-0301-4C57-95BB-C69A488A97A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79EAC84-C360-4499-BB69-856FBFACA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0F509-3074-4E3C-94A1-509EC885DA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9384C8-E40C-4236-9141-319536151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3658C4-3731-45E3-A873-BA8F7B00047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7EBA08E-E6F0-4EAA-93B9-1E595CB0816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0922E9C-1BC5-4525-924B-79E447F749F5"/>
    <ds:schemaRef ds:uri="http://www.w3.org/XML/1998/namespace"/>
    <ds:schemaRef ds:uri="http://purl.org/dc/dcmitype/"/>
    <ds:schemaRef ds:uri="http://schemas.microsoft.com/sharepoint/v4"/>
    <ds:schemaRef ds:uri="0f563589-9cf9-4143-b1eb-fb0534803d38"/>
    <ds:schemaRef ds:uri="e544e5cc-ab70-42e1-849e-1a0f8bb1f4ef"/>
  </ds:schemaRefs>
</ds:datastoreItem>
</file>

<file path=customXml/itemProps7.xml><?xml version="1.0" encoding="utf-8"?>
<ds:datastoreItem xmlns:ds="http://schemas.openxmlformats.org/officeDocument/2006/customXml" ds:itemID="{A7EC2782-EAEF-4649-A389-65B50B83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5085</Characters>
  <Application>Microsoft Office Word</Application>
  <DocSecurity>0</DocSecurity>
  <Lines>161</Lines>
  <Paragraphs>77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Federal Financial Relations - National Browsing Ant Western Australia Eradication Program</dc:title>
  <dc:subject/>
  <dc:creator/>
  <cp:keywords/>
  <dc:description/>
  <cp:lastModifiedBy/>
  <cp:revision>1</cp:revision>
  <dcterms:created xsi:type="dcterms:W3CDTF">2020-01-07T23:29:00Z</dcterms:created>
  <dcterms:modified xsi:type="dcterms:W3CDTF">2020-01-07T23:29:00Z</dcterms:modified>
  <dc:language>English</dc:language>
</cp:coreProperties>
</file>