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BD61" w14:textId="77777777" w:rsidR="00CE09ED" w:rsidRPr="0021123C" w:rsidRDefault="00CE09ED"/>
    <w:p w14:paraId="0F212568" w14:textId="77777777" w:rsidR="00205899" w:rsidRPr="0021123C" w:rsidRDefault="00103150" w:rsidP="00205899">
      <w:pPr>
        <w:pStyle w:val="Heading9"/>
        <w:jc w:val="right"/>
        <w:rPr>
          <w:rStyle w:val="ParagraphnumberingChar"/>
          <w:rFonts w:eastAsiaTheme="majorEastAsia"/>
          <w:i w:val="0"/>
          <w:sz w:val="28"/>
          <w:szCs w:val="28"/>
        </w:rPr>
      </w:pPr>
      <w:r w:rsidRPr="0021123C">
        <w:rPr>
          <w:i w:val="0"/>
          <w:sz w:val="28"/>
          <w:szCs w:val="28"/>
        </w:rPr>
        <w:t>Schedule</w:t>
      </w:r>
    </w:p>
    <w:p w14:paraId="05A4C14E" w14:textId="77777777" w:rsidR="00205899" w:rsidRPr="0021123C" w:rsidRDefault="008035E8" w:rsidP="00205899">
      <w:pPr>
        <w:pStyle w:val="Title"/>
      </w:pPr>
      <w:r w:rsidRPr="0021123C">
        <w:t xml:space="preserve">Hinkler Regional Deal: </w:t>
      </w:r>
      <w:r w:rsidR="00972562" w:rsidRPr="0021123C">
        <w:t>Fraser Coast Turtle</w:t>
      </w:r>
      <w:r w:rsidR="001028A3" w:rsidRPr="0021123C">
        <w:t xml:space="preserve"> Rehabilitation and </w:t>
      </w:r>
      <w:r w:rsidR="009975A3" w:rsidRPr="0021123C">
        <w:t>Research</w:t>
      </w:r>
      <w:r w:rsidR="001028A3" w:rsidRPr="0021123C">
        <w:t xml:space="preserve"> Centre</w:t>
      </w:r>
    </w:p>
    <w:p w14:paraId="1C987B7F" w14:textId="77777777" w:rsidR="00103150" w:rsidRPr="0021123C" w:rsidRDefault="00103150" w:rsidP="00103150">
      <w:pPr>
        <w:pStyle w:val="Subtitle"/>
      </w:pPr>
      <w:r w:rsidRPr="0021123C">
        <w:t xml:space="preserve">FEDERATION FUNDING AGREEMENT – </w:t>
      </w:r>
      <w:r w:rsidR="007452B9" w:rsidRPr="0021123C">
        <w:t>INFRASTRUCTURE</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691"/>
        <w:gridCol w:w="7938"/>
      </w:tblGrid>
      <w:tr w:rsidR="00205899" w:rsidRPr="0021123C" w14:paraId="7653E1F2" w14:textId="77777777" w:rsidTr="007766A2">
        <w:tc>
          <w:tcPr>
            <w:tcW w:w="9629" w:type="dxa"/>
            <w:gridSpan w:val="2"/>
            <w:shd w:val="clear" w:color="auto" w:fill="DEEAF6" w:themeFill="accent1" w:themeFillTint="33"/>
          </w:tcPr>
          <w:p w14:paraId="20C6666B" w14:textId="77777777" w:rsidR="00205899" w:rsidRPr="0021123C" w:rsidRDefault="00205899" w:rsidP="005D3905">
            <w:pPr>
              <w:pStyle w:val="Tableformat"/>
              <w:rPr>
                <w:b/>
                <w:color w:val="auto"/>
              </w:rPr>
            </w:pPr>
            <w:r w:rsidRPr="0021123C">
              <w:rPr>
                <w:b/>
                <w:color w:val="auto"/>
              </w:rPr>
              <w:t>Table 1: Formalities and operation of schedule</w:t>
            </w:r>
          </w:p>
        </w:tc>
      </w:tr>
      <w:tr w:rsidR="00205899" w:rsidRPr="0021123C" w14:paraId="56F5BB7C" w14:textId="77777777" w:rsidTr="007766A2">
        <w:tc>
          <w:tcPr>
            <w:tcW w:w="1691" w:type="dxa"/>
            <w:shd w:val="clear" w:color="auto" w:fill="auto"/>
          </w:tcPr>
          <w:p w14:paraId="0B100145" w14:textId="77777777" w:rsidR="00205899" w:rsidRPr="0021123C" w:rsidRDefault="00205899" w:rsidP="005D3905">
            <w:pPr>
              <w:pStyle w:val="Tableformat"/>
              <w:rPr>
                <w:color w:val="auto"/>
              </w:rPr>
            </w:pPr>
            <w:r w:rsidRPr="0021123C">
              <w:rPr>
                <w:color w:val="auto"/>
              </w:rPr>
              <w:t>Parties</w:t>
            </w:r>
          </w:p>
        </w:tc>
        <w:tc>
          <w:tcPr>
            <w:tcW w:w="7938" w:type="dxa"/>
            <w:shd w:val="clear" w:color="auto" w:fill="auto"/>
          </w:tcPr>
          <w:p w14:paraId="000D6D64" w14:textId="77777777" w:rsidR="00911A92" w:rsidRPr="0021123C" w:rsidRDefault="00205899" w:rsidP="00911A92">
            <w:pPr>
              <w:pStyle w:val="Tableformat"/>
              <w:rPr>
                <w:color w:val="auto"/>
              </w:rPr>
            </w:pPr>
            <w:r w:rsidRPr="0021123C">
              <w:rPr>
                <w:color w:val="auto"/>
              </w:rPr>
              <w:t>Commonwealth</w:t>
            </w:r>
          </w:p>
          <w:p w14:paraId="1E2A4715" w14:textId="77777777" w:rsidR="00911A92" w:rsidRPr="0021123C" w:rsidRDefault="005B6CF4" w:rsidP="00911A92">
            <w:pPr>
              <w:pStyle w:val="Tableformat"/>
              <w:rPr>
                <w:color w:val="auto"/>
              </w:rPr>
            </w:pPr>
            <w:r w:rsidRPr="0021123C">
              <w:rPr>
                <w:color w:val="auto"/>
              </w:rPr>
              <w:t>Queensland</w:t>
            </w:r>
            <w:r w:rsidR="00103150" w:rsidRPr="0021123C">
              <w:rPr>
                <w:color w:val="auto"/>
              </w:rPr>
              <w:t xml:space="preserve"> </w:t>
            </w:r>
            <w:r w:rsidR="00911A92" w:rsidRPr="0021123C">
              <w:rPr>
                <w:color w:val="auto"/>
              </w:rPr>
              <w:t xml:space="preserve"> </w:t>
            </w:r>
          </w:p>
        </w:tc>
      </w:tr>
      <w:tr w:rsidR="00205899" w:rsidRPr="0021123C" w14:paraId="62808F7D" w14:textId="77777777" w:rsidTr="007766A2">
        <w:tc>
          <w:tcPr>
            <w:tcW w:w="1691" w:type="dxa"/>
            <w:shd w:val="clear" w:color="auto" w:fill="auto"/>
          </w:tcPr>
          <w:p w14:paraId="2C2656C5" w14:textId="77777777" w:rsidR="00205899" w:rsidRPr="0021123C" w:rsidRDefault="00205899" w:rsidP="005D3905">
            <w:pPr>
              <w:pStyle w:val="Tableformat"/>
              <w:rPr>
                <w:color w:val="auto"/>
              </w:rPr>
            </w:pPr>
            <w:r w:rsidRPr="0021123C">
              <w:rPr>
                <w:color w:val="auto"/>
              </w:rPr>
              <w:t>Duration</w:t>
            </w:r>
          </w:p>
        </w:tc>
        <w:tc>
          <w:tcPr>
            <w:tcW w:w="7938" w:type="dxa"/>
            <w:shd w:val="clear" w:color="auto" w:fill="auto"/>
          </w:tcPr>
          <w:p w14:paraId="55DB8B6C" w14:textId="7C557771" w:rsidR="00205899" w:rsidRPr="0021123C" w:rsidRDefault="00103150" w:rsidP="00103150">
            <w:pPr>
              <w:pStyle w:val="Tableformat"/>
              <w:rPr>
                <w:color w:val="auto"/>
              </w:rPr>
            </w:pPr>
            <w:r w:rsidRPr="0021123C">
              <w:rPr>
                <w:color w:val="auto"/>
              </w:rPr>
              <w:t xml:space="preserve">This Schedule is expected to expire on </w:t>
            </w:r>
            <w:r w:rsidR="00883713" w:rsidRPr="0021123C">
              <w:rPr>
                <w:color w:val="auto"/>
              </w:rPr>
              <w:t>30 June 202</w:t>
            </w:r>
            <w:r w:rsidR="007B4295" w:rsidRPr="0021123C">
              <w:rPr>
                <w:color w:val="auto"/>
              </w:rPr>
              <w:t>5</w:t>
            </w:r>
            <w:r w:rsidR="006A57FC" w:rsidRPr="0021123C">
              <w:rPr>
                <w:color w:val="auto"/>
              </w:rPr>
              <w:t xml:space="preserve"> or on completion of final performance reporting</w:t>
            </w:r>
            <w:r w:rsidRPr="0021123C">
              <w:rPr>
                <w:color w:val="auto"/>
              </w:rPr>
              <w:t>.</w:t>
            </w:r>
          </w:p>
        </w:tc>
      </w:tr>
      <w:tr w:rsidR="00205899" w:rsidRPr="0021123C" w14:paraId="7F2AC00B" w14:textId="77777777" w:rsidTr="007766A2">
        <w:tc>
          <w:tcPr>
            <w:tcW w:w="1691" w:type="dxa"/>
            <w:shd w:val="clear" w:color="auto" w:fill="auto"/>
          </w:tcPr>
          <w:p w14:paraId="790DA5C5" w14:textId="77777777" w:rsidR="00205899" w:rsidRPr="0021123C" w:rsidRDefault="00205899" w:rsidP="005D3905">
            <w:pPr>
              <w:pStyle w:val="Tableformat"/>
              <w:rPr>
                <w:color w:val="auto"/>
              </w:rPr>
            </w:pPr>
            <w:r w:rsidRPr="0021123C">
              <w:rPr>
                <w:color w:val="auto"/>
              </w:rPr>
              <w:t>Purpose</w:t>
            </w:r>
          </w:p>
        </w:tc>
        <w:tc>
          <w:tcPr>
            <w:tcW w:w="7938" w:type="dxa"/>
            <w:shd w:val="clear" w:color="auto" w:fill="auto"/>
          </w:tcPr>
          <w:p w14:paraId="1B9D5DF8" w14:textId="77777777" w:rsidR="00205899" w:rsidRPr="0021123C" w:rsidRDefault="00103150" w:rsidP="008168ED">
            <w:pPr>
              <w:pStyle w:val="Tableformat"/>
              <w:rPr>
                <w:color w:val="auto"/>
              </w:rPr>
            </w:pPr>
            <w:r w:rsidRPr="0021123C">
              <w:rPr>
                <w:color w:val="auto"/>
              </w:rPr>
              <w:t xml:space="preserve">This Schedule will support the delivery of </w:t>
            </w:r>
            <w:r w:rsidR="005F7D48" w:rsidRPr="0021123C">
              <w:rPr>
                <w:color w:val="auto"/>
              </w:rPr>
              <w:t xml:space="preserve">the Fraser Coast Turtle Rehabilitation and </w:t>
            </w:r>
            <w:r w:rsidR="009975A3" w:rsidRPr="0021123C">
              <w:rPr>
                <w:color w:val="auto"/>
              </w:rPr>
              <w:t>Research</w:t>
            </w:r>
            <w:r w:rsidR="005F7D48" w:rsidRPr="0021123C">
              <w:rPr>
                <w:color w:val="auto"/>
              </w:rPr>
              <w:t xml:space="preserve"> Centre</w:t>
            </w:r>
            <w:r w:rsidR="009870E7" w:rsidRPr="0021123C">
              <w:rPr>
                <w:color w:val="auto"/>
              </w:rPr>
              <w:t xml:space="preserve"> in Hervey Bay</w:t>
            </w:r>
            <w:r w:rsidR="00992736" w:rsidRPr="0021123C">
              <w:rPr>
                <w:color w:val="auto"/>
              </w:rPr>
              <w:t>.</w:t>
            </w:r>
          </w:p>
        </w:tc>
      </w:tr>
      <w:tr w:rsidR="00205899" w:rsidRPr="0021123C" w14:paraId="3788BCD3" w14:textId="77777777" w:rsidTr="0089707F">
        <w:trPr>
          <w:trHeight w:val="4995"/>
        </w:trPr>
        <w:tc>
          <w:tcPr>
            <w:tcW w:w="1691" w:type="dxa"/>
            <w:shd w:val="clear" w:color="auto" w:fill="auto"/>
          </w:tcPr>
          <w:p w14:paraId="261654BE" w14:textId="77777777" w:rsidR="00205899" w:rsidRPr="0021123C" w:rsidRDefault="00205899" w:rsidP="005D3905">
            <w:pPr>
              <w:pStyle w:val="Tableformat"/>
              <w:rPr>
                <w:color w:val="auto"/>
              </w:rPr>
            </w:pPr>
            <w:r w:rsidRPr="0021123C">
              <w:rPr>
                <w:color w:val="auto"/>
              </w:rPr>
              <w:t>Estimated financial contributions</w:t>
            </w:r>
          </w:p>
        </w:tc>
        <w:tc>
          <w:tcPr>
            <w:tcW w:w="7938" w:type="dxa"/>
            <w:shd w:val="clear" w:color="auto" w:fill="auto"/>
          </w:tcPr>
          <w:p w14:paraId="41BDC27B" w14:textId="77777777" w:rsidR="00E06A50" w:rsidRPr="0021123C" w:rsidRDefault="00205899" w:rsidP="00551D3A">
            <w:pPr>
              <w:pStyle w:val="Tableformat"/>
              <w:rPr>
                <w:color w:val="auto"/>
              </w:rPr>
            </w:pPr>
            <w:r w:rsidRPr="0021123C">
              <w:rPr>
                <w:color w:val="auto"/>
              </w:rPr>
              <w:t>The Commonwealth will provide an estimated total financial</w:t>
            </w:r>
            <w:r w:rsidR="008168ED" w:rsidRPr="0021123C">
              <w:rPr>
                <w:color w:val="auto"/>
              </w:rPr>
              <w:t xml:space="preserve"> contribution to </w:t>
            </w:r>
            <w:r w:rsidR="009870E7" w:rsidRPr="0021123C">
              <w:rPr>
                <w:color w:val="auto"/>
              </w:rPr>
              <w:t>Queensland</w:t>
            </w:r>
            <w:r w:rsidR="008168ED" w:rsidRPr="0021123C">
              <w:rPr>
                <w:color w:val="auto"/>
              </w:rPr>
              <w:t xml:space="preserve"> of </w:t>
            </w:r>
            <w:r w:rsidR="009870E7" w:rsidRPr="0021123C">
              <w:rPr>
                <w:color w:val="auto"/>
              </w:rPr>
              <w:t xml:space="preserve">$0.25 million </w:t>
            </w:r>
            <w:r w:rsidRPr="0021123C">
              <w:rPr>
                <w:color w:val="auto"/>
              </w:rPr>
              <w:t>in respect of this Schedule.</w:t>
            </w:r>
          </w:p>
          <w:p w14:paraId="27DAD123" w14:textId="77777777" w:rsidR="00E06A50" w:rsidRPr="0021123C" w:rsidRDefault="00E06A50" w:rsidP="00551D3A">
            <w:pPr>
              <w:pStyle w:val="Tableformat"/>
              <w:rPr>
                <w:color w:val="auto"/>
              </w:rPr>
            </w:pPr>
          </w:p>
          <w:tbl>
            <w:tblPr>
              <w:tblW w:w="0" w:type="auto"/>
              <w:tblLook w:val="01E0" w:firstRow="1" w:lastRow="1" w:firstColumn="1" w:lastColumn="1" w:noHBand="0" w:noVBand="0"/>
            </w:tblPr>
            <w:tblGrid>
              <w:gridCol w:w="2693"/>
              <w:gridCol w:w="1193"/>
              <w:gridCol w:w="1194"/>
              <w:gridCol w:w="1194"/>
            </w:tblGrid>
            <w:tr w:rsidR="005B3197" w:rsidRPr="0021123C" w14:paraId="6E1DA0CF" w14:textId="77777777" w:rsidTr="00C27099">
              <w:trPr>
                <w:cantSplit/>
                <w:trHeight w:val="699"/>
              </w:trPr>
              <w:tc>
                <w:tcPr>
                  <w:tcW w:w="2693" w:type="dxa"/>
                  <w:tcBorders>
                    <w:top w:val="single" w:sz="4" w:space="0" w:color="000080"/>
                    <w:bottom w:val="single" w:sz="4" w:space="0" w:color="000080"/>
                  </w:tcBorders>
                </w:tcPr>
                <w:p w14:paraId="1095E723" w14:textId="77777777" w:rsidR="005B3197" w:rsidRPr="0021123C" w:rsidRDefault="005B3197" w:rsidP="00747D6A">
                  <w:pPr>
                    <w:keepNext/>
                    <w:keepLines/>
                    <w:spacing w:before="40" w:after="40"/>
                    <w:ind w:left="-111"/>
                    <w:rPr>
                      <w:b/>
                      <w:sz w:val="21"/>
                      <w:szCs w:val="21"/>
                    </w:rPr>
                  </w:pPr>
                  <w:r w:rsidRPr="0021123C">
                    <w:rPr>
                      <w:b/>
                      <w:sz w:val="21"/>
                      <w:szCs w:val="21"/>
                    </w:rPr>
                    <w:t>Table 1</w:t>
                  </w:r>
                </w:p>
                <w:p w14:paraId="61D0DEC3" w14:textId="77777777" w:rsidR="005B3197" w:rsidRPr="0021123C" w:rsidRDefault="005B3197" w:rsidP="00747D6A">
                  <w:pPr>
                    <w:keepNext/>
                    <w:keepLines/>
                    <w:spacing w:before="40" w:after="40"/>
                    <w:ind w:left="-111"/>
                    <w:rPr>
                      <w:b/>
                      <w:sz w:val="21"/>
                      <w:szCs w:val="21"/>
                    </w:rPr>
                  </w:pPr>
                  <w:r w:rsidRPr="0021123C">
                    <w:rPr>
                      <w:b/>
                      <w:sz w:val="21"/>
                      <w:szCs w:val="21"/>
                    </w:rPr>
                    <w:t>($ million)</w:t>
                  </w:r>
                </w:p>
              </w:tc>
              <w:tc>
                <w:tcPr>
                  <w:tcW w:w="1193" w:type="dxa"/>
                  <w:tcBorders>
                    <w:top w:val="single" w:sz="4" w:space="0" w:color="000080"/>
                    <w:bottom w:val="single" w:sz="4" w:space="0" w:color="000080"/>
                  </w:tcBorders>
                </w:tcPr>
                <w:p w14:paraId="24FECFC2" w14:textId="77777777" w:rsidR="005B3197" w:rsidRPr="0021123C" w:rsidRDefault="005B3197" w:rsidP="00747D6A">
                  <w:pPr>
                    <w:keepNext/>
                    <w:keepLines/>
                    <w:spacing w:before="40" w:after="40"/>
                    <w:jc w:val="right"/>
                    <w:rPr>
                      <w:b/>
                      <w:sz w:val="21"/>
                      <w:szCs w:val="21"/>
                    </w:rPr>
                  </w:pPr>
                </w:p>
                <w:p w14:paraId="5E75150D" w14:textId="77777777" w:rsidR="005B3197" w:rsidRPr="0021123C" w:rsidRDefault="005B3197" w:rsidP="00747D6A">
                  <w:pPr>
                    <w:keepNext/>
                    <w:keepLines/>
                    <w:spacing w:before="40" w:after="40"/>
                    <w:jc w:val="right"/>
                    <w:rPr>
                      <w:b/>
                      <w:sz w:val="21"/>
                      <w:szCs w:val="21"/>
                    </w:rPr>
                  </w:pPr>
                  <w:r w:rsidRPr="0021123C">
                    <w:rPr>
                      <w:b/>
                      <w:i/>
                      <w:sz w:val="21"/>
                      <w:szCs w:val="21"/>
                    </w:rPr>
                    <w:t>2023-24</w:t>
                  </w:r>
                </w:p>
              </w:tc>
              <w:tc>
                <w:tcPr>
                  <w:tcW w:w="1194" w:type="dxa"/>
                  <w:tcBorders>
                    <w:top w:val="single" w:sz="4" w:space="0" w:color="000080"/>
                    <w:bottom w:val="single" w:sz="4" w:space="0" w:color="000080"/>
                  </w:tcBorders>
                </w:tcPr>
                <w:p w14:paraId="66A94573" w14:textId="4CE367E9" w:rsidR="005B3197" w:rsidRPr="0021123C" w:rsidRDefault="005B3197" w:rsidP="00747D6A">
                  <w:pPr>
                    <w:keepNext/>
                    <w:keepLines/>
                    <w:spacing w:before="40" w:after="40"/>
                    <w:jc w:val="right"/>
                    <w:rPr>
                      <w:b/>
                      <w:sz w:val="21"/>
                      <w:szCs w:val="21"/>
                    </w:rPr>
                  </w:pPr>
                </w:p>
              </w:tc>
              <w:tc>
                <w:tcPr>
                  <w:tcW w:w="1194" w:type="dxa"/>
                  <w:tcBorders>
                    <w:top w:val="single" w:sz="4" w:space="0" w:color="000080"/>
                    <w:bottom w:val="single" w:sz="4" w:space="0" w:color="000080"/>
                  </w:tcBorders>
                </w:tcPr>
                <w:p w14:paraId="06DA3468" w14:textId="77777777" w:rsidR="005B3197" w:rsidRPr="0021123C" w:rsidRDefault="005B3197" w:rsidP="00747D6A">
                  <w:pPr>
                    <w:keepNext/>
                    <w:keepLines/>
                    <w:spacing w:before="40" w:after="40"/>
                    <w:jc w:val="right"/>
                    <w:rPr>
                      <w:b/>
                      <w:sz w:val="21"/>
                      <w:szCs w:val="21"/>
                    </w:rPr>
                  </w:pPr>
                </w:p>
                <w:p w14:paraId="7C193545" w14:textId="77777777" w:rsidR="005B3197" w:rsidRPr="0021123C" w:rsidRDefault="005B3197" w:rsidP="00747D6A">
                  <w:pPr>
                    <w:keepNext/>
                    <w:keepLines/>
                    <w:spacing w:before="40" w:after="40"/>
                    <w:jc w:val="right"/>
                    <w:rPr>
                      <w:b/>
                      <w:sz w:val="21"/>
                      <w:szCs w:val="21"/>
                    </w:rPr>
                  </w:pPr>
                  <w:r w:rsidRPr="0021123C">
                    <w:rPr>
                      <w:b/>
                      <w:sz w:val="21"/>
                      <w:szCs w:val="21"/>
                    </w:rPr>
                    <w:t>Total</w:t>
                  </w:r>
                </w:p>
              </w:tc>
            </w:tr>
            <w:tr w:rsidR="005B3197" w:rsidRPr="0021123C" w14:paraId="59640416" w14:textId="77777777" w:rsidTr="00C27099">
              <w:trPr>
                <w:cantSplit/>
                <w:trHeight w:val="422"/>
              </w:trPr>
              <w:tc>
                <w:tcPr>
                  <w:tcW w:w="2693" w:type="dxa"/>
                  <w:tcBorders>
                    <w:top w:val="single" w:sz="4" w:space="0" w:color="000080"/>
                    <w:bottom w:val="single" w:sz="4" w:space="0" w:color="000080"/>
                  </w:tcBorders>
                </w:tcPr>
                <w:p w14:paraId="01AF1213" w14:textId="77777777" w:rsidR="005B3197" w:rsidRPr="0021123C" w:rsidRDefault="005B3197" w:rsidP="00747D6A">
                  <w:pPr>
                    <w:keepNext/>
                    <w:keepLines/>
                    <w:spacing w:before="60" w:after="60"/>
                    <w:ind w:left="-111"/>
                    <w:rPr>
                      <w:b/>
                      <w:sz w:val="21"/>
                      <w:szCs w:val="21"/>
                    </w:rPr>
                  </w:pPr>
                  <w:r w:rsidRPr="0021123C">
                    <w:rPr>
                      <w:b/>
                      <w:sz w:val="21"/>
                      <w:szCs w:val="21"/>
                    </w:rPr>
                    <w:t>Estimated total budget</w:t>
                  </w:r>
                </w:p>
              </w:tc>
              <w:tc>
                <w:tcPr>
                  <w:tcW w:w="1193" w:type="dxa"/>
                  <w:tcBorders>
                    <w:top w:val="single" w:sz="4" w:space="0" w:color="000080"/>
                    <w:bottom w:val="single" w:sz="4" w:space="0" w:color="000080"/>
                  </w:tcBorders>
                </w:tcPr>
                <w:p w14:paraId="34551388" w14:textId="77777777" w:rsidR="005B3197" w:rsidRPr="0021123C" w:rsidRDefault="005B3197" w:rsidP="00747D6A">
                  <w:pPr>
                    <w:keepNext/>
                    <w:keepLines/>
                    <w:spacing w:before="40" w:after="40"/>
                    <w:jc w:val="right"/>
                    <w:rPr>
                      <w:b/>
                      <w:sz w:val="21"/>
                      <w:szCs w:val="21"/>
                    </w:rPr>
                  </w:pPr>
                  <w:r w:rsidRPr="0021123C">
                    <w:rPr>
                      <w:b/>
                      <w:sz w:val="21"/>
                      <w:szCs w:val="21"/>
                    </w:rPr>
                    <w:t>0.25</w:t>
                  </w:r>
                </w:p>
              </w:tc>
              <w:tc>
                <w:tcPr>
                  <w:tcW w:w="1194" w:type="dxa"/>
                  <w:tcBorders>
                    <w:top w:val="single" w:sz="4" w:space="0" w:color="000080"/>
                    <w:bottom w:val="single" w:sz="4" w:space="0" w:color="000080"/>
                  </w:tcBorders>
                </w:tcPr>
                <w:p w14:paraId="3EDB1DD4" w14:textId="04B34421" w:rsidR="005B3197" w:rsidRPr="0021123C" w:rsidRDefault="005B3197" w:rsidP="00747D6A">
                  <w:pPr>
                    <w:keepNext/>
                    <w:keepLines/>
                    <w:spacing w:before="40" w:after="40"/>
                    <w:jc w:val="right"/>
                    <w:rPr>
                      <w:b/>
                      <w:sz w:val="21"/>
                      <w:szCs w:val="21"/>
                    </w:rPr>
                  </w:pPr>
                </w:p>
              </w:tc>
              <w:tc>
                <w:tcPr>
                  <w:tcW w:w="1194" w:type="dxa"/>
                  <w:tcBorders>
                    <w:top w:val="single" w:sz="4" w:space="0" w:color="000080"/>
                    <w:bottom w:val="single" w:sz="4" w:space="0" w:color="000080"/>
                  </w:tcBorders>
                </w:tcPr>
                <w:p w14:paraId="77141B30" w14:textId="77777777" w:rsidR="005B3197" w:rsidRPr="0021123C" w:rsidRDefault="005B3197" w:rsidP="00747D6A">
                  <w:pPr>
                    <w:keepNext/>
                    <w:keepLines/>
                    <w:spacing w:before="40" w:after="40"/>
                    <w:jc w:val="right"/>
                    <w:rPr>
                      <w:b/>
                      <w:sz w:val="21"/>
                      <w:szCs w:val="21"/>
                    </w:rPr>
                  </w:pPr>
                  <w:r w:rsidRPr="0021123C">
                    <w:rPr>
                      <w:b/>
                      <w:sz w:val="21"/>
                      <w:szCs w:val="21"/>
                    </w:rPr>
                    <w:t>0.25</w:t>
                  </w:r>
                </w:p>
              </w:tc>
            </w:tr>
            <w:tr w:rsidR="005B3197" w:rsidRPr="0021123C" w14:paraId="2BE1DA0D" w14:textId="77777777" w:rsidTr="00C27099">
              <w:trPr>
                <w:cantSplit/>
                <w:trHeight w:val="422"/>
              </w:trPr>
              <w:tc>
                <w:tcPr>
                  <w:tcW w:w="2693" w:type="dxa"/>
                  <w:tcBorders>
                    <w:top w:val="single" w:sz="4" w:space="0" w:color="000080"/>
                    <w:bottom w:val="single" w:sz="4" w:space="0" w:color="000080"/>
                  </w:tcBorders>
                </w:tcPr>
                <w:p w14:paraId="6CFD9F60" w14:textId="77777777" w:rsidR="005B3197" w:rsidRPr="0021123C" w:rsidRDefault="005B3197" w:rsidP="00747D6A">
                  <w:pPr>
                    <w:keepNext/>
                    <w:keepLines/>
                    <w:spacing w:before="60" w:after="60"/>
                    <w:ind w:left="-111"/>
                    <w:rPr>
                      <w:bCs/>
                      <w:i/>
                      <w:iCs/>
                      <w:sz w:val="21"/>
                      <w:szCs w:val="21"/>
                    </w:rPr>
                  </w:pPr>
                  <w:r w:rsidRPr="0021123C">
                    <w:rPr>
                      <w:bCs/>
                      <w:i/>
                      <w:iCs/>
                      <w:sz w:val="21"/>
                      <w:szCs w:val="21"/>
                    </w:rPr>
                    <w:t>Less estimated National Partnership Payments</w:t>
                  </w:r>
                </w:p>
              </w:tc>
              <w:tc>
                <w:tcPr>
                  <w:tcW w:w="1193" w:type="dxa"/>
                  <w:tcBorders>
                    <w:top w:val="single" w:sz="4" w:space="0" w:color="000080"/>
                    <w:bottom w:val="single" w:sz="4" w:space="0" w:color="000080"/>
                  </w:tcBorders>
                </w:tcPr>
                <w:p w14:paraId="58D8087B" w14:textId="56E2A5EA" w:rsidR="005B3197" w:rsidRPr="0021123C" w:rsidRDefault="00FD08E0" w:rsidP="00747D6A">
                  <w:pPr>
                    <w:keepNext/>
                    <w:keepLines/>
                    <w:spacing w:before="40" w:after="40"/>
                    <w:jc w:val="right"/>
                    <w:rPr>
                      <w:bCs/>
                      <w:sz w:val="21"/>
                      <w:szCs w:val="21"/>
                    </w:rPr>
                  </w:pPr>
                  <w:r w:rsidRPr="0021123C">
                    <w:rPr>
                      <w:bCs/>
                      <w:sz w:val="21"/>
                      <w:szCs w:val="21"/>
                    </w:rPr>
                    <w:t>0.25</w:t>
                  </w:r>
                </w:p>
              </w:tc>
              <w:tc>
                <w:tcPr>
                  <w:tcW w:w="1194" w:type="dxa"/>
                  <w:tcBorders>
                    <w:top w:val="single" w:sz="4" w:space="0" w:color="000080"/>
                    <w:bottom w:val="single" w:sz="4" w:space="0" w:color="000080"/>
                  </w:tcBorders>
                </w:tcPr>
                <w:p w14:paraId="72CA3205" w14:textId="43433565" w:rsidR="005B3197" w:rsidRPr="0021123C" w:rsidRDefault="005B3197" w:rsidP="00747D6A">
                  <w:pPr>
                    <w:keepNext/>
                    <w:keepLines/>
                    <w:spacing w:before="40" w:after="40"/>
                    <w:jc w:val="right"/>
                    <w:rPr>
                      <w:bCs/>
                      <w:sz w:val="21"/>
                      <w:szCs w:val="21"/>
                    </w:rPr>
                  </w:pPr>
                </w:p>
              </w:tc>
              <w:tc>
                <w:tcPr>
                  <w:tcW w:w="1194" w:type="dxa"/>
                  <w:tcBorders>
                    <w:top w:val="single" w:sz="4" w:space="0" w:color="000080"/>
                    <w:bottom w:val="single" w:sz="4" w:space="0" w:color="000080"/>
                  </w:tcBorders>
                </w:tcPr>
                <w:p w14:paraId="51EDD3C4" w14:textId="62480F1F" w:rsidR="005B3197" w:rsidRPr="0021123C" w:rsidRDefault="00FD08E0" w:rsidP="00747D6A">
                  <w:pPr>
                    <w:keepNext/>
                    <w:keepLines/>
                    <w:spacing w:before="40" w:after="40"/>
                    <w:jc w:val="right"/>
                    <w:rPr>
                      <w:bCs/>
                      <w:sz w:val="21"/>
                      <w:szCs w:val="21"/>
                    </w:rPr>
                  </w:pPr>
                  <w:r w:rsidRPr="0021123C">
                    <w:rPr>
                      <w:bCs/>
                      <w:sz w:val="21"/>
                      <w:szCs w:val="21"/>
                    </w:rPr>
                    <w:t>0.25</w:t>
                  </w:r>
                </w:p>
              </w:tc>
            </w:tr>
            <w:tr w:rsidR="005B3197" w:rsidRPr="0021123C" w14:paraId="50858AAC" w14:textId="77777777" w:rsidTr="00C27099">
              <w:trPr>
                <w:cantSplit/>
                <w:trHeight w:val="422"/>
              </w:trPr>
              <w:tc>
                <w:tcPr>
                  <w:tcW w:w="2693" w:type="dxa"/>
                  <w:tcBorders>
                    <w:top w:val="single" w:sz="4" w:space="0" w:color="000080"/>
                    <w:bottom w:val="single" w:sz="4" w:space="0" w:color="000080"/>
                  </w:tcBorders>
                </w:tcPr>
                <w:p w14:paraId="1276E204" w14:textId="77777777" w:rsidR="005B3197" w:rsidRPr="0021123C" w:rsidRDefault="005B3197" w:rsidP="00747D6A">
                  <w:pPr>
                    <w:keepNext/>
                    <w:keepLines/>
                    <w:spacing w:before="60" w:after="60"/>
                    <w:ind w:left="-111"/>
                    <w:rPr>
                      <w:bCs/>
                      <w:i/>
                      <w:iCs/>
                      <w:sz w:val="21"/>
                      <w:szCs w:val="21"/>
                    </w:rPr>
                  </w:pPr>
                  <w:r w:rsidRPr="0021123C">
                    <w:rPr>
                      <w:sz w:val="21"/>
                      <w:szCs w:val="21"/>
                    </w:rPr>
                    <w:t>Balance of non-Commonwealth contributions</w:t>
                  </w:r>
                </w:p>
              </w:tc>
              <w:tc>
                <w:tcPr>
                  <w:tcW w:w="1193" w:type="dxa"/>
                  <w:tcBorders>
                    <w:top w:val="single" w:sz="4" w:space="0" w:color="000080"/>
                    <w:bottom w:val="single" w:sz="4" w:space="0" w:color="000080"/>
                  </w:tcBorders>
                </w:tcPr>
                <w:p w14:paraId="75C97D41" w14:textId="3233776A" w:rsidR="005B3197" w:rsidRPr="0021123C" w:rsidRDefault="004860B6" w:rsidP="00747D6A">
                  <w:pPr>
                    <w:keepNext/>
                    <w:keepLines/>
                    <w:spacing w:before="40" w:after="40"/>
                    <w:jc w:val="right"/>
                    <w:rPr>
                      <w:bCs/>
                      <w:sz w:val="21"/>
                      <w:szCs w:val="21"/>
                    </w:rPr>
                  </w:pPr>
                  <w:r>
                    <w:rPr>
                      <w:bCs/>
                      <w:sz w:val="21"/>
                      <w:szCs w:val="21"/>
                    </w:rPr>
                    <w:t>1</w:t>
                  </w:r>
                  <w:r w:rsidR="005B3197" w:rsidRPr="0021123C">
                    <w:rPr>
                      <w:bCs/>
                      <w:sz w:val="21"/>
                      <w:szCs w:val="21"/>
                    </w:rPr>
                    <w:t>.</w:t>
                  </w:r>
                  <w:r>
                    <w:rPr>
                      <w:bCs/>
                      <w:sz w:val="21"/>
                      <w:szCs w:val="21"/>
                    </w:rPr>
                    <w:t>56</w:t>
                  </w:r>
                </w:p>
              </w:tc>
              <w:tc>
                <w:tcPr>
                  <w:tcW w:w="1194" w:type="dxa"/>
                  <w:tcBorders>
                    <w:top w:val="single" w:sz="4" w:space="0" w:color="000080"/>
                    <w:bottom w:val="single" w:sz="4" w:space="0" w:color="000080"/>
                  </w:tcBorders>
                </w:tcPr>
                <w:p w14:paraId="4DD72398" w14:textId="01791219" w:rsidR="005B3197" w:rsidRPr="0021123C" w:rsidRDefault="005B3197" w:rsidP="00747D6A">
                  <w:pPr>
                    <w:keepNext/>
                    <w:keepLines/>
                    <w:spacing w:before="40" w:after="40"/>
                    <w:jc w:val="right"/>
                    <w:rPr>
                      <w:bCs/>
                      <w:sz w:val="21"/>
                      <w:szCs w:val="21"/>
                    </w:rPr>
                  </w:pPr>
                </w:p>
              </w:tc>
              <w:tc>
                <w:tcPr>
                  <w:tcW w:w="1194" w:type="dxa"/>
                  <w:tcBorders>
                    <w:top w:val="single" w:sz="4" w:space="0" w:color="000080"/>
                    <w:bottom w:val="single" w:sz="4" w:space="0" w:color="000080"/>
                  </w:tcBorders>
                </w:tcPr>
                <w:p w14:paraId="517D5728" w14:textId="63621043" w:rsidR="005B3197" w:rsidRPr="0021123C" w:rsidRDefault="004860B6" w:rsidP="00747D6A">
                  <w:pPr>
                    <w:keepNext/>
                    <w:keepLines/>
                    <w:spacing w:before="40" w:after="40"/>
                    <w:jc w:val="right"/>
                    <w:rPr>
                      <w:bCs/>
                      <w:sz w:val="21"/>
                      <w:szCs w:val="21"/>
                    </w:rPr>
                  </w:pPr>
                  <w:r>
                    <w:rPr>
                      <w:bCs/>
                      <w:sz w:val="21"/>
                      <w:szCs w:val="21"/>
                    </w:rPr>
                    <w:t>1</w:t>
                  </w:r>
                  <w:r w:rsidR="005B3197" w:rsidRPr="0021123C">
                    <w:rPr>
                      <w:bCs/>
                      <w:sz w:val="21"/>
                      <w:szCs w:val="21"/>
                    </w:rPr>
                    <w:t>.</w:t>
                  </w:r>
                  <w:r>
                    <w:rPr>
                      <w:bCs/>
                      <w:sz w:val="21"/>
                      <w:szCs w:val="21"/>
                    </w:rPr>
                    <w:t>56</w:t>
                  </w:r>
                </w:p>
              </w:tc>
            </w:tr>
            <w:tr w:rsidR="005B3197" w:rsidRPr="0021123C" w14:paraId="0F6F5674" w14:textId="77777777" w:rsidTr="00C27099">
              <w:trPr>
                <w:cantSplit/>
                <w:trHeight w:val="422"/>
              </w:trPr>
              <w:tc>
                <w:tcPr>
                  <w:tcW w:w="2693" w:type="dxa"/>
                  <w:tcBorders>
                    <w:top w:val="single" w:sz="4" w:space="0" w:color="000080"/>
                  </w:tcBorders>
                </w:tcPr>
                <w:p w14:paraId="2E25CCF7" w14:textId="77777777" w:rsidR="005B3197" w:rsidRPr="0021123C" w:rsidRDefault="005B3197" w:rsidP="00747D6A">
                  <w:pPr>
                    <w:keepNext/>
                    <w:keepLines/>
                    <w:spacing w:before="60" w:after="60"/>
                    <w:ind w:left="-111"/>
                    <w:rPr>
                      <w:sz w:val="21"/>
                      <w:szCs w:val="21"/>
                    </w:rPr>
                  </w:pPr>
                </w:p>
                <w:p w14:paraId="7B34E975" w14:textId="77777777" w:rsidR="005B3197" w:rsidRPr="0021123C" w:rsidRDefault="005B3197" w:rsidP="0076021E">
                  <w:pPr>
                    <w:rPr>
                      <w:sz w:val="18"/>
                      <w:szCs w:val="18"/>
                    </w:rPr>
                  </w:pPr>
                  <w:r w:rsidRPr="0021123C">
                    <w:rPr>
                      <w:sz w:val="18"/>
                      <w:szCs w:val="18"/>
                    </w:rPr>
                    <w:t xml:space="preserve"> </w:t>
                  </w:r>
                </w:p>
              </w:tc>
              <w:tc>
                <w:tcPr>
                  <w:tcW w:w="1193" w:type="dxa"/>
                  <w:tcBorders>
                    <w:top w:val="single" w:sz="4" w:space="0" w:color="000080"/>
                  </w:tcBorders>
                </w:tcPr>
                <w:p w14:paraId="37ED2384" w14:textId="77777777" w:rsidR="005B3197" w:rsidRPr="0021123C" w:rsidRDefault="005B3197" w:rsidP="00747D6A">
                  <w:pPr>
                    <w:keepNext/>
                    <w:keepLines/>
                    <w:spacing w:before="40" w:after="40"/>
                    <w:jc w:val="right"/>
                    <w:rPr>
                      <w:b/>
                      <w:sz w:val="21"/>
                      <w:szCs w:val="21"/>
                    </w:rPr>
                  </w:pPr>
                </w:p>
              </w:tc>
              <w:tc>
                <w:tcPr>
                  <w:tcW w:w="1194" w:type="dxa"/>
                  <w:tcBorders>
                    <w:top w:val="single" w:sz="4" w:space="0" w:color="000080"/>
                  </w:tcBorders>
                </w:tcPr>
                <w:p w14:paraId="1F785C17" w14:textId="77777777" w:rsidR="005B3197" w:rsidRPr="0021123C" w:rsidRDefault="005B3197" w:rsidP="00E06A50">
                  <w:pPr>
                    <w:keepNext/>
                    <w:keepLines/>
                    <w:spacing w:before="40" w:after="40"/>
                    <w:jc w:val="center"/>
                    <w:rPr>
                      <w:b/>
                      <w:sz w:val="21"/>
                      <w:szCs w:val="21"/>
                    </w:rPr>
                  </w:pPr>
                </w:p>
              </w:tc>
              <w:tc>
                <w:tcPr>
                  <w:tcW w:w="1194" w:type="dxa"/>
                  <w:tcBorders>
                    <w:top w:val="single" w:sz="4" w:space="0" w:color="000080"/>
                  </w:tcBorders>
                </w:tcPr>
                <w:p w14:paraId="6771AFBA" w14:textId="77777777" w:rsidR="005B3197" w:rsidRPr="0021123C" w:rsidRDefault="005B3197" w:rsidP="00747D6A">
                  <w:pPr>
                    <w:keepNext/>
                    <w:keepLines/>
                    <w:spacing w:before="40" w:after="40"/>
                    <w:jc w:val="right"/>
                    <w:rPr>
                      <w:b/>
                      <w:sz w:val="21"/>
                      <w:szCs w:val="21"/>
                    </w:rPr>
                  </w:pPr>
                </w:p>
              </w:tc>
            </w:tr>
          </w:tbl>
          <w:p w14:paraId="3D54587D" w14:textId="77777777" w:rsidR="0076021E" w:rsidRPr="0021123C" w:rsidRDefault="0076021E" w:rsidP="0076021E">
            <w:pPr>
              <w:rPr>
                <w:sz w:val="18"/>
                <w:szCs w:val="18"/>
              </w:rPr>
            </w:pPr>
            <w:r w:rsidRPr="0021123C">
              <w:rPr>
                <w:sz w:val="18"/>
                <w:szCs w:val="18"/>
              </w:rPr>
              <w:t xml:space="preserve">Notes: </w:t>
            </w:r>
          </w:p>
          <w:p w14:paraId="18D48498" w14:textId="77777777" w:rsidR="005B23B1" w:rsidRDefault="0089707F" w:rsidP="005B23B1">
            <w:pPr>
              <w:pStyle w:val="Tableformat"/>
              <w:rPr>
                <w:color w:val="000000" w:themeColor="text1"/>
                <w:sz w:val="18"/>
                <w:szCs w:val="18"/>
              </w:rPr>
            </w:pPr>
            <w:r w:rsidRPr="0021123C">
              <w:rPr>
                <w:color w:val="000000" w:themeColor="text1"/>
                <w:sz w:val="18"/>
                <w:szCs w:val="18"/>
              </w:rPr>
              <w:t xml:space="preserve">$0.25m is allocated under the enhancing regional tourism commitment of the Hinkler Regional Deal. </w:t>
            </w:r>
          </w:p>
          <w:p w14:paraId="7EBA70E1" w14:textId="77777777" w:rsidR="005B23B1" w:rsidRDefault="005B23B1" w:rsidP="005B23B1">
            <w:pPr>
              <w:pStyle w:val="Tableformat"/>
              <w:rPr>
                <w:color w:val="000000" w:themeColor="text1"/>
                <w:sz w:val="18"/>
                <w:szCs w:val="18"/>
              </w:rPr>
            </w:pPr>
            <w:r>
              <w:rPr>
                <w:color w:val="000000" w:themeColor="text1"/>
                <w:sz w:val="18"/>
                <w:szCs w:val="18"/>
              </w:rPr>
              <w:t>The following additional contributions are being provided to the project:</w:t>
            </w:r>
          </w:p>
          <w:p w14:paraId="593E3219" w14:textId="0F16FBBF" w:rsidR="00F02EEC" w:rsidRDefault="005B23B1" w:rsidP="00F02EEC">
            <w:pPr>
              <w:pStyle w:val="Tableformat"/>
              <w:numPr>
                <w:ilvl w:val="0"/>
                <w:numId w:val="15"/>
              </w:numPr>
              <w:rPr>
                <w:color w:val="000000" w:themeColor="text1"/>
                <w:sz w:val="18"/>
                <w:szCs w:val="18"/>
              </w:rPr>
            </w:pPr>
            <w:r>
              <w:rPr>
                <w:color w:val="000000" w:themeColor="text1"/>
                <w:sz w:val="18"/>
                <w:szCs w:val="18"/>
              </w:rPr>
              <w:t>Queensland is contributing $1.23 million</w:t>
            </w:r>
            <w:r w:rsidR="00F02EEC">
              <w:rPr>
                <w:color w:val="000000" w:themeColor="text1"/>
                <w:sz w:val="18"/>
                <w:szCs w:val="18"/>
              </w:rPr>
              <w:t>; and</w:t>
            </w:r>
          </w:p>
          <w:p w14:paraId="67D37DA9" w14:textId="0F83253B" w:rsidR="004F5D2D" w:rsidRPr="00F02EEC" w:rsidRDefault="00F02EEC" w:rsidP="0076021E">
            <w:pPr>
              <w:pStyle w:val="Tableformat"/>
              <w:numPr>
                <w:ilvl w:val="0"/>
                <w:numId w:val="15"/>
              </w:numPr>
              <w:rPr>
                <w:color w:val="000000" w:themeColor="text1"/>
                <w:sz w:val="18"/>
                <w:szCs w:val="18"/>
              </w:rPr>
            </w:pPr>
            <w:r>
              <w:rPr>
                <w:color w:val="000000" w:themeColor="text1"/>
                <w:sz w:val="18"/>
                <w:szCs w:val="18"/>
              </w:rPr>
              <w:t>the University of the Sunshine Coast (‘</w:t>
            </w:r>
            <w:proofErr w:type="spellStart"/>
            <w:r>
              <w:rPr>
                <w:color w:val="000000" w:themeColor="text1"/>
                <w:sz w:val="18"/>
                <w:szCs w:val="18"/>
              </w:rPr>
              <w:t>UniSC</w:t>
            </w:r>
            <w:proofErr w:type="spellEnd"/>
            <w:r>
              <w:rPr>
                <w:color w:val="000000" w:themeColor="text1"/>
                <w:sz w:val="18"/>
                <w:szCs w:val="18"/>
              </w:rPr>
              <w:t>’) is contributing $0.33 million.</w:t>
            </w:r>
          </w:p>
        </w:tc>
      </w:tr>
      <w:tr w:rsidR="00205899" w:rsidRPr="0021123C" w14:paraId="3DE66BB0" w14:textId="77777777" w:rsidTr="007766A2">
        <w:tc>
          <w:tcPr>
            <w:tcW w:w="1691" w:type="dxa"/>
            <w:shd w:val="clear" w:color="auto" w:fill="auto"/>
          </w:tcPr>
          <w:p w14:paraId="13C0AADE" w14:textId="77777777" w:rsidR="00205899" w:rsidRPr="0021123C" w:rsidRDefault="00205899" w:rsidP="005D3905">
            <w:pPr>
              <w:pStyle w:val="Tableformat"/>
              <w:rPr>
                <w:color w:val="auto"/>
              </w:rPr>
            </w:pPr>
            <w:r w:rsidRPr="0021123C">
              <w:rPr>
                <w:color w:val="auto"/>
              </w:rPr>
              <w:t>Additional terms</w:t>
            </w:r>
          </w:p>
        </w:tc>
        <w:tc>
          <w:tcPr>
            <w:tcW w:w="7938" w:type="dxa"/>
            <w:shd w:val="clear" w:color="auto" w:fill="auto"/>
          </w:tcPr>
          <w:p w14:paraId="6167D3AC" w14:textId="77777777" w:rsidR="00FF6347" w:rsidRPr="0021123C" w:rsidRDefault="00FF6347" w:rsidP="00FF6347">
            <w:pPr>
              <w:pStyle w:val="AlphaParagraph"/>
              <w:tabs>
                <w:tab w:val="clear" w:pos="0"/>
                <w:tab w:val="clear" w:pos="283"/>
                <w:tab w:val="clear" w:pos="567"/>
                <w:tab w:val="clear" w:pos="1418"/>
                <w:tab w:val="clear" w:pos="1701"/>
              </w:tabs>
              <w:spacing w:before="86"/>
              <w:ind w:left="0" w:firstLine="0"/>
              <w:rPr>
                <w:sz w:val="26"/>
                <w:szCs w:val="26"/>
              </w:rPr>
            </w:pPr>
            <w:r w:rsidRPr="0021123C">
              <w:rPr>
                <w:sz w:val="26"/>
                <w:szCs w:val="26"/>
              </w:rPr>
              <w:t>Additional to the responsibilities detailed in the Federation Funding Agreement – Infrastructure:</w:t>
            </w:r>
          </w:p>
          <w:p w14:paraId="67306332" w14:textId="77777777" w:rsidR="00FF6347" w:rsidRPr="0021123C" w:rsidRDefault="00FF6347" w:rsidP="00FF6347">
            <w:pPr>
              <w:pStyle w:val="Heading2"/>
            </w:pPr>
            <w:r w:rsidRPr="0021123C">
              <w:t>1. Queensland will be responsible under this Schedule for:</w:t>
            </w:r>
          </w:p>
          <w:p w14:paraId="465A5CB7" w14:textId="62739013" w:rsidR="00FF6347" w:rsidRPr="0021123C" w:rsidRDefault="00FF6347" w:rsidP="00FF6347">
            <w:pPr>
              <w:pStyle w:val="AlphaParagraph"/>
              <w:numPr>
                <w:ilvl w:val="0"/>
                <w:numId w:val="7"/>
              </w:numPr>
              <w:tabs>
                <w:tab w:val="clear" w:pos="283"/>
                <w:tab w:val="clear" w:pos="567"/>
                <w:tab w:val="clear" w:pos="1418"/>
                <w:tab w:val="clear" w:pos="1701"/>
              </w:tabs>
              <w:ind w:hanging="567"/>
              <w:rPr>
                <w:sz w:val="26"/>
                <w:szCs w:val="26"/>
              </w:rPr>
            </w:pPr>
            <w:r w:rsidRPr="0021123C">
              <w:rPr>
                <w:sz w:val="26"/>
                <w:szCs w:val="26"/>
              </w:rPr>
              <w:t xml:space="preserve">forwarding the funding received under this Schedule, in accordance with appropriate financial oversight and governance arrangements, to </w:t>
            </w:r>
            <w:proofErr w:type="spellStart"/>
            <w:r w:rsidR="006A57FC" w:rsidRPr="0021123C">
              <w:rPr>
                <w:sz w:val="26"/>
                <w:szCs w:val="26"/>
              </w:rPr>
              <w:t>UniSC</w:t>
            </w:r>
            <w:proofErr w:type="spellEnd"/>
            <w:r w:rsidR="00E11C34" w:rsidRPr="0021123C">
              <w:rPr>
                <w:sz w:val="26"/>
                <w:szCs w:val="26"/>
              </w:rPr>
              <w:t xml:space="preserve"> </w:t>
            </w:r>
            <w:r w:rsidRPr="0021123C">
              <w:rPr>
                <w:sz w:val="26"/>
                <w:szCs w:val="26"/>
              </w:rPr>
              <w:t xml:space="preserve">as the project proponent of the infrastructure constructed under this Schedule; </w:t>
            </w:r>
          </w:p>
          <w:p w14:paraId="13A3B35F" w14:textId="77777777" w:rsidR="00FF6347" w:rsidRPr="0021123C" w:rsidRDefault="00FF6347" w:rsidP="00FF6347">
            <w:pPr>
              <w:pStyle w:val="AlphaParagraph"/>
              <w:numPr>
                <w:ilvl w:val="0"/>
                <w:numId w:val="7"/>
              </w:numPr>
              <w:tabs>
                <w:tab w:val="clear" w:pos="283"/>
                <w:tab w:val="clear" w:pos="567"/>
                <w:tab w:val="clear" w:pos="1135"/>
                <w:tab w:val="clear" w:pos="1418"/>
                <w:tab w:val="clear" w:pos="1701"/>
              </w:tabs>
              <w:ind w:hanging="567"/>
              <w:rPr>
                <w:sz w:val="26"/>
                <w:szCs w:val="26"/>
              </w:rPr>
            </w:pPr>
            <w:r w:rsidRPr="0021123C">
              <w:rPr>
                <w:color w:val="auto"/>
                <w:sz w:val="26"/>
                <w:szCs w:val="26"/>
              </w:rPr>
              <w:t xml:space="preserve">ensuring adherence to all conditions of Commonwealth and Queensland approvals for the project, including but not limited to environmental and engineering conditions; </w:t>
            </w:r>
          </w:p>
          <w:p w14:paraId="0A2503A7" w14:textId="1E661831" w:rsidR="00FF6347" w:rsidRPr="0021123C" w:rsidRDefault="00FF6347" w:rsidP="00FF6347">
            <w:pPr>
              <w:pStyle w:val="AlphaParagraph"/>
              <w:numPr>
                <w:ilvl w:val="0"/>
                <w:numId w:val="7"/>
              </w:numPr>
              <w:tabs>
                <w:tab w:val="clear" w:pos="283"/>
                <w:tab w:val="clear" w:pos="567"/>
                <w:tab w:val="clear" w:pos="1418"/>
                <w:tab w:val="clear" w:pos="1701"/>
              </w:tabs>
              <w:ind w:hanging="567"/>
              <w:rPr>
                <w:sz w:val="26"/>
                <w:szCs w:val="26"/>
              </w:rPr>
            </w:pPr>
            <w:r w:rsidRPr="0021123C">
              <w:rPr>
                <w:sz w:val="26"/>
                <w:szCs w:val="26"/>
              </w:rPr>
              <w:lastRenderedPageBreak/>
              <w:t xml:space="preserve">ensuring that </w:t>
            </w:r>
            <w:proofErr w:type="spellStart"/>
            <w:r w:rsidR="006A57FC" w:rsidRPr="0021123C">
              <w:rPr>
                <w:sz w:val="26"/>
                <w:szCs w:val="26"/>
              </w:rPr>
              <w:t>UniSC</w:t>
            </w:r>
            <w:proofErr w:type="spellEnd"/>
            <w:r w:rsidRPr="0021123C">
              <w:rPr>
                <w:sz w:val="26"/>
                <w:szCs w:val="26"/>
              </w:rPr>
              <w:t>:</w:t>
            </w:r>
          </w:p>
          <w:p w14:paraId="4909E3BA" w14:textId="77777777" w:rsidR="00DC63AD" w:rsidRPr="0021123C" w:rsidRDefault="00DC63AD" w:rsidP="00DC63AD">
            <w:pPr>
              <w:pStyle w:val="AlphaParagraph"/>
              <w:numPr>
                <w:ilvl w:val="1"/>
                <w:numId w:val="7"/>
              </w:numPr>
              <w:tabs>
                <w:tab w:val="clear" w:pos="283"/>
                <w:tab w:val="clear" w:pos="567"/>
                <w:tab w:val="clear" w:pos="1134"/>
                <w:tab w:val="clear" w:pos="1418"/>
                <w:tab w:val="clear" w:pos="1701"/>
              </w:tabs>
              <w:rPr>
                <w:sz w:val="26"/>
                <w:szCs w:val="26"/>
              </w:rPr>
            </w:pPr>
            <w:r w:rsidRPr="0021123C">
              <w:rPr>
                <w:sz w:val="26"/>
                <w:szCs w:val="26"/>
              </w:rPr>
              <w:t xml:space="preserve">maximises opportunities for local businesses and employees </w:t>
            </w:r>
            <w:r w:rsidR="00662171" w:rsidRPr="0021123C">
              <w:rPr>
                <w:sz w:val="26"/>
                <w:szCs w:val="26"/>
              </w:rPr>
              <w:t>(Hervey Bay</w:t>
            </w:r>
            <w:r w:rsidR="007C6DD7" w:rsidRPr="0021123C">
              <w:rPr>
                <w:sz w:val="26"/>
                <w:szCs w:val="26"/>
              </w:rPr>
              <w:t xml:space="preserve">, </w:t>
            </w:r>
            <w:r w:rsidR="00662171" w:rsidRPr="0021123C">
              <w:rPr>
                <w:sz w:val="26"/>
                <w:szCs w:val="26"/>
              </w:rPr>
              <w:t>Bundaberg</w:t>
            </w:r>
            <w:r w:rsidR="007C6DD7" w:rsidRPr="0021123C">
              <w:rPr>
                <w:sz w:val="26"/>
                <w:szCs w:val="26"/>
              </w:rPr>
              <w:t xml:space="preserve"> and the surrounding area</w:t>
            </w:r>
            <w:r w:rsidR="00662171" w:rsidRPr="0021123C">
              <w:rPr>
                <w:sz w:val="26"/>
                <w:szCs w:val="26"/>
              </w:rPr>
              <w:t xml:space="preserve">) </w:t>
            </w:r>
            <w:r w:rsidRPr="0021123C">
              <w:rPr>
                <w:sz w:val="26"/>
                <w:szCs w:val="26"/>
              </w:rPr>
              <w:t>to be involved in the construction of the project;</w:t>
            </w:r>
          </w:p>
          <w:p w14:paraId="1B722A0B" w14:textId="77777777" w:rsidR="00DC63AD" w:rsidRPr="0021123C" w:rsidRDefault="00DC63AD" w:rsidP="00DC63AD">
            <w:pPr>
              <w:pStyle w:val="AlphaParagraph"/>
              <w:numPr>
                <w:ilvl w:val="1"/>
                <w:numId w:val="7"/>
              </w:numPr>
              <w:tabs>
                <w:tab w:val="clear" w:pos="283"/>
                <w:tab w:val="clear" w:pos="567"/>
                <w:tab w:val="clear" w:pos="1134"/>
                <w:tab w:val="clear" w:pos="1418"/>
                <w:tab w:val="clear" w:pos="1701"/>
              </w:tabs>
              <w:rPr>
                <w:sz w:val="26"/>
                <w:szCs w:val="26"/>
              </w:rPr>
            </w:pPr>
            <w:r w:rsidRPr="0021123C">
              <w:rPr>
                <w:sz w:val="26"/>
                <w:szCs w:val="26"/>
              </w:rPr>
              <w:t xml:space="preserve">maximises opportunities for Indigenous businesses and employees to be involved in the construction of the project by including Indigenous training, employment and supplier-use requirements that reflect the local Indigenous working age population in all project contracts; </w:t>
            </w:r>
          </w:p>
          <w:p w14:paraId="05C3A8D0" w14:textId="77777777" w:rsidR="00DC63AD" w:rsidRPr="0021123C" w:rsidRDefault="00DC63AD" w:rsidP="00DC63AD">
            <w:pPr>
              <w:pStyle w:val="AlphaParagraph"/>
              <w:numPr>
                <w:ilvl w:val="1"/>
                <w:numId w:val="7"/>
              </w:numPr>
              <w:tabs>
                <w:tab w:val="clear" w:pos="283"/>
                <w:tab w:val="clear" w:pos="567"/>
                <w:tab w:val="clear" w:pos="1134"/>
                <w:tab w:val="clear" w:pos="1418"/>
                <w:tab w:val="clear" w:pos="1701"/>
              </w:tabs>
              <w:rPr>
                <w:sz w:val="26"/>
                <w:szCs w:val="26"/>
              </w:rPr>
            </w:pPr>
            <w:r w:rsidRPr="0021123C">
              <w:rPr>
                <w:sz w:val="26"/>
                <w:szCs w:val="26"/>
              </w:rPr>
              <w:t>monitors, records and maintains appropriate records in respect of items (</w:t>
            </w:r>
            <w:r w:rsidR="00662171" w:rsidRPr="0021123C">
              <w:rPr>
                <w:sz w:val="26"/>
                <w:szCs w:val="26"/>
              </w:rPr>
              <w:t>c</w:t>
            </w:r>
            <w:r w:rsidRPr="0021123C">
              <w:rPr>
                <w:sz w:val="26"/>
                <w:szCs w:val="26"/>
              </w:rPr>
              <w:t>) (</w:t>
            </w:r>
            <w:proofErr w:type="spellStart"/>
            <w:r w:rsidRPr="0021123C">
              <w:rPr>
                <w:sz w:val="26"/>
                <w:szCs w:val="26"/>
              </w:rPr>
              <w:t>i</w:t>
            </w:r>
            <w:proofErr w:type="spellEnd"/>
            <w:r w:rsidRPr="0021123C">
              <w:rPr>
                <w:sz w:val="26"/>
                <w:szCs w:val="26"/>
              </w:rPr>
              <w:t>) and (ii) to enable the Commonwealth to report on these employment statistics;</w:t>
            </w:r>
          </w:p>
          <w:p w14:paraId="3E2FEB9C" w14:textId="56AE23ED" w:rsidR="00DC63AD" w:rsidRPr="0021123C" w:rsidRDefault="00DC63AD" w:rsidP="00DC63AD">
            <w:pPr>
              <w:pStyle w:val="AlphaParagraph"/>
              <w:numPr>
                <w:ilvl w:val="1"/>
                <w:numId w:val="7"/>
              </w:numPr>
              <w:tabs>
                <w:tab w:val="clear" w:pos="283"/>
                <w:tab w:val="clear" w:pos="567"/>
                <w:tab w:val="clear" w:pos="1134"/>
                <w:tab w:val="clear" w:pos="1418"/>
                <w:tab w:val="clear" w:pos="1701"/>
              </w:tabs>
              <w:rPr>
                <w:sz w:val="26"/>
                <w:szCs w:val="26"/>
              </w:rPr>
            </w:pPr>
            <w:r w:rsidRPr="0021123C">
              <w:rPr>
                <w:sz w:val="26"/>
                <w:szCs w:val="26"/>
              </w:rPr>
              <w:t xml:space="preserve">prior to the commencement of construction, erects signage at the construction site that acknowledges the Commonwealth’s and Queensland’s financial contributions to the project, consistent with the </w:t>
            </w:r>
            <w:r w:rsidRPr="0021123C">
              <w:rPr>
                <w:i/>
                <w:sz w:val="26"/>
                <w:szCs w:val="26"/>
              </w:rPr>
              <w:t>Department of Infrastructure, Transport, Regional Development</w:t>
            </w:r>
            <w:r w:rsidR="00BB1451" w:rsidRPr="0021123C">
              <w:rPr>
                <w:i/>
                <w:sz w:val="26"/>
                <w:szCs w:val="26"/>
              </w:rPr>
              <w:t>,</w:t>
            </w:r>
            <w:r w:rsidRPr="0021123C">
              <w:rPr>
                <w:i/>
                <w:sz w:val="26"/>
                <w:szCs w:val="26"/>
              </w:rPr>
              <w:t xml:space="preserve"> Communications</w:t>
            </w:r>
            <w:r w:rsidR="00BB1451" w:rsidRPr="0021123C">
              <w:rPr>
                <w:i/>
                <w:sz w:val="26"/>
                <w:szCs w:val="26"/>
              </w:rPr>
              <w:t xml:space="preserve"> and the Arts</w:t>
            </w:r>
            <w:r w:rsidRPr="0021123C">
              <w:rPr>
                <w:i/>
                <w:sz w:val="26"/>
                <w:szCs w:val="26"/>
              </w:rPr>
              <w:t xml:space="preserve"> Signage Guidelines</w:t>
            </w:r>
            <w:r w:rsidRPr="0021123C">
              <w:rPr>
                <w:sz w:val="26"/>
                <w:szCs w:val="26"/>
              </w:rPr>
              <w:t xml:space="preserve">, and maintains this signage for at least one year after project completion. Signage is to include the Commonwealth and Queensland logos and the words “The </w:t>
            </w:r>
            <w:r w:rsidR="00662171" w:rsidRPr="0021123C">
              <w:rPr>
                <w:sz w:val="26"/>
                <w:szCs w:val="26"/>
              </w:rPr>
              <w:t>Fraser Coast Turtle Rehabilitation and Research Centre</w:t>
            </w:r>
            <w:r w:rsidRPr="0021123C">
              <w:rPr>
                <w:sz w:val="26"/>
                <w:szCs w:val="26"/>
              </w:rPr>
              <w:t xml:space="preserve"> is funded by the Australian Government as part of the </w:t>
            </w:r>
            <w:r w:rsidR="009D7464" w:rsidRPr="0021123C">
              <w:rPr>
                <w:sz w:val="26"/>
                <w:szCs w:val="26"/>
              </w:rPr>
              <w:t>Hinkler Regional</w:t>
            </w:r>
            <w:r w:rsidRPr="0021123C">
              <w:rPr>
                <w:sz w:val="26"/>
                <w:szCs w:val="26"/>
              </w:rPr>
              <w:t xml:space="preserve"> Deal” (or similar wording as otherwise agreed between the Commonwealth and Queensland);</w:t>
            </w:r>
          </w:p>
          <w:p w14:paraId="4F6E946A" w14:textId="7269C5CF" w:rsidR="00DC63AD" w:rsidRPr="0021123C" w:rsidRDefault="00DC63AD" w:rsidP="00DC63AD">
            <w:pPr>
              <w:pStyle w:val="AlphaParagraph"/>
              <w:numPr>
                <w:ilvl w:val="1"/>
                <w:numId w:val="7"/>
              </w:numPr>
              <w:tabs>
                <w:tab w:val="clear" w:pos="283"/>
                <w:tab w:val="clear" w:pos="567"/>
                <w:tab w:val="clear" w:pos="1134"/>
                <w:tab w:val="clear" w:pos="1418"/>
                <w:tab w:val="clear" w:pos="1701"/>
              </w:tabs>
              <w:rPr>
                <w:sz w:val="26"/>
                <w:szCs w:val="26"/>
              </w:rPr>
            </w:pPr>
            <w:r w:rsidRPr="0021123C">
              <w:rPr>
                <w:sz w:val="26"/>
                <w:szCs w:val="26"/>
              </w:rPr>
              <w:t xml:space="preserve">includes the words “The </w:t>
            </w:r>
            <w:r w:rsidR="009D7464" w:rsidRPr="0021123C">
              <w:rPr>
                <w:sz w:val="26"/>
                <w:szCs w:val="26"/>
              </w:rPr>
              <w:t>Fraser Coast Turtle Rehabilitation and Research Centre</w:t>
            </w:r>
            <w:r w:rsidRPr="0021123C">
              <w:rPr>
                <w:sz w:val="26"/>
                <w:szCs w:val="26"/>
              </w:rPr>
              <w:t xml:space="preserve"> is funded by the Australian Government as part of the </w:t>
            </w:r>
            <w:r w:rsidR="009D7464" w:rsidRPr="0021123C">
              <w:rPr>
                <w:sz w:val="26"/>
                <w:szCs w:val="26"/>
              </w:rPr>
              <w:t>Hinkler Regional</w:t>
            </w:r>
            <w:r w:rsidRPr="0021123C">
              <w:rPr>
                <w:sz w:val="26"/>
                <w:szCs w:val="26"/>
              </w:rPr>
              <w:t xml:space="preserve"> Deal” (or similar wording as otherwise agreed between the Commonwealth and Queensland) on the </w:t>
            </w:r>
            <w:proofErr w:type="spellStart"/>
            <w:r w:rsidR="00CF392E" w:rsidRPr="0021123C">
              <w:rPr>
                <w:sz w:val="26"/>
                <w:szCs w:val="26"/>
              </w:rPr>
              <w:t>UniSC</w:t>
            </w:r>
            <w:proofErr w:type="spellEnd"/>
            <w:r w:rsidR="00CF392E" w:rsidRPr="0021123C">
              <w:rPr>
                <w:sz w:val="26"/>
                <w:szCs w:val="26"/>
              </w:rPr>
              <w:t xml:space="preserve"> </w:t>
            </w:r>
            <w:r w:rsidRPr="0021123C">
              <w:rPr>
                <w:sz w:val="26"/>
                <w:szCs w:val="26"/>
              </w:rPr>
              <w:t>website, and in all publications and promotional material, for at least one year after project completion;</w:t>
            </w:r>
          </w:p>
          <w:p w14:paraId="6040910E" w14:textId="77777777" w:rsidR="00DC63AD" w:rsidRPr="0021123C" w:rsidRDefault="00DC63AD" w:rsidP="00DC63AD">
            <w:pPr>
              <w:pStyle w:val="AlphaParagraph"/>
              <w:numPr>
                <w:ilvl w:val="0"/>
                <w:numId w:val="7"/>
              </w:numPr>
              <w:tabs>
                <w:tab w:val="clear" w:pos="283"/>
                <w:tab w:val="clear" w:pos="567"/>
                <w:tab w:val="clear" w:pos="1418"/>
                <w:tab w:val="clear" w:pos="1701"/>
              </w:tabs>
              <w:ind w:hanging="567"/>
              <w:rPr>
                <w:sz w:val="26"/>
                <w:szCs w:val="26"/>
              </w:rPr>
            </w:pPr>
            <w:r w:rsidRPr="0021123C">
              <w:rPr>
                <w:sz w:val="26"/>
                <w:szCs w:val="26"/>
              </w:rPr>
              <w:t>acknowledging the Commonwealth in any branding or signage that is displayed to mark the official opening or other official public functions for activities relating to the project;</w:t>
            </w:r>
          </w:p>
          <w:p w14:paraId="2809AB2A" w14:textId="77777777" w:rsidR="00DC63AD" w:rsidRPr="0021123C" w:rsidRDefault="00DC63AD" w:rsidP="00DC63AD">
            <w:pPr>
              <w:pStyle w:val="AlphaParagraph"/>
              <w:numPr>
                <w:ilvl w:val="0"/>
                <w:numId w:val="7"/>
              </w:numPr>
              <w:tabs>
                <w:tab w:val="clear" w:pos="283"/>
                <w:tab w:val="clear" w:pos="567"/>
                <w:tab w:val="clear" w:pos="1418"/>
                <w:tab w:val="clear" w:pos="1701"/>
              </w:tabs>
              <w:ind w:hanging="567"/>
              <w:rPr>
                <w:sz w:val="26"/>
                <w:szCs w:val="26"/>
              </w:rPr>
            </w:pPr>
            <w:r w:rsidRPr="0021123C">
              <w:rPr>
                <w:sz w:val="26"/>
                <w:szCs w:val="26"/>
              </w:rPr>
              <w:t>providing at least one month’s notice to invite the relevant Commonwealth Minister to speak at opening and/or completion functions and other significant phases of the project; and</w:t>
            </w:r>
          </w:p>
          <w:p w14:paraId="15F84560" w14:textId="77777777" w:rsidR="00DC63AD" w:rsidRPr="0021123C" w:rsidRDefault="00DC63AD" w:rsidP="00DC63AD">
            <w:pPr>
              <w:pStyle w:val="AlphaParagraph"/>
              <w:numPr>
                <w:ilvl w:val="0"/>
                <w:numId w:val="7"/>
              </w:numPr>
              <w:tabs>
                <w:tab w:val="clear" w:pos="283"/>
                <w:tab w:val="clear" w:pos="567"/>
                <w:tab w:val="clear" w:pos="1418"/>
                <w:tab w:val="clear" w:pos="1701"/>
              </w:tabs>
              <w:ind w:hanging="567"/>
              <w:rPr>
                <w:sz w:val="26"/>
                <w:szCs w:val="26"/>
              </w:rPr>
            </w:pPr>
            <w:r w:rsidRPr="0021123C">
              <w:rPr>
                <w:sz w:val="26"/>
                <w:szCs w:val="26"/>
              </w:rPr>
              <w:t xml:space="preserve">inviting a Commonwealth representative to official events or other public functions for activities relating to the </w:t>
            </w:r>
            <w:r w:rsidR="009D7464" w:rsidRPr="0021123C">
              <w:rPr>
                <w:sz w:val="26"/>
                <w:szCs w:val="26"/>
              </w:rPr>
              <w:t>Fraser Coast Rehabilitation and Research Centre</w:t>
            </w:r>
            <w:r w:rsidRPr="0021123C">
              <w:rPr>
                <w:sz w:val="26"/>
                <w:szCs w:val="26"/>
              </w:rPr>
              <w:t xml:space="preserve"> and ancillary infrastructure.    </w:t>
            </w:r>
          </w:p>
          <w:p w14:paraId="708A228D" w14:textId="77777777" w:rsidR="006463EF" w:rsidRPr="0021123C" w:rsidRDefault="006463EF" w:rsidP="006463EF">
            <w:pPr>
              <w:pStyle w:val="AlphaParagraph"/>
              <w:tabs>
                <w:tab w:val="clear" w:pos="0"/>
                <w:tab w:val="clear" w:pos="283"/>
                <w:tab w:val="clear" w:pos="567"/>
                <w:tab w:val="clear" w:pos="1134"/>
                <w:tab w:val="clear" w:pos="1418"/>
                <w:tab w:val="clear" w:pos="1701"/>
              </w:tabs>
              <w:ind w:left="1" w:firstLine="0"/>
              <w:rPr>
                <w:rFonts w:asciiTheme="majorHAnsi" w:eastAsiaTheme="majorEastAsia" w:hAnsiTheme="majorHAnsi" w:cstheme="majorBidi"/>
                <w:color w:val="2E74B5" w:themeColor="accent1" w:themeShade="BF"/>
                <w:sz w:val="26"/>
                <w:szCs w:val="26"/>
                <w:lang w:eastAsia="en-US"/>
              </w:rPr>
            </w:pPr>
            <w:r w:rsidRPr="0021123C">
              <w:rPr>
                <w:rFonts w:asciiTheme="majorHAnsi" w:eastAsiaTheme="majorEastAsia" w:hAnsiTheme="majorHAnsi" w:cstheme="majorBidi"/>
                <w:color w:val="2E74B5" w:themeColor="accent1" w:themeShade="BF"/>
                <w:sz w:val="26"/>
                <w:szCs w:val="26"/>
                <w:lang w:eastAsia="en-US"/>
              </w:rPr>
              <w:t>2. Shared Roles</w:t>
            </w:r>
          </w:p>
          <w:p w14:paraId="7E5C81A4" w14:textId="77777777" w:rsidR="001D44CA" w:rsidRPr="0021123C" w:rsidRDefault="006463EF" w:rsidP="006463EF">
            <w:pPr>
              <w:pStyle w:val="AlphaParagraph"/>
              <w:numPr>
                <w:ilvl w:val="0"/>
                <w:numId w:val="9"/>
              </w:numPr>
              <w:tabs>
                <w:tab w:val="clear" w:pos="283"/>
                <w:tab w:val="clear" w:pos="567"/>
                <w:tab w:val="clear" w:pos="1134"/>
                <w:tab w:val="clear" w:pos="1418"/>
                <w:tab w:val="clear" w:pos="1701"/>
              </w:tabs>
              <w:rPr>
                <w:sz w:val="26"/>
                <w:szCs w:val="26"/>
              </w:rPr>
            </w:pPr>
            <w:r w:rsidRPr="0021123C">
              <w:rPr>
                <w:sz w:val="26"/>
                <w:szCs w:val="26"/>
              </w:rPr>
              <w:lastRenderedPageBreak/>
              <w:t xml:space="preserve">    The Parties will meet the requirements of Schedule E, Clause 26 of the IGA FFR, by ensuring that prior agreement is reached on the nature and content of any events, announcements, promotional material or publicity relating to activities under this Agreement, and that the roles of both Parties will be acknowledged and recognised appropriately.</w:t>
            </w:r>
          </w:p>
        </w:tc>
      </w:tr>
    </w:tbl>
    <w:p w14:paraId="4BBE0332" w14:textId="77777777" w:rsidR="00205899" w:rsidRPr="0021123C" w:rsidRDefault="00205899" w:rsidP="00205899"/>
    <w:p w14:paraId="538D8136" w14:textId="77777777" w:rsidR="00205899" w:rsidRPr="0021123C" w:rsidRDefault="00205899" w:rsidP="00205899"/>
    <w:p w14:paraId="5E69F517" w14:textId="7E2F6BA6" w:rsidR="008A457D" w:rsidRPr="0021123C" w:rsidRDefault="00BD3346">
      <w:pPr>
        <w:widowControl/>
        <w:spacing w:after="160" w:line="259" w:lineRule="auto"/>
      </w:pPr>
      <w:r w:rsidRPr="0021123C">
        <w:br w:type="page"/>
      </w:r>
    </w:p>
    <w:p w14:paraId="054F43A9" w14:textId="77777777" w:rsidR="00205899" w:rsidRPr="0021123C" w:rsidRDefault="00205899" w:rsidP="00205899">
      <w:pPr>
        <w:sectPr w:rsidR="00205899" w:rsidRPr="0021123C" w:rsidSect="0020589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pgNumType w:chapStyle="9"/>
          <w:cols w:space="708"/>
          <w:titlePg/>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43"/>
        <w:gridCol w:w="7159"/>
        <w:gridCol w:w="1923"/>
        <w:gridCol w:w="1713"/>
      </w:tblGrid>
      <w:tr w:rsidR="00BB3C9D" w:rsidRPr="0021123C" w14:paraId="43C7E3E6" w14:textId="77777777" w:rsidTr="00AF49B6">
        <w:trPr>
          <w:trHeight w:val="599"/>
        </w:trPr>
        <w:tc>
          <w:tcPr>
            <w:tcW w:w="13938" w:type="dxa"/>
            <w:gridSpan w:val="4"/>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024247C4" w14:textId="77777777" w:rsidR="00BB3C9D" w:rsidRPr="0021123C" w:rsidRDefault="00BB3C9D">
            <w:pPr>
              <w:pStyle w:val="Tableformat"/>
              <w:spacing w:line="256" w:lineRule="auto"/>
              <w:rPr>
                <w:b/>
                <w:color w:val="auto"/>
                <w:lang w:eastAsia="en-US"/>
              </w:rPr>
            </w:pPr>
            <w:r w:rsidRPr="0021123C">
              <w:rPr>
                <w:b/>
                <w:color w:val="auto"/>
                <w:lang w:eastAsia="en-US"/>
              </w:rPr>
              <w:lastRenderedPageBreak/>
              <w:t>Table 2: Performance requirements, reporting and payment summary</w:t>
            </w:r>
          </w:p>
        </w:tc>
      </w:tr>
      <w:tr w:rsidR="00BB3C9D" w:rsidRPr="0021123C" w14:paraId="6EB1408B" w14:textId="77777777" w:rsidTr="00AF49B6">
        <w:trPr>
          <w:trHeight w:val="499"/>
        </w:trPr>
        <w:tc>
          <w:tcPr>
            <w:tcW w:w="3143"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667EC326" w14:textId="1639B52A" w:rsidR="00BB3C9D" w:rsidRPr="0021123C" w:rsidRDefault="00BB3C9D">
            <w:pPr>
              <w:pStyle w:val="Tableformat"/>
              <w:spacing w:line="256" w:lineRule="auto"/>
              <w:rPr>
                <w:b/>
                <w:color w:val="auto"/>
                <w:lang w:eastAsia="en-US"/>
              </w:rPr>
            </w:pPr>
            <w:r w:rsidRPr="0021123C">
              <w:rPr>
                <w:b/>
                <w:color w:val="auto"/>
                <w:lang w:eastAsia="en-US"/>
              </w:rPr>
              <w:t>Output</w:t>
            </w:r>
          </w:p>
        </w:tc>
        <w:tc>
          <w:tcPr>
            <w:tcW w:w="715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28117C6C" w14:textId="77777777" w:rsidR="00BB3C9D" w:rsidRPr="0021123C" w:rsidRDefault="00BB3C9D">
            <w:pPr>
              <w:pStyle w:val="Tableformat"/>
              <w:spacing w:line="256" w:lineRule="auto"/>
              <w:rPr>
                <w:b/>
                <w:color w:val="auto"/>
                <w:lang w:eastAsia="en-US"/>
              </w:rPr>
            </w:pPr>
            <w:r w:rsidRPr="0021123C">
              <w:rPr>
                <w:b/>
                <w:color w:val="auto"/>
                <w:lang w:eastAsia="en-US"/>
              </w:rPr>
              <w:t>Performance milestones</w:t>
            </w:r>
          </w:p>
        </w:tc>
        <w:tc>
          <w:tcPr>
            <w:tcW w:w="1923"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1DEF920" w14:textId="77777777" w:rsidR="00BB3C9D" w:rsidRPr="0021123C" w:rsidRDefault="00BB3C9D">
            <w:pPr>
              <w:pStyle w:val="Tableformat"/>
              <w:spacing w:line="256" w:lineRule="auto"/>
              <w:rPr>
                <w:b/>
                <w:color w:val="auto"/>
                <w:lang w:eastAsia="en-US"/>
              </w:rPr>
            </w:pPr>
            <w:r w:rsidRPr="0021123C">
              <w:rPr>
                <w:b/>
                <w:color w:val="auto"/>
                <w:lang w:eastAsia="en-US"/>
              </w:rPr>
              <w:t>Report due</w:t>
            </w:r>
          </w:p>
        </w:tc>
        <w:tc>
          <w:tcPr>
            <w:tcW w:w="1713"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22081BD1" w14:textId="77777777" w:rsidR="00BB3C9D" w:rsidRPr="0021123C" w:rsidRDefault="00BB3C9D">
            <w:pPr>
              <w:pStyle w:val="Tableformat"/>
              <w:spacing w:line="256" w:lineRule="auto"/>
              <w:rPr>
                <w:b/>
                <w:color w:val="auto"/>
                <w:lang w:eastAsia="en-US"/>
              </w:rPr>
            </w:pPr>
            <w:r w:rsidRPr="0021123C">
              <w:rPr>
                <w:b/>
                <w:color w:val="auto"/>
                <w:lang w:eastAsia="en-US"/>
              </w:rPr>
              <w:t>Payment</w:t>
            </w:r>
          </w:p>
        </w:tc>
      </w:tr>
      <w:tr w:rsidR="00CF392E" w:rsidRPr="0021123C" w14:paraId="4F69B084" w14:textId="77777777" w:rsidTr="00AF49B6">
        <w:trPr>
          <w:trHeight w:val="758"/>
        </w:trPr>
        <w:tc>
          <w:tcPr>
            <w:tcW w:w="3143" w:type="dxa"/>
            <w:vMerge w:val="restart"/>
            <w:tcBorders>
              <w:top w:val="single" w:sz="8" w:space="0" w:color="4F81BD"/>
              <w:left w:val="single" w:sz="8" w:space="0" w:color="4F81BD"/>
              <w:right w:val="single" w:sz="8" w:space="0" w:color="4F81BD"/>
            </w:tcBorders>
          </w:tcPr>
          <w:p w14:paraId="5C77A157" w14:textId="6CF93AC4" w:rsidR="00CF392E" w:rsidRPr="0021123C" w:rsidRDefault="00CF392E">
            <w:pPr>
              <w:pStyle w:val="Milestonetable"/>
              <w:spacing w:line="256" w:lineRule="auto"/>
              <w:rPr>
                <w:color w:val="auto"/>
                <w:lang w:eastAsia="en-US"/>
              </w:rPr>
            </w:pPr>
            <w:r w:rsidRPr="0021123C">
              <w:rPr>
                <w:color w:val="auto"/>
                <w:lang w:eastAsia="en-US"/>
              </w:rPr>
              <w:t xml:space="preserve">Fraser Coast Turtle Rehabilitation and </w:t>
            </w:r>
            <w:r w:rsidR="00A14E94">
              <w:rPr>
                <w:color w:val="auto"/>
                <w:lang w:eastAsia="en-US"/>
              </w:rPr>
              <w:t>Research</w:t>
            </w:r>
            <w:r w:rsidRPr="0021123C">
              <w:rPr>
                <w:color w:val="auto"/>
                <w:lang w:eastAsia="en-US"/>
              </w:rPr>
              <w:t xml:space="preserve"> Centre</w:t>
            </w:r>
          </w:p>
        </w:tc>
        <w:tc>
          <w:tcPr>
            <w:tcW w:w="7159" w:type="dxa"/>
            <w:tcBorders>
              <w:top w:val="single" w:sz="8" w:space="0" w:color="4F81BD"/>
              <w:left w:val="single" w:sz="8" w:space="0" w:color="4F81BD"/>
              <w:bottom w:val="single" w:sz="8" w:space="0" w:color="4F81BD"/>
              <w:right w:val="single" w:sz="8" w:space="0" w:color="4F81BD"/>
            </w:tcBorders>
          </w:tcPr>
          <w:p w14:paraId="74755B92" w14:textId="436A28A6" w:rsidR="00CF392E" w:rsidRPr="0021123C" w:rsidRDefault="00AF49B6" w:rsidP="00175A25">
            <w:pPr>
              <w:pStyle w:val="Milestonetable"/>
              <w:numPr>
                <w:ilvl w:val="0"/>
                <w:numId w:val="14"/>
              </w:numPr>
              <w:spacing w:line="256" w:lineRule="auto"/>
              <w:rPr>
                <w:color w:val="auto"/>
                <w:lang w:eastAsia="en-US"/>
              </w:rPr>
            </w:pPr>
            <w:r w:rsidRPr="0021123C">
              <w:rPr>
                <w:color w:val="auto"/>
                <w:lang w:eastAsia="en-US"/>
              </w:rPr>
              <w:t xml:space="preserve">Project plan and concept design accepted by the </w:t>
            </w:r>
            <w:r w:rsidR="00CF392E" w:rsidRPr="0021123C">
              <w:rPr>
                <w:color w:val="auto"/>
                <w:lang w:eastAsia="en-US"/>
              </w:rPr>
              <w:t>Australian Government</w:t>
            </w:r>
            <w:r w:rsidRPr="0021123C">
              <w:rPr>
                <w:color w:val="auto"/>
                <w:lang w:eastAsia="en-US"/>
              </w:rPr>
              <w:t>.</w:t>
            </w:r>
          </w:p>
        </w:tc>
        <w:tc>
          <w:tcPr>
            <w:tcW w:w="1923" w:type="dxa"/>
            <w:tcBorders>
              <w:top w:val="single" w:sz="8" w:space="0" w:color="4F81BD"/>
              <w:left w:val="single" w:sz="8" w:space="0" w:color="4F81BD"/>
              <w:bottom w:val="single" w:sz="8" w:space="0" w:color="4F81BD"/>
              <w:right w:val="single" w:sz="8" w:space="0" w:color="4F81BD"/>
            </w:tcBorders>
            <w:hideMark/>
          </w:tcPr>
          <w:p w14:paraId="5546EF7E" w14:textId="789B95F5" w:rsidR="00CF392E" w:rsidRPr="0021123C" w:rsidRDefault="005C61F2">
            <w:pPr>
              <w:pStyle w:val="Milestonetable"/>
              <w:spacing w:line="256" w:lineRule="auto"/>
              <w:rPr>
                <w:color w:val="auto"/>
                <w:lang w:eastAsia="en-US"/>
              </w:rPr>
            </w:pPr>
            <w:r w:rsidRPr="0021123C">
              <w:rPr>
                <w:color w:val="auto"/>
                <w:lang w:eastAsia="en-US"/>
              </w:rPr>
              <w:t>31 March 2024</w:t>
            </w:r>
          </w:p>
        </w:tc>
        <w:tc>
          <w:tcPr>
            <w:tcW w:w="1713" w:type="dxa"/>
            <w:tcBorders>
              <w:top w:val="single" w:sz="8" w:space="0" w:color="4F81BD"/>
              <w:left w:val="single" w:sz="8" w:space="0" w:color="4F81BD"/>
              <w:bottom w:val="single" w:sz="8" w:space="0" w:color="4F81BD"/>
              <w:right w:val="single" w:sz="8" w:space="0" w:color="4F81BD"/>
            </w:tcBorders>
            <w:hideMark/>
          </w:tcPr>
          <w:p w14:paraId="1D5E8D91" w14:textId="3B39E459" w:rsidR="00CF392E" w:rsidRPr="0021123C" w:rsidRDefault="00CF392E">
            <w:pPr>
              <w:pStyle w:val="Milestonetable"/>
              <w:spacing w:line="256" w:lineRule="auto"/>
              <w:jc w:val="right"/>
              <w:rPr>
                <w:color w:val="auto"/>
                <w:lang w:eastAsia="en-US"/>
              </w:rPr>
            </w:pPr>
            <w:r w:rsidRPr="0021123C">
              <w:rPr>
                <w:color w:val="auto"/>
                <w:lang w:eastAsia="en-US"/>
              </w:rPr>
              <w:t>$</w:t>
            </w:r>
            <w:r w:rsidR="005C61F2" w:rsidRPr="0021123C">
              <w:rPr>
                <w:color w:val="auto"/>
                <w:lang w:eastAsia="en-US"/>
              </w:rPr>
              <w:t>0.25m</w:t>
            </w:r>
          </w:p>
        </w:tc>
      </w:tr>
      <w:tr w:rsidR="00CF392E" w:rsidRPr="0021123C" w14:paraId="565D1A6B" w14:textId="77777777" w:rsidTr="00AF49B6">
        <w:trPr>
          <w:trHeight w:val="758"/>
        </w:trPr>
        <w:tc>
          <w:tcPr>
            <w:tcW w:w="3143" w:type="dxa"/>
            <w:vMerge/>
            <w:tcBorders>
              <w:left w:val="single" w:sz="8" w:space="0" w:color="4F81BD"/>
              <w:bottom w:val="single" w:sz="8" w:space="0" w:color="4F81BD"/>
              <w:right w:val="single" w:sz="8" w:space="0" w:color="4F81BD"/>
            </w:tcBorders>
          </w:tcPr>
          <w:p w14:paraId="24A5A4AD" w14:textId="77777777" w:rsidR="00CF392E" w:rsidRPr="0021123C" w:rsidRDefault="00CF392E">
            <w:pPr>
              <w:pStyle w:val="Milestonetable"/>
              <w:spacing w:line="256" w:lineRule="auto"/>
              <w:rPr>
                <w:color w:val="auto"/>
                <w:lang w:eastAsia="en-US"/>
              </w:rPr>
            </w:pPr>
          </w:p>
        </w:tc>
        <w:tc>
          <w:tcPr>
            <w:tcW w:w="7159" w:type="dxa"/>
            <w:tcBorders>
              <w:top w:val="single" w:sz="8" w:space="0" w:color="4F81BD"/>
              <w:left w:val="single" w:sz="8" w:space="0" w:color="4F81BD"/>
              <w:bottom w:val="single" w:sz="8" w:space="0" w:color="4F81BD"/>
              <w:right w:val="single" w:sz="8" w:space="0" w:color="4F81BD"/>
            </w:tcBorders>
          </w:tcPr>
          <w:p w14:paraId="01AB49D5" w14:textId="2A5AC931" w:rsidR="00CF392E" w:rsidRPr="0021123C" w:rsidRDefault="00AF49B6" w:rsidP="008A457D">
            <w:pPr>
              <w:pStyle w:val="Milestonetable"/>
              <w:numPr>
                <w:ilvl w:val="0"/>
                <w:numId w:val="14"/>
              </w:numPr>
              <w:spacing w:line="256" w:lineRule="auto"/>
              <w:rPr>
                <w:color w:val="auto"/>
                <w:lang w:eastAsia="en-US"/>
              </w:rPr>
            </w:pPr>
            <w:r w:rsidRPr="0021123C">
              <w:rPr>
                <w:color w:val="auto"/>
                <w:lang w:eastAsia="en-US"/>
              </w:rPr>
              <w:t>Post-completion report accepted by the Australian Government.</w:t>
            </w:r>
          </w:p>
        </w:tc>
        <w:tc>
          <w:tcPr>
            <w:tcW w:w="1923" w:type="dxa"/>
            <w:tcBorders>
              <w:top w:val="single" w:sz="8" w:space="0" w:color="4F81BD"/>
              <w:left w:val="single" w:sz="8" w:space="0" w:color="4F81BD"/>
              <w:bottom w:val="single" w:sz="8" w:space="0" w:color="4F81BD"/>
              <w:right w:val="single" w:sz="8" w:space="0" w:color="4F81BD"/>
            </w:tcBorders>
            <w:hideMark/>
          </w:tcPr>
          <w:p w14:paraId="233C20B6" w14:textId="270990FF" w:rsidR="00CF392E" w:rsidRPr="0021123C" w:rsidRDefault="00AF49B6">
            <w:pPr>
              <w:pStyle w:val="Milestonetable"/>
              <w:spacing w:line="256" w:lineRule="auto"/>
              <w:rPr>
                <w:color w:val="auto"/>
                <w:lang w:eastAsia="en-US"/>
              </w:rPr>
            </w:pPr>
            <w:r w:rsidRPr="0021123C">
              <w:rPr>
                <w:color w:val="auto"/>
                <w:lang w:eastAsia="en-US"/>
              </w:rPr>
              <w:t>30 June 2025</w:t>
            </w:r>
          </w:p>
        </w:tc>
        <w:tc>
          <w:tcPr>
            <w:tcW w:w="1713" w:type="dxa"/>
            <w:tcBorders>
              <w:top w:val="single" w:sz="8" w:space="0" w:color="4F81BD"/>
              <w:left w:val="single" w:sz="8" w:space="0" w:color="4F81BD"/>
              <w:bottom w:val="single" w:sz="8" w:space="0" w:color="4F81BD"/>
              <w:right w:val="single" w:sz="8" w:space="0" w:color="4F81BD"/>
            </w:tcBorders>
            <w:hideMark/>
          </w:tcPr>
          <w:p w14:paraId="54BF9FAA" w14:textId="2FE50400" w:rsidR="00CF392E" w:rsidRPr="0021123C" w:rsidRDefault="00AF49B6">
            <w:pPr>
              <w:pStyle w:val="Milestonetable"/>
              <w:spacing w:line="256" w:lineRule="auto"/>
              <w:jc w:val="right"/>
              <w:rPr>
                <w:color w:val="auto"/>
                <w:lang w:eastAsia="en-US"/>
              </w:rPr>
            </w:pPr>
            <w:r w:rsidRPr="0021123C">
              <w:rPr>
                <w:color w:val="auto"/>
                <w:lang w:eastAsia="en-US"/>
              </w:rPr>
              <w:t>Nil</w:t>
            </w:r>
          </w:p>
        </w:tc>
      </w:tr>
    </w:tbl>
    <w:p w14:paraId="018FF733" w14:textId="5C6E0B9D" w:rsidR="00205899" w:rsidRPr="0021123C" w:rsidRDefault="00205899" w:rsidP="00205899">
      <w:r w:rsidRPr="0021123C">
        <w:t xml:space="preserve">The </w:t>
      </w:r>
      <w:r w:rsidRPr="0021123C">
        <w:rPr>
          <w:sz w:val="24"/>
          <w:szCs w:val="24"/>
        </w:rPr>
        <w:t>Parties</w:t>
      </w:r>
      <w:r w:rsidRPr="0021123C">
        <w:t xml:space="preserve"> have confirmed their commitment to this schedule as follows:</w:t>
      </w:r>
    </w:p>
    <w:p w14:paraId="0B0B14E2" w14:textId="77777777" w:rsidR="00205899" w:rsidRPr="0021123C" w:rsidRDefault="00205899" w:rsidP="00205899"/>
    <w:tbl>
      <w:tblPr>
        <w:tblW w:w="0" w:type="auto"/>
        <w:jc w:val="center"/>
        <w:tblLayout w:type="fixed"/>
        <w:tblLook w:val="01E0" w:firstRow="1" w:lastRow="1" w:firstColumn="1" w:lastColumn="1" w:noHBand="0" w:noVBand="0"/>
      </w:tblPr>
      <w:tblGrid>
        <w:gridCol w:w="4536"/>
        <w:gridCol w:w="1701"/>
        <w:gridCol w:w="4536"/>
      </w:tblGrid>
      <w:tr w:rsidR="00205899" w:rsidRPr="0021123C" w14:paraId="3362058F" w14:textId="77777777" w:rsidTr="005D3905">
        <w:trPr>
          <w:cantSplit/>
          <w:jc w:val="center"/>
        </w:trPr>
        <w:tc>
          <w:tcPr>
            <w:tcW w:w="4536" w:type="dxa"/>
          </w:tcPr>
          <w:p w14:paraId="432CD2CD" w14:textId="77777777" w:rsidR="00205899" w:rsidRPr="0021123C" w:rsidRDefault="00205899" w:rsidP="005D3905">
            <w:pPr>
              <w:pStyle w:val="Signed"/>
              <w:rPr>
                <w:color w:val="auto"/>
              </w:rPr>
            </w:pPr>
            <w:r w:rsidRPr="0021123C">
              <w:rPr>
                <w:rStyle w:val="SignedBold"/>
                <w:color w:val="auto"/>
              </w:rPr>
              <w:t>Signed</w:t>
            </w:r>
            <w:r w:rsidRPr="0021123C">
              <w:rPr>
                <w:color w:val="auto"/>
              </w:rPr>
              <w:t xml:space="preserve"> for and on behalf of the Commonwealth of </w:t>
            </w:r>
            <w:smartTag w:uri="urn:schemas-microsoft-com:office:smarttags" w:element="country-region">
              <w:smartTag w:uri="urn:schemas-microsoft-com:office:smarttags" w:element="place">
                <w:r w:rsidRPr="0021123C">
                  <w:rPr>
                    <w:color w:val="auto"/>
                  </w:rPr>
                  <w:t>Australia</w:t>
                </w:r>
              </w:smartTag>
            </w:smartTag>
            <w:r w:rsidRPr="0021123C">
              <w:rPr>
                <w:color w:val="auto"/>
              </w:rPr>
              <w:t xml:space="preserve"> by</w:t>
            </w:r>
          </w:p>
          <w:p w14:paraId="299FCBBC" w14:textId="77777777" w:rsidR="00205899" w:rsidRPr="0021123C" w:rsidRDefault="00205899" w:rsidP="005D3905">
            <w:pPr>
              <w:pStyle w:val="LineForSignature"/>
              <w:rPr>
                <w:color w:val="auto"/>
                <w:lang w:val="en-AU"/>
              </w:rPr>
            </w:pPr>
            <w:r w:rsidRPr="0021123C">
              <w:rPr>
                <w:color w:val="auto"/>
                <w:lang w:val="en-AU"/>
              </w:rPr>
              <w:br/>
            </w:r>
            <w:r w:rsidRPr="0021123C">
              <w:rPr>
                <w:color w:val="auto"/>
                <w:lang w:val="en-AU"/>
              </w:rPr>
              <w:tab/>
            </w:r>
          </w:p>
          <w:p w14:paraId="7257BF5D" w14:textId="77777777" w:rsidR="00205899" w:rsidRPr="0021123C" w:rsidRDefault="00205899" w:rsidP="005D3905">
            <w:pPr>
              <w:pStyle w:val="SingleParagraph"/>
              <w:rPr>
                <w:rStyle w:val="Bold"/>
                <w:color w:val="auto"/>
              </w:rPr>
            </w:pPr>
            <w:r w:rsidRPr="0021123C">
              <w:rPr>
                <w:rStyle w:val="Bold"/>
                <w:color w:val="auto"/>
              </w:rPr>
              <w:t xml:space="preserve">The Honourable </w:t>
            </w:r>
            <w:r w:rsidR="00F3501A" w:rsidRPr="0021123C">
              <w:rPr>
                <w:rStyle w:val="Bold"/>
                <w:color w:val="auto"/>
              </w:rPr>
              <w:t>Kristy McBain</w:t>
            </w:r>
            <w:r w:rsidRPr="0021123C">
              <w:rPr>
                <w:rStyle w:val="Bold"/>
                <w:color w:val="auto"/>
              </w:rPr>
              <w:t xml:space="preserve"> MP</w:t>
            </w:r>
          </w:p>
          <w:p w14:paraId="2B554B59" w14:textId="77777777" w:rsidR="00205899" w:rsidRPr="0021123C" w:rsidRDefault="00205899" w:rsidP="005D3905">
            <w:pPr>
              <w:pStyle w:val="Position"/>
              <w:rPr>
                <w:color w:val="auto"/>
              </w:rPr>
            </w:pPr>
            <w:r w:rsidRPr="0021123C">
              <w:rPr>
                <w:color w:val="auto"/>
              </w:rPr>
              <w:t xml:space="preserve">Minister for </w:t>
            </w:r>
            <w:r w:rsidR="00F3501A" w:rsidRPr="0021123C">
              <w:rPr>
                <w:color w:val="auto"/>
              </w:rPr>
              <w:t>Regional Development, Local Government and Territories</w:t>
            </w:r>
            <w:r w:rsidRPr="0021123C">
              <w:rPr>
                <w:color w:val="auto"/>
              </w:rPr>
              <w:t xml:space="preserve"> </w:t>
            </w:r>
          </w:p>
          <w:p w14:paraId="023852DA" w14:textId="7C870DA9" w:rsidR="00205899" w:rsidRPr="0021123C" w:rsidRDefault="00205899" w:rsidP="005D3905">
            <w:pPr>
              <w:pStyle w:val="SingleParagraph"/>
              <w:tabs>
                <w:tab w:val="num" w:pos="1134"/>
              </w:tabs>
              <w:spacing w:after="240"/>
              <w:rPr>
                <w:b/>
                <w:color w:val="auto"/>
              </w:rPr>
            </w:pPr>
            <w:r w:rsidRPr="0021123C">
              <w:rPr>
                <w:color w:val="auto"/>
              </w:rPr>
              <w:t>[</w:t>
            </w:r>
            <w:proofErr w:type="gramStart"/>
            <w:r w:rsidRPr="0021123C">
              <w:rPr>
                <w:color w:val="auto"/>
              </w:rPr>
              <w:t>Day]  [</w:t>
            </w:r>
            <w:proofErr w:type="gramEnd"/>
            <w:r w:rsidRPr="0021123C">
              <w:rPr>
                <w:color w:val="auto"/>
              </w:rPr>
              <w:t xml:space="preserve">Month]  </w:t>
            </w:r>
            <w:r w:rsidR="00B17F1B" w:rsidRPr="0021123C">
              <w:rPr>
                <w:color w:val="auto"/>
              </w:rPr>
              <w:t>202</w:t>
            </w:r>
            <w:r w:rsidR="00211350">
              <w:rPr>
                <w:color w:val="auto"/>
              </w:rPr>
              <w:t>4</w:t>
            </w:r>
          </w:p>
        </w:tc>
        <w:tc>
          <w:tcPr>
            <w:tcW w:w="1701" w:type="dxa"/>
            <w:tcMar>
              <w:left w:w="0" w:type="dxa"/>
              <w:right w:w="0" w:type="dxa"/>
            </w:tcMar>
          </w:tcPr>
          <w:p w14:paraId="45CF2D8B" w14:textId="77777777" w:rsidR="00205899" w:rsidRPr="0021123C" w:rsidRDefault="00205899" w:rsidP="005D3905">
            <w:pPr>
              <w:rPr>
                <w:rFonts w:ascii="Book Antiqua" w:hAnsi="Book Antiqua"/>
              </w:rPr>
            </w:pPr>
          </w:p>
        </w:tc>
        <w:tc>
          <w:tcPr>
            <w:tcW w:w="4536" w:type="dxa"/>
          </w:tcPr>
          <w:p w14:paraId="3812F7C1" w14:textId="77777777" w:rsidR="00205899" w:rsidRPr="0021123C" w:rsidRDefault="00205899" w:rsidP="005D3905">
            <w:pPr>
              <w:pStyle w:val="Signed"/>
              <w:rPr>
                <w:color w:val="auto"/>
              </w:rPr>
            </w:pPr>
            <w:r w:rsidRPr="0021123C">
              <w:rPr>
                <w:rStyle w:val="SignedBold"/>
                <w:color w:val="auto"/>
              </w:rPr>
              <w:t>Signed</w:t>
            </w:r>
            <w:r w:rsidRPr="0021123C">
              <w:rPr>
                <w:color w:val="auto"/>
              </w:rPr>
              <w:t xml:space="preserve"> for and on behalf of the </w:t>
            </w:r>
            <w:r w:rsidRPr="0021123C">
              <w:rPr>
                <w:color w:val="auto"/>
              </w:rPr>
              <w:br/>
              <w:t>State of Queensland by</w:t>
            </w:r>
          </w:p>
          <w:p w14:paraId="4AB771D1" w14:textId="77777777" w:rsidR="00205899" w:rsidRPr="0021123C" w:rsidRDefault="00205899" w:rsidP="005D3905">
            <w:pPr>
              <w:pStyle w:val="LineForSignature"/>
              <w:rPr>
                <w:color w:val="auto"/>
                <w:lang w:val="en-AU"/>
              </w:rPr>
            </w:pPr>
            <w:r w:rsidRPr="0021123C">
              <w:rPr>
                <w:color w:val="auto"/>
                <w:lang w:val="en-AU"/>
              </w:rPr>
              <w:br/>
            </w:r>
            <w:r w:rsidRPr="0021123C">
              <w:rPr>
                <w:color w:val="auto"/>
                <w:lang w:val="en-AU"/>
              </w:rPr>
              <w:tab/>
            </w:r>
          </w:p>
          <w:p w14:paraId="7A963C6F" w14:textId="719A850B" w:rsidR="00205899" w:rsidRPr="0021123C" w:rsidRDefault="00205899" w:rsidP="005D3905">
            <w:pPr>
              <w:pStyle w:val="SingleParagraph"/>
              <w:rPr>
                <w:rStyle w:val="Bold"/>
                <w:color w:val="auto"/>
              </w:rPr>
            </w:pPr>
            <w:r w:rsidRPr="0021123C">
              <w:rPr>
                <w:rStyle w:val="Bold"/>
                <w:color w:val="auto"/>
              </w:rPr>
              <w:t xml:space="preserve">The Honourable </w:t>
            </w:r>
            <w:r w:rsidR="00477DFD">
              <w:rPr>
                <w:rStyle w:val="Bold"/>
                <w:color w:val="auto"/>
              </w:rPr>
              <w:t xml:space="preserve">Leanne </w:t>
            </w:r>
            <w:proofErr w:type="spellStart"/>
            <w:r w:rsidR="00477DFD">
              <w:rPr>
                <w:rStyle w:val="Bold"/>
                <w:color w:val="auto"/>
              </w:rPr>
              <w:t>Linard</w:t>
            </w:r>
            <w:proofErr w:type="spellEnd"/>
            <w:r w:rsidRPr="0021123C">
              <w:rPr>
                <w:rStyle w:val="Bold"/>
                <w:color w:val="auto"/>
              </w:rPr>
              <w:t xml:space="preserve"> MP</w:t>
            </w:r>
          </w:p>
          <w:p w14:paraId="4766177B" w14:textId="520178B2" w:rsidR="00205899" w:rsidRPr="0021123C" w:rsidRDefault="00205899" w:rsidP="005D3905">
            <w:pPr>
              <w:pStyle w:val="Position"/>
              <w:rPr>
                <w:color w:val="auto"/>
              </w:rPr>
            </w:pPr>
            <w:r w:rsidRPr="0021123C">
              <w:rPr>
                <w:color w:val="auto"/>
              </w:rPr>
              <w:t xml:space="preserve">Minister for </w:t>
            </w:r>
            <w:r w:rsidR="00FD2F2D">
              <w:rPr>
                <w:color w:val="auto"/>
              </w:rPr>
              <w:t>the Environment and the Great Barrier Reef and Minister for Science and Innovation</w:t>
            </w:r>
          </w:p>
          <w:p w14:paraId="329FB150" w14:textId="575D0BCF" w:rsidR="00205899" w:rsidRPr="009C730E" w:rsidRDefault="00205899" w:rsidP="005D3905">
            <w:pPr>
              <w:rPr>
                <w:rFonts w:ascii="Corbel" w:hAnsi="Corbel"/>
              </w:rPr>
            </w:pPr>
            <w:r w:rsidRPr="009C730E">
              <w:rPr>
                <w:rFonts w:ascii="Corbel" w:hAnsi="Corbel"/>
              </w:rPr>
              <w:t>[</w:t>
            </w:r>
            <w:proofErr w:type="gramStart"/>
            <w:r w:rsidRPr="009C730E">
              <w:rPr>
                <w:rFonts w:ascii="Corbel" w:hAnsi="Corbel"/>
              </w:rPr>
              <w:t>Day]  [</w:t>
            </w:r>
            <w:proofErr w:type="gramEnd"/>
            <w:r w:rsidRPr="009C730E">
              <w:rPr>
                <w:rFonts w:ascii="Corbel" w:hAnsi="Corbel"/>
              </w:rPr>
              <w:t xml:space="preserve">Month]  </w:t>
            </w:r>
            <w:r w:rsidR="00B17F1B" w:rsidRPr="009C730E">
              <w:rPr>
                <w:rFonts w:ascii="Corbel" w:hAnsi="Corbel"/>
              </w:rPr>
              <w:t>202</w:t>
            </w:r>
            <w:r w:rsidR="00211350" w:rsidRPr="009C730E">
              <w:rPr>
                <w:rFonts w:ascii="Corbel" w:hAnsi="Corbel"/>
              </w:rPr>
              <w:t>4</w:t>
            </w:r>
          </w:p>
        </w:tc>
      </w:tr>
    </w:tbl>
    <w:p w14:paraId="7957C286" w14:textId="77777777" w:rsidR="00205899" w:rsidRPr="0021123C" w:rsidRDefault="00205899" w:rsidP="00BB3C9D"/>
    <w:sectPr w:rsidR="00205899" w:rsidRPr="0021123C" w:rsidSect="008A457D">
      <w:headerReference w:type="default" r:id="rId17"/>
      <w:head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C44F" w14:textId="77777777" w:rsidR="0079706D" w:rsidRDefault="0079706D">
      <w:r>
        <w:separator/>
      </w:r>
    </w:p>
  </w:endnote>
  <w:endnote w:type="continuationSeparator" w:id="0">
    <w:p w14:paraId="31636A91" w14:textId="77777777" w:rsidR="0079706D" w:rsidRDefault="0079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B276" w14:textId="77777777" w:rsidR="00CE09ED"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E152" w14:textId="77777777" w:rsidR="00CE09ED" w:rsidRDefault="00CE09ED" w:rsidP="007E44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3EFD" w14:textId="77777777" w:rsidR="00CE09ED" w:rsidRPr="00BE249A" w:rsidRDefault="00CE09ED" w:rsidP="007E44E6">
    <w:pPr>
      <w:pStyle w:val="Footer"/>
      <w:jc w:val="right"/>
    </w:pPr>
    <w:sdt>
      <w:sdtPr>
        <w:id w:val="166610679"/>
        <w:docPartObj>
          <w:docPartGallery w:val="Page Numbers (Top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6DC9" w14:textId="77777777" w:rsidR="0079706D" w:rsidRDefault="0079706D">
      <w:r>
        <w:separator/>
      </w:r>
    </w:p>
  </w:footnote>
  <w:footnote w:type="continuationSeparator" w:id="0">
    <w:p w14:paraId="4311ECC4" w14:textId="77777777" w:rsidR="0079706D" w:rsidRDefault="0079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D66D" w14:textId="77777777" w:rsidR="00D54520" w:rsidRDefault="00D54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E84B" w14:textId="77777777" w:rsidR="00CE09ED" w:rsidRPr="003351A4" w:rsidRDefault="00CE09ED" w:rsidP="00335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D5B9" w14:textId="569B681B" w:rsidR="00D54520" w:rsidRDefault="00D545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46C9" w14:textId="77777777" w:rsidR="00CE09ED" w:rsidRDefault="00CE09ED" w:rsidP="005775C6">
    <w:pPr>
      <w:pStyle w:val="HeaderOdd"/>
      <w:tabs>
        <w:tab w:val="num" w:pos="1134"/>
      </w:tabs>
      <w:spacing w:after="120"/>
      <w:rPr>
        <w:color w:val="8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87C3" w14:textId="77777777" w:rsidR="00CE09ED" w:rsidRPr="00BD75FF" w:rsidRDefault="00CE09ED" w:rsidP="00BD7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589"/>
    <w:multiLevelType w:val="multilevel"/>
    <w:tmpl w:val="5008D138"/>
    <w:lvl w:ilvl="0">
      <w:start w:val="1"/>
      <w:numFmt w:val="lowerLetter"/>
      <w:lvlRestart w:val="0"/>
      <w:lvlText w:val="(%1)"/>
      <w:lvlJc w:val="left"/>
      <w:pPr>
        <w:tabs>
          <w:tab w:val="num" w:pos="-883"/>
        </w:tabs>
        <w:ind w:left="-1450"/>
      </w:pPr>
      <w:rPr>
        <w:rFonts w:cs="Times New Roman" w:hint="default"/>
        <w:b w:val="0"/>
        <w:i w:val="0"/>
        <w:color w:val="000000"/>
      </w:rPr>
    </w:lvl>
    <w:lvl w:ilvl="1">
      <w:start w:val="1"/>
      <w:numFmt w:val="lowerRoman"/>
      <w:lvlText w:val="(%2)"/>
      <w:lvlJc w:val="left"/>
      <w:pPr>
        <w:tabs>
          <w:tab w:val="num" w:pos="-412"/>
        </w:tabs>
        <w:ind w:left="-412" w:hanging="567"/>
      </w:pPr>
      <w:rPr>
        <w:rFonts w:hint="default"/>
        <w:b w:val="0"/>
        <w:i w:val="0"/>
        <w:color w:val="000000"/>
      </w:rPr>
    </w:lvl>
    <w:lvl w:ilvl="2">
      <w:start w:val="1"/>
      <w:numFmt w:val="decimal"/>
      <w:lvlText w:val="%3"/>
      <w:lvlJc w:val="left"/>
      <w:pPr>
        <w:tabs>
          <w:tab w:val="num" w:pos="155"/>
        </w:tabs>
        <w:ind w:left="155" w:hanging="567"/>
      </w:pPr>
      <w:rPr>
        <w:rFonts w:cs="Times New Roman" w:hint="default"/>
        <w:b w:val="0"/>
        <w:i w:val="0"/>
        <w:color w:val="000000"/>
      </w:rPr>
    </w:lvl>
    <w:lvl w:ilvl="3">
      <w:start w:val="1"/>
      <w:numFmt w:val="decimal"/>
      <w:lvlText w:val="%4"/>
      <w:lvlJc w:val="left"/>
      <w:pPr>
        <w:tabs>
          <w:tab w:val="num" w:pos="722"/>
        </w:tabs>
        <w:ind w:left="722" w:hanging="567"/>
      </w:pPr>
      <w:rPr>
        <w:rFonts w:cs="Times New Roman" w:hint="default"/>
        <w:b w:val="0"/>
        <w:i w:val="0"/>
        <w:color w:val="000000"/>
      </w:rPr>
    </w:lvl>
    <w:lvl w:ilvl="4">
      <w:start w:val="1"/>
      <w:numFmt w:val="decimal"/>
      <w:lvlText w:val="%5"/>
      <w:lvlJc w:val="left"/>
      <w:pPr>
        <w:tabs>
          <w:tab w:val="num" w:pos="1289"/>
        </w:tabs>
        <w:ind w:left="1289" w:hanging="567"/>
      </w:pPr>
      <w:rPr>
        <w:rFonts w:cs="Times New Roman" w:hint="default"/>
        <w:b w:val="0"/>
        <w:i w:val="0"/>
        <w:color w:val="000000"/>
      </w:rPr>
    </w:lvl>
    <w:lvl w:ilvl="5">
      <w:start w:val="1"/>
      <w:numFmt w:val="decimal"/>
      <w:lvlText w:val="%6"/>
      <w:lvlJc w:val="left"/>
      <w:pPr>
        <w:tabs>
          <w:tab w:val="num" w:pos="1856"/>
        </w:tabs>
        <w:ind w:left="1856" w:hanging="567"/>
      </w:pPr>
      <w:rPr>
        <w:rFonts w:cs="Times New Roman" w:hint="default"/>
        <w:b w:val="0"/>
        <w:i w:val="0"/>
        <w:color w:val="000000"/>
      </w:rPr>
    </w:lvl>
    <w:lvl w:ilvl="6">
      <w:start w:val="1"/>
      <w:numFmt w:val="decimal"/>
      <w:lvlText w:val="%7"/>
      <w:lvlJc w:val="left"/>
      <w:pPr>
        <w:tabs>
          <w:tab w:val="num" w:pos="2423"/>
        </w:tabs>
        <w:ind w:left="2423" w:hanging="567"/>
      </w:pPr>
      <w:rPr>
        <w:rFonts w:cs="Times New Roman" w:hint="default"/>
        <w:b w:val="0"/>
        <w:i w:val="0"/>
        <w:color w:val="000000"/>
      </w:rPr>
    </w:lvl>
    <w:lvl w:ilvl="7">
      <w:start w:val="1"/>
      <w:numFmt w:val="decimal"/>
      <w:lvlText w:val="%8"/>
      <w:lvlJc w:val="left"/>
      <w:pPr>
        <w:tabs>
          <w:tab w:val="num" w:pos="2990"/>
        </w:tabs>
        <w:ind w:left="2990" w:hanging="567"/>
      </w:pPr>
      <w:rPr>
        <w:rFonts w:cs="Times New Roman" w:hint="default"/>
        <w:b w:val="0"/>
        <w:i w:val="0"/>
        <w:color w:val="000000"/>
      </w:rPr>
    </w:lvl>
    <w:lvl w:ilvl="8">
      <w:start w:val="1"/>
      <w:numFmt w:val="decimal"/>
      <w:lvlText w:val="%9"/>
      <w:lvlJc w:val="left"/>
      <w:pPr>
        <w:tabs>
          <w:tab w:val="num" w:pos="3557"/>
        </w:tabs>
        <w:ind w:left="3557" w:hanging="567"/>
      </w:pPr>
      <w:rPr>
        <w:rFonts w:cs="Times New Roman" w:hint="default"/>
        <w:b w:val="0"/>
        <w:i w:val="0"/>
        <w:color w:val="000000"/>
      </w:rPr>
    </w:lvl>
  </w:abstractNum>
  <w:abstractNum w:abstractNumId="1" w15:restartNumberingAfterBreak="0">
    <w:nsid w:val="03393EE9"/>
    <w:multiLevelType w:val="hybridMultilevel"/>
    <w:tmpl w:val="643A9C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BA4AB4"/>
    <w:multiLevelType w:val="hybridMultilevel"/>
    <w:tmpl w:val="CE540766"/>
    <w:lvl w:ilvl="0" w:tplc="B2A29384">
      <w:start w:val="1"/>
      <w:numFmt w:val="lowerLetter"/>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3" w15:restartNumberingAfterBreak="0">
    <w:nsid w:val="29E91443"/>
    <w:multiLevelType w:val="hybridMultilevel"/>
    <w:tmpl w:val="B8D09E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095A2E"/>
    <w:multiLevelType w:val="multilevel"/>
    <w:tmpl w:val="433CD6FE"/>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lvlText w:val=":"/>
      <w:lvlJc w:val="left"/>
      <w:pPr>
        <w:ind w:left="1488" w:hanging="4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AE2A96"/>
    <w:multiLevelType w:val="hybridMultilevel"/>
    <w:tmpl w:val="A89A98AE"/>
    <w:lvl w:ilvl="0" w:tplc="62AA770C">
      <w:start w:val="8"/>
      <w:numFmt w:val="bullet"/>
      <w:lvlText w:val="-"/>
      <w:lvlJc w:val="left"/>
      <w:pPr>
        <w:ind w:left="720" w:hanging="360"/>
      </w:pPr>
      <w:rPr>
        <w:rFonts w:ascii="Corbel" w:eastAsia="Times New Roman"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A0EB3"/>
    <w:multiLevelType w:val="hybridMultilevel"/>
    <w:tmpl w:val="1A963B5E"/>
    <w:lvl w:ilvl="0" w:tplc="957A0A6C">
      <w:start w:val="1"/>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B22200"/>
    <w:multiLevelType w:val="hybridMultilevel"/>
    <w:tmpl w:val="B6848F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8209BC"/>
    <w:multiLevelType w:val="multilevel"/>
    <w:tmpl w:val="5008D138"/>
    <w:lvl w:ilvl="0">
      <w:start w:val="1"/>
      <w:numFmt w:val="lowerLetter"/>
      <w:lvlRestart w:val="0"/>
      <w:lvlText w:val="(%1)"/>
      <w:lvlJc w:val="left"/>
      <w:pPr>
        <w:tabs>
          <w:tab w:val="num" w:pos="1135"/>
        </w:tabs>
        <w:ind w:left="568"/>
      </w:pPr>
      <w:rPr>
        <w:rFonts w:cs="Times New Roman" w:hint="default"/>
        <w:b w:val="0"/>
        <w:i w:val="0"/>
        <w:color w:val="000000"/>
      </w:rPr>
    </w:lvl>
    <w:lvl w:ilvl="1">
      <w:start w:val="1"/>
      <w:numFmt w:val="lowerRoman"/>
      <w:lvlText w:val="(%2)"/>
      <w:lvlJc w:val="left"/>
      <w:pPr>
        <w:tabs>
          <w:tab w:val="num" w:pos="1606"/>
        </w:tabs>
        <w:ind w:left="1606" w:hanging="567"/>
      </w:pPr>
      <w:rPr>
        <w:rFonts w:hint="default"/>
        <w:b w:val="0"/>
        <w:i w:val="0"/>
        <w:color w:val="000000"/>
      </w:rPr>
    </w:lvl>
    <w:lvl w:ilvl="2">
      <w:start w:val="1"/>
      <w:numFmt w:val="decimal"/>
      <w:lvlText w:val="%3"/>
      <w:lvlJc w:val="left"/>
      <w:pPr>
        <w:tabs>
          <w:tab w:val="num" w:pos="2173"/>
        </w:tabs>
        <w:ind w:left="2173" w:hanging="567"/>
      </w:pPr>
      <w:rPr>
        <w:rFonts w:cs="Times New Roman" w:hint="default"/>
        <w:b w:val="0"/>
        <w:i w:val="0"/>
        <w:color w:val="000000"/>
      </w:rPr>
    </w:lvl>
    <w:lvl w:ilvl="3">
      <w:start w:val="1"/>
      <w:numFmt w:val="decimal"/>
      <w:lvlText w:val="%4"/>
      <w:lvlJc w:val="left"/>
      <w:pPr>
        <w:tabs>
          <w:tab w:val="num" w:pos="2740"/>
        </w:tabs>
        <w:ind w:left="2740" w:hanging="567"/>
      </w:pPr>
      <w:rPr>
        <w:rFonts w:cs="Times New Roman" w:hint="default"/>
        <w:b w:val="0"/>
        <w:i w:val="0"/>
        <w:color w:val="000000"/>
      </w:rPr>
    </w:lvl>
    <w:lvl w:ilvl="4">
      <w:start w:val="1"/>
      <w:numFmt w:val="decimal"/>
      <w:lvlText w:val="%5"/>
      <w:lvlJc w:val="left"/>
      <w:pPr>
        <w:tabs>
          <w:tab w:val="num" w:pos="3307"/>
        </w:tabs>
        <w:ind w:left="3307" w:hanging="567"/>
      </w:pPr>
      <w:rPr>
        <w:rFonts w:cs="Times New Roman" w:hint="default"/>
        <w:b w:val="0"/>
        <w:i w:val="0"/>
        <w:color w:val="000000"/>
      </w:rPr>
    </w:lvl>
    <w:lvl w:ilvl="5">
      <w:start w:val="1"/>
      <w:numFmt w:val="decimal"/>
      <w:lvlText w:val="%6"/>
      <w:lvlJc w:val="left"/>
      <w:pPr>
        <w:tabs>
          <w:tab w:val="num" w:pos="3874"/>
        </w:tabs>
        <w:ind w:left="3874" w:hanging="567"/>
      </w:pPr>
      <w:rPr>
        <w:rFonts w:cs="Times New Roman" w:hint="default"/>
        <w:b w:val="0"/>
        <w:i w:val="0"/>
        <w:color w:val="000000"/>
      </w:rPr>
    </w:lvl>
    <w:lvl w:ilvl="6">
      <w:start w:val="1"/>
      <w:numFmt w:val="decimal"/>
      <w:lvlText w:val="%7"/>
      <w:lvlJc w:val="left"/>
      <w:pPr>
        <w:tabs>
          <w:tab w:val="num" w:pos="4441"/>
        </w:tabs>
        <w:ind w:left="4441" w:hanging="567"/>
      </w:pPr>
      <w:rPr>
        <w:rFonts w:cs="Times New Roman" w:hint="default"/>
        <w:b w:val="0"/>
        <w:i w:val="0"/>
        <w:color w:val="000000"/>
      </w:rPr>
    </w:lvl>
    <w:lvl w:ilvl="7">
      <w:start w:val="1"/>
      <w:numFmt w:val="decimal"/>
      <w:lvlText w:val="%8"/>
      <w:lvlJc w:val="left"/>
      <w:pPr>
        <w:tabs>
          <w:tab w:val="num" w:pos="5008"/>
        </w:tabs>
        <w:ind w:left="5008" w:hanging="567"/>
      </w:pPr>
      <w:rPr>
        <w:rFonts w:cs="Times New Roman" w:hint="default"/>
        <w:b w:val="0"/>
        <w:i w:val="0"/>
        <w:color w:val="000000"/>
      </w:rPr>
    </w:lvl>
    <w:lvl w:ilvl="8">
      <w:start w:val="1"/>
      <w:numFmt w:val="decimal"/>
      <w:lvlText w:val="%9"/>
      <w:lvlJc w:val="left"/>
      <w:pPr>
        <w:tabs>
          <w:tab w:val="num" w:pos="5575"/>
        </w:tabs>
        <w:ind w:left="5575" w:hanging="567"/>
      </w:pPr>
      <w:rPr>
        <w:rFonts w:cs="Times New Roman" w:hint="default"/>
        <w:b w:val="0"/>
        <w:i w:val="0"/>
        <w:color w:val="000000"/>
      </w:rPr>
    </w:lvl>
  </w:abstractNum>
  <w:abstractNum w:abstractNumId="9" w15:restartNumberingAfterBreak="0">
    <w:nsid w:val="63B8530F"/>
    <w:multiLevelType w:val="hybridMultilevel"/>
    <w:tmpl w:val="991411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1"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12"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79FC7CFD"/>
    <w:multiLevelType w:val="hybridMultilevel"/>
    <w:tmpl w:val="AF500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74114027">
    <w:abstractNumId w:val="12"/>
  </w:num>
  <w:num w:numId="2" w16cid:durableId="1797260361">
    <w:abstractNumId w:val="10"/>
  </w:num>
  <w:num w:numId="3" w16cid:durableId="1109932070">
    <w:abstractNumId w:val="10"/>
  </w:num>
  <w:num w:numId="4" w16cid:durableId="1341666057">
    <w:abstractNumId w:val="4"/>
  </w:num>
  <w:num w:numId="5" w16cid:durableId="935330919">
    <w:abstractNumId w:val="11"/>
  </w:num>
  <w:num w:numId="6" w16cid:durableId="2632085">
    <w:abstractNumId w:val="5"/>
  </w:num>
  <w:num w:numId="7" w16cid:durableId="2058577709">
    <w:abstractNumId w:val="8"/>
  </w:num>
  <w:num w:numId="8" w16cid:durableId="936333451">
    <w:abstractNumId w:val="0"/>
  </w:num>
  <w:num w:numId="9" w16cid:durableId="527762147">
    <w:abstractNumId w:val="2"/>
  </w:num>
  <w:num w:numId="10" w16cid:durableId="1387223604">
    <w:abstractNumId w:val="1"/>
  </w:num>
  <w:num w:numId="11" w16cid:durableId="489560270">
    <w:abstractNumId w:val="3"/>
  </w:num>
  <w:num w:numId="12" w16cid:durableId="1396120358">
    <w:abstractNumId w:val="9"/>
  </w:num>
  <w:num w:numId="13" w16cid:durableId="1301108497">
    <w:abstractNumId w:val="7"/>
  </w:num>
  <w:num w:numId="14" w16cid:durableId="450823565">
    <w:abstractNumId w:val="13"/>
  </w:num>
  <w:num w:numId="15" w16cid:durableId="1505971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43996"/>
    <w:rsid w:val="00054EE6"/>
    <w:rsid w:val="000943D6"/>
    <w:rsid w:val="000D7E44"/>
    <w:rsid w:val="000E1F70"/>
    <w:rsid w:val="000F034A"/>
    <w:rsid w:val="00101D9D"/>
    <w:rsid w:val="001028A3"/>
    <w:rsid w:val="00103150"/>
    <w:rsid w:val="00175A25"/>
    <w:rsid w:val="001D44CA"/>
    <w:rsid w:val="001D62CD"/>
    <w:rsid w:val="00205899"/>
    <w:rsid w:val="0021123C"/>
    <w:rsid w:val="00211350"/>
    <w:rsid w:val="002C7C7B"/>
    <w:rsid w:val="002E31C8"/>
    <w:rsid w:val="00310747"/>
    <w:rsid w:val="00314E22"/>
    <w:rsid w:val="00477DFD"/>
    <w:rsid w:val="00484C30"/>
    <w:rsid w:val="004860B6"/>
    <w:rsid w:val="004F5D2D"/>
    <w:rsid w:val="005203C3"/>
    <w:rsid w:val="0052074D"/>
    <w:rsid w:val="005214D6"/>
    <w:rsid w:val="00551D3A"/>
    <w:rsid w:val="00572430"/>
    <w:rsid w:val="00587F5F"/>
    <w:rsid w:val="005A0F41"/>
    <w:rsid w:val="005B23B1"/>
    <w:rsid w:val="005B3197"/>
    <w:rsid w:val="005B6CF4"/>
    <w:rsid w:val="005C61F2"/>
    <w:rsid w:val="005F7D48"/>
    <w:rsid w:val="00604306"/>
    <w:rsid w:val="006463EF"/>
    <w:rsid w:val="00662171"/>
    <w:rsid w:val="006834D2"/>
    <w:rsid w:val="006A57FC"/>
    <w:rsid w:val="006A5C51"/>
    <w:rsid w:val="0071634C"/>
    <w:rsid w:val="007452B9"/>
    <w:rsid w:val="00747D6A"/>
    <w:rsid w:val="0076021E"/>
    <w:rsid w:val="007766A2"/>
    <w:rsid w:val="0079706D"/>
    <w:rsid w:val="007B4295"/>
    <w:rsid w:val="007C6DD7"/>
    <w:rsid w:val="007F4609"/>
    <w:rsid w:val="008035E8"/>
    <w:rsid w:val="00805444"/>
    <w:rsid w:val="008168ED"/>
    <w:rsid w:val="00840DA7"/>
    <w:rsid w:val="00860CAB"/>
    <w:rsid w:val="00864A2D"/>
    <w:rsid w:val="00883713"/>
    <w:rsid w:val="0089707F"/>
    <w:rsid w:val="008A457D"/>
    <w:rsid w:val="008C2BE7"/>
    <w:rsid w:val="00911A92"/>
    <w:rsid w:val="00935326"/>
    <w:rsid w:val="00972562"/>
    <w:rsid w:val="009870E7"/>
    <w:rsid w:val="00992736"/>
    <w:rsid w:val="009975A3"/>
    <w:rsid w:val="009A6916"/>
    <w:rsid w:val="009C3443"/>
    <w:rsid w:val="009C730E"/>
    <w:rsid w:val="009D7464"/>
    <w:rsid w:val="00A14E94"/>
    <w:rsid w:val="00A24964"/>
    <w:rsid w:val="00A62364"/>
    <w:rsid w:val="00A7101C"/>
    <w:rsid w:val="00A95549"/>
    <w:rsid w:val="00AC4A81"/>
    <w:rsid w:val="00AF49B6"/>
    <w:rsid w:val="00B07C2E"/>
    <w:rsid w:val="00B17F1B"/>
    <w:rsid w:val="00B3171E"/>
    <w:rsid w:val="00B33680"/>
    <w:rsid w:val="00B43218"/>
    <w:rsid w:val="00B57E06"/>
    <w:rsid w:val="00B876F1"/>
    <w:rsid w:val="00B879A1"/>
    <w:rsid w:val="00B922F0"/>
    <w:rsid w:val="00BB1451"/>
    <w:rsid w:val="00BB3C9D"/>
    <w:rsid w:val="00BD3346"/>
    <w:rsid w:val="00C4049C"/>
    <w:rsid w:val="00C46109"/>
    <w:rsid w:val="00CD2088"/>
    <w:rsid w:val="00CE09ED"/>
    <w:rsid w:val="00CF392E"/>
    <w:rsid w:val="00CF424D"/>
    <w:rsid w:val="00D07C7B"/>
    <w:rsid w:val="00D21ED7"/>
    <w:rsid w:val="00D22DE3"/>
    <w:rsid w:val="00D54520"/>
    <w:rsid w:val="00DC63AD"/>
    <w:rsid w:val="00E06A50"/>
    <w:rsid w:val="00E11C34"/>
    <w:rsid w:val="00E17C91"/>
    <w:rsid w:val="00E272F3"/>
    <w:rsid w:val="00E4244F"/>
    <w:rsid w:val="00E74D3A"/>
    <w:rsid w:val="00E76919"/>
    <w:rsid w:val="00EE2CEB"/>
    <w:rsid w:val="00F02EEC"/>
    <w:rsid w:val="00F03830"/>
    <w:rsid w:val="00F3501A"/>
    <w:rsid w:val="00F676FF"/>
    <w:rsid w:val="00F94307"/>
    <w:rsid w:val="00FA2E89"/>
    <w:rsid w:val="00FD08E0"/>
    <w:rsid w:val="00FD2F2D"/>
    <w:rsid w:val="00FE5612"/>
    <w:rsid w:val="00FF6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3BDE006C"/>
  <w15:chartTrackingRefBased/>
  <w15:docId w15:val="{84297821-D749-4DA0-A5DF-30CDACD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4"/>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4"/>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spacing w:before="40" w:after="40"/>
      <w:ind w:left="-111"/>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paragraph" w:customStyle="1" w:styleId="AlphaParagraph">
    <w:name w:val="Alpha Paragraph"/>
    <w:basedOn w:val="Normal"/>
    <w:link w:val="AlphaParagraphCharChar"/>
    <w:rsid w:val="00FF6347"/>
    <w:pPr>
      <w:widowControl/>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szCs w:val="20"/>
      <w:lang w:eastAsia="en-AU"/>
    </w:rPr>
  </w:style>
  <w:style w:type="character" w:customStyle="1" w:styleId="AlphaParagraphCharChar">
    <w:name w:val="Alpha Paragraph Char Char"/>
    <w:link w:val="AlphaParagraph"/>
    <w:locked/>
    <w:rsid w:val="00FF6347"/>
    <w:rPr>
      <w:rFonts w:ascii="Corbel" w:eastAsia="Times New Roman" w:hAnsi="Corbel" w:cs="Times New Roman"/>
      <w:color w:val="000000"/>
      <w:sz w:val="23"/>
      <w:szCs w:val="20"/>
      <w:lang w:eastAsia="en-AU"/>
    </w:rPr>
  </w:style>
  <w:style w:type="character" w:styleId="CommentReference">
    <w:name w:val="annotation reference"/>
    <w:basedOn w:val="DefaultParagraphFont"/>
    <w:uiPriority w:val="99"/>
    <w:semiHidden/>
    <w:unhideWhenUsed/>
    <w:rsid w:val="007B4295"/>
    <w:rPr>
      <w:sz w:val="16"/>
      <w:szCs w:val="16"/>
    </w:rPr>
  </w:style>
  <w:style w:type="paragraph" w:styleId="CommentText">
    <w:name w:val="annotation text"/>
    <w:basedOn w:val="Normal"/>
    <w:link w:val="CommentTextChar"/>
    <w:uiPriority w:val="99"/>
    <w:unhideWhenUsed/>
    <w:rsid w:val="007B4295"/>
    <w:rPr>
      <w:sz w:val="20"/>
      <w:szCs w:val="20"/>
    </w:rPr>
  </w:style>
  <w:style w:type="character" w:customStyle="1" w:styleId="CommentTextChar">
    <w:name w:val="Comment Text Char"/>
    <w:basedOn w:val="DefaultParagraphFont"/>
    <w:link w:val="CommentText"/>
    <w:uiPriority w:val="99"/>
    <w:rsid w:val="007B4295"/>
    <w:rPr>
      <w:sz w:val="20"/>
      <w:szCs w:val="20"/>
      <w:lang w:val="en-US"/>
    </w:rPr>
  </w:style>
  <w:style w:type="paragraph" w:styleId="CommentSubject">
    <w:name w:val="annotation subject"/>
    <w:basedOn w:val="CommentText"/>
    <w:next w:val="CommentText"/>
    <w:link w:val="CommentSubjectChar"/>
    <w:uiPriority w:val="99"/>
    <w:semiHidden/>
    <w:unhideWhenUsed/>
    <w:rsid w:val="007B4295"/>
    <w:rPr>
      <w:b/>
      <w:bCs/>
    </w:rPr>
  </w:style>
  <w:style w:type="character" w:customStyle="1" w:styleId="CommentSubjectChar">
    <w:name w:val="Comment Subject Char"/>
    <w:basedOn w:val="CommentTextChar"/>
    <w:link w:val="CommentSubject"/>
    <w:uiPriority w:val="99"/>
    <w:semiHidden/>
    <w:rsid w:val="007B4295"/>
    <w:rPr>
      <w:b/>
      <w:bCs/>
      <w:sz w:val="20"/>
      <w:szCs w:val="20"/>
      <w:lang w:val="en-US"/>
    </w:rPr>
  </w:style>
  <w:style w:type="paragraph" w:styleId="BalloonText">
    <w:name w:val="Balloon Text"/>
    <w:basedOn w:val="Normal"/>
    <w:link w:val="BalloonTextChar"/>
    <w:uiPriority w:val="99"/>
    <w:semiHidden/>
    <w:unhideWhenUsed/>
    <w:rsid w:val="007B4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95"/>
    <w:rPr>
      <w:rFonts w:ascii="Segoe UI" w:hAnsi="Segoe UI" w:cs="Segoe UI"/>
      <w:sz w:val="18"/>
      <w:szCs w:val="18"/>
      <w:lang w:val="en-US"/>
    </w:rPr>
  </w:style>
  <w:style w:type="paragraph" w:styleId="Revision">
    <w:name w:val="Revision"/>
    <w:hidden/>
    <w:uiPriority w:val="99"/>
    <w:semiHidden/>
    <w:rsid w:val="00FD08E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1034423124">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176432CC71FF447A6E975795363EF48" ma:contentTypeVersion="" ma:contentTypeDescription="PDMS Document Site Content Type" ma:contentTypeScope="" ma:versionID="221a50374be5025ba4ad14d22247aacc">
  <xsd:schema xmlns:xsd="http://www.w3.org/2001/XMLSchema" xmlns:xs="http://www.w3.org/2001/XMLSchema" xmlns:p="http://schemas.microsoft.com/office/2006/metadata/properties" xmlns:ns2="C9774A45-E5A8-4F57-B1B1-BA1CA241A8A4" targetNamespace="http://schemas.microsoft.com/office/2006/metadata/properties" ma:root="true" ma:fieldsID="037a1b5e48d74595a9adcfe41842dd0b" ns2:_="">
    <xsd:import namespace="C9774A45-E5A8-4F57-B1B1-BA1CA241A8A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74A45-E5A8-4F57-B1B1-BA1CA241A8A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C9774A45-E5A8-4F57-B1B1-BA1CA241A8A4" xsi:nil="true"/>
  </documentManagement>
</p:properties>
</file>

<file path=customXml/itemProps1.xml><?xml version="1.0" encoding="utf-8"?>
<ds:datastoreItem xmlns:ds="http://schemas.openxmlformats.org/officeDocument/2006/customXml" ds:itemID="{CE65C6A3-F914-4CFF-91BC-BA2769602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74A45-E5A8-4F57-B1B1-BA1CA241A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78F6A-9372-4164-A59C-83EE1C961502}">
  <ds:schemaRefs>
    <ds:schemaRef ds:uri="http://schemas.openxmlformats.org/officeDocument/2006/bibliography"/>
  </ds:schemaRefs>
</ds:datastoreItem>
</file>

<file path=customXml/itemProps3.xml><?xml version="1.0" encoding="utf-8"?>
<ds:datastoreItem xmlns:ds="http://schemas.openxmlformats.org/officeDocument/2006/customXml" ds:itemID="{38E20741-A263-44E3-8F38-7BBA3C2A20DE}">
  <ds:schemaRefs>
    <ds:schemaRef ds:uri="http://schemas.microsoft.com/sharepoint/v3/contenttype/forms"/>
  </ds:schemaRefs>
</ds:datastoreItem>
</file>

<file path=customXml/itemProps4.xml><?xml version="1.0" encoding="utf-8"?>
<ds:datastoreItem xmlns:ds="http://schemas.openxmlformats.org/officeDocument/2006/customXml" ds:itemID="{7B5DF9AB-FDEE-49CE-A5AC-1BBAAE6CC6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774A45-E5A8-4F57-B1B1-BA1CA241A8A4"/>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718</Words>
  <Characters>4352</Characters>
  <Application>Microsoft Office Word</Application>
  <DocSecurity>4</DocSecurity>
  <Lines>150</Lines>
  <Paragraphs>77</Paragraphs>
  <ScaleCrop>false</ScaleCrop>
  <HeadingPairs>
    <vt:vector size="2" baseType="variant">
      <vt:variant>
        <vt:lpstr>Title</vt:lpstr>
      </vt:variant>
      <vt:variant>
        <vt:i4>1</vt:i4>
      </vt:variant>
    </vt:vector>
  </HeadingPairs>
  <TitlesOfParts>
    <vt:vector size="1" baseType="lpstr">
      <vt:lpstr>Hinkler Regional Deal: Fraser Coast Turtle Rehabilitation and Research Centre</vt:lpstr>
    </vt:vector>
  </TitlesOfParts>
  <Company>Department of the Prime Minister and Cabinet</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Hinkler Regional Deal: Fraser Coast Turtle Rehabilitation and Research Centre</dc:title>
  <dc:subject/>
  <dc:creator>Le, Alan</dc:creator>
  <cp:keywords/>
  <dc:description/>
  <cp:lastModifiedBy>Pennifold, Lauren</cp:lastModifiedBy>
  <cp:revision>2</cp:revision>
  <dcterms:created xsi:type="dcterms:W3CDTF">2024-05-14T05:47:00Z</dcterms:created>
  <dcterms:modified xsi:type="dcterms:W3CDTF">2024-05-14T05:47:00Z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0x010100266966F133664895A6EE3632470D45F500F176432CC71FF447A6E975795363EF48</vt:lpwstr>
  </property>
  <property fmtid="{D5CDD505-2E9C-101B-9397-08002B2CF9AE}" pid="3" name="eTheme">
    <vt:lpwstr>1</vt:lpwstr>
  </property>
  <property fmtid="{D5CDD505-2E9C-101B-9397-08002B2CF9AE}" pid="4" name="eActivity">
    <vt:lpwstr>70</vt:lpwstr>
  </property>
  <property fmtid="{D5CDD505-2E9C-101B-9397-08002B2CF9AE}" pid="5" name="_dlc_DocIdItemGuid">
    <vt:lpwstr>2ca796c9-9eb0-483c-b1f3-3b5c21604d13</vt:lpwstr>
  </property>
  <property fmtid="{D5CDD505-2E9C-101B-9397-08002B2CF9AE}" pid="6" name="TSYStatus">
    <vt:lpwstr/>
  </property>
  <property fmtid="{D5CDD505-2E9C-101B-9397-08002B2CF9AE}" pid="7" name="SPPCode">
    <vt:lpwstr/>
  </property>
  <property fmtid="{D5CDD505-2E9C-101B-9397-08002B2CF9AE}" pid="8" name="eDocumentType">
    <vt:lpwstr>28;#Agreement (Right of use or Memorandum of understanding)|f8448f88-8343-4d6d-a573-2505a5b4876a</vt:lpwstr>
  </property>
  <property fmtid="{D5CDD505-2E9C-101B-9397-08002B2CF9AE}" pid="9" name="eTopic">
    <vt:lpwstr>69;#Funding agreements|ce1d346c-dc3a-41ee-b9ee-bc25da13a02f</vt:lpwstr>
  </property>
</Properties>
</file>