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77777777" w:rsidR="00C91B5F" w:rsidRPr="00F1227F" w:rsidRDefault="00317FB3" w:rsidP="00C91B5F">
      <w:pPr>
        <w:pStyle w:val="Heading9"/>
        <w:jc w:val="right"/>
        <w:rPr>
          <w:rStyle w:val="ParagraphnumberingChar"/>
          <w:rFonts w:eastAsiaTheme="majorEastAsia"/>
          <w:i w:val="0"/>
          <w:sz w:val="28"/>
          <w:szCs w:val="28"/>
        </w:rPr>
      </w:pPr>
      <w:bookmarkStart w:id="0" w:name="_GoBack"/>
      <w:bookmarkEnd w:id="0"/>
      <w:r>
        <w:rPr>
          <w:i w:val="0"/>
          <w:sz w:val="28"/>
          <w:szCs w:val="28"/>
        </w:rPr>
        <w:t>Schedule</w:t>
      </w:r>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7D00DC" w:rsidRDefault="00C91B5F" w:rsidP="00B0292D">
            <w:pPr>
              <w:pStyle w:val="Tableformat"/>
              <w:rPr>
                <w:color w:val="auto"/>
              </w:rPr>
            </w:pPr>
            <w:r w:rsidRPr="007D00DC">
              <w:rPr>
                <w:color w:val="auto"/>
              </w:rPr>
              <w:t>Commonwealth</w:t>
            </w:r>
          </w:p>
          <w:p w14:paraId="73502BB0" w14:textId="3565DE72" w:rsidR="00485135" w:rsidRPr="00F00A18" w:rsidRDefault="007D00DC" w:rsidP="008677E1">
            <w:pPr>
              <w:pStyle w:val="Tableformat"/>
              <w:rPr>
                <w:color w:val="auto"/>
              </w:rPr>
            </w:pPr>
            <w:r w:rsidRPr="007D00DC">
              <w:rPr>
                <w:color w:val="auto"/>
              </w:rPr>
              <w:t>South Australia</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09D4FC73"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 xml:space="preserve">by the Commonwealth and </w:t>
            </w:r>
            <w:r w:rsidR="007D00DC">
              <w:rPr>
                <w:color w:val="auto"/>
              </w:rPr>
              <w:t>South Australia</w:t>
            </w:r>
            <w:r w:rsidR="00B616E7">
              <w:rPr>
                <w:color w:val="auto"/>
              </w:rPr>
              <w:t>.</w:t>
            </w:r>
            <w:r w:rsidR="002652EA">
              <w:rPr>
                <w:color w:val="auto"/>
              </w:rPr>
              <w:t xml:space="preserve"> It will expire on 30 June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566A69B6" w14:textId="77777777" w:rsidR="00030922" w:rsidRDefault="00030922" w:rsidP="00030922">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4B665178" w14:textId="77777777" w:rsidR="00030922" w:rsidRDefault="00030922" w:rsidP="00030922">
            <w:pPr>
              <w:pStyle w:val="Tableformat"/>
              <w:rPr>
                <w:color w:val="auto"/>
              </w:rPr>
            </w:pPr>
            <w:r>
              <w:rPr>
                <w:color w:val="auto"/>
              </w:rPr>
              <w:t>Funding per state is allocated on a per-capita basis, with a $25 million floor for states which would otherwise be entitled to less than $25 million.</w:t>
            </w:r>
          </w:p>
          <w:p w14:paraId="55F13817" w14:textId="2F504714" w:rsidR="005136EE" w:rsidRPr="00F00A18" w:rsidRDefault="00030922" w:rsidP="00030922">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860297" w:rsidRPr="00101AB3" w14:paraId="3DE604C5" w14:textId="603BA246" w:rsidTr="00FA1532">
              <w:trPr>
                <w:cantSplit/>
                <w:trHeight w:val="508"/>
              </w:trPr>
              <w:tc>
                <w:tcPr>
                  <w:tcW w:w="2023" w:type="dxa"/>
                  <w:tcBorders>
                    <w:top w:val="single" w:sz="4" w:space="0" w:color="auto"/>
                  </w:tcBorders>
                </w:tcPr>
                <w:p w14:paraId="592308CC" w14:textId="209CA021" w:rsidR="00D6037F" w:rsidRPr="005D39DD" w:rsidRDefault="00D6037F" w:rsidP="00D6037F">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22E279CE" w:rsidR="00D6037F" w:rsidRPr="00F45EF0" w:rsidRDefault="00F45EF0" w:rsidP="00D6037F">
                  <w:pPr>
                    <w:keepNext/>
                    <w:keepLines/>
                    <w:spacing w:before="40" w:after="40"/>
                    <w:jc w:val="right"/>
                    <w:rPr>
                      <w:b/>
                      <w:sz w:val="21"/>
                      <w:szCs w:val="21"/>
                    </w:rPr>
                  </w:pPr>
                  <w:r w:rsidRPr="00F45EF0">
                    <w:rPr>
                      <w:b/>
                      <w:sz w:val="21"/>
                      <w:szCs w:val="21"/>
                    </w:rPr>
                    <w:t>67.4</w:t>
                  </w:r>
                </w:p>
              </w:tc>
              <w:tc>
                <w:tcPr>
                  <w:tcW w:w="963" w:type="dxa"/>
                  <w:tcBorders>
                    <w:top w:val="single" w:sz="4" w:space="0" w:color="auto"/>
                  </w:tcBorders>
                </w:tcPr>
                <w:p w14:paraId="3F226D5A" w14:textId="37091D59" w:rsidR="00D6037F" w:rsidRPr="00F45EF0" w:rsidRDefault="00E7470F" w:rsidP="00D6037F">
                  <w:pPr>
                    <w:keepNext/>
                    <w:keepLines/>
                    <w:spacing w:before="40" w:after="40"/>
                    <w:jc w:val="right"/>
                    <w:rPr>
                      <w:b/>
                      <w:sz w:val="21"/>
                      <w:szCs w:val="21"/>
                    </w:rPr>
                  </w:pPr>
                  <w:r w:rsidRPr="00F45EF0">
                    <w:rPr>
                      <w:b/>
                      <w:sz w:val="21"/>
                      <w:szCs w:val="21"/>
                    </w:rPr>
                    <w:t>0.0</w:t>
                  </w:r>
                </w:p>
              </w:tc>
              <w:tc>
                <w:tcPr>
                  <w:tcW w:w="963" w:type="dxa"/>
                  <w:tcBorders>
                    <w:top w:val="single" w:sz="4" w:space="0" w:color="auto"/>
                  </w:tcBorders>
                </w:tcPr>
                <w:p w14:paraId="26C9F169" w14:textId="13293C2E" w:rsidR="00D6037F" w:rsidRPr="00F45EF0" w:rsidRDefault="00D6037F" w:rsidP="00D6037F">
                  <w:pPr>
                    <w:keepNext/>
                    <w:keepLines/>
                    <w:spacing w:before="40" w:after="40"/>
                    <w:jc w:val="right"/>
                    <w:rPr>
                      <w:b/>
                      <w:sz w:val="21"/>
                      <w:szCs w:val="21"/>
                    </w:rPr>
                  </w:pPr>
                  <w:r w:rsidRPr="00F45EF0">
                    <w:rPr>
                      <w:b/>
                      <w:sz w:val="21"/>
                      <w:szCs w:val="21"/>
                    </w:rPr>
                    <w:t>0.0</w:t>
                  </w:r>
                </w:p>
              </w:tc>
              <w:tc>
                <w:tcPr>
                  <w:tcW w:w="963" w:type="dxa"/>
                  <w:tcBorders>
                    <w:top w:val="single" w:sz="4" w:space="0" w:color="auto"/>
                  </w:tcBorders>
                </w:tcPr>
                <w:p w14:paraId="2C3F0936" w14:textId="6A281E56" w:rsidR="00D6037F" w:rsidRPr="00F45EF0" w:rsidRDefault="00D6037F" w:rsidP="00D6037F">
                  <w:pPr>
                    <w:keepNext/>
                    <w:keepLines/>
                    <w:spacing w:before="40" w:after="40"/>
                    <w:jc w:val="right"/>
                    <w:rPr>
                      <w:b/>
                      <w:sz w:val="21"/>
                      <w:szCs w:val="21"/>
                    </w:rPr>
                  </w:pPr>
                  <w:r w:rsidRPr="00F45EF0">
                    <w:rPr>
                      <w:b/>
                      <w:sz w:val="21"/>
                      <w:szCs w:val="21"/>
                    </w:rPr>
                    <w:t>0.0</w:t>
                  </w:r>
                </w:p>
              </w:tc>
              <w:tc>
                <w:tcPr>
                  <w:tcW w:w="963" w:type="dxa"/>
                  <w:tcBorders>
                    <w:top w:val="single" w:sz="4" w:space="0" w:color="auto"/>
                  </w:tcBorders>
                </w:tcPr>
                <w:p w14:paraId="09511BB6" w14:textId="2372BC62" w:rsidR="00D6037F" w:rsidRPr="00F45EF0" w:rsidRDefault="00D6037F" w:rsidP="00D6037F">
                  <w:pPr>
                    <w:keepNext/>
                    <w:keepLines/>
                    <w:spacing w:before="40" w:after="40"/>
                    <w:jc w:val="right"/>
                    <w:rPr>
                      <w:b/>
                      <w:sz w:val="21"/>
                      <w:szCs w:val="21"/>
                    </w:rPr>
                  </w:pPr>
                  <w:r w:rsidRPr="00F45EF0">
                    <w:rPr>
                      <w:b/>
                      <w:sz w:val="21"/>
                      <w:szCs w:val="21"/>
                    </w:rPr>
                    <w:t>0.0</w:t>
                  </w:r>
                </w:p>
              </w:tc>
              <w:tc>
                <w:tcPr>
                  <w:tcW w:w="963" w:type="dxa"/>
                  <w:tcBorders>
                    <w:top w:val="single" w:sz="4" w:space="0" w:color="auto"/>
                  </w:tcBorders>
                </w:tcPr>
                <w:p w14:paraId="07A0C659" w14:textId="51C16296" w:rsidR="00D6037F" w:rsidRPr="00F45EF0" w:rsidRDefault="00F45EF0" w:rsidP="00D6037F">
                  <w:pPr>
                    <w:keepNext/>
                    <w:keepLines/>
                    <w:spacing w:before="40" w:after="40"/>
                    <w:jc w:val="right"/>
                    <w:rPr>
                      <w:b/>
                      <w:sz w:val="21"/>
                      <w:szCs w:val="21"/>
                    </w:rPr>
                  </w:pPr>
                  <w:r w:rsidRPr="00F45EF0">
                    <w:rPr>
                      <w:b/>
                      <w:sz w:val="21"/>
                      <w:szCs w:val="21"/>
                    </w:rPr>
                    <w:t>67.4</w:t>
                  </w:r>
                </w:p>
              </w:tc>
            </w:tr>
            <w:tr w:rsidR="008858F2" w:rsidRPr="00101AB3" w14:paraId="01C9DA79" w14:textId="41D43B81" w:rsidTr="00FA1532">
              <w:trPr>
                <w:cantSplit/>
                <w:trHeight w:val="743"/>
              </w:trPr>
              <w:tc>
                <w:tcPr>
                  <w:tcW w:w="2023" w:type="dxa"/>
                </w:tcPr>
                <w:p w14:paraId="3C51DB80" w14:textId="5EB6C0EA" w:rsidR="00D6037F" w:rsidRPr="0064121C" w:rsidRDefault="00D6037F" w:rsidP="00D6037F">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2D73D953" w:rsidR="00D6037F" w:rsidRPr="005D39DD" w:rsidRDefault="00F45EF0" w:rsidP="00D6037F">
                  <w:pPr>
                    <w:keepNext/>
                    <w:keepLines/>
                    <w:spacing w:before="40" w:after="40"/>
                    <w:jc w:val="right"/>
                    <w:rPr>
                      <w:sz w:val="21"/>
                      <w:szCs w:val="21"/>
                    </w:rPr>
                  </w:pPr>
                  <w:r>
                    <w:rPr>
                      <w:sz w:val="21"/>
                      <w:szCs w:val="21"/>
                    </w:rPr>
                    <w:t>67.4</w:t>
                  </w:r>
                </w:p>
              </w:tc>
              <w:tc>
                <w:tcPr>
                  <w:tcW w:w="963" w:type="dxa"/>
                </w:tcPr>
                <w:p w14:paraId="6373FDB8" w14:textId="5EEEAA38" w:rsidR="00D6037F" w:rsidRPr="005D39DD" w:rsidRDefault="00E7470F" w:rsidP="00D6037F">
                  <w:pPr>
                    <w:keepNext/>
                    <w:keepLines/>
                    <w:spacing w:before="40" w:after="40"/>
                    <w:jc w:val="right"/>
                    <w:rPr>
                      <w:sz w:val="21"/>
                      <w:szCs w:val="21"/>
                    </w:rPr>
                  </w:pPr>
                  <w:r>
                    <w:rPr>
                      <w:sz w:val="21"/>
                      <w:szCs w:val="21"/>
                    </w:rPr>
                    <w:t>0.0</w:t>
                  </w:r>
                </w:p>
              </w:tc>
              <w:tc>
                <w:tcPr>
                  <w:tcW w:w="963" w:type="dxa"/>
                </w:tcPr>
                <w:p w14:paraId="73D97287" w14:textId="042A1E4C" w:rsidR="00D6037F" w:rsidRPr="005D39DD" w:rsidRDefault="00D6037F" w:rsidP="00D6037F">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477D2F20" w:rsidR="00D6037F" w:rsidRPr="005D39DD" w:rsidRDefault="00D6037F" w:rsidP="00D6037F">
                  <w:pPr>
                    <w:keepNext/>
                    <w:keepLines/>
                    <w:spacing w:before="40" w:after="40"/>
                    <w:jc w:val="right"/>
                    <w:rPr>
                      <w:sz w:val="21"/>
                      <w:szCs w:val="21"/>
                    </w:rPr>
                  </w:pPr>
                  <w:r w:rsidRPr="005D39DD">
                    <w:rPr>
                      <w:sz w:val="21"/>
                      <w:szCs w:val="21"/>
                    </w:rPr>
                    <w:t>0.0</w:t>
                  </w:r>
                </w:p>
              </w:tc>
              <w:tc>
                <w:tcPr>
                  <w:tcW w:w="963" w:type="dxa"/>
                </w:tcPr>
                <w:p w14:paraId="70314641" w14:textId="2F8661EF" w:rsidR="00D6037F" w:rsidRPr="005D39DD" w:rsidRDefault="00D6037F" w:rsidP="00D6037F">
                  <w:pPr>
                    <w:keepNext/>
                    <w:keepLines/>
                    <w:spacing w:before="40" w:after="40"/>
                    <w:jc w:val="right"/>
                    <w:rPr>
                      <w:sz w:val="21"/>
                      <w:szCs w:val="21"/>
                    </w:rPr>
                  </w:pPr>
                  <w:r w:rsidRPr="005D39DD">
                    <w:rPr>
                      <w:sz w:val="21"/>
                      <w:szCs w:val="21"/>
                    </w:rPr>
                    <w:t>0.0</w:t>
                  </w:r>
                </w:p>
              </w:tc>
              <w:tc>
                <w:tcPr>
                  <w:tcW w:w="963" w:type="dxa"/>
                </w:tcPr>
                <w:p w14:paraId="2D611E08" w14:textId="48357475" w:rsidR="00D6037F" w:rsidRPr="005D39DD" w:rsidRDefault="00F45EF0" w:rsidP="00D6037F">
                  <w:pPr>
                    <w:keepNext/>
                    <w:keepLines/>
                    <w:spacing w:before="40" w:after="40"/>
                    <w:jc w:val="right"/>
                    <w:rPr>
                      <w:sz w:val="21"/>
                      <w:szCs w:val="21"/>
                    </w:rPr>
                  </w:pPr>
                  <w:r>
                    <w:rPr>
                      <w:sz w:val="21"/>
                      <w:szCs w:val="21"/>
                    </w:rPr>
                    <w:t>67.4</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C37FA7" w:rsidRPr="00F00A18" w14:paraId="21E3D649" w14:textId="77777777" w:rsidTr="04B4A84E">
        <w:tc>
          <w:tcPr>
            <w:tcW w:w="1691" w:type="dxa"/>
            <w:shd w:val="clear" w:color="auto" w:fill="auto"/>
          </w:tcPr>
          <w:p w14:paraId="06578BDF" w14:textId="53757A2A" w:rsidR="00C37FA7" w:rsidRPr="00F00A18" w:rsidRDefault="00C37FA7" w:rsidP="00C37FA7">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1019D409" w14:textId="77777777" w:rsidR="00C37FA7" w:rsidRPr="002415F7" w:rsidRDefault="00C37FA7" w:rsidP="00C37FA7">
            <w:pPr>
              <w:pStyle w:val="Tableformat"/>
            </w:pPr>
            <w:r w:rsidRPr="00124D5F">
              <w:t>Role of the Commonwealth</w:t>
            </w:r>
          </w:p>
          <w:p w14:paraId="49E80B80" w14:textId="77777777" w:rsidR="00C37FA7" w:rsidRPr="002949BD" w:rsidRDefault="00C37FA7" w:rsidP="00C37FA7">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660E0A1C" w14:textId="77777777" w:rsidR="00C37FA7" w:rsidRPr="002949BD" w:rsidRDefault="00C37FA7" w:rsidP="00C37FA7">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43A6C17E" w14:textId="77777777" w:rsidR="00C37FA7" w:rsidRPr="004C7463" w:rsidRDefault="00C37FA7" w:rsidP="00C37FA7">
            <w:pPr>
              <w:pStyle w:val="Tableformat"/>
            </w:pPr>
            <w:r w:rsidRPr="004C7463">
              <w:t>Role of the States and Territories:</w:t>
            </w:r>
          </w:p>
          <w:p w14:paraId="6F59D922" w14:textId="77777777" w:rsidR="00C37FA7" w:rsidRDefault="00C37FA7" w:rsidP="00C37FA7">
            <w:pPr>
              <w:pStyle w:val="Paragraphnumbering"/>
            </w:pPr>
            <w:r>
              <w:t xml:space="preserve">In addition to </w:t>
            </w:r>
            <w:r w:rsidRPr="009602A5">
              <w:t>Clause 20 of the FFA – AH</w:t>
            </w:r>
            <w:r>
              <w:t>CS</w:t>
            </w:r>
            <w:r w:rsidRPr="009602A5">
              <w:t>O</w:t>
            </w:r>
            <w:r>
              <w:t>, the States will be responsible for:</w:t>
            </w:r>
          </w:p>
          <w:p w14:paraId="64EBEFCD" w14:textId="77777777" w:rsidR="00C37FA7" w:rsidRDefault="00C37FA7" w:rsidP="00C37FA7">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4A5B6E74" w14:textId="77777777" w:rsidR="00C37FA7" w:rsidRPr="00B9361E" w:rsidRDefault="00C37FA7" w:rsidP="00C37FA7">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30A92FF5" w14:textId="77777777" w:rsidR="00C37FA7" w:rsidRDefault="00C37FA7" w:rsidP="00C37FA7">
            <w:pPr>
              <w:pStyle w:val="Paragraphnumbering"/>
              <w:numPr>
                <w:ilvl w:val="2"/>
                <w:numId w:val="1"/>
              </w:numPr>
              <w:jc w:val="left"/>
            </w:pPr>
            <w:r w:rsidRPr="00B9361E">
              <w:t>the remainder of projects to be delivered by States by 30 June 2027</w:t>
            </w:r>
            <w:r>
              <w:t>;</w:t>
            </w:r>
          </w:p>
          <w:p w14:paraId="65A19F58" w14:textId="77777777" w:rsidR="00C37FA7" w:rsidRPr="00B9361E" w:rsidRDefault="00C37FA7" w:rsidP="00C37FA7">
            <w:pPr>
              <w:pStyle w:val="Paragraphnumbering"/>
              <w:numPr>
                <w:ilvl w:val="2"/>
                <w:numId w:val="1"/>
              </w:numPr>
              <w:jc w:val="left"/>
            </w:pPr>
            <w:r>
              <w:t xml:space="preserve">extensions to projects can be sought where there are extenuating circumstances. </w:t>
            </w:r>
          </w:p>
          <w:p w14:paraId="046AEEE7" w14:textId="77777777" w:rsidR="00C37FA7" w:rsidRPr="00B9361E" w:rsidRDefault="00C37FA7" w:rsidP="00C37FA7">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155BD808" w14:textId="77777777" w:rsidR="00C37FA7" w:rsidRPr="00AB3779" w:rsidRDefault="00C37FA7" w:rsidP="00C37FA7">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7F7B62A6" w14:textId="77777777" w:rsidR="00C37FA7" w:rsidRDefault="00C37FA7" w:rsidP="00C37FA7">
            <w:pPr>
              <w:pStyle w:val="Paragraphnumbering"/>
              <w:numPr>
                <w:ilvl w:val="2"/>
                <w:numId w:val="1"/>
              </w:numPr>
              <w:jc w:val="left"/>
            </w:pPr>
            <w:r>
              <w:t>The amount of funding committed to a project.</w:t>
            </w:r>
          </w:p>
          <w:p w14:paraId="3B847FE7" w14:textId="77777777" w:rsidR="00C37FA7" w:rsidRPr="00AB3779" w:rsidRDefault="00C37FA7" w:rsidP="00C37FA7">
            <w:pPr>
              <w:pStyle w:val="Paragraphnumbering"/>
              <w:numPr>
                <w:ilvl w:val="2"/>
                <w:numId w:val="1"/>
              </w:numPr>
              <w:jc w:val="left"/>
            </w:pPr>
            <w:r w:rsidRPr="00AB3779">
              <w:t xml:space="preserve">The scope and issues to be addressed by the </w:t>
            </w:r>
            <w:r>
              <w:t>project.</w:t>
            </w:r>
          </w:p>
          <w:p w14:paraId="652B95A9" w14:textId="77777777" w:rsidR="00C37FA7" w:rsidRPr="00AB3779" w:rsidRDefault="00C37FA7" w:rsidP="00C37FA7">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54195EF1" w14:textId="77777777" w:rsidR="00C37FA7" w:rsidRPr="00AB3779" w:rsidRDefault="00C37FA7" w:rsidP="00C37FA7">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6C5C28A0" w14:textId="77777777" w:rsidR="00C37FA7" w:rsidRDefault="00C37FA7" w:rsidP="00C37FA7">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268F839A" w14:textId="77777777" w:rsidR="00C37FA7" w:rsidRPr="00AB3779" w:rsidRDefault="00C37FA7" w:rsidP="00C37FA7">
            <w:pPr>
              <w:pStyle w:val="Paragraphnumbering"/>
              <w:numPr>
                <w:ilvl w:val="2"/>
                <w:numId w:val="1"/>
              </w:numPr>
              <w:jc w:val="left"/>
            </w:pPr>
            <w:r>
              <w:t>The estimated number of any social and affordable dwellings to be constructed by the project.</w:t>
            </w:r>
          </w:p>
          <w:p w14:paraId="6AB87FFD" w14:textId="77777777" w:rsidR="00C37FA7" w:rsidRPr="002415F7" w:rsidRDefault="00C37FA7" w:rsidP="00C37FA7">
            <w:pPr>
              <w:pStyle w:val="Tableformat"/>
            </w:pPr>
            <w:r w:rsidRPr="008B671D">
              <w:t xml:space="preserve"> </w:t>
            </w:r>
            <w:r w:rsidRPr="002415F7">
              <w:t>Media and publicity</w:t>
            </w:r>
          </w:p>
          <w:p w14:paraId="4312ECF8" w14:textId="77777777" w:rsidR="00C37FA7" w:rsidRPr="002949BD" w:rsidRDefault="00C37FA7" w:rsidP="00C37FA7">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4819BAB0" w14:textId="77777777" w:rsidR="00C37FA7" w:rsidRPr="002949BD" w:rsidRDefault="00C37FA7" w:rsidP="00C37FA7">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1E1BCE8D" w14:textId="77777777" w:rsidR="00C37FA7" w:rsidRDefault="00C37FA7" w:rsidP="00C37FA7">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2BCFBE2E" w14:textId="77777777" w:rsidR="00C37FA7" w:rsidRPr="002949BD" w:rsidRDefault="00C37FA7" w:rsidP="00C37FA7">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5BBFC513" w14:textId="77777777" w:rsidR="00C37FA7" w:rsidRPr="00FA1532" w:rsidRDefault="00C37FA7" w:rsidP="00C37FA7">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66F845FD" w14:textId="77777777" w:rsidR="00C37FA7" w:rsidRPr="00FA1532" w:rsidRDefault="00C37FA7" w:rsidP="00C37FA7">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5DA1DDD0" w14:textId="77777777" w:rsidR="00C37FA7" w:rsidRPr="002949BD" w:rsidRDefault="00C37FA7" w:rsidP="00C37FA7">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25C76BC6" w14:textId="77777777" w:rsidR="00C37FA7" w:rsidRPr="002949BD" w:rsidRDefault="00C37FA7" w:rsidP="00C37FA7">
            <w:pPr>
              <w:pStyle w:val="Paragraphnumbering"/>
              <w:numPr>
                <w:ilvl w:val="1"/>
                <w:numId w:val="1"/>
              </w:numPr>
              <w:jc w:val="left"/>
            </w:pPr>
            <w:r>
              <w:t>The Commonwealth will report on the progress of projects publicly and to the Federal Parliament.</w:t>
            </w:r>
          </w:p>
          <w:p w14:paraId="6E7E6464" w14:textId="77777777" w:rsidR="00C37FA7" w:rsidRPr="002949BD" w:rsidRDefault="00C37FA7" w:rsidP="00C37FA7">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01DE4BE4" w14:textId="77777777" w:rsidR="00C37FA7" w:rsidRPr="002949BD" w:rsidRDefault="00C37FA7" w:rsidP="00C37FA7">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48120B2C" w14:textId="77777777" w:rsidR="00C37FA7" w:rsidRDefault="00C37FA7" w:rsidP="00C37FA7">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77436A4E" w14:textId="77777777" w:rsidR="00C37FA7" w:rsidRPr="00562468" w:rsidRDefault="00C37FA7" w:rsidP="00C37FA7">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70522293" w14:textId="77777777" w:rsidR="00C37FA7" w:rsidRDefault="00C37FA7" w:rsidP="00C37FA7">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1A056581" w14:textId="77777777" w:rsidR="00C37FA7" w:rsidRPr="002A2EC6" w:rsidRDefault="00C37FA7" w:rsidP="00C37FA7">
            <w:pPr>
              <w:pStyle w:val="Paragraphnumbering"/>
              <w:numPr>
                <w:ilvl w:val="3"/>
                <w:numId w:val="1"/>
              </w:numPr>
              <w:jc w:val="left"/>
            </w:pPr>
            <w:r>
              <w:t>T</w:t>
            </w:r>
            <w:r w:rsidRPr="002A2EC6">
              <w:t>he current state of progress of projects including estimates of the timetable for completion</w:t>
            </w:r>
            <w:r>
              <w:t>.</w:t>
            </w:r>
          </w:p>
          <w:p w14:paraId="5C13C254" w14:textId="77777777" w:rsidR="00C37FA7" w:rsidRDefault="00C37FA7" w:rsidP="00C37FA7">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7D1300C1" w14:textId="77777777" w:rsidR="00C37FA7" w:rsidRPr="00FA1532" w:rsidRDefault="00C37FA7" w:rsidP="00C37FA7">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5D10F010" w14:textId="77777777" w:rsidR="00C37FA7" w:rsidRDefault="00C37FA7" w:rsidP="00C37FA7">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6DD66AB4" w14:textId="77777777" w:rsidR="00C37FA7" w:rsidRPr="00FA1532" w:rsidRDefault="00C37FA7" w:rsidP="00C37FA7">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55C873E0" w14:textId="77777777" w:rsidR="00C37FA7" w:rsidRPr="00FA1532" w:rsidRDefault="00C37FA7" w:rsidP="00C37FA7">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06123537" w14:textId="77777777" w:rsidR="00C37FA7" w:rsidRDefault="00C37FA7" w:rsidP="00C37FA7">
            <w:pPr>
              <w:pStyle w:val="Paragraphnumbering"/>
              <w:numPr>
                <w:ilvl w:val="3"/>
                <w:numId w:val="1"/>
              </w:numPr>
              <w:jc w:val="left"/>
              <w:rPr>
                <w:iCs/>
                <w:color w:val="auto"/>
              </w:rPr>
            </w:pPr>
            <w:r>
              <w:rPr>
                <w:iCs/>
                <w:color w:val="auto"/>
              </w:rPr>
              <w:t>The net number of residential land parcels created since 1 July 2024, by quarter.</w:t>
            </w:r>
          </w:p>
          <w:p w14:paraId="0390347C" w14:textId="77777777" w:rsidR="00C37FA7" w:rsidRDefault="00C37FA7" w:rsidP="00C37FA7">
            <w:pPr>
              <w:pStyle w:val="Paragraphnumbering"/>
              <w:numPr>
                <w:ilvl w:val="3"/>
                <w:numId w:val="1"/>
              </w:numPr>
              <w:jc w:val="left"/>
              <w:rPr>
                <w:iCs/>
                <w:color w:val="auto"/>
              </w:rPr>
            </w:pPr>
            <w:r>
              <w:rPr>
                <w:iCs/>
                <w:color w:val="auto"/>
              </w:rPr>
              <w:t>The number of residential dwellings at the end of the reporting period.</w:t>
            </w:r>
          </w:p>
          <w:p w14:paraId="4E3A20AF" w14:textId="77777777" w:rsidR="00C37FA7" w:rsidRDefault="00C37FA7" w:rsidP="00C37FA7">
            <w:pPr>
              <w:pStyle w:val="Paragraphnumbering"/>
              <w:numPr>
                <w:ilvl w:val="3"/>
                <w:numId w:val="1"/>
              </w:numPr>
              <w:jc w:val="left"/>
              <w:rPr>
                <w:iCs/>
                <w:color w:val="auto"/>
              </w:rPr>
            </w:pPr>
            <w:r>
              <w:rPr>
                <w:iCs/>
                <w:color w:val="auto"/>
              </w:rPr>
              <w:t>The number of residential dwellings approved for development since 1 July 2024, by quarter.</w:t>
            </w:r>
          </w:p>
          <w:p w14:paraId="2704B6C9" w14:textId="77777777" w:rsidR="00C37FA7" w:rsidRDefault="00C37FA7" w:rsidP="00C37FA7">
            <w:pPr>
              <w:pStyle w:val="Paragraphnumbering"/>
              <w:numPr>
                <w:ilvl w:val="3"/>
                <w:numId w:val="1"/>
              </w:numPr>
              <w:jc w:val="left"/>
              <w:rPr>
                <w:iCs/>
                <w:color w:val="auto"/>
              </w:rPr>
            </w:pPr>
            <w:r>
              <w:rPr>
                <w:iCs/>
                <w:color w:val="auto"/>
              </w:rPr>
              <w:t>The number of residential dwellings that have completed construction since 1 July 2024, by quarter.</w:t>
            </w:r>
          </w:p>
          <w:p w14:paraId="7AE5155B" w14:textId="77777777" w:rsidR="00C37FA7" w:rsidRDefault="00C37FA7" w:rsidP="00C37FA7">
            <w:pPr>
              <w:pStyle w:val="Paragraphnumbering"/>
              <w:numPr>
                <w:ilvl w:val="3"/>
                <w:numId w:val="1"/>
              </w:numPr>
              <w:jc w:val="left"/>
              <w:rPr>
                <w:iCs/>
                <w:color w:val="auto"/>
              </w:rPr>
            </w:pPr>
            <w:r>
              <w:rPr>
                <w:iCs/>
                <w:color w:val="auto"/>
              </w:rPr>
              <w:t>The number of social and affordable dwellings in that state as at the end of the reporting period.</w:t>
            </w:r>
          </w:p>
          <w:p w14:paraId="41714A2E" w14:textId="77777777" w:rsidR="00C37FA7" w:rsidRDefault="00C37FA7" w:rsidP="00C37FA7">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3237A5F2" w14:textId="77777777" w:rsidR="00C37FA7" w:rsidRDefault="00C37FA7" w:rsidP="00C37FA7">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1BE60996" w14:textId="77777777" w:rsidR="00C37FA7" w:rsidRDefault="00C37FA7" w:rsidP="00C37FA7">
            <w:pPr>
              <w:pStyle w:val="Paragraphnumbering"/>
              <w:numPr>
                <w:ilvl w:val="2"/>
                <w:numId w:val="1"/>
              </w:numPr>
              <w:jc w:val="left"/>
            </w:pPr>
            <w:r>
              <w:t>31 August of each year, for the previous 6-month reporting period 1 January to 30 June.</w:t>
            </w:r>
          </w:p>
          <w:p w14:paraId="630A7CB5" w14:textId="77777777" w:rsidR="00C37FA7" w:rsidRDefault="00C37FA7" w:rsidP="00C37FA7">
            <w:pPr>
              <w:pStyle w:val="Paragraphnumbering"/>
              <w:numPr>
                <w:ilvl w:val="2"/>
                <w:numId w:val="1"/>
              </w:numPr>
              <w:jc w:val="left"/>
            </w:pPr>
            <w:r>
              <w:t>28 February of each year, for the previous 6-month reporting period 1 July to 31 December.</w:t>
            </w:r>
          </w:p>
          <w:p w14:paraId="245F14F5" w14:textId="77777777" w:rsidR="00C37FA7" w:rsidRPr="002949BD" w:rsidRDefault="00C37FA7" w:rsidP="00C37FA7">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6EB3AF60" w14:textId="77777777" w:rsidR="00C37FA7" w:rsidRPr="002949BD" w:rsidRDefault="00C37FA7" w:rsidP="00C37FA7">
            <w:pPr>
              <w:pStyle w:val="Paragraphnumbering"/>
              <w:numPr>
                <w:ilvl w:val="1"/>
                <w:numId w:val="1"/>
              </w:numPr>
              <w:jc w:val="left"/>
            </w:pPr>
            <w:r>
              <w:t>The States will support the Commonwealth to respond to ad-hoc queries in relation to the HSP Priority Works Stream.</w:t>
            </w:r>
          </w:p>
          <w:p w14:paraId="7E5BF4CD" w14:textId="77777777" w:rsidR="00C37FA7" w:rsidRPr="002415F7" w:rsidRDefault="00C37FA7" w:rsidP="00C37FA7">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28CB514A" w14:textId="77777777" w:rsidR="00C37FA7" w:rsidRPr="002949BD" w:rsidRDefault="00C37FA7" w:rsidP="00C37FA7">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1AFA3E41" w14:textId="77777777" w:rsidR="00C37FA7" w:rsidRPr="002810BE" w:rsidRDefault="00C37FA7" w:rsidP="00C37FA7">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0D330A33" w14:textId="77777777" w:rsidR="00C37FA7" w:rsidRDefault="00C37FA7" w:rsidP="00C37FA7">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7A1AFE0C" w14:textId="77777777" w:rsidR="00C37FA7" w:rsidRPr="000F1188" w:rsidRDefault="00C37FA7" w:rsidP="00C37FA7">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7891030C" w14:textId="77777777" w:rsidR="00C37FA7" w:rsidRPr="002415F7" w:rsidRDefault="00C37FA7" w:rsidP="00C37FA7">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6E2EEAC1" w14:textId="77777777" w:rsidR="00C37FA7" w:rsidRDefault="00C37FA7" w:rsidP="00C37FA7">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18F0D0A6" w:rsidR="00C37FA7" w:rsidRPr="00B9361E" w:rsidRDefault="00C37FA7" w:rsidP="00C37FA7">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6A95131D" w:rsidR="00A24CA0" w:rsidRDefault="00A24CA0">
            <w:pPr>
              <w:pStyle w:val="Milestonetable"/>
              <w:spacing w:line="256" w:lineRule="auto"/>
              <w:jc w:val="right"/>
              <w:rPr>
                <w:color w:val="auto"/>
                <w:lang w:eastAsia="en-US"/>
              </w:rPr>
            </w:pPr>
            <w:r>
              <w:rPr>
                <w:color w:val="auto"/>
                <w:lang w:eastAsia="en-US"/>
              </w:rPr>
              <w:t>$</w:t>
            </w:r>
            <w:r w:rsidR="00682F3C" w:rsidRPr="00682F3C">
              <w:rPr>
                <w:color w:val="auto"/>
                <w:lang w:eastAsia="en-US"/>
              </w:rPr>
              <w:t>67.4</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2BECE05F" w:rsidR="00230A96" w:rsidRDefault="00622065">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43E4A602"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t xml:space="preserve">State of </w:t>
            </w:r>
            <w:r w:rsidR="00F45EF0">
              <w:rPr>
                <w:lang w:eastAsia="en-US"/>
              </w:rPr>
              <w:t xml:space="preserve">South Australia </w:t>
            </w:r>
            <w:r>
              <w:rPr>
                <w:lang w:eastAsia="en-US"/>
              </w:rPr>
              <w:t>by</w:t>
            </w:r>
          </w:p>
          <w:p w14:paraId="21D3BDD1" w14:textId="77777777" w:rsidR="00A24CA0" w:rsidRDefault="00A24CA0">
            <w:pPr>
              <w:pStyle w:val="LineForSignature"/>
              <w:rPr>
                <w:lang w:eastAsia="en-US"/>
              </w:rPr>
            </w:pPr>
            <w:r>
              <w:rPr>
                <w:lang w:eastAsia="en-US"/>
              </w:rPr>
              <w:br/>
            </w:r>
            <w:r>
              <w:rPr>
                <w:lang w:eastAsia="en-US"/>
              </w:rPr>
              <w:tab/>
            </w:r>
          </w:p>
          <w:p w14:paraId="5325BA64" w14:textId="31A7C5A6" w:rsidR="00A24CA0" w:rsidRDefault="00A24CA0">
            <w:pPr>
              <w:pStyle w:val="SingleParagraph"/>
              <w:rPr>
                <w:rStyle w:val="Bold"/>
              </w:rPr>
            </w:pPr>
            <w:bookmarkStart w:id="1" w:name="_Hlk168331131"/>
            <w:r>
              <w:rPr>
                <w:rStyle w:val="Bold"/>
                <w:lang w:eastAsia="en-US"/>
              </w:rPr>
              <w:t xml:space="preserve">The Honourable </w:t>
            </w:r>
            <w:r w:rsidR="00F45EF0" w:rsidRPr="00F45EF0">
              <w:rPr>
                <w:rStyle w:val="Bold"/>
                <w:lang w:eastAsia="en-US"/>
              </w:rPr>
              <w:t xml:space="preserve">Tom </w:t>
            </w:r>
            <w:proofErr w:type="spellStart"/>
            <w:r w:rsidR="00F45EF0" w:rsidRPr="00F45EF0">
              <w:rPr>
                <w:rStyle w:val="Bold"/>
                <w:lang w:eastAsia="en-US"/>
              </w:rPr>
              <w:t>Koutsantonis</w:t>
            </w:r>
            <w:proofErr w:type="spellEnd"/>
            <w:r>
              <w:rPr>
                <w:rStyle w:val="Bold"/>
                <w:lang w:eastAsia="en-US"/>
              </w:rPr>
              <w:t xml:space="preserve"> MP</w:t>
            </w:r>
          </w:p>
          <w:p w14:paraId="696C6265" w14:textId="025862F0" w:rsidR="00A24CA0" w:rsidRDefault="00A24CA0">
            <w:pPr>
              <w:pStyle w:val="Position"/>
              <w:rPr>
                <w:lang w:val="en-GB"/>
              </w:rPr>
            </w:pPr>
            <w:r>
              <w:rPr>
                <w:lang w:val="en-GB" w:eastAsia="en-US"/>
              </w:rPr>
              <w:t xml:space="preserve">Minister for </w:t>
            </w:r>
            <w:r w:rsidR="00F45EF0" w:rsidRPr="00F45EF0">
              <w:rPr>
                <w:lang w:val="en-GB" w:eastAsia="en-US"/>
              </w:rPr>
              <w:t>Infrastructure and Transport</w:t>
            </w:r>
            <w:r>
              <w:rPr>
                <w:lang w:val="en-GB" w:eastAsia="en-US"/>
              </w:rPr>
              <w:t xml:space="preserve"> </w:t>
            </w:r>
          </w:p>
          <w:bookmarkEnd w:id="1"/>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1CAA9CB8" w14:textId="77777777" w:rsidR="00C37FA7" w:rsidRPr="000E2F34" w:rsidRDefault="00C37FA7" w:rsidP="00C37FA7">
      <w:pPr>
        <w:pStyle w:val="Heading1"/>
      </w:pPr>
      <w:bookmarkStart w:id="2" w:name="_Hlk168404023"/>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C37FA7" w:rsidRPr="00CB021F" w14:paraId="6EF53CED" w14:textId="77777777" w:rsidTr="00784FE1">
        <w:trPr>
          <w:trHeight w:val="146"/>
        </w:trPr>
        <w:tc>
          <w:tcPr>
            <w:tcW w:w="833" w:type="dxa"/>
            <w:vMerge w:val="restart"/>
            <w:shd w:val="clear" w:color="auto" w:fill="F7CAAC" w:themeFill="accent2" w:themeFillTint="66"/>
          </w:tcPr>
          <w:p w14:paraId="584AF89D" w14:textId="77777777" w:rsidR="00C37FA7" w:rsidRPr="00FA1532" w:rsidRDefault="00C37FA7" w:rsidP="00784FE1">
            <w:pPr>
              <w:rPr>
                <w:rFonts w:ascii="Corbel" w:hAnsi="Corbel"/>
                <w:bCs/>
                <w:sz w:val="18"/>
                <w:szCs w:val="18"/>
              </w:rPr>
            </w:pPr>
            <w:bookmarkStart w:id="3" w:name="_Hlk168403711"/>
            <w:r w:rsidRPr="00FA1532">
              <w:rPr>
                <w:rFonts w:ascii="Corbel" w:hAnsi="Corbel"/>
                <w:sz w:val="18"/>
                <w:szCs w:val="18"/>
              </w:rPr>
              <w:t xml:space="preserve">Project </w:t>
            </w:r>
          </w:p>
          <w:p w14:paraId="4F307A99" w14:textId="77777777" w:rsidR="00C37FA7" w:rsidRPr="00FA1532" w:rsidRDefault="00C37FA7"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11DC1813" w14:textId="77777777" w:rsidR="00C37FA7" w:rsidRPr="00FA1532" w:rsidRDefault="00C37FA7" w:rsidP="00784FE1">
            <w:pPr>
              <w:rPr>
                <w:rFonts w:ascii="Corbel" w:hAnsi="Corbel"/>
                <w:bCs/>
                <w:sz w:val="18"/>
                <w:szCs w:val="18"/>
              </w:rPr>
            </w:pPr>
            <w:r w:rsidRPr="00FA1532">
              <w:rPr>
                <w:rFonts w:ascii="Corbel" w:hAnsi="Corbel"/>
                <w:sz w:val="18"/>
                <w:szCs w:val="18"/>
              </w:rPr>
              <w:t xml:space="preserve">Project </w:t>
            </w:r>
          </w:p>
          <w:p w14:paraId="4394583C" w14:textId="77777777" w:rsidR="00C37FA7" w:rsidRPr="00FA1532" w:rsidRDefault="00C37FA7"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2D09CCA4" w14:textId="77777777" w:rsidR="00C37FA7" w:rsidRPr="00FA1532" w:rsidRDefault="00C37FA7"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6BFC770F" w14:textId="77777777" w:rsidR="00C37FA7" w:rsidRPr="00FA1532" w:rsidRDefault="00C37FA7" w:rsidP="00784FE1">
            <w:pPr>
              <w:rPr>
                <w:rFonts w:ascii="Corbel" w:hAnsi="Corbel"/>
                <w:bCs/>
                <w:sz w:val="18"/>
                <w:szCs w:val="18"/>
              </w:rPr>
            </w:pPr>
            <w:r w:rsidRPr="00FA1532">
              <w:rPr>
                <w:rFonts w:ascii="Corbel" w:hAnsi="Corbel"/>
                <w:sz w:val="18"/>
                <w:szCs w:val="18"/>
              </w:rPr>
              <w:t xml:space="preserve">Project Outcomes </w:t>
            </w:r>
          </w:p>
          <w:p w14:paraId="4F705F3A" w14:textId="77777777" w:rsidR="00C37FA7" w:rsidRPr="00FA1532" w:rsidRDefault="00C37FA7"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250219C0" w14:textId="77777777" w:rsidR="00C37FA7" w:rsidRPr="00A0443D" w:rsidDel="00956F13" w:rsidRDefault="00C37FA7"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5CA2A0E2" w14:textId="77777777" w:rsidR="00C37FA7" w:rsidRPr="00FA1532" w:rsidRDefault="00C37FA7" w:rsidP="00784FE1">
            <w:pPr>
              <w:rPr>
                <w:rFonts w:ascii="Corbel" w:hAnsi="Corbel"/>
                <w:bCs/>
                <w:sz w:val="18"/>
                <w:szCs w:val="18"/>
              </w:rPr>
            </w:pPr>
            <w:r>
              <w:rPr>
                <w:rFonts w:ascii="Corbel" w:hAnsi="Corbel"/>
                <w:sz w:val="18"/>
                <w:szCs w:val="18"/>
              </w:rPr>
              <w:t>Construction Commencement</w:t>
            </w:r>
          </w:p>
          <w:p w14:paraId="6602D88A" w14:textId="77777777" w:rsidR="00C37FA7" w:rsidRPr="00FA1532" w:rsidRDefault="00C37FA7"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163A0931" w14:textId="77777777" w:rsidR="00C37FA7" w:rsidRPr="00FA1532" w:rsidRDefault="00C37FA7"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4B7F5539" w14:textId="77777777" w:rsidR="00C37FA7" w:rsidRPr="00FA1532" w:rsidRDefault="00C37FA7" w:rsidP="00784FE1">
            <w:pPr>
              <w:rPr>
                <w:rFonts w:ascii="Corbel" w:hAnsi="Corbel"/>
                <w:sz w:val="18"/>
                <w:szCs w:val="18"/>
              </w:rPr>
            </w:pPr>
            <w:r w:rsidRPr="00FA1532">
              <w:rPr>
                <w:rFonts w:ascii="Corbel" w:hAnsi="Corbel"/>
                <w:sz w:val="18"/>
                <w:szCs w:val="18"/>
              </w:rPr>
              <w:t>Funding and Costs ($million)</w:t>
            </w:r>
          </w:p>
        </w:tc>
      </w:tr>
      <w:tr w:rsidR="00C37FA7" w:rsidRPr="00CB021F" w14:paraId="786A09A5" w14:textId="77777777" w:rsidTr="00784FE1">
        <w:trPr>
          <w:trHeight w:val="153"/>
        </w:trPr>
        <w:tc>
          <w:tcPr>
            <w:tcW w:w="833" w:type="dxa"/>
            <w:vMerge/>
            <w:shd w:val="clear" w:color="auto" w:fill="F7CAAC" w:themeFill="accent2" w:themeFillTint="66"/>
          </w:tcPr>
          <w:p w14:paraId="512F4C67" w14:textId="77777777" w:rsidR="00C37FA7" w:rsidRPr="00FA1532" w:rsidRDefault="00C37FA7" w:rsidP="00784FE1">
            <w:pPr>
              <w:rPr>
                <w:rFonts w:ascii="Corbel" w:hAnsi="Corbel"/>
                <w:b/>
                <w:bCs/>
                <w:sz w:val="20"/>
              </w:rPr>
            </w:pPr>
          </w:p>
        </w:tc>
        <w:tc>
          <w:tcPr>
            <w:tcW w:w="1081" w:type="dxa"/>
            <w:vMerge/>
            <w:shd w:val="clear" w:color="auto" w:fill="F7CAAC" w:themeFill="accent2" w:themeFillTint="66"/>
          </w:tcPr>
          <w:p w14:paraId="1E92F272" w14:textId="77777777" w:rsidR="00C37FA7" w:rsidRPr="00FA1532" w:rsidRDefault="00C37FA7" w:rsidP="00784FE1">
            <w:pPr>
              <w:rPr>
                <w:rFonts w:ascii="Corbel" w:hAnsi="Corbel"/>
                <w:bCs/>
                <w:sz w:val="20"/>
              </w:rPr>
            </w:pPr>
          </w:p>
        </w:tc>
        <w:tc>
          <w:tcPr>
            <w:tcW w:w="1212" w:type="dxa"/>
            <w:vMerge/>
            <w:shd w:val="clear" w:color="auto" w:fill="F7CAAC" w:themeFill="accent2" w:themeFillTint="66"/>
          </w:tcPr>
          <w:p w14:paraId="066BCFE4" w14:textId="77777777" w:rsidR="00C37FA7" w:rsidRPr="00FA1532" w:rsidRDefault="00C37FA7" w:rsidP="00784FE1">
            <w:pPr>
              <w:rPr>
                <w:rFonts w:ascii="Corbel" w:hAnsi="Corbel"/>
                <w:bCs/>
                <w:sz w:val="20"/>
              </w:rPr>
            </w:pPr>
          </w:p>
        </w:tc>
        <w:tc>
          <w:tcPr>
            <w:tcW w:w="2775" w:type="dxa"/>
            <w:vMerge/>
            <w:shd w:val="clear" w:color="auto" w:fill="F7CAAC" w:themeFill="accent2" w:themeFillTint="66"/>
          </w:tcPr>
          <w:p w14:paraId="71131473" w14:textId="77777777" w:rsidR="00C37FA7" w:rsidRPr="00FA1532" w:rsidRDefault="00C37FA7" w:rsidP="00784FE1">
            <w:pPr>
              <w:rPr>
                <w:rFonts w:ascii="Corbel" w:hAnsi="Corbel"/>
                <w:bCs/>
                <w:sz w:val="20"/>
              </w:rPr>
            </w:pPr>
          </w:p>
        </w:tc>
        <w:tc>
          <w:tcPr>
            <w:tcW w:w="1526" w:type="dxa"/>
            <w:vMerge/>
            <w:shd w:val="clear" w:color="auto" w:fill="F7CAAC" w:themeFill="accent2" w:themeFillTint="66"/>
          </w:tcPr>
          <w:p w14:paraId="04046994" w14:textId="77777777" w:rsidR="00C37FA7" w:rsidRPr="00A0443D" w:rsidRDefault="00C37FA7" w:rsidP="00784FE1">
            <w:pPr>
              <w:rPr>
                <w:rFonts w:ascii="Corbel" w:hAnsi="Corbel"/>
                <w:sz w:val="18"/>
              </w:rPr>
            </w:pPr>
          </w:p>
        </w:tc>
        <w:tc>
          <w:tcPr>
            <w:tcW w:w="2081" w:type="dxa"/>
            <w:vMerge/>
            <w:shd w:val="clear" w:color="auto" w:fill="F7CAAC" w:themeFill="accent2" w:themeFillTint="66"/>
          </w:tcPr>
          <w:p w14:paraId="38531886" w14:textId="77777777" w:rsidR="00C37FA7" w:rsidRPr="00FA1532" w:rsidRDefault="00C37FA7" w:rsidP="00784FE1">
            <w:pPr>
              <w:rPr>
                <w:rFonts w:ascii="Corbel" w:hAnsi="Corbel"/>
                <w:sz w:val="18"/>
              </w:rPr>
            </w:pPr>
          </w:p>
        </w:tc>
        <w:tc>
          <w:tcPr>
            <w:tcW w:w="1119" w:type="dxa"/>
            <w:vMerge/>
            <w:shd w:val="clear" w:color="auto" w:fill="F7CAAC" w:themeFill="accent2" w:themeFillTint="66"/>
          </w:tcPr>
          <w:p w14:paraId="66E0AAA3" w14:textId="77777777" w:rsidR="00C37FA7" w:rsidRPr="00FA1532" w:rsidRDefault="00C37FA7" w:rsidP="00784FE1">
            <w:pPr>
              <w:rPr>
                <w:rFonts w:ascii="Corbel" w:hAnsi="Corbel"/>
                <w:sz w:val="18"/>
              </w:rPr>
            </w:pPr>
          </w:p>
        </w:tc>
        <w:tc>
          <w:tcPr>
            <w:tcW w:w="1650" w:type="dxa"/>
            <w:gridSpan w:val="2"/>
            <w:shd w:val="clear" w:color="auto" w:fill="F7CAAC" w:themeFill="accent2" w:themeFillTint="66"/>
          </w:tcPr>
          <w:p w14:paraId="53FF26E0" w14:textId="77777777" w:rsidR="00C37FA7" w:rsidRPr="00FA1532" w:rsidRDefault="00C37FA7"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7E833C48" w14:textId="77777777" w:rsidR="00C37FA7" w:rsidRPr="00FA1532" w:rsidRDefault="00C37FA7"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0BAC9F5A" w14:textId="77777777" w:rsidR="00C37FA7" w:rsidRPr="00FA1532" w:rsidRDefault="00C37FA7" w:rsidP="00784FE1">
            <w:pPr>
              <w:rPr>
                <w:rFonts w:ascii="Corbel" w:hAnsi="Corbel"/>
                <w:bCs/>
                <w:sz w:val="18"/>
                <w:szCs w:val="18"/>
              </w:rPr>
            </w:pPr>
            <w:r w:rsidRPr="00FA1532">
              <w:rPr>
                <w:rFonts w:ascii="Corbel" w:hAnsi="Corbel"/>
                <w:bCs/>
                <w:sz w:val="18"/>
                <w:szCs w:val="18"/>
              </w:rPr>
              <w:t>Total</w:t>
            </w:r>
          </w:p>
        </w:tc>
      </w:tr>
      <w:tr w:rsidR="00C37FA7" w:rsidRPr="00CB021F" w14:paraId="6F494016" w14:textId="77777777" w:rsidTr="00784FE1">
        <w:trPr>
          <w:trHeight w:val="277"/>
        </w:trPr>
        <w:tc>
          <w:tcPr>
            <w:tcW w:w="833" w:type="dxa"/>
            <w:vMerge/>
            <w:shd w:val="clear" w:color="auto" w:fill="F7CAAC" w:themeFill="accent2" w:themeFillTint="66"/>
          </w:tcPr>
          <w:p w14:paraId="170109DC" w14:textId="77777777" w:rsidR="00C37FA7" w:rsidRPr="00FA1532" w:rsidRDefault="00C37FA7" w:rsidP="00784FE1">
            <w:pPr>
              <w:rPr>
                <w:rFonts w:ascii="Corbel" w:hAnsi="Corbel"/>
                <w:b/>
                <w:bCs/>
                <w:sz w:val="20"/>
              </w:rPr>
            </w:pPr>
          </w:p>
        </w:tc>
        <w:tc>
          <w:tcPr>
            <w:tcW w:w="1081" w:type="dxa"/>
            <w:vMerge/>
            <w:shd w:val="clear" w:color="auto" w:fill="F7CAAC" w:themeFill="accent2" w:themeFillTint="66"/>
          </w:tcPr>
          <w:p w14:paraId="1DE40DC6" w14:textId="77777777" w:rsidR="00C37FA7" w:rsidRPr="00FA1532" w:rsidRDefault="00C37FA7" w:rsidP="00784FE1">
            <w:pPr>
              <w:rPr>
                <w:rFonts w:ascii="Corbel" w:hAnsi="Corbel"/>
                <w:bCs/>
                <w:sz w:val="20"/>
              </w:rPr>
            </w:pPr>
          </w:p>
        </w:tc>
        <w:tc>
          <w:tcPr>
            <w:tcW w:w="1212" w:type="dxa"/>
            <w:vMerge/>
            <w:shd w:val="clear" w:color="auto" w:fill="F7CAAC" w:themeFill="accent2" w:themeFillTint="66"/>
          </w:tcPr>
          <w:p w14:paraId="50F11808" w14:textId="77777777" w:rsidR="00C37FA7" w:rsidRPr="00FA1532" w:rsidRDefault="00C37FA7" w:rsidP="00784FE1">
            <w:pPr>
              <w:rPr>
                <w:rFonts w:ascii="Corbel" w:hAnsi="Corbel"/>
                <w:bCs/>
                <w:sz w:val="20"/>
              </w:rPr>
            </w:pPr>
          </w:p>
        </w:tc>
        <w:tc>
          <w:tcPr>
            <w:tcW w:w="2775" w:type="dxa"/>
            <w:vMerge/>
            <w:shd w:val="clear" w:color="auto" w:fill="F7CAAC" w:themeFill="accent2" w:themeFillTint="66"/>
          </w:tcPr>
          <w:p w14:paraId="4C33C019" w14:textId="77777777" w:rsidR="00C37FA7" w:rsidRPr="00FA1532" w:rsidRDefault="00C37FA7" w:rsidP="00784FE1">
            <w:pPr>
              <w:rPr>
                <w:rFonts w:ascii="Corbel" w:hAnsi="Corbel"/>
                <w:bCs/>
                <w:sz w:val="20"/>
              </w:rPr>
            </w:pPr>
          </w:p>
        </w:tc>
        <w:tc>
          <w:tcPr>
            <w:tcW w:w="1526" w:type="dxa"/>
            <w:vMerge/>
            <w:shd w:val="clear" w:color="auto" w:fill="F7CAAC" w:themeFill="accent2" w:themeFillTint="66"/>
          </w:tcPr>
          <w:p w14:paraId="785D6D13" w14:textId="77777777" w:rsidR="00C37FA7" w:rsidRPr="00A0443D" w:rsidRDefault="00C37FA7" w:rsidP="00784FE1">
            <w:pPr>
              <w:rPr>
                <w:rFonts w:ascii="Corbel" w:hAnsi="Corbel"/>
                <w:bCs/>
                <w:sz w:val="18"/>
              </w:rPr>
            </w:pPr>
          </w:p>
        </w:tc>
        <w:tc>
          <w:tcPr>
            <w:tcW w:w="2081" w:type="dxa"/>
            <w:vMerge/>
            <w:shd w:val="clear" w:color="auto" w:fill="F7CAAC" w:themeFill="accent2" w:themeFillTint="66"/>
          </w:tcPr>
          <w:p w14:paraId="332E649E" w14:textId="77777777" w:rsidR="00C37FA7" w:rsidRPr="00FA1532" w:rsidRDefault="00C37FA7" w:rsidP="00784FE1">
            <w:pPr>
              <w:rPr>
                <w:rFonts w:ascii="Corbel" w:hAnsi="Corbel"/>
                <w:bCs/>
                <w:sz w:val="18"/>
              </w:rPr>
            </w:pPr>
          </w:p>
        </w:tc>
        <w:tc>
          <w:tcPr>
            <w:tcW w:w="1119" w:type="dxa"/>
            <w:vMerge/>
            <w:shd w:val="clear" w:color="auto" w:fill="F7CAAC" w:themeFill="accent2" w:themeFillTint="66"/>
          </w:tcPr>
          <w:p w14:paraId="15D6DED6" w14:textId="77777777" w:rsidR="00C37FA7" w:rsidRPr="00FA1532" w:rsidRDefault="00C37FA7" w:rsidP="00784FE1">
            <w:pPr>
              <w:rPr>
                <w:rFonts w:ascii="Corbel" w:hAnsi="Corbel"/>
                <w:bCs/>
                <w:sz w:val="18"/>
              </w:rPr>
            </w:pPr>
          </w:p>
        </w:tc>
        <w:tc>
          <w:tcPr>
            <w:tcW w:w="836" w:type="dxa"/>
            <w:shd w:val="clear" w:color="auto" w:fill="F7CAAC" w:themeFill="accent2" w:themeFillTint="66"/>
          </w:tcPr>
          <w:p w14:paraId="6F2F7E9F" w14:textId="77777777" w:rsidR="00C37FA7" w:rsidRPr="00FA1532" w:rsidRDefault="00C37FA7"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0C199386" w14:textId="77777777" w:rsidR="00C37FA7" w:rsidRPr="00FA1532" w:rsidRDefault="00C37FA7"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4C3D3599" w14:textId="77777777" w:rsidR="00C37FA7" w:rsidRPr="00FA1532" w:rsidRDefault="00C37FA7"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633E1814" w14:textId="77777777" w:rsidR="00C37FA7" w:rsidRPr="00FA1532" w:rsidRDefault="00C37FA7"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602EADE0" w14:textId="77777777" w:rsidR="00C37FA7" w:rsidRPr="00FA1532" w:rsidRDefault="00C37FA7"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79D158D1" w14:textId="77777777" w:rsidR="00C37FA7" w:rsidRPr="00FA1532" w:rsidRDefault="00C37FA7"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C37FA7" w:rsidRPr="00CB021F" w14:paraId="4446BC57" w14:textId="77777777" w:rsidTr="00784FE1">
        <w:trPr>
          <w:trHeight w:val="119"/>
        </w:trPr>
        <w:tc>
          <w:tcPr>
            <w:tcW w:w="833" w:type="dxa"/>
          </w:tcPr>
          <w:p w14:paraId="682C7710" w14:textId="77777777" w:rsidR="00C37FA7" w:rsidRPr="00FA1532" w:rsidRDefault="00C37FA7" w:rsidP="00784FE1">
            <w:pPr>
              <w:rPr>
                <w:rFonts w:ascii="Corbel" w:hAnsi="Corbel"/>
                <w:sz w:val="18"/>
              </w:rPr>
            </w:pPr>
          </w:p>
        </w:tc>
        <w:tc>
          <w:tcPr>
            <w:tcW w:w="1081" w:type="dxa"/>
          </w:tcPr>
          <w:p w14:paraId="0CE09062" w14:textId="77777777" w:rsidR="00C37FA7" w:rsidRPr="00FA1532" w:rsidRDefault="00C37FA7" w:rsidP="00784FE1">
            <w:pPr>
              <w:rPr>
                <w:rFonts w:ascii="Corbel" w:hAnsi="Corbel"/>
                <w:sz w:val="18"/>
              </w:rPr>
            </w:pPr>
          </w:p>
        </w:tc>
        <w:tc>
          <w:tcPr>
            <w:tcW w:w="1212" w:type="dxa"/>
          </w:tcPr>
          <w:p w14:paraId="1E0FC4D6" w14:textId="77777777" w:rsidR="00C37FA7" w:rsidRPr="00FA1532" w:rsidRDefault="00C37FA7" w:rsidP="00784FE1">
            <w:pPr>
              <w:rPr>
                <w:rFonts w:ascii="Corbel" w:hAnsi="Corbel"/>
                <w:sz w:val="18"/>
              </w:rPr>
            </w:pPr>
          </w:p>
        </w:tc>
        <w:tc>
          <w:tcPr>
            <w:tcW w:w="2775" w:type="dxa"/>
          </w:tcPr>
          <w:p w14:paraId="5DFF1949" w14:textId="77777777" w:rsidR="00C37FA7" w:rsidRPr="00FA1532" w:rsidRDefault="00C37FA7" w:rsidP="00784FE1">
            <w:pPr>
              <w:rPr>
                <w:rFonts w:ascii="Corbel" w:hAnsi="Corbel"/>
                <w:sz w:val="18"/>
              </w:rPr>
            </w:pPr>
          </w:p>
        </w:tc>
        <w:tc>
          <w:tcPr>
            <w:tcW w:w="1526" w:type="dxa"/>
          </w:tcPr>
          <w:p w14:paraId="1E79F3AB" w14:textId="77777777" w:rsidR="00C37FA7" w:rsidRPr="00A0443D" w:rsidRDefault="00C37FA7" w:rsidP="00784FE1">
            <w:pPr>
              <w:rPr>
                <w:rFonts w:ascii="Corbel" w:hAnsi="Corbel"/>
                <w:sz w:val="18"/>
              </w:rPr>
            </w:pPr>
            <w:r>
              <w:rPr>
                <w:rFonts w:ascii="Corbel" w:hAnsi="Corbel"/>
                <w:sz w:val="18"/>
              </w:rPr>
              <w:t>Y/N</w:t>
            </w:r>
          </w:p>
        </w:tc>
        <w:tc>
          <w:tcPr>
            <w:tcW w:w="2081" w:type="dxa"/>
          </w:tcPr>
          <w:p w14:paraId="47859B0C" w14:textId="77777777" w:rsidR="00C37FA7" w:rsidRPr="00FA1532" w:rsidRDefault="00C37FA7" w:rsidP="00784FE1">
            <w:pPr>
              <w:rPr>
                <w:rFonts w:ascii="Corbel" w:hAnsi="Corbel"/>
                <w:sz w:val="18"/>
              </w:rPr>
            </w:pPr>
          </w:p>
        </w:tc>
        <w:tc>
          <w:tcPr>
            <w:tcW w:w="1119" w:type="dxa"/>
          </w:tcPr>
          <w:p w14:paraId="6B99F07A" w14:textId="77777777" w:rsidR="00C37FA7" w:rsidRPr="00FA1532" w:rsidRDefault="00C37FA7" w:rsidP="00784FE1">
            <w:pPr>
              <w:rPr>
                <w:rFonts w:ascii="Corbel" w:hAnsi="Corbel"/>
                <w:sz w:val="18"/>
              </w:rPr>
            </w:pPr>
          </w:p>
        </w:tc>
        <w:tc>
          <w:tcPr>
            <w:tcW w:w="836" w:type="dxa"/>
          </w:tcPr>
          <w:p w14:paraId="0BAB5F5A" w14:textId="77777777" w:rsidR="00C37FA7" w:rsidRPr="00FA1532" w:rsidRDefault="00C37FA7" w:rsidP="00784FE1">
            <w:pPr>
              <w:rPr>
                <w:rFonts w:ascii="Corbel" w:hAnsi="Corbel"/>
                <w:sz w:val="18"/>
              </w:rPr>
            </w:pPr>
          </w:p>
        </w:tc>
        <w:tc>
          <w:tcPr>
            <w:tcW w:w="814" w:type="dxa"/>
          </w:tcPr>
          <w:p w14:paraId="4875A9E1" w14:textId="77777777" w:rsidR="00C37FA7" w:rsidRPr="00FA1532" w:rsidRDefault="00C37FA7" w:rsidP="00784FE1">
            <w:pPr>
              <w:rPr>
                <w:rFonts w:ascii="Corbel" w:hAnsi="Corbel"/>
                <w:sz w:val="18"/>
              </w:rPr>
            </w:pPr>
          </w:p>
        </w:tc>
        <w:tc>
          <w:tcPr>
            <w:tcW w:w="836" w:type="dxa"/>
          </w:tcPr>
          <w:p w14:paraId="650300B1" w14:textId="77777777" w:rsidR="00C37FA7" w:rsidRPr="00FA1532" w:rsidRDefault="00C37FA7" w:rsidP="00784FE1">
            <w:pPr>
              <w:rPr>
                <w:rFonts w:ascii="Corbel" w:hAnsi="Corbel"/>
                <w:sz w:val="18"/>
              </w:rPr>
            </w:pPr>
          </w:p>
        </w:tc>
        <w:tc>
          <w:tcPr>
            <w:tcW w:w="814" w:type="dxa"/>
          </w:tcPr>
          <w:p w14:paraId="3F3E6BFB" w14:textId="77777777" w:rsidR="00C37FA7" w:rsidRPr="00FA1532" w:rsidRDefault="00C37FA7" w:rsidP="00784FE1">
            <w:pPr>
              <w:rPr>
                <w:rFonts w:ascii="Corbel" w:hAnsi="Corbel"/>
                <w:sz w:val="18"/>
              </w:rPr>
            </w:pPr>
          </w:p>
        </w:tc>
        <w:tc>
          <w:tcPr>
            <w:tcW w:w="804" w:type="dxa"/>
          </w:tcPr>
          <w:p w14:paraId="58C14251" w14:textId="77777777" w:rsidR="00C37FA7" w:rsidRPr="00FA1532" w:rsidRDefault="00C37FA7" w:rsidP="00784FE1">
            <w:pPr>
              <w:rPr>
                <w:rFonts w:ascii="Corbel" w:hAnsi="Corbel"/>
                <w:sz w:val="18"/>
              </w:rPr>
            </w:pPr>
          </w:p>
        </w:tc>
        <w:tc>
          <w:tcPr>
            <w:tcW w:w="814" w:type="dxa"/>
          </w:tcPr>
          <w:p w14:paraId="0919F7DE" w14:textId="77777777" w:rsidR="00C37FA7" w:rsidRPr="00FA1532" w:rsidRDefault="00C37FA7" w:rsidP="00784FE1">
            <w:pPr>
              <w:rPr>
                <w:rFonts w:ascii="Corbel" w:hAnsi="Corbel"/>
                <w:sz w:val="18"/>
              </w:rPr>
            </w:pPr>
          </w:p>
        </w:tc>
      </w:tr>
      <w:tr w:rsidR="00C37FA7" w:rsidRPr="00CB021F" w14:paraId="08CACEF7" w14:textId="77777777" w:rsidTr="00784FE1">
        <w:trPr>
          <w:trHeight w:val="150"/>
        </w:trPr>
        <w:tc>
          <w:tcPr>
            <w:tcW w:w="833" w:type="dxa"/>
          </w:tcPr>
          <w:p w14:paraId="68B43463" w14:textId="77777777" w:rsidR="00C37FA7" w:rsidRPr="00FA1532" w:rsidRDefault="00C37FA7" w:rsidP="00784FE1">
            <w:pPr>
              <w:rPr>
                <w:rFonts w:ascii="Corbel" w:hAnsi="Corbel"/>
                <w:sz w:val="18"/>
              </w:rPr>
            </w:pPr>
          </w:p>
        </w:tc>
        <w:tc>
          <w:tcPr>
            <w:tcW w:w="1081" w:type="dxa"/>
          </w:tcPr>
          <w:p w14:paraId="644AB18C" w14:textId="77777777" w:rsidR="00C37FA7" w:rsidRPr="00FA1532" w:rsidRDefault="00C37FA7" w:rsidP="00784FE1">
            <w:pPr>
              <w:rPr>
                <w:rFonts w:ascii="Corbel" w:hAnsi="Corbel"/>
                <w:sz w:val="18"/>
              </w:rPr>
            </w:pPr>
          </w:p>
        </w:tc>
        <w:tc>
          <w:tcPr>
            <w:tcW w:w="1212" w:type="dxa"/>
          </w:tcPr>
          <w:p w14:paraId="208A442B" w14:textId="77777777" w:rsidR="00C37FA7" w:rsidRPr="00FA1532" w:rsidRDefault="00C37FA7" w:rsidP="00784FE1">
            <w:pPr>
              <w:rPr>
                <w:rFonts w:ascii="Corbel" w:hAnsi="Corbel"/>
                <w:sz w:val="18"/>
              </w:rPr>
            </w:pPr>
          </w:p>
        </w:tc>
        <w:tc>
          <w:tcPr>
            <w:tcW w:w="2775" w:type="dxa"/>
          </w:tcPr>
          <w:p w14:paraId="7365E635" w14:textId="77777777" w:rsidR="00C37FA7" w:rsidRPr="00FA1532" w:rsidRDefault="00C37FA7" w:rsidP="00784FE1">
            <w:pPr>
              <w:rPr>
                <w:rFonts w:ascii="Corbel" w:hAnsi="Corbel"/>
                <w:sz w:val="18"/>
              </w:rPr>
            </w:pPr>
          </w:p>
        </w:tc>
        <w:tc>
          <w:tcPr>
            <w:tcW w:w="1526" w:type="dxa"/>
          </w:tcPr>
          <w:p w14:paraId="273D6F20" w14:textId="77777777" w:rsidR="00C37FA7" w:rsidRPr="00A0443D" w:rsidRDefault="00C37FA7" w:rsidP="00784FE1">
            <w:pPr>
              <w:rPr>
                <w:rFonts w:ascii="Corbel" w:hAnsi="Corbel"/>
                <w:sz w:val="18"/>
              </w:rPr>
            </w:pPr>
            <w:r>
              <w:rPr>
                <w:rFonts w:ascii="Corbel" w:hAnsi="Corbel"/>
                <w:sz w:val="18"/>
              </w:rPr>
              <w:t>Y/N</w:t>
            </w:r>
          </w:p>
        </w:tc>
        <w:tc>
          <w:tcPr>
            <w:tcW w:w="2081" w:type="dxa"/>
          </w:tcPr>
          <w:p w14:paraId="7ADCD971" w14:textId="77777777" w:rsidR="00C37FA7" w:rsidRPr="00FA1532" w:rsidRDefault="00C37FA7" w:rsidP="00784FE1">
            <w:pPr>
              <w:rPr>
                <w:rFonts w:ascii="Corbel" w:hAnsi="Corbel"/>
                <w:sz w:val="18"/>
              </w:rPr>
            </w:pPr>
          </w:p>
        </w:tc>
        <w:tc>
          <w:tcPr>
            <w:tcW w:w="1119" w:type="dxa"/>
          </w:tcPr>
          <w:p w14:paraId="058EB472" w14:textId="77777777" w:rsidR="00C37FA7" w:rsidRPr="00FA1532" w:rsidRDefault="00C37FA7" w:rsidP="00784FE1">
            <w:pPr>
              <w:rPr>
                <w:rFonts w:ascii="Corbel" w:hAnsi="Corbel"/>
                <w:sz w:val="18"/>
              </w:rPr>
            </w:pPr>
          </w:p>
        </w:tc>
        <w:tc>
          <w:tcPr>
            <w:tcW w:w="836" w:type="dxa"/>
          </w:tcPr>
          <w:p w14:paraId="4EAD3E93" w14:textId="77777777" w:rsidR="00C37FA7" w:rsidRPr="00FA1532" w:rsidRDefault="00C37FA7" w:rsidP="00784FE1">
            <w:pPr>
              <w:rPr>
                <w:rFonts w:ascii="Corbel" w:hAnsi="Corbel"/>
                <w:sz w:val="18"/>
              </w:rPr>
            </w:pPr>
          </w:p>
        </w:tc>
        <w:tc>
          <w:tcPr>
            <w:tcW w:w="814" w:type="dxa"/>
          </w:tcPr>
          <w:p w14:paraId="674659FA" w14:textId="77777777" w:rsidR="00C37FA7" w:rsidRPr="00FA1532" w:rsidRDefault="00C37FA7" w:rsidP="00784FE1">
            <w:pPr>
              <w:rPr>
                <w:rFonts w:ascii="Corbel" w:hAnsi="Corbel"/>
                <w:sz w:val="18"/>
              </w:rPr>
            </w:pPr>
          </w:p>
        </w:tc>
        <w:tc>
          <w:tcPr>
            <w:tcW w:w="836" w:type="dxa"/>
          </w:tcPr>
          <w:p w14:paraId="10F6BE17" w14:textId="77777777" w:rsidR="00C37FA7" w:rsidRPr="00FA1532" w:rsidRDefault="00C37FA7" w:rsidP="00784FE1">
            <w:pPr>
              <w:rPr>
                <w:rFonts w:ascii="Corbel" w:hAnsi="Corbel"/>
                <w:sz w:val="18"/>
              </w:rPr>
            </w:pPr>
          </w:p>
        </w:tc>
        <w:tc>
          <w:tcPr>
            <w:tcW w:w="814" w:type="dxa"/>
          </w:tcPr>
          <w:p w14:paraId="64E72BE7" w14:textId="77777777" w:rsidR="00C37FA7" w:rsidRPr="00FA1532" w:rsidRDefault="00C37FA7" w:rsidP="00784FE1">
            <w:pPr>
              <w:rPr>
                <w:rFonts w:ascii="Corbel" w:hAnsi="Corbel"/>
                <w:sz w:val="18"/>
              </w:rPr>
            </w:pPr>
          </w:p>
        </w:tc>
        <w:tc>
          <w:tcPr>
            <w:tcW w:w="804" w:type="dxa"/>
          </w:tcPr>
          <w:p w14:paraId="138C3BED" w14:textId="77777777" w:rsidR="00C37FA7" w:rsidRPr="00FA1532" w:rsidRDefault="00C37FA7" w:rsidP="00784FE1">
            <w:pPr>
              <w:rPr>
                <w:rFonts w:ascii="Corbel" w:hAnsi="Corbel"/>
                <w:sz w:val="18"/>
              </w:rPr>
            </w:pPr>
          </w:p>
        </w:tc>
        <w:tc>
          <w:tcPr>
            <w:tcW w:w="814" w:type="dxa"/>
          </w:tcPr>
          <w:p w14:paraId="05E3A202" w14:textId="77777777" w:rsidR="00C37FA7" w:rsidRPr="00FA1532" w:rsidRDefault="00C37FA7" w:rsidP="00784FE1">
            <w:pPr>
              <w:rPr>
                <w:rFonts w:ascii="Corbel" w:hAnsi="Corbel"/>
                <w:sz w:val="18"/>
              </w:rPr>
            </w:pPr>
          </w:p>
        </w:tc>
      </w:tr>
      <w:tr w:rsidR="00C37FA7" w:rsidRPr="00CB021F" w14:paraId="7CDA9516" w14:textId="77777777" w:rsidTr="00784FE1">
        <w:trPr>
          <w:trHeight w:val="150"/>
        </w:trPr>
        <w:tc>
          <w:tcPr>
            <w:tcW w:w="833" w:type="dxa"/>
          </w:tcPr>
          <w:p w14:paraId="6772A1F6" w14:textId="77777777" w:rsidR="00C37FA7" w:rsidRPr="00FA1532" w:rsidRDefault="00C37FA7" w:rsidP="00784FE1">
            <w:pPr>
              <w:rPr>
                <w:rFonts w:ascii="Corbel" w:hAnsi="Corbel"/>
                <w:sz w:val="18"/>
              </w:rPr>
            </w:pPr>
          </w:p>
        </w:tc>
        <w:tc>
          <w:tcPr>
            <w:tcW w:w="1081" w:type="dxa"/>
          </w:tcPr>
          <w:p w14:paraId="33BC381B" w14:textId="77777777" w:rsidR="00C37FA7" w:rsidRPr="00FA1532" w:rsidRDefault="00C37FA7" w:rsidP="00784FE1">
            <w:pPr>
              <w:rPr>
                <w:rFonts w:ascii="Corbel" w:hAnsi="Corbel"/>
                <w:sz w:val="18"/>
              </w:rPr>
            </w:pPr>
          </w:p>
        </w:tc>
        <w:tc>
          <w:tcPr>
            <w:tcW w:w="1212" w:type="dxa"/>
          </w:tcPr>
          <w:p w14:paraId="56C12033" w14:textId="77777777" w:rsidR="00C37FA7" w:rsidRPr="00FA1532" w:rsidRDefault="00C37FA7" w:rsidP="00784FE1">
            <w:pPr>
              <w:rPr>
                <w:rFonts w:ascii="Corbel" w:hAnsi="Corbel"/>
                <w:sz w:val="18"/>
              </w:rPr>
            </w:pPr>
          </w:p>
        </w:tc>
        <w:tc>
          <w:tcPr>
            <w:tcW w:w="2775" w:type="dxa"/>
          </w:tcPr>
          <w:p w14:paraId="49FD2DCD" w14:textId="77777777" w:rsidR="00C37FA7" w:rsidRPr="00FA1532" w:rsidRDefault="00C37FA7" w:rsidP="00784FE1">
            <w:pPr>
              <w:rPr>
                <w:rFonts w:ascii="Corbel" w:hAnsi="Corbel"/>
                <w:sz w:val="18"/>
              </w:rPr>
            </w:pPr>
          </w:p>
        </w:tc>
        <w:tc>
          <w:tcPr>
            <w:tcW w:w="1526" w:type="dxa"/>
          </w:tcPr>
          <w:p w14:paraId="10D2F32F" w14:textId="77777777" w:rsidR="00C37FA7" w:rsidRPr="00A0443D" w:rsidRDefault="00C37FA7" w:rsidP="00784FE1">
            <w:pPr>
              <w:rPr>
                <w:rFonts w:ascii="Corbel" w:hAnsi="Corbel"/>
                <w:sz w:val="18"/>
              </w:rPr>
            </w:pPr>
            <w:r>
              <w:rPr>
                <w:rFonts w:ascii="Corbel" w:hAnsi="Corbel"/>
                <w:sz w:val="18"/>
              </w:rPr>
              <w:t>Y/N</w:t>
            </w:r>
          </w:p>
        </w:tc>
        <w:tc>
          <w:tcPr>
            <w:tcW w:w="2081" w:type="dxa"/>
          </w:tcPr>
          <w:p w14:paraId="07C80029" w14:textId="77777777" w:rsidR="00C37FA7" w:rsidRPr="00FA1532" w:rsidRDefault="00C37FA7" w:rsidP="00784FE1">
            <w:pPr>
              <w:rPr>
                <w:rFonts w:ascii="Corbel" w:hAnsi="Corbel"/>
                <w:sz w:val="18"/>
              </w:rPr>
            </w:pPr>
          </w:p>
        </w:tc>
        <w:tc>
          <w:tcPr>
            <w:tcW w:w="1119" w:type="dxa"/>
          </w:tcPr>
          <w:p w14:paraId="1EBACD35" w14:textId="77777777" w:rsidR="00C37FA7" w:rsidRPr="00FA1532" w:rsidRDefault="00C37FA7" w:rsidP="00784FE1">
            <w:pPr>
              <w:rPr>
                <w:rFonts w:ascii="Corbel" w:hAnsi="Corbel"/>
                <w:sz w:val="18"/>
              </w:rPr>
            </w:pPr>
          </w:p>
        </w:tc>
        <w:tc>
          <w:tcPr>
            <w:tcW w:w="836" w:type="dxa"/>
          </w:tcPr>
          <w:p w14:paraId="7F5F3973" w14:textId="77777777" w:rsidR="00C37FA7" w:rsidRPr="00FA1532" w:rsidRDefault="00C37FA7" w:rsidP="00784FE1">
            <w:pPr>
              <w:rPr>
                <w:rFonts w:ascii="Corbel" w:hAnsi="Corbel"/>
                <w:sz w:val="18"/>
              </w:rPr>
            </w:pPr>
          </w:p>
        </w:tc>
        <w:tc>
          <w:tcPr>
            <w:tcW w:w="814" w:type="dxa"/>
          </w:tcPr>
          <w:p w14:paraId="032BF0C2" w14:textId="77777777" w:rsidR="00C37FA7" w:rsidRPr="00FA1532" w:rsidRDefault="00C37FA7" w:rsidP="00784FE1">
            <w:pPr>
              <w:rPr>
                <w:rFonts w:ascii="Corbel" w:hAnsi="Corbel"/>
                <w:sz w:val="18"/>
              </w:rPr>
            </w:pPr>
          </w:p>
        </w:tc>
        <w:tc>
          <w:tcPr>
            <w:tcW w:w="836" w:type="dxa"/>
          </w:tcPr>
          <w:p w14:paraId="47BFFF3E" w14:textId="77777777" w:rsidR="00C37FA7" w:rsidRPr="00FA1532" w:rsidRDefault="00C37FA7" w:rsidP="00784FE1">
            <w:pPr>
              <w:rPr>
                <w:rFonts w:ascii="Corbel" w:hAnsi="Corbel"/>
                <w:sz w:val="18"/>
              </w:rPr>
            </w:pPr>
          </w:p>
        </w:tc>
        <w:tc>
          <w:tcPr>
            <w:tcW w:w="814" w:type="dxa"/>
          </w:tcPr>
          <w:p w14:paraId="2BAFD348" w14:textId="77777777" w:rsidR="00C37FA7" w:rsidRPr="00FA1532" w:rsidRDefault="00C37FA7" w:rsidP="00784FE1">
            <w:pPr>
              <w:rPr>
                <w:rFonts w:ascii="Corbel" w:hAnsi="Corbel"/>
                <w:sz w:val="18"/>
              </w:rPr>
            </w:pPr>
          </w:p>
        </w:tc>
        <w:tc>
          <w:tcPr>
            <w:tcW w:w="804" w:type="dxa"/>
          </w:tcPr>
          <w:p w14:paraId="13492EE6" w14:textId="77777777" w:rsidR="00C37FA7" w:rsidRPr="00FA1532" w:rsidRDefault="00C37FA7" w:rsidP="00784FE1">
            <w:pPr>
              <w:rPr>
                <w:rFonts w:ascii="Corbel" w:hAnsi="Corbel"/>
                <w:sz w:val="18"/>
              </w:rPr>
            </w:pPr>
          </w:p>
        </w:tc>
        <w:tc>
          <w:tcPr>
            <w:tcW w:w="814" w:type="dxa"/>
          </w:tcPr>
          <w:p w14:paraId="7998FACD" w14:textId="77777777" w:rsidR="00C37FA7" w:rsidRPr="00FA1532" w:rsidRDefault="00C37FA7" w:rsidP="00784FE1">
            <w:pPr>
              <w:rPr>
                <w:rFonts w:ascii="Corbel" w:hAnsi="Corbel"/>
                <w:sz w:val="18"/>
              </w:rPr>
            </w:pPr>
          </w:p>
        </w:tc>
      </w:tr>
    </w:tbl>
    <w:bookmarkEnd w:id="2"/>
    <w:bookmarkEnd w:id="3"/>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5DCF7733" w14:textId="77777777" w:rsidR="00C37FA7" w:rsidRDefault="00C37FA7" w:rsidP="00C37FA7">
      <w:pPr>
        <w:pStyle w:val="Heading1"/>
        <w:jc w:val="right"/>
      </w:pPr>
      <w:bookmarkStart w:id="4" w:name="_Hlk168403762"/>
      <w:bookmarkStart w:id="5" w:name="_Hlk168403926"/>
      <w:r>
        <w:lastRenderedPageBreak/>
        <w:t>Attachment B</w:t>
      </w:r>
    </w:p>
    <w:p w14:paraId="7B1CB518" w14:textId="77777777" w:rsidR="00C37FA7" w:rsidRDefault="00C37FA7" w:rsidP="00C37FA7">
      <w:pPr>
        <w:pStyle w:val="Heading1"/>
      </w:pPr>
      <w:r>
        <w:t>Housing Support Program – Priority Works Stream Guidelines</w:t>
      </w:r>
    </w:p>
    <w:p w14:paraId="175C4432" w14:textId="77777777" w:rsidR="00C37FA7" w:rsidRDefault="00C37FA7" w:rsidP="00C37FA7">
      <w:pPr>
        <w:widowControl/>
        <w:spacing w:after="160" w:line="259" w:lineRule="auto"/>
      </w:pPr>
    </w:p>
    <w:p w14:paraId="49B0E9FC" w14:textId="77777777" w:rsidR="00C37FA7" w:rsidRPr="00AF0556" w:rsidRDefault="00C37FA7" w:rsidP="00C37FA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230D4EC0" w14:textId="77777777" w:rsidR="00C37FA7" w:rsidRPr="00B60404" w:rsidRDefault="00C37FA7" w:rsidP="00C37FA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5092EC4C" w14:textId="77777777" w:rsidR="00C37FA7" w:rsidRPr="002810BE" w:rsidRDefault="00C37FA7" w:rsidP="00C37FA7">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2F800391" w14:textId="77777777" w:rsidR="00C37FA7" w:rsidRPr="002810BE" w:rsidRDefault="00C37FA7" w:rsidP="00C37FA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5D1590FD" w14:textId="77777777" w:rsidR="00C37FA7" w:rsidRPr="002810BE" w:rsidRDefault="00C37FA7" w:rsidP="00C37FA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1F682669" w14:textId="77777777" w:rsidR="00C37FA7" w:rsidRPr="002810BE" w:rsidRDefault="00C37FA7" w:rsidP="00C37FA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79963E37" w14:textId="77777777" w:rsidR="00C37FA7" w:rsidRPr="002810BE" w:rsidRDefault="00C37FA7" w:rsidP="00C37FA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13DDCD67" w14:textId="77777777" w:rsidR="00C37FA7" w:rsidRPr="002810BE" w:rsidRDefault="00C37FA7" w:rsidP="00C37FA7">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3F1DA0FD" w14:textId="77777777" w:rsidR="00C37FA7" w:rsidRPr="002810BE" w:rsidRDefault="00C37FA7" w:rsidP="00C37FA7">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6EB5E911" w14:textId="77777777" w:rsidR="00C37FA7" w:rsidRPr="002810BE" w:rsidRDefault="00C37FA7" w:rsidP="00C37FA7">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53BB253D" w14:textId="77777777" w:rsidR="00C37FA7" w:rsidRPr="002810BE" w:rsidRDefault="00C37FA7" w:rsidP="00C37FA7">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4D907CEF" w14:textId="77777777" w:rsidR="00C37FA7" w:rsidRPr="002810BE" w:rsidRDefault="00C37FA7" w:rsidP="00C37FA7">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3B15CC9E" w14:textId="77777777" w:rsidR="00C37FA7" w:rsidRPr="002810BE" w:rsidRDefault="00C37FA7" w:rsidP="00C37FA7">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4E57A389" w14:textId="77777777" w:rsidR="00C37FA7" w:rsidRPr="002810BE" w:rsidRDefault="00C37FA7" w:rsidP="00C37FA7">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1329AC51" w14:textId="77777777" w:rsidR="00C37FA7" w:rsidRPr="002810BE" w:rsidRDefault="00C37FA7" w:rsidP="00C37FA7">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6" w:name="Eligibility"/>
      <w:bookmarkEnd w:id="6"/>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40C46855" w14:textId="77777777" w:rsidR="00C37FA7" w:rsidRDefault="00C37FA7" w:rsidP="00C37FA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49E3549A" w14:textId="77777777" w:rsidR="00C37FA7" w:rsidRDefault="00C37FA7" w:rsidP="00C37FA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31317BFA" w14:textId="77777777" w:rsidR="00C37FA7" w:rsidRPr="00B60404" w:rsidRDefault="00C37FA7" w:rsidP="00C37FA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526DEC1A" w14:textId="77777777" w:rsidR="00C37FA7" w:rsidRPr="00F4082E" w:rsidRDefault="00C37FA7" w:rsidP="00C37FA7">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5E0789D2" w14:textId="77777777" w:rsidR="00C37FA7" w:rsidRDefault="00C37FA7" w:rsidP="00C37FA7">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623F181A" w14:textId="77777777" w:rsidR="00C37FA7" w:rsidRPr="002810BE" w:rsidRDefault="00C37FA7" w:rsidP="00C37FA7">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4"/>
    <w:p w14:paraId="298C7CFB" w14:textId="77777777" w:rsidR="00C37FA7" w:rsidRDefault="00C37FA7" w:rsidP="00C37FA7">
      <w:pPr>
        <w:widowControl/>
        <w:spacing w:after="160" w:line="259" w:lineRule="auto"/>
      </w:pPr>
    </w:p>
    <w:bookmarkEnd w:id="5"/>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641F4C7E" w14:textId="77777777" w:rsidR="00C37FA7" w:rsidRPr="000E2F34" w:rsidRDefault="00C37FA7" w:rsidP="00C37FA7">
      <w:pPr>
        <w:pStyle w:val="Heading1"/>
      </w:pPr>
      <w:bookmarkStart w:id="7" w:name="_Hlk168404860"/>
      <w:r>
        <w:t>Template Statement of Assurance</w:t>
      </w:r>
    </w:p>
    <w:p w14:paraId="1FC65D02" w14:textId="77777777" w:rsidR="00C37FA7" w:rsidRDefault="00C37FA7" w:rsidP="00C37FA7">
      <w:pPr>
        <w:pStyle w:val="Heading2"/>
      </w:pPr>
      <w:bookmarkStart w:id="8" w:name="_Hlk168404047"/>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C37FA7" w14:paraId="3A2772C0"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17EAEA66" w14:textId="77777777" w:rsidR="00C37FA7" w:rsidRDefault="00C37FA7" w:rsidP="00784FE1">
            <w:pPr>
              <w:keepNext/>
              <w:keepLines/>
              <w:rPr>
                <w:rFonts w:cstheme="minorHAnsi"/>
                <w:b/>
                <w:bCs/>
              </w:rPr>
            </w:pPr>
            <w:bookmarkStart w:id="9"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2A2F0846" w14:textId="77777777" w:rsidR="00C37FA7" w:rsidDel="00A112B0" w:rsidRDefault="00C37FA7"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695D2843" w14:textId="77777777" w:rsidR="00C37FA7" w:rsidRDefault="00C37FA7"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E9371" w14:textId="77777777" w:rsidR="00C37FA7" w:rsidRDefault="00C37FA7"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B2E9E" w14:textId="77777777" w:rsidR="00C37FA7" w:rsidRDefault="00C37FA7"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831B3" w14:textId="77777777" w:rsidR="00C37FA7" w:rsidRDefault="00C37FA7" w:rsidP="00784FE1">
            <w:pPr>
              <w:keepNext/>
              <w:keepLines/>
              <w:rPr>
                <w:rFonts w:cstheme="minorHAnsi"/>
                <w:b/>
                <w:bCs/>
              </w:rPr>
            </w:pPr>
            <w:r>
              <w:rPr>
                <w:rFonts w:cstheme="minorHAnsi"/>
                <w:b/>
                <w:bCs/>
              </w:rPr>
              <w:t>Metrics - by LGA</w:t>
            </w:r>
          </w:p>
        </w:tc>
      </w:tr>
      <w:tr w:rsidR="00C37FA7" w14:paraId="3135FB22"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1669F79C" w14:textId="77777777" w:rsidR="00C37FA7" w:rsidRDefault="00C37FA7"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7A4CD690" w14:textId="77777777" w:rsidR="00C37FA7" w:rsidRDefault="00C37FA7"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70D049AC" w14:textId="77777777" w:rsidR="00C37FA7" w:rsidRDefault="00C37FA7"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732F7" w14:textId="77777777" w:rsidR="00C37FA7" w:rsidRDefault="00C37FA7"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5ADB5E" w14:textId="77777777" w:rsidR="00C37FA7" w:rsidRDefault="00C37FA7"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E4A03" w14:textId="77777777" w:rsidR="00C37FA7" w:rsidRDefault="00C37FA7"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A4883" w14:textId="77777777" w:rsidR="00C37FA7" w:rsidRDefault="00C37FA7"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CA801" w14:textId="77777777" w:rsidR="00C37FA7" w:rsidRDefault="00C37FA7"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5DCBF" w14:textId="77777777" w:rsidR="00C37FA7" w:rsidRDefault="00C37FA7"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24F92" w14:textId="77777777" w:rsidR="00C37FA7" w:rsidRDefault="00C37FA7"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3791E" w14:textId="77777777" w:rsidR="00C37FA7" w:rsidRDefault="00C37FA7"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A4F03" w14:textId="77777777" w:rsidR="00C37FA7" w:rsidRDefault="00C37FA7" w:rsidP="00784FE1">
            <w:pPr>
              <w:keepNext/>
              <w:keepLines/>
              <w:rPr>
                <w:rFonts w:cstheme="minorHAnsi"/>
                <w:b/>
                <w:bCs/>
              </w:rPr>
            </w:pPr>
            <w:r>
              <w:rPr>
                <w:rFonts w:cstheme="minorHAnsi"/>
                <w:b/>
                <w:bCs/>
              </w:rPr>
              <w:t>Number of people housed in social and affordable housing</w:t>
            </w:r>
          </w:p>
        </w:tc>
      </w:tr>
      <w:tr w:rsidR="00C37FA7" w14:paraId="662F98C5"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7EF02768" w14:textId="77777777" w:rsidR="00C37FA7" w:rsidRDefault="00C37FA7"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5E24BBBD" w14:textId="77777777" w:rsidR="00C37FA7" w:rsidRDefault="00C37FA7"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42431E59" w14:textId="77777777" w:rsidR="00C37FA7" w:rsidRDefault="00C37FA7"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23F00A42" w14:textId="77777777" w:rsidR="00C37FA7" w:rsidRDefault="00C37FA7"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4AC65C38" w14:textId="77777777" w:rsidR="00C37FA7" w:rsidRDefault="00C37FA7"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36CCACCE" w14:textId="77777777" w:rsidR="00C37FA7" w:rsidRDefault="00C37FA7"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650E3A38" w14:textId="77777777" w:rsidR="00C37FA7" w:rsidRDefault="00C37FA7"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6DDC58F2" w14:textId="77777777" w:rsidR="00C37FA7" w:rsidRDefault="00C37FA7"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394D3D9E" w14:textId="77777777" w:rsidR="00C37FA7" w:rsidRDefault="00C37FA7"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63419A0F" w14:textId="77777777" w:rsidR="00C37FA7" w:rsidRDefault="00C37FA7"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66C00C1C" w14:textId="77777777" w:rsidR="00C37FA7" w:rsidRDefault="00C37FA7"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709D8621" w14:textId="77777777" w:rsidR="00C37FA7" w:rsidRDefault="00C37FA7" w:rsidP="00784FE1">
            <w:pPr>
              <w:keepNext/>
              <w:keepLines/>
              <w:rPr>
                <w:rFonts w:cstheme="minorHAnsi"/>
                <w:i/>
                <w:iCs/>
              </w:rPr>
            </w:pPr>
          </w:p>
        </w:tc>
      </w:tr>
      <w:bookmarkEnd w:id="7"/>
      <w:bookmarkEnd w:id="8"/>
      <w:bookmarkEnd w:id="9"/>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69811E62" w14:textId="77777777" w:rsidR="00C37FA7" w:rsidRPr="00FA1532" w:rsidRDefault="00C37FA7">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0922"/>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3687"/>
    <w:rsid w:val="002F4F66"/>
    <w:rsid w:val="002F51AC"/>
    <w:rsid w:val="003034C4"/>
    <w:rsid w:val="00304097"/>
    <w:rsid w:val="00305C53"/>
    <w:rsid w:val="00307FBB"/>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2119"/>
    <w:rsid w:val="003C38E9"/>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60D86"/>
    <w:rsid w:val="0046588F"/>
    <w:rsid w:val="00466418"/>
    <w:rsid w:val="004706B8"/>
    <w:rsid w:val="0047091D"/>
    <w:rsid w:val="00470F45"/>
    <w:rsid w:val="004710A9"/>
    <w:rsid w:val="004717C2"/>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2065"/>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2F3C"/>
    <w:rsid w:val="006830D3"/>
    <w:rsid w:val="006845CD"/>
    <w:rsid w:val="00691707"/>
    <w:rsid w:val="00691DFC"/>
    <w:rsid w:val="0069235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00DC"/>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64D4"/>
    <w:rsid w:val="00B60404"/>
    <w:rsid w:val="00B616E7"/>
    <w:rsid w:val="00B617D9"/>
    <w:rsid w:val="00B62444"/>
    <w:rsid w:val="00B627D1"/>
    <w:rsid w:val="00B63981"/>
    <w:rsid w:val="00B63CE4"/>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37FA7"/>
    <w:rsid w:val="00C46199"/>
    <w:rsid w:val="00C5118F"/>
    <w:rsid w:val="00C62676"/>
    <w:rsid w:val="00C669D4"/>
    <w:rsid w:val="00C704D2"/>
    <w:rsid w:val="00C71870"/>
    <w:rsid w:val="00C71C5B"/>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DB6"/>
    <w:rsid w:val="00D00CAA"/>
    <w:rsid w:val="00D0278D"/>
    <w:rsid w:val="00D04B47"/>
    <w:rsid w:val="00D05402"/>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45EF0"/>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9362">
      <w:bodyDiv w:val="1"/>
      <w:marLeft w:val="0"/>
      <w:marRight w:val="0"/>
      <w:marTop w:val="0"/>
      <w:marBottom w:val="0"/>
      <w:divBdr>
        <w:top w:val="none" w:sz="0" w:space="0" w:color="auto"/>
        <w:left w:val="none" w:sz="0" w:space="0" w:color="auto"/>
        <w:bottom w:val="none" w:sz="0" w:space="0" w:color="auto"/>
        <w:right w:val="none" w:sz="0" w:space="0" w:color="auto"/>
      </w:divBdr>
    </w:div>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2.xml><?xml version="1.0" encoding="utf-8"?>
<ds:datastoreItem xmlns:ds="http://schemas.openxmlformats.org/officeDocument/2006/customXml" ds:itemID="{FFD900B8-6070-407E-B433-89E316A15907}">
  <ds:schemaRefs>
    <ds:schemaRef ds:uri="http://schemas.microsoft.com/office/infopath/2007/PartnerControls"/>
    <ds:schemaRef ds:uri="http://purl.org/dc/elements/1.1/"/>
    <ds:schemaRef ds:uri="http://schemas.microsoft.com/office/2006/metadata/properties"/>
    <ds:schemaRef ds:uri="fe39d773-a83d-4623-ae74-f25711a76616"/>
    <ds:schemaRef ds:uri="http://purl.org/dc/terms/"/>
    <ds:schemaRef ds:uri="http://schemas.openxmlformats.org/package/2006/metadata/core-properties"/>
    <ds:schemaRef ds:uri="http://schemas.microsoft.com/office/2006/documentManagement/types"/>
    <ds:schemaRef ds:uri="66d6b57a-8878-449b-bf18-cbec9d2d9c49"/>
    <ds:schemaRef ds:uri="8a0f7cc3-c266-472c-a05b-c6f864bb8450"/>
    <ds:schemaRef ds:uri="http://www.w3.org/XML/1998/namespace"/>
    <ds:schemaRef ds:uri="http://purl.org/dc/dcmitype/"/>
  </ds:schemaRefs>
</ds:datastoreItem>
</file>

<file path=customXml/itemProps3.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5.xml><?xml version="1.0" encoding="utf-8"?>
<ds:datastoreItem xmlns:ds="http://schemas.openxmlformats.org/officeDocument/2006/customXml" ds:itemID="{DC8EB3D2-7090-4761-9432-63B04C88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15591</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2024-06-19T23:16:00Z</dcterms:created>
  <dcterms:modified xsi:type="dcterms:W3CDTF">2024-06-19T23:16:00Z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