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888A" w14:textId="77777777" w:rsidR="00FC62D9" w:rsidRDefault="00FC62D9"/>
    <w:p w14:paraId="2DBDE70F" w14:textId="77777777"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6955E484" w14:textId="7BF11636" w:rsidR="00C91B5F" w:rsidRPr="001E20F4" w:rsidRDefault="00416232" w:rsidP="00C91B5F">
      <w:pPr>
        <w:pStyle w:val="Title"/>
      </w:pPr>
      <w:r>
        <w:t xml:space="preserve">University of Tasmania Stadium </w:t>
      </w:r>
      <w:r w:rsidR="001F12BA">
        <w:t>Redevelopment Project</w:t>
      </w:r>
    </w:p>
    <w:p w14:paraId="1F2C9364" w14:textId="77777777" w:rsidR="00C91B5F" w:rsidRPr="00BE249A" w:rsidRDefault="00D54783" w:rsidP="00C91B5F">
      <w:pPr>
        <w:pStyle w:val="Subtitle"/>
      </w:pPr>
      <w:r>
        <w:t xml:space="preserve">FEDERATION FUNDING AGREEMENT – </w:t>
      </w:r>
      <w:r w:rsidR="00CB2ED7">
        <w:t>INFRASTRUCTURE</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2CE4B13" w14:textId="77777777" w:rsidTr="00FC62D9">
        <w:tc>
          <w:tcPr>
            <w:tcW w:w="9629" w:type="dxa"/>
            <w:gridSpan w:val="2"/>
            <w:shd w:val="clear" w:color="auto" w:fill="DEEAF6" w:themeFill="accent1" w:themeFillTint="33"/>
          </w:tcPr>
          <w:p w14:paraId="0C1F2B56" w14:textId="77777777" w:rsidR="00C91B5F" w:rsidRPr="00F00A18" w:rsidRDefault="00C91B5F" w:rsidP="00FC62D9">
            <w:pPr>
              <w:pStyle w:val="Tableformat"/>
              <w:rPr>
                <w:b/>
                <w:color w:val="auto"/>
              </w:rPr>
            </w:pPr>
            <w:r w:rsidRPr="00F00A18">
              <w:rPr>
                <w:b/>
                <w:color w:val="auto"/>
              </w:rPr>
              <w:t>Table 1: Formalities and operation of schedule</w:t>
            </w:r>
          </w:p>
        </w:tc>
      </w:tr>
      <w:tr w:rsidR="00C91B5F" w:rsidRPr="00F00A18" w14:paraId="365AF615" w14:textId="77777777" w:rsidTr="00317FB3">
        <w:tc>
          <w:tcPr>
            <w:tcW w:w="1691" w:type="dxa"/>
            <w:shd w:val="clear" w:color="auto" w:fill="auto"/>
          </w:tcPr>
          <w:p w14:paraId="5F22E0A8" w14:textId="77777777" w:rsidR="00C91B5F" w:rsidRPr="00F00A18" w:rsidRDefault="00C91B5F" w:rsidP="00FC62D9">
            <w:pPr>
              <w:pStyle w:val="Tableformat"/>
              <w:rPr>
                <w:color w:val="auto"/>
              </w:rPr>
            </w:pPr>
            <w:r w:rsidRPr="00F00A18">
              <w:rPr>
                <w:color w:val="auto"/>
              </w:rPr>
              <w:t>Parties</w:t>
            </w:r>
          </w:p>
        </w:tc>
        <w:tc>
          <w:tcPr>
            <w:tcW w:w="7938" w:type="dxa"/>
            <w:shd w:val="clear" w:color="auto" w:fill="auto"/>
          </w:tcPr>
          <w:p w14:paraId="5811752E" w14:textId="77777777" w:rsidR="00C91B5F" w:rsidRPr="00F00A18" w:rsidRDefault="00C91B5F" w:rsidP="00FC62D9">
            <w:pPr>
              <w:pStyle w:val="Tableformat"/>
              <w:rPr>
                <w:color w:val="auto"/>
              </w:rPr>
            </w:pPr>
            <w:r w:rsidRPr="00F00A18">
              <w:rPr>
                <w:color w:val="auto"/>
              </w:rPr>
              <w:t>Commonwealth</w:t>
            </w:r>
          </w:p>
          <w:p w14:paraId="30C951FC" w14:textId="77777777" w:rsidR="00C91B5F" w:rsidRPr="00F00A18" w:rsidRDefault="00E55B2A" w:rsidP="00FC62D9">
            <w:pPr>
              <w:pStyle w:val="Tableformat"/>
              <w:rPr>
                <w:color w:val="auto"/>
              </w:rPr>
            </w:pPr>
            <w:r>
              <w:rPr>
                <w:color w:val="auto"/>
              </w:rPr>
              <w:t>Tasmania</w:t>
            </w:r>
            <w:r w:rsidR="00C91B5F" w:rsidRPr="00F00A18">
              <w:rPr>
                <w:color w:val="auto"/>
              </w:rPr>
              <w:t xml:space="preserve"> </w:t>
            </w:r>
          </w:p>
        </w:tc>
      </w:tr>
      <w:tr w:rsidR="00C91B5F" w:rsidRPr="00F00A18" w14:paraId="3BE1E096" w14:textId="77777777" w:rsidTr="00317FB3">
        <w:tc>
          <w:tcPr>
            <w:tcW w:w="1691" w:type="dxa"/>
            <w:shd w:val="clear" w:color="auto" w:fill="auto"/>
          </w:tcPr>
          <w:p w14:paraId="5A9F4CAF" w14:textId="77777777" w:rsidR="00C91B5F" w:rsidRPr="00F00A18" w:rsidRDefault="00C91B5F" w:rsidP="00FC62D9">
            <w:pPr>
              <w:pStyle w:val="Tableformat"/>
              <w:rPr>
                <w:color w:val="auto"/>
              </w:rPr>
            </w:pPr>
            <w:r w:rsidRPr="00F00A18">
              <w:rPr>
                <w:color w:val="auto"/>
              </w:rPr>
              <w:t>Duration</w:t>
            </w:r>
          </w:p>
        </w:tc>
        <w:tc>
          <w:tcPr>
            <w:tcW w:w="7938" w:type="dxa"/>
            <w:shd w:val="clear" w:color="auto" w:fill="auto"/>
          </w:tcPr>
          <w:p w14:paraId="2C4DB33C" w14:textId="77777777" w:rsidR="00C91B5F" w:rsidRPr="00F00A18" w:rsidRDefault="00C91B5F" w:rsidP="00FC62D9">
            <w:pPr>
              <w:pStyle w:val="Tableformat"/>
              <w:rPr>
                <w:color w:val="auto"/>
              </w:rPr>
            </w:pPr>
            <w:r w:rsidRPr="00F00A18">
              <w:rPr>
                <w:color w:val="auto"/>
              </w:rPr>
              <w:t xml:space="preserve">This Schedule is expected to expire on </w:t>
            </w:r>
            <w:r w:rsidR="001F12BA" w:rsidRPr="00B26E27">
              <w:rPr>
                <w:color w:val="auto"/>
              </w:rPr>
              <w:t>30 June</w:t>
            </w:r>
            <w:r w:rsidR="008F41C3" w:rsidRPr="00B26E27">
              <w:rPr>
                <w:color w:val="auto"/>
              </w:rPr>
              <w:t xml:space="preserve"> </w:t>
            </w:r>
            <w:r w:rsidR="00E55B2A" w:rsidRPr="00B26E27">
              <w:rPr>
                <w:color w:val="auto"/>
              </w:rPr>
              <w:t>202</w:t>
            </w:r>
            <w:r w:rsidR="008F41C3" w:rsidRPr="00B26E27">
              <w:rPr>
                <w:color w:val="auto"/>
              </w:rPr>
              <w:t>8</w:t>
            </w:r>
            <w:r w:rsidR="00862DFF" w:rsidRPr="00B26E27">
              <w:rPr>
                <w:color w:val="auto"/>
              </w:rPr>
              <w:t>,</w:t>
            </w:r>
            <w:r w:rsidR="00B559D2" w:rsidRPr="00B26E27">
              <w:rPr>
                <w:color w:val="auto"/>
              </w:rPr>
              <w:t xml:space="preserve"> </w:t>
            </w:r>
            <w:r w:rsidR="00B559D2" w:rsidRPr="00B559D2">
              <w:rPr>
                <w:color w:val="auto"/>
              </w:rPr>
              <w:t>or on completion of the project, including final performance reporting and processing of final payments against milestones.</w:t>
            </w:r>
          </w:p>
        </w:tc>
      </w:tr>
      <w:tr w:rsidR="00C91B5F" w:rsidRPr="00F00A18" w14:paraId="719F120E" w14:textId="77777777" w:rsidTr="00317FB3">
        <w:tc>
          <w:tcPr>
            <w:tcW w:w="1691" w:type="dxa"/>
            <w:shd w:val="clear" w:color="auto" w:fill="auto"/>
          </w:tcPr>
          <w:p w14:paraId="6371A186" w14:textId="77777777" w:rsidR="00C91B5F" w:rsidRPr="00F00A18" w:rsidRDefault="00C91B5F" w:rsidP="00FC62D9">
            <w:pPr>
              <w:pStyle w:val="Tableformat"/>
              <w:rPr>
                <w:color w:val="auto"/>
              </w:rPr>
            </w:pPr>
            <w:r w:rsidRPr="00F00A18">
              <w:rPr>
                <w:color w:val="auto"/>
              </w:rPr>
              <w:t>Purpose</w:t>
            </w:r>
          </w:p>
        </w:tc>
        <w:tc>
          <w:tcPr>
            <w:tcW w:w="7938" w:type="dxa"/>
            <w:shd w:val="clear" w:color="auto" w:fill="auto"/>
          </w:tcPr>
          <w:p w14:paraId="194E7304" w14:textId="77777777" w:rsidR="00C91B5F" w:rsidRPr="00F00A18" w:rsidRDefault="00C91B5F" w:rsidP="00FC62D9">
            <w:pPr>
              <w:pStyle w:val="Tableformat"/>
              <w:rPr>
                <w:color w:val="auto"/>
              </w:rPr>
            </w:pPr>
            <w:r w:rsidRPr="00F00A18">
              <w:rPr>
                <w:color w:val="auto"/>
              </w:rPr>
              <w:t xml:space="preserve">This Schedule will support the </w:t>
            </w:r>
            <w:r w:rsidR="00E55B2A">
              <w:rPr>
                <w:color w:val="auto"/>
              </w:rPr>
              <w:t xml:space="preserve">University of Tasmania </w:t>
            </w:r>
            <w:r w:rsidR="00344B89">
              <w:rPr>
                <w:color w:val="auto"/>
              </w:rPr>
              <w:t xml:space="preserve">(UTAS) </w:t>
            </w:r>
            <w:r w:rsidR="00E55B2A">
              <w:rPr>
                <w:color w:val="auto"/>
              </w:rPr>
              <w:t xml:space="preserve">Stadium </w:t>
            </w:r>
            <w:r w:rsidR="002C37FD">
              <w:rPr>
                <w:color w:val="auto"/>
              </w:rPr>
              <w:t xml:space="preserve">Redevelopment Project </w:t>
            </w:r>
            <w:r w:rsidR="00E55B2A">
              <w:rPr>
                <w:color w:val="auto"/>
              </w:rPr>
              <w:t>in Launceston.</w:t>
            </w:r>
          </w:p>
        </w:tc>
      </w:tr>
      <w:tr w:rsidR="00C91B5F" w:rsidRPr="00F00A18" w14:paraId="3EC57418" w14:textId="77777777" w:rsidTr="00B229FB">
        <w:trPr>
          <w:trHeight w:val="3434"/>
        </w:trPr>
        <w:tc>
          <w:tcPr>
            <w:tcW w:w="1691" w:type="dxa"/>
            <w:shd w:val="clear" w:color="auto" w:fill="auto"/>
          </w:tcPr>
          <w:p w14:paraId="7E84865D" w14:textId="77777777" w:rsidR="00C91B5F" w:rsidRPr="00F00A18" w:rsidRDefault="00C91B5F" w:rsidP="00FC62D9">
            <w:pPr>
              <w:pStyle w:val="Tableformat"/>
              <w:rPr>
                <w:color w:val="auto"/>
              </w:rPr>
            </w:pPr>
            <w:r w:rsidRPr="00F00A18">
              <w:rPr>
                <w:color w:val="auto"/>
              </w:rPr>
              <w:t>Estimated financial contributions</w:t>
            </w:r>
          </w:p>
        </w:tc>
        <w:tc>
          <w:tcPr>
            <w:tcW w:w="7938" w:type="dxa"/>
            <w:shd w:val="clear" w:color="auto" w:fill="auto"/>
          </w:tcPr>
          <w:p w14:paraId="4E171477" w14:textId="3F93F4D5" w:rsidR="006D5125" w:rsidRDefault="005D5588" w:rsidP="0060403C">
            <w:pPr>
              <w:pStyle w:val="Tableformat"/>
              <w:rPr>
                <w:color w:val="auto"/>
              </w:rPr>
            </w:pPr>
            <w:r w:rsidRPr="00C04BC4">
              <w:rPr>
                <w:color w:val="auto"/>
              </w:rPr>
              <w:t>The</w:t>
            </w:r>
            <w:r w:rsidR="00C91B5F" w:rsidRPr="00F00A18">
              <w:rPr>
                <w:color w:val="auto"/>
              </w:rPr>
              <w:t xml:space="preserve"> Commonwealth will provide </w:t>
            </w:r>
            <w:r w:rsidR="005C7D86">
              <w:rPr>
                <w:color w:val="auto"/>
              </w:rPr>
              <w:t>an estimate</w:t>
            </w:r>
            <w:r w:rsidR="00766680">
              <w:rPr>
                <w:color w:val="auto"/>
              </w:rPr>
              <w:t>d</w:t>
            </w:r>
            <w:r w:rsidR="00C91B5F" w:rsidRPr="00F00A18">
              <w:rPr>
                <w:color w:val="auto"/>
              </w:rPr>
              <w:t xml:space="preserve"> total financial contribution to</w:t>
            </w:r>
            <w:r w:rsidR="00766680">
              <w:rPr>
                <w:color w:val="auto"/>
              </w:rPr>
              <w:t xml:space="preserve"> </w:t>
            </w:r>
            <w:r w:rsidR="003D1FEC">
              <w:rPr>
                <w:color w:val="auto"/>
              </w:rPr>
              <w:t>Tasmania</w:t>
            </w:r>
            <w:r w:rsidR="00766680">
              <w:rPr>
                <w:color w:val="auto"/>
              </w:rPr>
              <w:t xml:space="preserve"> of</w:t>
            </w:r>
            <w:r w:rsidR="00C91B5F" w:rsidRPr="00F00A18">
              <w:rPr>
                <w:color w:val="auto"/>
              </w:rPr>
              <w:t xml:space="preserve"> $</w:t>
            </w:r>
            <w:r w:rsidR="0010370A">
              <w:rPr>
                <w:color w:val="auto"/>
              </w:rPr>
              <w:t>65</w:t>
            </w:r>
            <w:r w:rsidR="00E55B2A">
              <w:rPr>
                <w:color w:val="auto"/>
              </w:rPr>
              <w:t>.0</w:t>
            </w:r>
            <w:r w:rsidR="00A15483">
              <w:rPr>
                <w:color w:val="auto"/>
              </w:rPr>
              <w:t>m</w:t>
            </w:r>
            <w:r w:rsidR="00C91B5F" w:rsidRPr="00F00A18">
              <w:rPr>
                <w:color w:val="auto"/>
              </w:rPr>
              <w:t xml:space="preserve"> in respect of this Schedule.</w:t>
            </w:r>
            <w:r w:rsidR="002031B8">
              <w:rPr>
                <w:color w:val="auto"/>
              </w:rPr>
              <w:t xml:space="preserve"> </w:t>
            </w:r>
          </w:p>
          <w:p w14:paraId="183D19D0" w14:textId="2A2475E2" w:rsidR="006D5125" w:rsidRDefault="00660C22" w:rsidP="0060403C">
            <w:pPr>
              <w:pStyle w:val="Tableformat"/>
              <w:rPr>
                <w:color w:val="auto"/>
              </w:rPr>
            </w:pPr>
            <w:r w:rsidRPr="00C04BC4">
              <w:rPr>
                <w:noProof/>
                <w:color w:val="auto"/>
              </w:rPr>
              <mc:AlternateContent>
                <mc:Choice Requires="wps">
                  <w:drawing>
                    <wp:anchor distT="45720" distB="45720" distL="114300" distR="114300" simplePos="0" relativeHeight="251657216" behindDoc="0" locked="0" layoutInCell="1" allowOverlap="1" wp14:anchorId="48EB322D" wp14:editId="3F0B40ED">
                      <wp:simplePos x="0" y="0"/>
                      <wp:positionH relativeFrom="column">
                        <wp:posOffset>-62230</wp:posOffset>
                      </wp:positionH>
                      <wp:positionV relativeFrom="paragraph">
                        <wp:posOffset>403860</wp:posOffset>
                      </wp:positionV>
                      <wp:extent cx="4846320" cy="2423160"/>
                      <wp:effectExtent l="0" t="0" r="0"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423160"/>
                              </a:xfrm>
                              <a:prstGeom prst="rect">
                                <a:avLst/>
                              </a:prstGeom>
                              <a:solidFill>
                                <a:srgbClr val="FFFFFF"/>
                              </a:solidFill>
                              <a:ln w="9525">
                                <a:noFill/>
                                <a:miter lim="800000"/>
                                <a:headEnd/>
                                <a:tailEnd/>
                              </a:ln>
                            </wps:spPr>
                            <wps:txbx>
                              <w:txbxContent>
                                <w:tbl>
                                  <w:tblPr>
                                    <w:tblW w:w="7371" w:type="dxa"/>
                                    <w:tblLayout w:type="fixed"/>
                                    <w:tblLook w:val="01E0" w:firstRow="1" w:lastRow="1" w:firstColumn="1" w:lastColumn="1" w:noHBand="0" w:noVBand="0"/>
                                  </w:tblPr>
                                  <w:tblGrid>
                                    <w:gridCol w:w="1560"/>
                                    <w:gridCol w:w="992"/>
                                    <w:gridCol w:w="992"/>
                                    <w:gridCol w:w="992"/>
                                    <w:gridCol w:w="993"/>
                                    <w:gridCol w:w="992"/>
                                    <w:gridCol w:w="850"/>
                                  </w:tblGrid>
                                  <w:tr w:rsidR="00B837A3" w:rsidRPr="00416232" w14:paraId="3B81A9CB" w14:textId="77777777" w:rsidTr="00C04BC4">
                                    <w:trPr>
                                      <w:cantSplit/>
                                    </w:trPr>
                                    <w:tc>
                                      <w:tcPr>
                                        <w:tcW w:w="1560" w:type="dxa"/>
                                        <w:tcBorders>
                                          <w:top w:val="single" w:sz="4" w:space="0" w:color="000080"/>
                                          <w:bottom w:val="single" w:sz="4" w:space="0" w:color="000080"/>
                                        </w:tcBorders>
                                      </w:tcPr>
                                      <w:p w14:paraId="0C19BE47" w14:textId="77777777" w:rsidR="00861DC2" w:rsidRPr="00AB7937" w:rsidRDefault="00861DC2" w:rsidP="00FC62D9">
                                        <w:pPr>
                                          <w:keepNext/>
                                          <w:keepLines/>
                                          <w:spacing w:before="40" w:after="40"/>
                                          <w:ind w:left="-111"/>
                                          <w:rPr>
                                            <w:b/>
                                            <w:sz w:val="21"/>
                                            <w:szCs w:val="21"/>
                                          </w:rPr>
                                        </w:pPr>
                                        <w:r w:rsidRPr="00AB7937">
                                          <w:rPr>
                                            <w:b/>
                                            <w:sz w:val="21"/>
                                            <w:szCs w:val="21"/>
                                          </w:rPr>
                                          <w:t>Table 1</w:t>
                                        </w:r>
                                      </w:p>
                                      <w:p w14:paraId="52A558FF" w14:textId="77777777" w:rsidR="00861DC2" w:rsidRPr="00AB7937" w:rsidRDefault="00861DC2" w:rsidP="00FC62D9">
                                        <w:pPr>
                                          <w:keepNext/>
                                          <w:keepLines/>
                                          <w:spacing w:before="40" w:after="40"/>
                                          <w:ind w:left="-111"/>
                                          <w:rPr>
                                            <w:b/>
                                            <w:sz w:val="21"/>
                                            <w:szCs w:val="21"/>
                                          </w:rPr>
                                        </w:pPr>
                                        <w:r w:rsidRPr="00AB7937">
                                          <w:rPr>
                                            <w:b/>
                                            <w:sz w:val="21"/>
                                            <w:szCs w:val="21"/>
                                          </w:rPr>
                                          <w:t>($ million)</w:t>
                                        </w:r>
                                      </w:p>
                                    </w:tc>
                                    <w:tc>
                                      <w:tcPr>
                                        <w:tcW w:w="992" w:type="dxa"/>
                                        <w:tcBorders>
                                          <w:top w:val="single" w:sz="4" w:space="0" w:color="000080"/>
                                          <w:bottom w:val="single" w:sz="4" w:space="0" w:color="000080"/>
                                        </w:tcBorders>
                                      </w:tcPr>
                                      <w:p w14:paraId="2C54191D" w14:textId="77777777" w:rsidR="00861DC2" w:rsidRPr="00AB7937" w:rsidRDefault="00861DC2" w:rsidP="00FC62D9">
                                        <w:pPr>
                                          <w:keepNext/>
                                          <w:keepLines/>
                                          <w:spacing w:before="40" w:after="40"/>
                                          <w:jc w:val="right"/>
                                          <w:rPr>
                                            <w:b/>
                                            <w:sz w:val="21"/>
                                            <w:szCs w:val="21"/>
                                          </w:rPr>
                                        </w:pPr>
                                      </w:p>
                                      <w:p w14:paraId="31542548" w14:textId="77777777" w:rsidR="00861DC2" w:rsidRPr="00AB7937" w:rsidRDefault="00861DC2" w:rsidP="00FC62D9">
                                        <w:pPr>
                                          <w:keepNext/>
                                          <w:keepLines/>
                                          <w:spacing w:before="40" w:after="40"/>
                                          <w:jc w:val="right"/>
                                          <w:rPr>
                                            <w:b/>
                                            <w:sz w:val="21"/>
                                            <w:szCs w:val="21"/>
                                          </w:rPr>
                                        </w:pPr>
                                        <w:r w:rsidRPr="00AB7937">
                                          <w:rPr>
                                            <w:b/>
                                            <w:sz w:val="21"/>
                                            <w:szCs w:val="21"/>
                                          </w:rPr>
                                          <w:t>2023-24</w:t>
                                        </w:r>
                                      </w:p>
                                    </w:tc>
                                    <w:tc>
                                      <w:tcPr>
                                        <w:tcW w:w="992" w:type="dxa"/>
                                        <w:tcBorders>
                                          <w:top w:val="single" w:sz="4" w:space="0" w:color="000080"/>
                                          <w:bottom w:val="single" w:sz="4" w:space="0" w:color="000080"/>
                                        </w:tcBorders>
                                      </w:tcPr>
                                      <w:p w14:paraId="04271A65" w14:textId="77777777" w:rsidR="00861DC2" w:rsidRPr="00AB7937" w:rsidRDefault="00861DC2" w:rsidP="00FC62D9">
                                        <w:pPr>
                                          <w:keepNext/>
                                          <w:keepLines/>
                                          <w:spacing w:before="40" w:after="40"/>
                                          <w:jc w:val="right"/>
                                          <w:rPr>
                                            <w:b/>
                                            <w:sz w:val="21"/>
                                            <w:szCs w:val="21"/>
                                          </w:rPr>
                                        </w:pPr>
                                      </w:p>
                                      <w:p w14:paraId="6B2C42FF" w14:textId="77777777" w:rsidR="00861DC2" w:rsidRPr="00AB7937" w:rsidRDefault="00861DC2" w:rsidP="00FC62D9">
                                        <w:pPr>
                                          <w:keepNext/>
                                          <w:keepLines/>
                                          <w:spacing w:before="40" w:after="40"/>
                                          <w:jc w:val="right"/>
                                          <w:rPr>
                                            <w:b/>
                                            <w:sz w:val="21"/>
                                            <w:szCs w:val="21"/>
                                          </w:rPr>
                                        </w:pPr>
                                        <w:r w:rsidRPr="00AB7937">
                                          <w:rPr>
                                            <w:b/>
                                            <w:sz w:val="21"/>
                                            <w:szCs w:val="21"/>
                                          </w:rPr>
                                          <w:t>2024-25</w:t>
                                        </w:r>
                                      </w:p>
                                    </w:tc>
                                    <w:tc>
                                      <w:tcPr>
                                        <w:tcW w:w="992" w:type="dxa"/>
                                        <w:tcBorders>
                                          <w:top w:val="single" w:sz="4" w:space="0" w:color="000080"/>
                                          <w:bottom w:val="single" w:sz="4" w:space="0" w:color="000080"/>
                                        </w:tcBorders>
                                      </w:tcPr>
                                      <w:p w14:paraId="1C131438" w14:textId="77777777" w:rsidR="00861DC2" w:rsidRPr="00AB7937" w:rsidRDefault="00861DC2" w:rsidP="00FC62D9">
                                        <w:pPr>
                                          <w:keepNext/>
                                          <w:keepLines/>
                                          <w:spacing w:before="40" w:after="40"/>
                                          <w:jc w:val="right"/>
                                          <w:rPr>
                                            <w:b/>
                                            <w:sz w:val="21"/>
                                            <w:szCs w:val="21"/>
                                          </w:rPr>
                                        </w:pPr>
                                      </w:p>
                                      <w:p w14:paraId="22FB6B42" w14:textId="77777777" w:rsidR="00861DC2" w:rsidRPr="00AB7937" w:rsidRDefault="00861DC2" w:rsidP="00FC62D9">
                                        <w:pPr>
                                          <w:keepNext/>
                                          <w:keepLines/>
                                          <w:spacing w:before="40" w:after="40"/>
                                          <w:jc w:val="right"/>
                                          <w:rPr>
                                            <w:b/>
                                            <w:sz w:val="21"/>
                                            <w:szCs w:val="21"/>
                                          </w:rPr>
                                        </w:pPr>
                                        <w:r w:rsidRPr="00AB7937">
                                          <w:rPr>
                                            <w:b/>
                                            <w:sz w:val="21"/>
                                            <w:szCs w:val="21"/>
                                          </w:rPr>
                                          <w:t>2025-26</w:t>
                                        </w:r>
                                      </w:p>
                                    </w:tc>
                                    <w:tc>
                                      <w:tcPr>
                                        <w:tcW w:w="993" w:type="dxa"/>
                                        <w:tcBorders>
                                          <w:top w:val="single" w:sz="4" w:space="0" w:color="000080"/>
                                          <w:bottom w:val="single" w:sz="4" w:space="0" w:color="000080"/>
                                        </w:tcBorders>
                                      </w:tcPr>
                                      <w:p w14:paraId="224E7E52" w14:textId="77777777" w:rsidR="00861DC2" w:rsidRPr="00AB7937" w:rsidRDefault="00861DC2" w:rsidP="00FC62D9">
                                        <w:pPr>
                                          <w:keepNext/>
                                          <w:keepLines/>
                                          <w:spacing w:before="40" w:after="40"/>
                                          <w:jc w:val="right"/>
                                          <w:rPr>
                                            <w:b/>
                                            <w:sz w:val="21"/>
                                            <w:szCs w:val="21"/>
                                          </w:rPr>
                                        </w:pPr>
                                      </w:p>
                                      <w:p w14:paraId="3850E43C" w14:textId="77777777" w:rsidR="00861DC2" w:rsidRPr="00AB7937" w:rsidRDefault="00861DC2" w:rsidP="00FC62D9">
                                        <w:pPr>
                                          <w:keepNext/>
                                          <w:keepLines/>
                                          <w:spacing w:before="40" w:after="40"/>
                                          <w:jc w:val="right"/>
                                          <w:rPr>
                                            <w:b/>
                                            <w:sz w:val="21"/>
                                            <w:szCs w:val="21"/>
                                          </w:rPr>
                                        </w:pPr>
                                        <w:r w:rsidRPr="00AB7937">
                                          <w:rPr>
                                            <w:b/>
                                            <w:sz w:val="21"/>
                                            <w:szCs w:val="21"/>
                                          </w:rPr>
                                          <w:t>2026-27</w:t>
                                        </w:r>
                                      </w:p>
                                    </w:tc>
                                    <w:tc>
                                      <w:tcPr>
                                        <w:tcW w:w="992" w:type="dxa"/>
                                        <w:tcBorders>
                                          <w:top w:val="single" w:sz="4" w:space="0" w:color="000080"/>
                                          <w:bottom w:val="single" w:sz="4" w:space="0" w:color="000080"/>
                                        </w:tcBorders>
                                      </w:tcPr>
                                      <w:p w14:paraId="1250A07A" w14:textId="77777777" w:rsidR="00861DC2" w:rsidRPr="00AB7937" w:rsidRDefault="00861DC2" w:rsidP="00FC62D9">
                                        <w:pPr>
                                          <w:keepNext/>
                                          <w:keepLines/>
                                          <w:spacing w:before="40" w:after="40"/>
                                          <w:jc w:val="right"/>
                                          <w:rPr>
                                            <w:b/>
                                            <w:sz w:val="21"/>
                                            <w:szCs w:val="21"/>
                                          </w:rPr>
                                        </w:pPr>
                                      </w:p>
                                      <w:p w14:paraId="3A291128" w14:textId="77777777" w:rsidR="00861DC2" w:rsidRPr="00AB7937" w:rsidRDefault="00861DC2" w:rsidP="00FC62D9">
                                        <w:pPr>
                                          <w:keepNext/>
                                          <w:keepLines/>
                                          <w:spacing w:before="40" w:after="40"/>
                                          <w:jc w:val="right"/>
                                          <w:rPr>
                                            <w:b/>
                                            <w:sz w:val="21"/>
                                            <w:szCs w:val="21"/>
                                          </w:rPr>
                                        </w:pPr>
                                        <w:r w:rsidRPr="00AB7937">
                                          <w:rPr>
                                            <w:b/>
                                            <w:sz w:val="21"/>
                                            <w:szCs w:val="21"/>
                                          </w:rPr>
                                          <w:t>2027-28</w:t>
                                        </w:r>
                                      </w:p>
                                    </w:tc>
                                    <w:tc>
                                      <w:tcPr>
                                        <w:tcW w:w="850" w:type="dxa"/>
                                        <w:tcBorders>
                                          <w:top w:val="single" w:sz="4" w:space="0" w:color="000080"/>
                                          <w:bottom w:val="single" w:sz="4" w:space="0" w:color="000080"/>
                                        </w:tcBorders>
                                      </w:tcPr>
                                      <w:p w14:paraId="54840525" w14:textId="77777777" w:rsidR="00861DC2" w:rsidRPr="00AB7937" w:rsidRDefault="00861DC2" w:rsidP="00FC62D9">
                                        <w:pPr>
                                          <w:keepNext/>
                                          <w:keepLines/>
                                          <w:spacing w:before="40" w:after="40"/>
                                          <w:jc w:val="right"/>
                                          <w:rPr>
                                            <w:b/>
                                            <w:sz w:val="21"/>
                                            <w:szCs w:val="21"/>
                                          </w:rPr>
                                        </w:pPr>
                                      </w:p>
                                      <w:p w14:paraId="67C63F92" w14:textId="77777777" w:rsidR="00861DC2" w:rsidRPr="00AB7937" w:rsidRDefault="00861DC2" w:rsidP="00FC62D9">
                                        <w:pPr>
                                          <w:keepNext/>
                                          <w:keepLines/>
                                          <w:spacing w:before="40" w:after="40"/>
                                          <w:jc w:val="right"/>
                                          <w:rPr>
                                            <w:b/>
                                            <w:sz w:val="21"/>
                                            <w:szCs w:val="21"/>
                                          </w:rPr>
                                        </w:pPr>
                                        <w:r w:rsidRPr="00AB7937">
                                          <w:rPr>
                                            <w:b/>
                                            <w:sz w:val="21"/>
                                            <w:szCs w:val="21"/>
                                          </w:rPr>
                                          <w:t>Total</w:t>
                                        </w:r>
                                      </w:p>
                                    </w:tc>
                                  </w:tr>
                                  <w:tr w:rsidR="008736BD" w:rsidRPr="008D009B" w14:paraId="059DC86F" w14:textId="77777777" w:rsidTr="00C04BC4">
                                    <w:trPr>
                                      <w:cantSplit/>
                                    </w:trPr>
                                    <w:tc>
                                      <w:tcPr>
                                        <w:tcW w:w="1560" w:type="dxa"/>
                                        <w:tcBorders>
                                          <w:top w:val="single" w:sz="4" w:space="0" w:color="000080"/>
                                          <w:bottom w:val="single" w:sz="4" w:space="0" w:color="000080"/>
                                        </w:tcBorders>
                                      </w:tcPr>
                                      <w:p w14:paraId="785B9DD8" w14:textId="77777777" w:rsidR="001A7A60" w:rsidRPr="008D009B" w:rsidRDefault="001A7A60" w:rsidP="001A7A60">
                                        <w:pPr>
                                          <w:keepNext/>
                                          <w:keepLines/>
                                          <w:spacing w:before="60" w:after="60"/>
                                          <w:ind w:left="-111"/>
                                          <w:rPr>
                                            <w:b/>
                                            <w:sz w:val="21"/>
                                            <w:szCs w:val="21"/>
                                          </w:rPr>
                                        </w:pPr>
                                        <w:r>
                                          <w:rPr>
                                            <w:b/>
                                            <w:sz w:val="21"/>
                                            <w:szCs w:val="21"/>
                                          </w:rPr>
                                          <w:t>Estimated</w:t>
                                        </w:r>
                                        <w:r w:rsidRPr="008D009B">
                                          <w:rPr>
                                            <w:b/>
                                            <w:sz w:val="21"/>
                                            <w:szCs w:val="21"/>
                                          </w:rPr>
                                          <w:t xml:space="preserve"> total budget</w:t>
                                        </w:r>
                                      </w:p>
                                    </w:tc>
                                    <w:tc>
                                      <w:tcPr>
                                        <w:tcW w:w="992" w:type="dxa"/>
                                        <w:tcBorders>
                                          <w:top w:val="single" w:sz="4" w:space="0" w:color="000080"/>
                                          <w:bottom w:val="single" w:sz="4" w:space="0" w:color="000080"/>
                                        </w:tcBorders>
                                      </w:tcPr>
                                      <w:p w14:paraId="6DC36426" w14:textId="77777777" w:rsidR="001A7A60" w:rsidRPr="00C04BC4" w:rsidRDefault="0060403C" w:rsidP="001A7A60">
                                        <w:pPr>
                                          <w:keepNext/>
                                          <w:keepLines/>
                                          <w:spacing w:before="40" w:after="40"/>
                                          <w:jc w:val="right"/>
                                          <w:rPr>
                                            <w:b/>
                                            <w:sz w:val="21"/>
                                            <w:szCs w:val="21"/>
                                          </w:rPr>
                                        </w:pPr>
                                        <w:r>
                                          <w:rPr>
                                            <w:b/>
                                            <w:sz w:val="21"/>
                                            <w:szCs w:val="21"/>
                                          </w:rPr>
                                          <w:t>5.0</w:t>
                                        </w:r>
                                      </w:p>
                                    </w:tc>
                                    <w:tc>
                                      <w:tcPr>
                                        <w:tcW w:w="992" w:type="dxa"/>
                                        <w:tcBorders>
                                          <w:top w:val="single" w:sz="4" w:space="0" w:color="000080"/>
                                          <w:bottom w:val="single" w:sz="4" w:space="0" w:color="000080"/>
                                        </w:tcBorders>
                                      </w:tcPr>
                                      <w:p w14:paraId="7BE5E93B" w14:textId="77777777" w:rsidR="001A7A60" w:rsidRPr="008C2B5A" w:rsidRDefault="0060403C" w:rsidP="001A7A60">
                                        <w:pPr>
                                          <w:keepNext/>
                                          <w:keepLines/>
                                          <w:spacing w:before="40" w:after="40"/>
                                          <w:jc w:val="right"/>
                                          <w:rPr>
                                            <w:b/>
                                            <w:sz w:val="21"/>
                                            <w:szCs w:val="21"/>
                                          </w:rPr>
                                        </w:pPr>
                                        <w:r>
                                          <w:rPr>
                                            <w:b/>
                                            <w:sz w:val="21"/>
                                            <w:szCs w:val="21"/>
                                          </w:rPr>
                                          <w:t>20.0</w:t>
                                        </w:r>
                                      </w:p>
                                    </w:tc>
                                    <w:tc>
                                      <w:tcPr>
                                        <w:tcW w:w="992" w:type="dxa"/>
                                        <w:tcBorders>
                                          <w:top w:val="single" w:sz="4" w:space="0" w:color="000080"/>
                                          <w:bottom w:val="single" w:sz="4" w:space="0" w:color="000080"/>
                                        </w:tcBorders>
                                      </w:tcPr>
                                      <w:p w14:paraId="3E317E23" w14:textId="77777777" w:rsidR="001A7A60" w:rsidRPr="008C2B5A" w:rsidRDefault="0060403C" w:rsidP="001A7A60">
                                        <w:pPr>
                                          <w:keepNext/>
                                          <w:keepLines/>
                                          <w:spacing w:before="40" w:after="40"/>
                                          <w:jc w:val="right"/>
                                          <w:rPr>
                                            <w:b/>
                                            <w:sz w:val="21"/>
                                            <w:szCs w:val="21"/>
                                          </w:rPr>
                                        </w:pPr>
                                        <w:r>
                                          <w:rPr>
                                            <w:b/>
                                            <w:sz w:val="21"/>
                                            <w:szCs w:val="21"/>
                                          </w:rPr>
                                          <w:t>48.6</w:t>
                                        </w:r>
                                      </w:p>
                                    </w:tc>
                                    <w:tc>
                                      <w:tcPr>
                                        <w:tcW w:w="993" w:type="dxa"/>
                                        <w:tcBorders>
                                          <w:top w:val="single" w:sz="4" w:space="0" w:color="000080"/>
                                          <w:bottom w:val="single" w:sz="4" w:space="0" w:color="000080"/>
                                        </w:tcBorders>
                                      </w:tcPr>
                                      <w:p w14:paraId="0BC0C861" w14:textId="77777777" w:rsidR="001A7A60" w:rsidRPr="008C2B5A" w:rsidRDefault="0060403C" w:rsidP="001A7A60">
                                        <w:pPr>
                                          <w:keepNext/>
                                          <w:keepLines/>
                                          <w:spacing w:before="40" w:after="40"/>
                                          <w:jc w:val="right"/>
                                          <w:rPr>
                                            <w:b/>
                                            <w:sz w:val="21"/>
                                            <w:szCs w:val="21"/>
                                          </w:rPr>
                                        </w:pPr>
                                        <w:r>
                                          <w:rPr>
                                            <w:b/>
                                            <w:sz w:val="21"/>
                                            <w:szCs w:val="21"/>
                                          </w:rPr>
                                          <w:t>56.4</w:t>
                                        </w:r>
                                      </w:p>
                                    </w:tc>
                                    <w:tc>
                                      <w:tcPr>
                                        <w:tcW w:w="992" w:type="dxa"/>
                                        <w:tcBorders>
                                          <w:top w:val="single" w:sz="4" w:space="0" w:color="000080"/>
                                          <w:bottom w:val="single" w:sz="4" w:space="0" w:color="000080"/>
                                        </w:tcBorders>
                                      </w:tcPr>
                                      <w:p w14:paraId="7DD3E589" w14:textId="77777777" w:rsidR="001A7A60" w:rsidRPr="008C2B5A" w:rsidRDefault="0060403C" w:rsidP="001A7A60">
                                        <w:pPr>
                                          <w:keepNext/>
                                          <w:keepLines/>
                                          <w:spacing w:before="40" w:after="40"/>
                                          <w:jc w:val="center"/>
                                          <w:rPr>
                                            <w:b/>
                                            <w:sz w:val="21"/>
                                            <w:szCs w:val="21"/>
                                          </w:rPr>
                                        </w:pPr>
                                        <w:r>
                                          <w:rPr>
                                            <w:b/>
                                            <w:sz w:val="21"/>
                                            <w:szCs w:val="21"/>
                                          </w:rPr>
                                          <w:t>0.0</w:t>
                                        </w:r>
                                      </w:p>
                                    </w:tc>
                                    <w:tc>
                                      <w:tcPr>
                                        <w:tcW w:w="850" w:type="dxa"/>
                                        <w:tcBorders>
                                          <w:top w:val="single" w:sz="4" w:space="0" w:color="000080"/>
                                          <w:bottom w:val="single" w:sz="4" w:space="0" w:color="000080"/>
                                        </w:tcBorders>
                                      </w:tcPr>
                                      <w:p w14:paraId="4519B0BB" w14:textId="77777777" w:rsidR="001A7A60" w:rsidRPr="008C2B5A" w:rsidRDefault="00B837A3" w:rsidP="001A7A60">
                                        <w:pPr>
                                          <w:keepNext/>
                                          <w:keepLines/>
                                          <w:spacing w:before="40" w:after="40"/>
                                          <w:jc w:val="right"/>
                                          <w:rPr>
                                            <w:b/>
                                            <w:sz w:val="21"/>
                                            <w:szCs w:val="21"/>
                                          </w:rPr>
                                        </w:pPr>
                                        <w:r w:rsidRPr="00C04BC4">
                                          <w:rPr>
                                            <w:b/>
                                            <w:sz w:val="21"/>
                                            <w:szCs w:val="21"/>
                                          </w:rPr>
                                          <w:t>130.0</w:t>
                                        </w:r>
                                      </w:p>
                                    </w:tc>
                                  </w:tr>
                                  <w:tr w:rsidR="008736BD" w:rsidRPr="008D009B" w14:paraId="2C5B24A7" w14:textId="77777777" w:rsidTr="00C04BC4">
                                    <w:trPr>
                                      <w:cantSplit/>
                                    </w:trPr>
                                    <w:tc>
                                      <w:tcPr>
                                        <w:tcW w:w="1560" w:type="dxa"/>
                                        <w:tcBorders>
                                          <w:top w:val="single" w:sz="4" w:space="0" w:color="000080"/>
                                          <w:bottom w:val="single" w:sz="4" w:space="0" w:color="000080"/>
                                        </w:tcBorders>
                                      </w:tcPr>
                                      <w:p w14:paraId="111EFD47" w14:textId="77777777" w:rsidR="000E319B" w:rsidRPr="00C04BC4" w:rsidRDefault="000E319B" w:rsidP="000E319B">
                                        <w:pPr>
                                          <w:keepNext/>
                                          <w:keepLines/>
                                          <w:spacing w:before="60" w:after="60"/>
                                          <w:ind w:left="-111"/>
                                          <w:rPr>
                                            <w:bCs/>
                                            <w:i/>
                                            <w:iCs/>
                                            <w:sz w:val="21"/>
                                            <w:szCs w:val="21"/>
                                          </w:rPr>
                                        </w:pPr>
                                        <w:r w:rsidRPr="00C04BC4">
                                          <w:rPr>
                                            <w:bCs/>
                                            <w:i/>
                                            <w:iCs/>
                                            <w:sz w:val="21"/>
                                            <w:szCs w:val="21"/>
                                          </w:rPr>
                                          <w:t>Less estimated National Partnership Payments</w:t>
                                        </w:r>
                                      </w:p>
                                    </w:tc>
                                    <w:tc>
                                      <w:tcPr>
                                        <w:tcW w:w="992" w:type="dxa"/>
                                        <w:tcBorders>
                                          <w:top w:val="single" w:sz="4" w:space="0" w:color="000080"/>
                                          <w:bottom w:val="single" w:sz="4" w:space="0" w:color="000080"/>
                                        </w:tcBorders>
                                      </w:tcPr>
                                      <w:p w14:paraId="6CE7540C" w14:textId="77777777" w:rsidR="000E319B" w:rsidRPr="00C04BC4" w:rsidRDefault="000E319B" w:rsidP="000E319B">
                                        <w:pPr>
                                          <w:keepNext/>
                                          <w:keepLines/>
                                          <w:spacing w:before="40" w:after="40"/>
                                          <w:jc w:val="right"/>
                                          <w:rPr>
                                            <w:sz w:val="21"/>
                                            <w:szCs w:val="21"/>
                                          </w:rPr>
                                        </w:pPr>
                                        <w:r w:rsidRPr="00C04BC4">
                                          <w:rPr>
                                            <w:sz w:val="21"/>
                                            <w:szCs w:val="21"/>
                                          </w:rPr>
                                          <w:t>5.0</w:t>
                                        </w:r>
                                      </w:p>
                                    </w:tc>
                                    <w:tc>
                                      <w:tcPr>
                                        <w:tcW w:w="992" w:type="dxa"/>
                                        <w:tcBorders>
                                          <w:top w:val="single" w:sz="4" w:space="0" w:color="000080"/>
                                          <w:bottom w:val="single" w:sz="4" w:space="0" w:color="000080"/>
                                        </w:tcBorders>
                                      </w:tcPr>
                                      <w:p w14:paraId="0190469A" w14:textId="77777777" w:rsidR="000E319B" w:rsidRPr="00C04BC4" w:rsidRDefault="000E319B" w:rsidP="000E319B">
                                        <w:pPr>
                                          <w:keepNext/>
                                          <w:keepLines/>
                                          <w:spacing w:before="40" w:after="40"/>
                                          <w:jc w:val="right"/>
                                          <w:rPr>
                                            <w:sz w:val="21"/>
                                            <w:szCs w:val="21"/>
                                          </w:rPr>
                                        </w:pPr>
                                        <w:r w:rsidRPr="00C04BC4">
                                          <w:rPr>
                                            <w:sz w:val="21"/>
                                            <w:szCs w:val="21"/>
                                          </w:rPr>
                                          <w:t>8.0</w:t>
                                        </w:r>
                                      </w:p>
                                    </w:tc>
                                    <w:tc>
                                      <w:tcPr>
                                        <w:tcW w:w="992" w:type="dxa"/>
                                        <w:tcBorders>
                                          <w:top w:val="single" w:sz="4" w:space="0" w:color="000080"/>
                                          <w:bottom w:val="single" w:sz="4" w:space="0" w:color="000080"/>
                                        </w:tcBorders>
                                      </w:tcPr>
                                      <w:p w14:paraId="16F12756" w14:textId="77777777" w:rsidR="000E319B" w:rsidRPr="00C04BC4" w:rsidRDefault="000E319B" w:rsidP="000E319B">
                                        <w:pPr>
                                          <w:keepNext/>
                                          <w:keepLines/>
                                          <w:spacing w:before="40" w:after="40"/>
                                          <w:jc w:val="right"/>
                                          <w:rPr>
                                            <w:sz w:val="21"/>
                                            <w:szCs w:val="21"/>
                                          </w:rPr>
                                        </w:pPr>
                                        <w:r w:rsidRPr="00C04BC4">
                                          <w:rPr>
                                            <w:sz w:val="21"/>
                                            <w:szCs w:val="21"/>
                                          </w:rPr>
                                          <w:t>15.6</w:t>
                                        </w:r>
                                      </w:p>
                                    </w:tc>
                                    <w:tc>
                                      <w:tcPr>
                                        <w:tcW w:w="993" w:type="dxa"/>
                                        <w:tcBorders>
                                          <w:top w:val="single" w:sz="4" w:space="0" w:color="000080"/>
                                          <w:bottom w:val="single" w:sz="4" w:space="0" w:color="000080"/>
                                        </w:tcBorders>
                                      </w:tcPr>
                                      <w:p w14:paraId="3C7EDA39" w14:textId="77777777" w:rsidR="000E319B" w:rsidRPr="00C04BC4" w:rsidRDefault="000E319B" w:rsidP="000E319B">
                                        <w:pPr>
                                          <w:keepNext/>
                                          <w:keepLines/>
                                          <w:spacing w:before="40" w:after="40"/>
                                          <w:jc w:val="right"/>
                                          <w:rPr>
                                            <w:sz w:val="21"/>
                                            <w:szCs w:val="21"/>
                                          </w:rPr>
                                        </w:pPr>
                                        <w:r w:rsidRPr="00C04BC4">
                                          <w:rPr>
                                            <w:sz w:val="21"/>
                                            <w:szCs w:val="21"/>
                                          </w:rPr>
                                          <w:t>36.4</w:t>
                                        </w:r>
                                      </w:p>
                                    </w:tc>
                                    <w:tc>
                                      <w:tcPr>
                                        <w:tcW w:w="992" w:type="dxa"/>
                                        <w:tcBorders>
                                          <w:top w:val="single" w:sz="4" w:space="0" w:color="000080"/>
                                          <w:bottom w:val="single" w:sz="4" w:space="0" w:color="000080"/>
                                        </w:tcBorders>
                                      </w:tcPr>
                                      <w:p w14:paraId="698682BA" w14:textId="77777777" w:rsidR="000E319B" w:rsidRPr="00C04BC4" w:rsidRDefault="000E319B" w:rsidP="000E319B">
                                        <w:pPr>
                                          <w:keepNext/>
                                          <w:keepLines/>
                                          <w:spacing w:before="40" w:after="40"/>
                                          <w:jc w:val="center"/>
                                          <w:rPr>
                                            <w:sz w:val="21"/>
                                            <w:szCs w:val="21"/>
                                          </w:rPr>
                                        </w:pPr>
                                        <w:r w:rsidRPr="00C04BC4">
                                          <w:rPr>
                                            <w:sz w:val="21"/>
                                            <w:szCs w:val="21"/>
                                          </w:rPr>
                                          <w:t>0.0</w:t>
                                        </w:r>
                                      </w:p>
                                    </w:tc>
                                    <w:tc>
                                      <w:tcPr>
                                        <w:tcW w:w="850" w:type="dxa"/>
                                        <w:tcBorders>
                                          <w:top w:val="single" w:sz="4" w:space="0" w:color="000080"/>
                                          <w:bottom w:val="single" w:sz="4" w:space="0" w:color="000080"/>
                                        </w:tcBorders>
                                      </w:tcPr>
                                      <w:p w14:paraId="6851FCC6" w14:textId="77777777" w:rsidR="000E319B" w:rsidRPr="00C04BC4" w:rsidRDefault="000E319B" w:rsidP="000E319B">
                                        <w:pPr>
                                          <w:keepNext/>
                                          <w:keepLines/>
                                          <w:spacing w:before="40" w:after="40"/>
                                          <w:jc w:val="right"/>
                                          <w:rPr>
                                            <w:sz w:val="21"/>
                                            <w:szCs w:val="21"/>
                                          </w:rPr>
                                        </w:pPr>
                                        <w:r w:rsidRPr="00C04BC4">
                                          <w:rPr>
                                            <w:sz w:val="21"/>
                                            <w:szCs w:val="21"/>
                                          </w:rPr>
                                          <w:t>65.0</w:t>
                                        </w:r>
                                      </w:p>
                                    </w:tc>
                                  </w:tr>
                                  <w:tr w:rsidR="008736BD" w:rsidRPr="008D009B" w14:paraId="318AAE93" w14:textId="77777777" w:rsidTr="00C04BC4">
                                    <w:trPr>
                                      <w:cantSplit/>
                                    </w:trPr>
                                    <w:tc>
                                      <w:tcPr>
                                        <w:tcW w:w="1560" w:type="dxa"/>
                                        <w:tcBorders>
                                          <w:top w:val="single" w:sz="4" w:space="0" w:color="000080"/>
                                        </w:tcBorders>
                                      </w:tcPr>
                                      <w:p w14:paraId="3F99E3A6" w14:textId="77777777" w:rsidR="008736BD" w:rsidRPr="008C2B5A" w:rsidRDefault="00C04BC4" w:rsidP="000E319B">
                                        <w:pPr>
                                          <w:keepNext/>
                                          <w:keepLines/>
                                          <w:spacing w:before="60" w:after="60"/>
                                          <w:ind w:left="-111"/>
                                          <w:rPr>
                                            <w:bCs/>
                                            <w:i/>
                                            <w:iCs/>
                                            <w:sz w:val="21"/>
                                            <w:szCs w:val="21"/>
                                          </w:rPr>
                                        </w:pPr>
                                        <w:r>
                                          <w:rPr>
                                            <w:bCs/>
                                            <w:i/>
                                            <w:iCs/>
                                            <w:sz w:val="21"/>
                                            <w:szCs w:val="21"/>
                                          </w:rPr>
                                          <w:t>Estimated b</w:t>
                                        </w:r>
                                        <w:r w:rsidR="008736BD">
                                          <w:rPr>
                                            <w:bCs/>
                                            <w:i/>
                                            <w:iCs/>
                                            <w:sz w:val="21"/>
                                            <w:szCs w:val="21"/>
                                          </w:rPr>
                                          <w:t>alance of non-Commonwealth contributions</w:t>
                                        </w:r>
                                      </w:p>
                                    </w:tc>
                                    <w:tc>
                                      <w:tcPr>
                                        <w:tcW w:w="992" w:type="dxa"/>
                                        <w:tcBorders>
                                          <w:top w:val="single" w:sz="4" w:space="0" w:color="000080"/>
                                        </w:tcBorders>
                                      </w:tcPr>
                                      <w:p w14:paraId="0DBF2E00" w14:textId="77777777" w:rsidR="008736BD" w:rsidRPr="00C04BC4" w:rsidRDefault="00340742" w:rsidP="000E319B">
                                        <w:pPr>
                                          <w:keepNext/>
                                          <w:keepLines/>
                                          <w:spacing w:before="40" w:after="40"/>
                                          <w:jc w:val="right"/>
                                          <w:rPr>
                                            <w:sz w:val="21"/>
                                            <w:szCs w:val="21"/>
                                          </w:rPr>
                                        </w:pPr>
                                        <w:r>
                                          <w:rPr>
                                            <w:sz w:val="21"/>
                                            <w:szCs w:val="21"/>
                                          </w:rPr>
                                          <w:t>0</w:t>
                                        </w:r>
                                        <w:r w:rsidR="0060403C">
                                          <w:rPr>
                                            <w:sz w:val="21"/>
                                            <w:szCs w:val="21"/>
                                          </w:rPr>
                                          <w:t>.0</w:t>
                                        </w:r>
                                      </w:p>
                                    </w:tc>
                                    <w:tc>
                                      <w:tcPr>
                                        <w:tcW w:w="992" w:type="dxa"/>
                                        <w:tcBorders>
                                          <w:top w:val="single" w:sz="4" w:space="0" w:color="000080"/>
                                        </w:tcBorders>
                                      </w:tcPr>
                                      <w:p w14:paraId="7A546F8B" w14:textId="77777777" w:rsidR="008736BD" w:rsidRPr="00C04BC4" w:rsidRDefault="00340742" w:rsidP="000E319B">
                                        <w:pPr>
                                          <w:keepNext/>
                                          <w:keepLines/>
                                          <w:spacing w:before="40" w:after="40"/>
                                          <w:jc w:val="right"/>
                                          <w:rPr>
                                            <w:sz w:val="21"/>
                                            <w:szCs w:val="21"/>
                                          </w:rPr>
                                        </w:pPr>
                                        <w:r>
                                          <w:rPr>
                                            <w:sz w:val="21"/>
                                            <w:szCs w:val="21"/>
                                          </w:rPr>
                                          <w:t>12.0</w:t>
                                        </w:r>
                                      </w:p>
                                    </w:tc>
                                    <w:tc>
                                      <w:tcPr>
                                        <w:tcW w:w="992" w:type="dxa"/>
                                        <w:tcBorders>
                                          <w:top w:val="single" w:sz="4" w:space="0" w:color="000080"/>
                                        </w:tcBorders>
                                      </w:tcPr>
                                      <w:p w14:paraId="14481485" w14:textId="77777777" w:rsidR="008736BD" w:rsidRPr="00C04BC4" w:rsidRDefault="006409F7" w:rsidP="000E319B">
                                        <w:pPr>
                                          <w:keepNext/>
                                          <w:keepLines/>
                                          <w:spacing w:before="40" w:after="40"/>
                                          <w:jc w:val="right"/>
                                          <w:rPr>
                                            <w:sz w:val="21"/>
                                            <w:szCs w:val="21"/>
                                          </w:rPr>
                                        </w:pPr>
                                        <w:r>
                                          <w:rPr>
                                            <w:sz w:val="21"/>
                                            <w:szCs w:val="21"/>
                                          </w:rPr>
                                          <w:t>33.0</w:t>
                                        </w:r>
                                      </w:p>
                                    </w:tc>
                                    <w:tc>
                                      <w:tcPr>
                                        <w:tcW w:w="993" w:type="dxa"/>
                                        <w:tcBorders>
                                          <w:top w:val="single" w:sz="4" w:space="0" w:color="000080"/>
                                        </w:tcBorders>
                                      </w:tcPr>
                                      <w:p w14:paraId="2C47F0E2" w14:textId="77777777" w:rsidR="008736BD" w:rsidRPr="00C04BC4" w:rsidRDefault="006409F7" w:rsidP="000E319B">
                                        <w:pPr>
                                          <w:keepNext/>
                                          <w:keepLines/>
                                          <w:spacing w:before="40" w:after="40"/>
                                          <w:jc w:val="right"/>
                                          <w:rPr>
                                            <w:sz w:val="21"/>
                                            <w:szCs w:val="21"/>
                                          </w:rPr>
                                        </w:pPr>
                                        <w:r>
                                          <w:rPr>
                                            <w:sz w:val="21"/>
                                            <w:szCs w:val="21"/>
                                          </w:rPr>
                                          <w:t>20.0</w:t>
                                        </w:r>
                                      </w:p>
                                    </w:tc>
                                    <w:tc>
                                      <w:tcPr>
                                        <w:tcW w:w="992" w:type="dxa"/>
                                        <w:tcBorders>
                                          <w:top w:val="single" w:sz="4" w:space="0" w:color="000080"/>
                                        </w:tcBorders>
                                      </w:tcPr>
                                      <w:p w14:paraId="5EF0DB47" w14:textId="77777777" w:rsidR="008736BD" w:rsidRPr="00C04BC4" w:rsidRDefault="0060403C" w:rsidP="000E319B">
                                        <w:pPr>
                                          <w:keepNext/>
                                          <w:keepLines/>
                                          <w:spacing w:before="40" w:after="40"/>
                                          <w:jc w:val="center"/>
                                          <w:rPr>
                                            <w:sz w:val="21"/>
                                            <w:szCs w:val="21"/>
                                          </w:rPr>
                                        </w:pPr>
                                        <w:r>
                                          <w:rPr>
                                            <w:sz w:val="21"/>
                                            <w:szCs w:val="21"/>
                                          </w:rPr>
                                          <w:t>0.0</w:t>
                                        </w:r>
                                      </w:p>
                                    </w:tc>
                                    <w:tc>
                                      <w:tcPr>
                                        <w:tcW w:w="850" w:type="dxa"/>
                                        <w:tcBorders>
                                          <w:top w:val="single" w:sz="4" w:space="0" w:color="000080"/>
                                        </w:tcBorders>
                                      </w:tcPr>
                                      <w:p w14:paraId="59191014" w14:textId="77777777" w:rsidR="008736BD" w:rsidRPr="00C04BC4" w:rsidRDefault="008736BD" w:rsidP="000E319B">
                                        <w:pPr>
                                          <w:keepNext/>
                                          <w:keepLines/>
                                          <w:spacing w:before="40" w:after="40"/>
                                          <w:jc w:val="right"/>
                                          <w:rPr>
                                            <w:sz w:val="21"/>
                                            <w:szCs w:val="21"/>
                                          </w:rPr>
                                        </w:pPr>
                                        <w:r w:rsidRPr="00C04BC4">
                                          <w:rPr>
                                            <w:sz w:val="21"/>
                                            <w:szCs w:val="21"/>
                                          </w:rPr>
                                          <w:t>65.0</w:t>
                                        </w:r>
                                      </w:p>
                                    </w:tc>
                                  </w:tr>
                                </w:tbl>
                                <w:p w14:paraId="3058190A" w14:textId="77777777" w:rsidR="00861DC2" w:rsidRPr="00C04BC4" w:rsidRDefault="00861DC2" w:rsidP="00C04BC4">
                                  <w:pPr>
                                    <w:keepNext/>
                                    <w:keepLines/>
                                    <w:spacing w:before="60" w:after="60"/>
                                    <w:ind w:left="-111"/>
                                    <w:rPr>
                                      <w:bCs/>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31.8pt;width:381.6pt;height:190.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XZDgIAAPcDAAAOAAAAZHJzL2Uyb0RvYy54bWysU9tu2zAMfR+wfxD0vjhxkyw14hRdugwD&#10;ugvQ7QNkWY6FyaJGKbG7ry8lp2nQvQ3Tg0CK1BF5eLS+GTrDjgq9Blvy2WTKmbISam33Jf/5Y/du&#10;xZkPwtbCgFUlf1Se32zevln3rlA5tGBqhYxArC96V/I2BFdkmZet6oSfgFOWgg1gJwK5uM9qFD2h&#10;dybLp9Nl1gPWDkEq7+n0bgzyTcJvGiXDt6bxKjBTcqotpB3TXsU926xFsUfhWi1PZYh/qKIT2tKj&#10;Z6g7EQQ7oP4LqtMSwUMTJhK6DJpGS5V6oG5m01fdPLTCqdQLkePdmSb//2Dl1+OD+44sDB9goAGm&#10;Jry7B/nLMwvbVti9ukWEvlWipodnkbKsd744XY1U+8JHkKr/AjUNWRwCJKChwS6yQn0yQqcBPJ5J&#10;V0Ngkg7nq/nyKqeQpFg+z69myzSWTBTP1x368ElBx6JRcqSpJnhxvPchliOK55T4mgej6502Jjm4&#10;r7YG2VGQAnZppQ5epRnL+pJfL/JFQrYQ7ydxdDqQQo3uSr6axjVqJtLx0dYpJQhtRpsqMfbET6Rk&#10;JCcM1UCJkacK6kdiCmFUIv0cMlrAP5z1pMKS+98HgYoz89kS29ez+TzKNjnzxfvIE15GqsuIsJKg&#10;Sh44G81tSFKPPFi4pak0OvH1UsmpVlJXovH0E6J8L/2U9fJfN08AAAD//wMAUEsDBBQABgAIAAAA&#10;IQD+Eqs23wAAAAkBAAAPAAAAZHJzL2Rvd25yZXYueG1sTI/NTsMwEITvSLyDtUhcUOvQ5oem2VSA&#10;BOLa0gfYxNskamxHsdukb485wXE0o5lvit2se3Hl0XXWIDwvIxBsaqs60yAcvz8WLyCcJ6Oot4YR&#10;buxgV97fFZQrO5k9Xw++EaHEuJwQWu+HXEpXt6zJLe3AJngnO2ryQY6NVCNNoVz3chVFqdTUmbDQ&#10;0sDvLdfnw0UjnL6mp2QzVZ/+mO3j9I26rLI3xMeH+XULwvPs/8Lwix/QoQxMlb0Y5USPsNgEco+Q&#10;rlMQwc+SdQyiQojjZAWyLOT/B+UPAAAA//8DAFBLAQItABQABgAIAAAAIQC2gziS/gAAAOEBAAAT&#10;AAAAAAAAAAAAAAAAAAAAAABbQ29udGVudF9UeXBlc10ueG1sUEsBAi0AFAAGAAgAAAAhADj9If/W&#10;AAAAlAEAAAsAAAAAAAAAAAAAAAAALwEAAF9yZWxzLy5yZWxzUEsBAi0AFAAGAAgAAAAhAMu7RdkO&#10;AgAA9wMAAA4AAAAAAAAAAAAAAAAALgIAAGRycy9lMm9Eb2MueG1sUEsBAi0AFAAGAAgAAAAhAP4S&#10;qzbfAAAACQEAAA8AAAAAAAAAAAAAAAAAaAQAAGRycy9kb3ducmV2LnhtbFBLBQYAAAAABAAEAPMA&#10;AAB0BQAAAAA=&#10;" stroked="f">
                      <v:textbox>
                        <w:txbxContent>
                          <w:tbl>
                            <w:tblPr>
                              <w:tblW w:w="7371" w:type="dxa"/>
                              <w:tblLayout w:type="fixed"/>
                              <w:tblLook w:val="01E0" w:firstRow="1" w:lastRow="1" w:firstColumn="1" w:lastColumn="1" w:noHBand="0" w:noVBand="0"/>
                            </w:tblPr>
                            <w:tblGrid>
                              <w:gridCol w:w="1560"/>
                              <w:gridCol w:w="992"/>
                              <w:gridCol w:w="992"/>
                              <w:gridCol w:w="992"/>
                              <w:gridCol w:w="993"/>
                              <w:gridCol w:w="992"/>
                              <w:gridCol w:w="850"/>
                            </w:tblGrid>
                            <w:tr w:rsidR="00B837A3" w:rsidRPr="00416232" w14:paraId="3B81A9CB" w14:textId="77777777" w:rsidTr="00C04BC4">
                              <w:trPr>
                                <w:cantSplit/>
                              </w:trPr>
                              <w:tc>
                                <w:tcPr>
                                  <w:tcW w:w="1560" w:type="dxa"/>
                                  <w:tcBorders>
                                    <w:top w:val="single" w:sz="4" w:space="0" w:color="000080"/>
                                    <w:bottom w:val="single" w:sz="4" w:space="0" w:color="000080"/>
                                  </w:tcBorders>
                                </w:tcPr>
                                <w:p w14:paraId="0C19BE47" w14:textId="77777777" w:rsidR="00861DC2" w:rsidRPr="00AB7937" w:rsidRDefault="00861DC2" w:rsidP="00FC62D9">
                                  <w:pPr>
                                    <w:keepNext/>
                                    <w:keepLines/>
                                    <w:spacing w:before="40" w:after="40"/>
                                    <w:ind w:left="-111"/>
                                    <w:rPr>
                                      <w:b/>
                                      <w:sz w:val="21"/>
                                      <w:szCs w:val="21"/>
                                    </w:rPr>
                                  </w:pPr>
                                  <w:r w:rsidRPr="00AB7937">
                                    <w:rPr>
                                      <w:b/>
                                      <w:sz w:val="21"/>
                                      <w:szCs w:val="21"/>
                                    </w:rPr>
                                    <w:t>Table 1</w:t>
                                  </w:r>
                                </w:p>
                                <w:p w14:paraId="52A558FF" w14:textId="77777777" w:rsidR="00861DC2" w:rsidRPr="00AB7937" w:rsidRDefault="00861DC2" w:rsidP="00FC62D9">
                                  <w:pPr>
                                    <w:keepNext/>
                                    <w:keepLines/>
                                    <w:spacing w:before="40" w:after="40"/>
                                    <w:ind w:left="-111"/>
                                    <w:rPr>
                                      <w:b/>
                                      <w:sz w:val="21"/>
                                      <w:szCs w:val="21"/>
                                    </w:rPr>
                                  </w:pPr>
                                  <w:r w:rsidRPr="00AB7937">
                                    <w:rPr>
                                      <w:b/>
                                      <w:sz w:val="21"/>
                                      <w:szCs w:val="21"/>
                                    </w:rPr>
                                    <w:t>($ million)</w:t>
                                  </w:r>
                                </w:p>
                              </w:tc>
                              <w:tc>
                                <w:tcPr>
                                  <w:tcW w:w="992" w:type="dxa"/>
                                  <w:tcBorders>
                                    <w:top w:val="single" w:sz="4" w:space="0" w:color="000080"/>
                                    <w:bottom w:val="single" w:sz="4" w:space="0" w:color="000080"/>
                                  </w:tcBorders>
                                </w:tcPr>
                                <w:p w14:paraId="2C54191D" w14:textId="77777777" w:rsidR="00861DC2" w:rsidRPr="00AB7937" w:rsidRDefault="00861DC2" w:rsidP="00FC62D9">
                                  <w:pPr>
                                    <w:keepNext/>
                                    <w:keepLines/>
                                    <w:spacing w:before="40" w:after="40"/>
                                    <w:jc w:val="right"/>
                                    <w:rPr>
                                      <w:b/>
                                      <w:sz w:val="21"/>
                                      <w:szCs w:val="21"/>
                                    </w:rPr>
                                  </w:pPr>
                                </w:p>
                                <w:p w14:paraId="31542548" w14:textId="77777777" w:rsidR="00861DC2" w:rsidRPr="00AB7937" w:rsidRDefault="00861DC2" w:rsidP="00FC62D9">
                                  <w:pPr>
                                    <w:keepNext/>
                                    <w:keepLines/>
                                    <w:spacing w:before="40" w:after="40"/>
                                    <w:jc w:val="right"/>
                                    <w:rPr>
                                      <w:b/>
                                      <w:sz w:val="21"/>
                                      <w:szCs w:val="21"/>
                                    </w:rPr>
                                  </w:pPr>
                                  <w:r w:rsidRPr="00AB7937">
                                    <w:rPr>
                                      <w:b/>
                                      <w:sz w:val="21"/>
                                      <w:szCs w:val="21"/>
                                    </w:rPr>
                                    <w:t>2023-24</w:t>
                                  </w:r>
                                </w:p>
                              </w:tc>
                              <w:tc>
                                <w:tcPr>
                                  <w:tcW w:w="992" w:type="dxa"/>
                                  <w:tcBorders>
                                    <w:top w:val="single" w:sz="4" w:space="0" w:color="000080"/>
                                    <w:bottom w:val="single" w:sz="4" w:space="0" w:color="000080"/>
                                  </w:tcBorders>
                                </w:tcPr>
                                <w:p w14:paraId="04271A65" w14:textId="77777777" w:rsidR="00861DC2" w:rsidRPr="00AB7937" w:rsidRDefault="00861DC2" w:rsidP="00FC62D9">
                                  <w:pPr>
                                    <w:keepNext/>
                                    <w:keepLines/>
                                    <w:spacing w:before="40" w:after="40"/>
                                    <w:jc w:val="right"/>
                                    <w:rPr>
                                      <w:b/>
                                      <w:sz w:val="21"/>
                                      <w:szCs w:val="21"/>
                                    </w:rPr>
                                  </w:pPr>
                                </w:p>
                                <w:p w14:paraId="6B2C42FF" w14:textId="77777777" w:rsidR="00861DC2" w:rsidRPr="00AB7937" w:rsidRDefault="00861DC2" w:rsidP="00FC62D9">
                                  <w:pPr>
                                    <w:keepNext/>
                                    <w:keepLines/>
                                    <w:spacing w:before="40" w:after="40"/>
                                    <w:jc w:val="right"/>
                                    <w:rPr>
                                      <w:b/>
                                      <w:sz w:val="21"/>
                                      <w:szCs w:val="21"/>
                                    </w:rPr>
                                  </w:pPr>
                                  <w:r w:rsidRPr="00AB7937">
                                    <w:rPr>
                                      <w:b/>
                                      <w:sz w:val="21"/>
                                      <w:szCs w:val="21"/>
                                    </w:rPr>
                                    <w:t>2024-25</w:t>
                                  </w:r>
                                </w:p>
                              </w:tc>
                              <w:tc>
                                <w:tcPr>
                                  <w:tcW w:w="992" w:type="dxa"/>
                                  <w:tcBorders>
                                    <w:top w:val="single" w:sz="4" w:space="0" w:color="000080"/>
                                    <w:bottom w:val="single" w:sz="4" w:space="0" w:color="000080"/>
                                  </w:tcBorders>
                                </w:tcPr>
                                <w:p w14:paraId="1C131438" w14:textId="77777777" w:rsidR="00861DC2" w:rsidRPr="00AB7937" w:rsidRDefault="00861DC2" w:rsidP="00FC62D9">
                                  <w:pPr>
                                    <w:keepNext/>
                                    <w:keepLines/>
                                    <w:spacing w:before="40" w:after="40"/>
                                    <w:jc w:val="right"/>
                                    <w:rPr>
                                      <w:b/>
                                      <w:sz w:val="21"/>
                                      <w:szCs w:val="21"/>
                                    </w:rPr>
                                  </w:pPr>
                                </w:p>
                                <w:p w14:paraId="22FB6B42" w14:textId="77777777" w:rsidR="00861DC2" w:rsidRPr="00AB7937" w:rsidRDefault="00861DC2" w:rsidP="00FC62D9">
                                  <w:pPr>
                                    <w:keepNext/>
                                    <w:keepLines/>
                                    <w:spacing w:before="40" w:after="40"/>
                                    <w:jc w:val="right"/>
                                    <w:rPr>
                                      <w:b/>
                                      <w:sz w:val="21"/>
                                      <w:szCs w:val="21"/>
                                    </w:rPr>
                                  </w:pPr>
                                  <w:r w:rsidRPr="00AB7937">
                                    <w:rPr>
                                      <w:b/>
                                      <w:sz w:val="21"/>
                                      <w:szCs w:val="21"/>
                                    </w:rPr>
                                    <w:t>2025-26</w:t>
                                  </w:r>
                                </w:p>
                              </w:tc>
                              <w:tc>
                                <w:tcPr>
                                  <w:tcW w:w="993" w:type="dxa"/>
                                  <w:tcBorders>
                                    <w:top w:val="single" w:sz="4" w:space="0" w:color="000080"/>
                                    <w:bottom w:val="single" w:sz="4" w:space="0" w:color="000080"/>
                                  </w:tcBorders>
                                </w:tcPr>
                                <w:p w14:paraId="224E7E52" w14:textId="77777777" w:rsidR="00861DC2" w:rsidRPr="00AB7937" w:rsidRDefault="00861DC2" w:rsidP="00FC62D9">
                                  <w:pPr>
                                    <w:keepNext/>
                                    <w:keepLines/>
                                    <w:spacing w:before="40" w:after="40"/>
                                    <w:jc w:val="right"/>
                                    <w:rPr>
                                      <w:b/>
                                      <w:sz w:val="21"/>
                                      <w:szCs w:val="21"/>
                                    </w:rPr>
                                  </w:pPr>
                                </w:p>
                                <w:p w14:paraId="3850E43C" w14:textId="77777777" w:rsidR="00861DC2" w:rsidRPr="00AB7937" w:rsidRDefault="00861DC2" w:rsidP="00FC62D9">
                                  <w:pPr>
                                    <w:keepNext/>
                                    <w:keepLines/>
                                    <w:spacing w:before="40" w:after="40"/>
                                    <w:jc w:val="right"/>
                                    <w:rPr>
                                      <w:b/>
                                      <w:sz w:val="21"/>
                                      <w:szCs w:val="21"/>
                                    </w:rPr>
                                  </w:pPr>
                                  <w:r w:rsidRPr="00AB7937">
                                    <w:rPr>
                                      <w:b/>
                                      <w:sz w:val="21"/>
                                      <w:szCs w:val="21"/>
                                    </w:rPr>
                                    <w:t>2026-27</w:t>
                                  </w:r>
                                </w:p>
                              </w:tc>
                              <w:tc>
                                <w:tcPr>
                                  <w:tcW w:w="992" w:type="dxa"/>
                                  <w:tcBorders>
                                    <w:top w:val="single" w:sz="4" w:space="0" w:color="000080"/>
                                    <w:bottom w:val="single" w:sz="4" w:space="0" w:color="000080"/>
                                  </w:tcBorders>
                                </w:tcPr>
                                <w:p w14:paraId="1250A07A" w14:textId="77777777" w:rsidR="00861DC2" w:rsidRPr="00AB7937" w:rsidRDefault="00861DC2" w:rsidP="00FC62D9">
                                  <w:pPr>
                                    <w:keepNext/>
                                    <w:keepLines/>
                                    <w:spacing w:before="40" w:after="40"/>
                                    <w:jc w:val="right"/>
                                    <w:rPr>
                                      <w:b/>
                                      <w:sz w:val="21"/>
                                      <w:szCs w:val="21"/>
                                    </w:rPr>
                                  </w:pPr>
                                </w:p>
                                <w:p w14:paraId="3A291128" w14:textId="77777777" w:rsidR="00861DC2" w:rsidRPr="00AB7937" w:rsidRDefault="00861DC2" w:rsidP="00FC62D9">
                                  <w:pPr>
                                    <w:keepNext/>
                                    <w:keepLines/>
                                    <w:spacing w:before="40" w:after="40"/>
                                    <w:jc w:val="right"/>
                                    <w:rPr>
                                      <w:b/>
                                      <w:sz w:val="21"/>
                                      <w:szCs w:val="21"/>
                                    </w:rPr>
                                  </w:pPr>
                                  <w:r w:rsidRPr="00AB7937">
                                    <w:rPr>
                                      <w:b/>
                                      <w:sz w:val="21"/>
                                      <w:szCs w:val="21"/>
                                    </w:rPr>
                                    <w:t>2027-28</w:t>
                                  </w:r>
                                </w:p>
                              </w:tc>
                              <w:tc>
                                <w:tcPr>
                                  <w:tcW w:w="850" w:type="dxa"/>
                                  <w:tcBorders>
                                    <w:top w:val="single" w:sz="4" w:space="0" w:color="000080"/>
                                    <w:bottom w:val="single" w:sz="4" w:space="0" w:color="000080"/>
                                  </w:tcBorders>
                                </w:tcPr>
                                <w:p w14:paraId="54840525" w14:textId="77777777" w:rsidR="00861DC2" w:rsidRPr="00AB7937" w:rsidRDefault="00861DC2" w:rsidP="00FC62D9">
                                  <w:pPr>
                                    <w:keepNext/>
                                    <w:keepLines/>
                                    <w:spacing w:before="40" w:after="40"/>
                                    <w:jc w:val="right"/>
                                    <w:rPr>
                                      <w:b/>
                                      <w:sz w:val="21"/>
                                      <w:szCs w:val="21"/>
                                    </w:rPr>
                                  </w:pPr>
                                </w:p>
                                <w:p w14:paraId="67C63F92" w14:textId="77777777" w:rsidR="00861DC2" w:rsidRPr="00AB7937" w:rsidRDefault="00861DC2" w:rsidP="00FC62D9">
                                  <w:pPr>
                                    <w:keepNext/>
                                    <w:keepLines/>
                                    <w:spacing w:before="40" w:after="40"/>
                                    <w:jc w:val="right"/>
                                    <w:rPr>
                                      <w:b/>
                                      <w:sz w:val="21"/>
                                      <w:szCs w:val="21"/>
                                    </w:rPr>
                                  </w:pPr>
                                  <w:r w:rsidRPr="00AB7937">
                                    <w:rPr>
                                      <w:b/>
                                      <w:sz w:val="21"/>
                                      <w:szCs w:val="21"/>
                                    </w:rPr>
                                    <w:t>Total</w:t>
                                  </w:r>
                                </w:p>
                              </w:tc>
                            </w:tr>
                            <w:tr w:rsidR="008736BD" w:rsidRPr="008D009B" w14:paraId="059DC86F" w14:textId="77777777" w:rsidTr="00C04BC4">
                              <w:trPr>
                                <w:cantSplit/>
                              </w:trPr>
                              <w:tc>
                                <w:tcPr>
                                  <w:tcW w:w="1560" w:type="dxa"/>
                                  <w:tcBorders>
                                    <w:top w:val="single" w:sz="4" w:space="0" w:color="000080"/>
                                    <w:bottom w:val="single" w:sz="4" w:space="0" w:color="000080"/>
                                  </w:tcBorders>
                                </w:tcPr>
                                <w:p w14:paraId="785B9DD8" w14:textId="77777777" w:rsidR="001A7A60" w:rsidRPr="008D009B" w:rsidRDefault="001A7A60" w:rsidP="001A7A60">
                                  <w:pPr>
                                    <w:keepNext/>
                                    <w:keepLines/>
                                    <w:spacing w:before="60" w:after="60"/>
                                    <w:ind w:left="-111"/>
                                    <w:rPr>
                                      <w:b/>
                                      <w:sz w:val="21"/>
                                      <w:szCs w:val="21"/>
                                    </w:rPr>
                                  </w:pPr>
                                  <w:r>
                                    <w:rPr>
                                      <w:b/>
                                      <w:sz w:val="21"/>
                                      <w:szCs w:val="21"/>
                                    </w:rPr>
                                    <w:t>Estimated</w:t>
                                  </w:r>
                                  <w:r w:rsidRPr="008D009B">
                                    <w:rPr>
                                      <w:b/>
                                      <w:sz w:val="21"/>
                                      <w:szCs w:val="21"/>
                                    </w:rPr>
                                    <w:t xml:space="preserve"> total budget</w:t>
                                  </w:r>
                                </w:p>
                              </w:tc>
                              <w:tc>
                                <w:tcPr>
                                  <w:tcW w:w="992" w:type="dxa"/>
                                  <w:tcBorders>
                                    <w:top w:val="single" w:sz="4" w:space="0" w:color="000080"/>
                                    <w:bottom w:val="single" w:sz="4" w:space="0" w:color="000080"/>
                                  </w:tcBorders>
                                </w:tcPr>
                                <w:p w14:paraId="6DC36426" w14:textId="77777777" w:rsidR="001A7A60" w:rsidRPr="00C04BC4" w:rsidRDefault="0060403C" w:rsidP="001A7A60">
                                  <w:pPr>
                                    <w:keepNext/>
                                    <w:keepLines/>
                                    <w:spacing w:before="40" w:after="40"/>
                                    <w:jc w:val="right"/>
                                    <w:rPr>
                                      <w:b/>
                                      <w:sz w:val="21"/>
                                      <w:szCs w:val="21"/>
                                    </w:rPr>
                                  </w:pPr>
                                  <w:r>
                                    <w:rPr>
                                      <w:b/>
                                      <w:sz w:val="21"/>
                                      <w:szCs w:val="21"/>
                                    </w:rPr>
                                    <w:t>5.0</w:t>
                                  </w:r>
                                </w:p>
                              </w:tc>
                              <w:tc>
                                <w:tcPr>
                                  <w:tcW w:w="992" w:type="dxa"/>
                                  <w:tcBorders>
                                    <w:top w:val="single" w:sz="4" w:space="0" w:color="000080"/>
                                    <w:bottom w:val="single" w:sz="4" w:space="0" w:color="000080"/>
                                  </w:tcBorders>
                                </w:tcPr>
                                <w:p w14:paraId="7BE5E93B" w14:textId="77777777" w:rsidR="001A7A60" w:rsidRPr="008C2B5A" w:rsidRDefault="0060403C" w:rsidP="001A7A60">
                                  <w:pPr>
                                    <w:keepNext/>
                                    <w:keepLines/>
                                    <w:spacing w:before="40" w:after="40"/>
                                    <w:jc w:val="right"/>
                                    <w:rPr>
                                      <w:b/>
                                      <w:sz w:val="21"/>
                                      <w:szCs w:val="21"/>
                                    </w:rPr>
                                  </w:pPr>
                                  <w:r>
                                    <w:rPr>
                                      <w:b/>
                                      <w:sz w:val="21"/>
                                      <w:szCs w:val="21"/>
                                    </w:rPr>
                                    <w:t>20.0</w:t>
                                  </w:r>
                                </w:p>
                              </w:tc>
                              <w:tc>
                                <w:tcPr>
                                  <w:tcW w:w="992" w:type="dxa"/>
                                  <w:tcBorders>
                                    <w:top w:val="single" w:sz="4" w:space="0" w:color="000080"/>
                                    <w:bottom w:val="single" w:sz="4" w:space="0" w:color="000080"/>
                                  </w:tcBorders>
                                </w:tcPr>
                                <w:p w14:paraId="3E317E23" w14:textId="77777777" w:rsidR="001A7A60" w:rsidRPr="008C2B5A" w:rsidRDefault="0060403C" w:rsidP="001A7A60">
                                  <w:pPr>
                                    <w:keepNext/>
                                    <w:keepLines/>
                                    <w:spacing w:before="40" w:after="40"/>
                                    <w:jc w:val="right"/>
                                    <w:rPr>
                                      <w:b/>
                                      <w:sz w:val="21"/>
                                      <w:szCs w:val="21"/>
                                    </w:rPr>
                                  </w:pPr>
                                  <w:r>
                                    <w:rPr>
                                      <w:b/>
                                      <w:sz w:val="21"/>
                                      <w:szCs w:val="21"/>
                                    </w:rPr>
                                    <w:t>48.6</w:t>
                                  </w:r>
                                </w:p>
                              </w:tc>
                              <w:tc>
                                <w:tcPr>
                                  <w:tcW w:w="993" w:type="dxa"/>
                                  <w:tcBorders>
                                    <w:top w:val="single" w:sz="4" w:space="0" w:color="000080"/>
                                    <w:bottom w:val="single" w:sz="4" w:space="0" w:color="000080"/>
                                  </w:tcBorders>
                                </w:tcPr>
                                <w:p w14:paraId="0BC0C861" w14:textId="77777777" w:rsidR="001A7A60" w:rsidRPr="008C2B5A" w:rsidRDefault="0060403C" w:rsidP="001A7A60">
                                  <w:pPr>
                                    <w:keepNext/>
                                    <w:keepLines/>
                                    <w:spacing w:before="40" w:after="40"/>
                                    <w:jc w:val="right"/>
                                    <w:rPr>
                                      <w:b/>
                                      <w:sz w:val="21"/>
                                      <w:szCs w:val="21"/>
                                    </w:rPr>
                                  </w:pPr>
                                  <w:r>
                                    <w:rPr>
                                      <w:b/>
                                      <w:sz w:val="21"/>
                                      <w:szCs w:val="21"/>
                                    </w:rPr>
                                    <w:t>56.4</w:t>
                                  </w:r>
                                </w:p>
                              </w:tc>
                              <w:tc>
                                <w:tcPr>
                                  <w:tcW w:w="992" w:type="dxa"/>
                                  <w:tcBorders>
                                    <w:top w:val="single" w:sz="4" w:space="0" w:color="000080"/>
                                    <w:bottom w:val="single" w:sz="4" w:space="0" w:color="000080"/>
                                  </w:tcBorders>
                                </w:tcPr>
                                <w:p w14:paraId="7DD3E589" w14:textId="77777777" w:rsidR="001A7A60" w:rsidRPr="008C2B5A" w:rsidRDefault="0060403C" w:rsidP="001A7A60">
                                  <w:pPr>
                                    <w:keepNext/>
                                    <w:keepLines/>
                                    <w:spacing w:before="40" w:after="40"/>
                                    <w:jc w:val="center"/>
                                    <w:rPr>
                                      <w:b/>
                                      <w:sz w:val="21"/>
                                      <w:szCs w:val="21"/>
                                    </w:rPr>
                                  </w:pPr>
                                  <w:r>
                                    <w:rPr>
                                      <w:b/>
                                      <w:sz w:val="21"/>
                                      <w:szCs w:val="21"/>
                                    </w:rPr>
                                    <w:t>0.0</w:t>
                                  </w:r>
                                </w:p>
                              </w:tc>
                              <w:tc>
                                <w:tcPr>
                                  <w:tcW w:w="850" w:type="dxa"/>
                                  <w:tcBorders>
                                    <w:top w:val="single" w:sz="4" w:space="0" w:color="000080"/>
                                    <w:bottom w:val="single" w:sz="4" w:space="0" w:color="000080"/>
                                  </w:tcBorders>
                                </w:tcPr>
                                <w:p w14:paraId="4519B0BB" w14:textId="77777777" w:rsidR="001A7A60" w:rsidRPr="008C2B5A" w:rsidRDefault="00B837A3" w:rsidP="001A7A60">
                                  <w:pPr>
                                    <w:keepNext/>
                                    <w:keepLines/>
                                    <w:spacing w:before="40" w:after="40"/>
                                    <w:jc w:val="right"/>
                                    <w:rPr>
                                      <w:b/>
                                      <w:sz w:val="21"/>
                                      <w:szCs w:val="21"/>
                                    </w:rPr>
                                  </w:pPr>
                                  <w:r w:rsidRPr="00C04BC4">
                                    <w:rPr>
                                      <w:b/>
                                      <w:sz w:val="21"/>
                                      <w:szCs w:val="21"/>
                                    </w:rPr>
                                    <w:t>130.0</w:t>
                                  </w:r>
                                </w:p>
                              </w:tc>
                            </w:tr>
                            <w:tr w:rsidR="008736BD" w:rsidRPr="008D009B" w14:paraId="2C5B24A7" w14:textId="77777777" w:rsidTr="00C04BC4">
                              <w:trPr>
                                <w:cantSplit/>
                              </w:trPr>
                              <w:tc>
                                <w:tcPr>
                                  <w:tcW w:w="1560" w:type="dxa"/>
                                  <w:tcBorders>
                                    <w:top w:val="single" w:sz="4" w:space="0" w:color="000080"/>
                                    <w:bottom w:val="single" w:sz="4" w:space="0" w:color="000080"/>
                                  </w:tcBorders>
                                </w:tcPr>
                                <w:p w14:paraId="111EFD47" w14:textId="77777777" w:rsidR="000E319B" w:rsidRPr="00C04BC4" w:rsidRDefault="000E319B" w:rsidP="000E319B">
                                  <w:pPr>
                                    <w:keepNext/>
                                    <w:keepLines/>
                                    <w:spacing w:before="60" w:after="60"/>
                                    <w:ind w:left="-111"/>
                                    <w:rPr>
                                      <w:bCs/>
                                      <w:i/>
                                      <w:iCs/>
                                      <w:sz w:val="21"/>
                                      <w:szCs w:val="21"/>
                                    </w:rPr>
                                  </w:pPr>
                                  <w:r w:rsidRPr="00C04BC4">
                                    <w:rPr>
                                      <w:bCs/>
                                      <w:i/>
                                      <w:iCs/>
                                      <w:sz w:val="21"/>
                                      <w:szCs w:val="21"/>
                                    </w:rPr>
                                    <w:t>Less estimated National Partnership Payments</w:t>
                                  </w:r>
                                </w:p>
                              </w:tc>
                              <w:tc>
                                <w:tcPr>
                                  <w:tcW w:w="992" w:type="dxa"/>
                                  <w:tcBorders>
                                    <w:top w:val="single" w:sz="4" w:space="0" w:color="000080"/>
                                    <w:bottom w:val="single" w:sz="4" w:space="0" w:color="000080"/>
                                  </w:tcBorders>
                                </w:tcPr>
                                <w:p w14:paraId="6CE7540C" w14:textId="77777777" w:rsidR="000E319B" w:rsidRPr="00C04BC4" w:rsidRDefault="000E319B" w:rsidP="000E319B">
                                  <w:pPr>
                                    <w:keepNext/>
                                    <w:keepLines/>
                                    <w:spacing w:before="40" w:after="40"/>
                                    <w:jc w:val="right"/>
                                    <w:rPr>
                                      <w:sz w:val="21"/>
                                      <w:szCs w:val="21"/>
                                    </w:rPr>
                                  </w:pPr>
                                  <w:r w:rsidRPr="00C04BC4">
                                    <w:rPr>
                                      <w:sz w:val="21"/>
                                      <w:szCs w:val="21"/>
                                    </w:rPr>
                                    <w:t>5.0</w:t>
                                  </w:r>
                                </w:p>
                              </w:tc>
                              <w:tc>
                                <w:tcPr>
                                  <w:tcW w:w="992" w:type="dxa"/>
                                  <w:tcBorders>
                                    <w:top w:val="single" w:sz="4" w:space="0" w:color="000080"/>
                                    <w:bottom w:val="single" w:sz="4" w:space="0" w:color="000080"/>
                                  </w:tcBorders>
                                </w:tcPr>
                                <w:p w14:paraId="0190469A" w14:textId="77777777" w:rsidR="000E319B" w:rsidRPr="00C04BC4" w:rsidRDefault="000E319B" w:rsidP="000E319B">
                                  <w:pPr>
                                    <w:keepNext/>
                                    <w:keepLines/>
                                    <w:spacing w:before="40" w:after="40"/>
                                    <w:jc w:val="right"/>
                                    <w:rPr>
                                      <w:sz w:val="21"/>
                                      <w:szCs w:val="21"/>
                                    </w:rPr>
                                  </w:pPr>
                                  <w:r w:rsidRPr="00C04BC4">
                                    <w:rPr>
                                      <w:sz w:val="21"/>
                                      <w:szCs w:val="21"/>
                                    </w:rPr>
                                    <w:t>8.0</w:t>
                                  </w:r>
                                </w:p>
                              </w:tc>
                              <w:tc>
                                <w:tcPr>
                                  <w:tcW w:w="992" w:type="dxa"/>
                                  <w:tcBorders>
                                    <w:top w:val="single" w:sz="4" w:space="0" w:color="000080"/>
                                    <w:bottom w:val="single" w:sz="4" w:space="0" w:color="000080"/>
                                  </w:tcBorders>
                                </w:tcPr>
                                <w:p w14:paraId="16F12756" w14:textId="77777777" w:rsidR="000E319B" w:rsidRPr="00C04BC4" w:rsidRDefault="000E319B" w:rsidP="000E319B">
                                  <w:pPr>
                                    <w:keepNext/>
                                    <w:keepLines/>
                                    <w:spacing w:before="40" w:after="40"/>
                                    <w:jc w:val="right"/>
                                    <w:rPr>
                                      <w:sz w:val="21"/>
                                      <w:szCs w:val="21"/>
                                    </w:rPr>
                                  </w:pPr>
                                  <w:r w:rsidRPr="00C04BC4">
                                    <w:rPr>
                                      <w:sz w:val="21"/>
                                      <w:szCs w:val="21"/>
                                    </w:rPr>
                                    <w:t>15.6</w:t>
                                  </w:r>
                                </w:p>
                              </w:tc>
                              <w:tc>
                                <w:tcPr>
                                  <w:tcW w:w="993" w:type="dxa"/>
                                  <w:tcBorders>
                                    <w:top w:val="single" w:sz="4" w:space="0" w:color="000080"/>
                                    <w:bottom w:val="single" w:sz="4" w:space="0" w:color="000080"/>
                                  </w:tcBorders>
                                </w:tcPr>
                                <w:p w14:paraId="3C7EDA39" w14:textId="77777777" w:rsidR="000E319B" w:rsidRPr="00C04BC4" w:rsidRDefault="000E319B" w:rsidP="000E319B">
                                  <w:pPr>
                                    <w:keepNext/>
                                    <w:keepLines/>
                                    <w:spacing w:before="40" w:after="40"/>
                                    <w:jc w:val="right"/>
                                    <w:rPr>
                                      <w:sz w:val="21"/>
                                      <w:szCs w:val="21"/>
                                    </w:rPr>
                                  </w:pPr>
                                  <w:r w:rsidRPr="00C04BC4">
                                    <w:rPr>
                                      <w:sz w:val="21"/>
                                      <w:szCs w:val="21"/>
                                    </w:rPr>
                                    <w:t>36.4</w:t>
                                  </w:r>
                                </w:p>
                              </w:tc>
                              <w:tc>
                                <w:tcPr>
                                  <w:tcW w:w="992" w:type="dxa"/>
                                  <w:tcBorders>
                                    <w:top w:val="single" w:sz="4" w:space="0" w:color="000080"/>
                                    <w:bottom w:val="single" w:sz="4" w:space="0" w:color="000080"/>
                                  </w:tcBorders>
                                </w:tcPr>
                                <w:p w14:paraId="698682BA" w14:textId="77777777" w:rsidR="000E319B" w:rsidRPr="00C04BC4" w:rsidRDefault="000E319B" w:rsidP="000E319B">
                                  <w:pPr>
                                    <w:keepNext/>
                                    <w:keepLines/>
                                    <w:spacing w:before="40" w:after="40"/>
                                    <w:jc w:val="center"/>
                                    <w:rPr>
                                      <w:sz w:val="21"/>
                                      <w:szCs w:val="21"/>
                                    </w:rPr>
                                  </w:pPr>
                                  <w:r w:rsidRPr="00C04BC4">
                                    <w:rPr>
                                      <w:sz w:val="21"/>
                                      <w:szCs w:val="21"/>
                                    </w:rPr>
                                    <w:t>0.0</w:t>
                                  </w:r>
                                </w:p>
                              </w:tc>
                              <w:tc>
                                <w:tcPr>
                                  <w:tcW w:w="850" w:type="dxa"/>
                                  <w:tcBorders>
                                    <w:top w:val="single" w:sz="4" w:space="0" w:color="000080"/>
                                    <w:bottom w:val="single" w:sz="4" w:space="0" w:color="000080"/>
                                  </w:tcBorders>
                                </w:tcPr>
                                <w:p w14:paraId="6851FCC6" w14:textId="77777777" w:rsidR="000E319B" w:rsidRPr="00C04BC4" w:rsidRDefault="000E319B" w:rsidP="000E319B">
                                  <w:pPr>
                                    <w:keepNext/>
                                    <w:keepLines/>
                                    <w:spacing w:before="40" w:after="40"/>
                                    <w:jc w:val="right"/>
                                    <w:rPr>
                                      <w:sz w:val="21"/>
                                      <w:szCs w:val="21"/>
                                    </w:rPr>
                                  </w:pPr>
                                  <w:r w:rsidRPr="00C04BC4">
                                    <w:rPr>
                                      <w:sz w:val="21"/>
                                      <w:szCs w:val="21"/>
                                    </w:rPr>
                                    <w:t>65.0</w:t>
                                  </w:r>
                                </w:p>
                              </w:tc>
                            </w:tr>
                            <w:tr w:rsidR="008736BD" w:rsidRPr="008D009B" w14:paraId="318AAE93" w14:textId="77777777" w:rsidTr="00C04BC4">
                              <w:trPr>
                                <w:cantSplit/>
                              </w:trPr>
                              <w:tc>
                                <w:tcPr>
                                  <w:tcW w:w="1560" w:type="dxa"/>
                                  <w:tcBorders>
                                    <w:top w:val="single" w:sz="4" w:space="0" w:color="000080"/>
                                  </w:tcBorders>
                                </w:tcPr>
                                <w:p w14:paraId="3F99E3A6" w14:textId="77777777" w:rsidR="008736BD" w:rsidRPr="008C2B5A" w:rsidRDefault="00C04BC4" w:rsidP="000E319B">
                                  <w:pPr>
                                    <w:keepNext/>
                                    <w:keepLines/>
                                    <w:spacing w:before="60" w:after="60"/>
                                    <w:ind w:left="-111"/>
                                    <w:rPr>
                                      <w:bCs/>
                                      <w:i/>
                                      <w:iCs/>
                                      <w:sz w:val="21"/>
                                      <w:szCs w:val="21"/>
                                    </w:rPr>
                                  </w:pPr>
                                  <w:r>
                                    <w:rPr>
                                      <w:bCs/>
                                      <w:i/>
                                      <w:iCs/>
                                      <w:sz w:val="21"/>
                                      <w:szCs w:val="21"/>
                                    </w:rPr>
                                    <w:t>Estimated b</w:t>
                                  </w:r>
                                  <w:r w:rsidR="008736BD">
                                    <w:rPr>
                                      <w:bCs/>
                                      <w:i/>
                                      <w:iCs/>
                                      <w:sz w:val="21"/>
                                      <w:szCs w:val="21"/>
                                    </w:rPr>
                                    <w:t>alance of non-Commonwealth contributions</w:t>
                                  </w:r>
                                </w:p>
                              </w:tc>
                              <w:tc>
                                <w:tcPr>
                                  <w:tcW w:w="992" w:type="dxa"/>
                                  <w:tcBorders>
                                    <w:top w:val="single" w:sz="4" w:space="0" w:color="000080"/>
                                  </w:tcBorders>
                                </w:tcPr>
                                <w:p w14:paraId="0DBF2E00" w14:textId="77777777" w:rsidR="008736BD" w:rsidRPr="00C04BC4" w:rsidRDefault="00340742" w:rsidP="000E319B">
                                  <w:pPr>
                                    <w:keepNext/>
                                    <w:keepLines/>
                                    <w:spacing w:before="40" w:after="40"/>
                                    <w:jc w:val="right"/>
                                    <w:rPr>
                                      <w:sz w:val="21"/>
                                      <w:szCs w:val="21"/>
                                    </w:rPr>
                                  </w:pPr>
                                  <w:r>
                                    <w:rPr>
                                      <w:sz w:val="21"/>
                                      <w:szCs w:val="21"/>
                                    </w:rPr>
                                    <w:t>0</w:t>
                                  </w:r>
                                  <w:r w:rsidR="0060403C">
                                    <w:rPr>
                                      <w:sz w:val="21"/>
                                      <w:szCs w:val="21"/>
                                    </w:rPr>
                                    <w:t>.0</w:t>
                                  </w:r>
                                </w:p>
                              </w:tc>
                              <w:tc>
                                <w:tcPr>
                                  <w:tcW w:w="992" w:type="dxa"/>
                                  <w:tcBorders>
                                    <w:top w:val="single" w:sz="4" w:space="0" w:color="000080"/>
                                  </w:tcBorders>
                                </w:tcPr>
                                <w:p w14:paraId="7A546F8B" w14:textId="77777777" w:rsidR="008736BD" w:rsidRPr="00C04BC4" w:rsidRDefault="00340742" w:rsidP="000E319B">
                                  <w:pPr>
                                    <w:keepNext/>
                                    <w:keepLines/>
                                    <w:spacing w:before="40" w:after="40"/>
                                    <w:jc w:val="right"/>
                                    <w:rPr>
                                      <w:sz w:val="21"/>
                                      <w:szCs w:val="21"/>
                                    </w:rPr>
                                  </w:pPr>
                                  <w:r>
                                    <w:rPr>
                                      <w:sz w:val="21"/>
                                      <w:szCs w:val="21"/>
                                    </w:rPr>
                                    <w:t>12.0</w:t>
                                  </w:r>
                                </w:p>
                              </w:tc>
                              <w:tc>
                                <w:tcPr>
                                  <w:tcW w:w="992" w:type="dxa"/>
                                  <w:tcBorders>
                                    <w:top w:val="single" w:sz="4" w:space="0" w:color="000080"/>
                                  </w:tcBorders>
                                </w:tcPr>
                                <w:p w14:paraId="14481485" w14:textId="77777777" w:rsidR="008736BD" w:rsidRPr="00C04BC4" w:rsidRDefault="006409F7" w:rsidP="000E319B">
                                  <w:pPr>
                                    <w:keepNext/>
                                    <w:keepLines/>
                                    <w:spacing w:before="40" w:after="40"/>
                                    <w:jc w:val="right"/>
                                    <w:rPr>
                                      <w:sz w:val="21"/>
                                      <w:szCs w:val="21"/>
                                    </w:rPr>
                                  </w:pPr>
                                  <w:r>
                                    <w:rPr>
                                      <w:sz w:val="21"/>
                                      <w:szCs w:val="21"/>
                                    </w:rPr>
                                    <w:t>33.0</w:t>
                                  </w:r>
                                </w:p>
                              </w:tc>
                              <w:tc>
                                <w:tcPr>
                                  <w:tcW w:w="993" w:type="dxa"/>
                                  <w:tcBorders>
                                    <w:top w:val="single" w:sz="4" w:space="0" w:color="000080"/>
                                  </w:tcBorders>
                                </w:tcPr>
                                <w:p w14:paraId="2C47F0E2" w14:textId="77777777" w:rsidR="008736BD" w:rsidRPr="00C04BC4" w:rsidRDefault="006409F7" w:rsidP="000E319B">
                                  <w:pPr>
                                    <w:keepNext/>
                                    <w:keepLines/>
                                    <w:spacing w:before="40" w:after="40"/>
                                    <w:jc w:val="right"/>
                                    <w:rPr>
                                      <w:sz w:val="21"/>
                                      <w:szCs w:val="21"/>
                                    </w:rPr>
                                  </w:pPr>
                                  <w:r>
                                    <w:rPr>
                                      <w:sz w:val="21"/>
                                      <w:szCs w:val="21"/>
                                    </w:rPr>
                                    <w:t>20.0</w:t>
                                  </w:r>
                                </w:p>
                              </w:tc>
                              <w:tc>
                                <w:tcPr>
                                  <w:tcW w:w="992" w:type="dxa"/>
                                  <w:tcBorders>
                                    <w:top w:val="single" w:sz="4" w:space="0" w:color="000080"/>
                                  </w:tcBorders>
                                </w:tcPr>
                                <w:p w14:paraId="5EF0DB47" w14:textId="77777777" w:rsidR="008736BD" w:rsidRPr="00C04BC4" w:rsidRDefault="0060403C" w:rsidP="000E319B">
                                  <w:pPr>
                                    <w:keepNext/>
                                    <w:keepLines/>
                                    <w:spacing w:before="40" w:after="40"/>
                                    <w:jc w:val="center"/>
                                    <w:rPr>
                                      <w:sz w:val="21"/>
                                      <w:szCs w:val="21"/>
                                    </w:rPr>
                                  </w:pPr>
                                  <w:r>
                                    <w:rPr>
                                      <w:sz w:val="21"/>
                                      <w:szCs w:val="21"/>
                                    </w:rPr>
                                    <w:t>0.0</w:t>
                                  </w:r>
                                </w:p>
                              </w:tc>
                              <w:tc>
                                <w:tcPr>
                                  <w:tcW w:w="850" w:type="dxa"/>
                                  <w:tcBorders>
                                    <w:top w:val="single" w:sz="4" w:space="0" w:color="000080"/>
                                  </w:tcBorders>
                                </w:tcPr>
                                <w:p w14:paraId="59191014" w14:textId="77777777" w:rsidR="008736BD" w:rsidRPr="00C04BC4" w:rsidRDefault="008736BD" w:rsidP="000E319B">
                                  <w:pPr>
                                    <w:keepNext/>
                                    <w:keepLines/>
                                    <w:spacing w:before="40" w:after="40"/>
                                    <w:jc w:val="right"/>
                                    <w:rPr>
                                      <w:sz w:val="21"/>
                                      <w:szCs w:val="21"/>
                                    </w:rPr>
                                  </w:pPr>
                                  <w:r w:rsidRPr="00C04BC4">
                                    <w:rPr>
                                      <w:sz w:val="21"/>
                                      <w:szCs w:val="21"/>
                                    </w:rPr>
                                    <w:t>65.0</w:t>
                                  </w:r>
                                </w:p>
                              </w:tc>
                            </w:tr>
                          </w:tbl>
                          <w:p w14:paraId="3058190A" w14:textId="77777777" w:rsidR="00861DC2" w:rsidRPr="00C04BC4" w:rsidRDefault="00861DC2" w:rsidP="00C04BC4">
                            <w:pPr>
                              <w:keepNext/>
                              <w:keepLines/>
                              <w:spacing w:before="60" w:after="60"/>
                              <w:ind w:left="-111"/>
                              <w:rPr>
                                <w:bCs/>
                                <w:sz w:val="21"/>
                                <w:szCs w:val="21"/>
                              </w:rPr>
                            </w:pPr>
                          </w:p>
                        </w:txbxContent>
                      </v:textbox>
                      <w10:wrap type="square"/>
                    </v:shape>
                  </w:pict>
                </mc:Fallback>
              </mc:AlternateContent>
            </w:r>
          </w:p>
          <w:p w14:paraId="4713653A" w14:textId="11B8AAB9" w:rsidR="006D5125" w:rsidRPr="006D5125" w:rsidRDefault="006D5125" w:rsidP="006D5125">
            <w:pPr>
              <w:pStyle w:val="Tableformat"/>
              <w:rPr>
                <w:color w:val="auto"/>
                <w:sz w:val="18"/>
                <w:szCs w:val="18"/>
              </w:rPr>
            </w:pPr>
            <w:r w:rsidRPr="006D5125">
              <w:rPr>
                <w:color w:val="auto"/>
                <w:sz w:val="18"/>
                <w:szCs w:val="18"/>
              </w:rPr>
              <w:t>Note:  The Tasmanian Government will provide an estimated $65.0 million towards the completion of this project.</w:t>
            </w:r>
          </w:p>
          <w:p w14:paraId="3D23918D" w14:textId="000B570C" w:rsidR="006D5125" w:rsidRPr="007E6E72" w:rsidRDefault="006D5125" w:rsidP="0060403C">
            <w:pPr>
              <w:pStyle w:val="Tableformat"/>
              <w:rPr>
                <w:color w:val="auto"/>
              </w:rPr>
            </w:pPr>
          </w:p>
        </w:tc>
      </w:tr>
      <w:tr w:rsidR="00AB7937" w:rsidRPr="00F00A18" w14:paraId="23596F77" w14:textId="77777777" w:rsidTr="00317FB3">
        <w:tc>
          <w:tcPr>
            <w:tcW w:w="1691" w:type="dxa"/>
            <w:shd w:val="clear" w:color="auto" w:fill="auto"/>
          </w:tcPr>
          <w:p w14:paraId="38037FEE" w14:textId="77777777" w:rsidR="00AB7937" w:rsidRPr="00416232" w:rsidRDefault="00AB7937" w:rsidP="00AB7937">
            <w:pPr>
              <w:pStyle w:val="Tableformat"/>
              <w:rPr>
                <w:color w:val="auto"/>
                <w:highlight w:val="yellow"/>
              </w:rPr>
            </w:pPr>
            <w:r w:rsidRPr="002D1EBE">
              <w:rPr>
                <w:color w:val="auto"/>
              </w:rPr>
              <w:t>Additional terms</w:t>
            </w:r>
          </w:p>
        </w:tc>
        <w:tc>
          <w:tcPr>
            <w:tcW w:w="7938" w:type="dxa"/>
            <w:shd w:val="clear" w:color="auto" w:fill="auto"/>
          </w:tcPr>
          <w:p w14:paraId="794FA4AD" w14:textId="77777777" w:rsidR="0066040B" w:rsidRPr="00862DFF" w:rsidRDefault="0066040B" w:rsidP="006E59A1">
            <w:pPr>
              <w:pStyle w:val="Tableformat"/>
              <w:rPr>
                <w:b/>
                <w:color w:val="auto"/>
              </w:rPr>
            </w:pPr>
            <w:r w:rsidRPr="00862DFF">
              <w:rPr>
                <w:b/>
                <w:color w:val="auto"/>
              </w:rPr>
              <w:t>The Commonwealth will be responsible for:</w:t>
            </w:r>
          </w:p>
          <w:p w14:paraId="7F6D6B2B" w14:textId="77777777" w:rsidR="00B837A3" w:rsidRDefault="0066040B" w:rsidP="006E59A1">
            <w:pPr>
              <w:pStyle w:val="Tableformat"/>
              <w:numPr>
                <w:ilvl w:val="0"/>
                <w:numId w:val="12"/>
              </w:numPr>
              <w:rPr>
                <w:color w:val="auto"/>
              </w:rPr>
            </w:pPr>
            <w:r w:rsidRPr="00862DFF">
              <w:rPr>
                <w:bCs/>
                <w:color w:val="auto"/>
              </w:rPr>
              <w:t xml:space="preserve">Working with </w:t>
            </w:r>
            <w:r w:rsidR="008F41C3" w:rsidRPr="00862DFF">
              <w:rPr>
                <w:bCs/>
                <w:color w:val="auto"/>
              </w:rPr>
              <w:t>Tasmania</w:t>
            </w:r>
            <w:r w:rsidRPr="00862DFF">
              <w:rPr>
                <w:bCs/>
                <w:color w:val="auto"/>
              </w:rPr>
              <w:t xml:space="preserve"> to ensure </w:t>
            </w:r>
            <w:r w:rsidRPr="00862DFF">
              <w:rPr>
                <w:color w:val="auto"/>
              </w:rPr>
              <w:t xml:space="preserve">all </w:t>
            </w:r>
            <w:r w:rsidR="00AF6E73">
              <w:rPr>
                <w:color w:val="auto"/>
              </w:rPr>
              <w:t>milestones</w:t>
            </w:r>
            <w:r w:rsidRPr="00862DFF">
              <w:rPr>
                <w:color w:val="auto"/>
              </w:rPr>
              <w:t xml:space="preserve"> included in this schedule consider the </w:t>
            </w:r>
            <w:r w:rsidR="006E59A1" w:rsidRPr="00862DFF">
              <w:rPr>
                <w:bCs/>
                <w:color w:val="auto"/>
              </w:rPr>
              <w:t>Tasmanian</w:t>
            </w:r>
            <w:r w:rsidRPr="00862DFF">
              <w:rPr>
                <w:bCs/>
                <w:color w:val="auto"/>
              </w:rPr>
              <w:t xml:space="preserve"> Government’s </w:t>
            </w:r>
            <w:r w:rsidR="00CB27C7" w:rsidRPr="00862DFF">
              <w:rPr>
                <w:bCs/>
                <w:color w:val="auto"/>
              </w:rPr>
              <w:t>relevant p</w:t>
            </w:r>
            <w:r w:rsidRPr="00862DFF">
              <w:rPr>
                <w:bCs/>
                <w:color w:val="auto"/>
              </w:rPr>
              <w:t xml:space="preserve">rocurement </w:t>
            </w:r>
            <w:r w:rsidR="00CB27C7" w:rsidRPr="00862DFF">
              <w:rPr>
                <w:bCs/>
                <w:color w:val="auto"/>
              </w:rPr>
              <w:t>f</w:t>
            </w:r>
            <w:r w:rsidRPr="00862DFF">
              <w:rPr>
                <w:bCs/>
                <w:color w:val="auto"/>
              </w:rPr>
              <w:t>ramework</w:t>
            </w:r>
            <w:r w:rsidR="00CB27C7" w:rsidRPr="00862DFF">
              <w:rPr>
                <w:color w:val="auto"/>
              </w:rPr>
              <w:t xml:space="preserve">s and guidelines </w:t>
            </w:r>
            <w:r w:rsidRPr="00862DFF">
              <w:rPr>
                <w:color w:val="auto"/>
              </w:rPr>
              <w:t>where applicable, practicable and cost effective.</w:t>
            </w:r>
          </w:p>
          <w:p w14:paraId="23B5473C" w14:textId="6AEE0AE1" w:rsidR="007E6E72" w:rsidRDefault="007E6E72" w:rsidP="007E6E72">
            <w:pPr>
              <w:pStyle w:val="Tableformat"/>
              <w:ind w:left="720"/>
              <w:rPr>
                <w:color w:val="auto"/>
              </w:rPr>
            </w:pPr>
          </w:p>
          <w:p w14:paraId="49243DEB" w14:textId="77777777" w:rsidR="000C3290" w:rsidRDefault="000C3290" w:rsidP="007E6E72">
            <w:pPr>
              <w:pStyle w:val="Tableformat"/>
              <w:ind w:left="720"/>
              <w:rPr>
                <w:color w:val="auto"/>
              </w:rPr>
            </w:pPr>
          </w:p>
          <w:p w14:paraId="3662DA0B" w14:textId="77777777" w:rsidR="0021173B" w:rsidRPr="007E6E72" w:rsidRDefault="0021173B" w:rsidP="007E6E72">
            <w:pPr>
              <w:pStyle w:val="Tableformat"/>
              <w:ind w:left="720"/>
              <w:rPr>
                <w:color w:val="auto"/>
              </w:rPr>
            </w:pPr>
          </w:p>
          <w:p w14:paraId="7C7A90F3" w14:textId="77777777" w:rsidR="0066040B" w:rsidRPr="00862DFF" w:rsidRDefault="00B559D2" w:rsidP="006E59A1">
            <w:pPr>
              <w:pStyle w:val="Tableformat"/>
              <w:rPr>
                <w:b/>
                <w:color w:val="auto"/>
              </w:rPr>
            </w:pPr>
            <w:r w:rsidRPr="00862DFF">
              <w:rPr>
                <w:b/>
                <w:color w:val="auto"/>
              </w:rPr>
              <w:lastRenderedPageBreak/>
              <w:t>Tasmania</w:t>
            </w:r>
            <w:r w:rsidR="0066040B" w:rsidRPr="00862DFF">
              <w:rPr>
                <w:b/>
                <w:color w:val="auto"/>
              </w:rPr>
              <w:t xml:space="preserve"> will be responsible for:</w:t>
            </w:r>
          </w:p>
          <w:p w14:paraId="0517B769" w14:textId="77777777" w:rsidR="00727381" w:rsidRPr="00862DFF" w:rsidRDefault="00727381" w:rsidP="007E6E72">
            <w:pPr>
              <w:pStyle w:val="Tableformat"/>
              <w:numPr>
                <w:ilvl w:val="0"/>
                <w:numId w:val="26"/>
              </w:numPr>
              <w:rPr>
                <w:bCs/>
                <w:color w:val="auto"/>
              </w:rPr>
            </w:pPr>
            <w:r w:rsidRPr="00862DFF">
              <w:rPr>
                <w:bCs/>
                <w:color w:val="auto"/>
              </w:rPr>
              <w:t>Maintaining an updated Project Plan that may include details such as:</w:t>
            </w:r>
          </w:p>
          <w:p w14:paraId="79E3F7CE" w14:textId="77777777" w:rsidR="00727381" w:rsidRPr="00B26E27" w:rsidRDefault="00727381" w:rsidP="007E6E72">
            <w:pPr>
              <w:pStyle w:val="Tableformat"/>
              <w:numPr>
                <w:ilvl w:val="1"/>
                <w:numId w:val="26"/>
              </w:numPr>
              <w:rPr>
                <w:i/>
                <w:color w:val="auto"/>
              </w:rPr>
            </w:pPr>
            <w:r w:rsidRPr="00862DFF">
              <w:rPr>
                <w:color w:val="auto"/>
              </w:rPr>
              <w:t>Project management arrangement</w:t>
            </w:r>
            <w:r w:rsidR="00A0404B">
              <w:rPr>
                <w:color w:val="auto"/>
              </w:rPr>
              <w:t>s</w:t>
            </w:r>
            <w:r w:rsidRPr="00862DFF">
              <w:rPr>
                <w:color w:val="auto"/>
              </w:rPr>
              <w:t>, including an implementation schedule for the delivery of the project;</w:t>
            </w:r>
          </w:p>
          <w:p w14:paraId="39A690AC" w14:textId="77777777" w:rsidR="00727381" w:rsidRPr="00862DFF" w:rsidRDefault="00727381" w:rsidP="007E6E72">
            <w:pPr>
              <w:pStyle w:val="Tableformat"/>
              <w:numPr>
                <w:ilvl w:val="1"/>
                <w:numId w:val="26"/>
              </w:numPr>
              <w:rPr>
                <w:i/>
                <w:color w:val="auto"/>
              </w:rPr>
            </w:pPr>
            <w:r w:rsidRPr="00862DFF">
              <w:rPr>
                <w:color w:val="auto"/>
              </w:rPr>
              <w:t>Risk management for both project delivery and for any potential operational risks;</w:t>
            </w:r>
          </w:p>
          <w:p w14:paraId="4608F39F" w14:textId="77777777" w:rsidR="00727381" w:rsidRPr="00862DFF" w:rsidRDefault="00727381" w:rsidP="007E6E72">
            <w:pPr>
              <w:pStyle w:val="Tableformat"/>
              <w:numPr>
                <w:ilvl w:val="1"/>
                <w:numId w:val="26"/>
              </w:numPr>
              <w:rPr>
                <w:i/>
                <w:color w:val="auto"/>
              </w:rPr>
            </w:pPr>
            <w:r w:rsidRPr="00862DFF">
              <w:rPr>
                <w:color w:val="auto"/>
              </w:rPr>
              <w:t xml:space="preserve">Governance arrangements including </w:t>
            </w:r>
            <w:r w:rsidR="00A0404B">
              <w:rPr>
                <w:color w:val="auto"/>
              </w:rPr>
              <w:t xml:space="preserve">leading a Steering Committee to oversee the project, </w:t>
            </w:r>
            <w:r w:rsidRPr="00862DFF">
              <w:rPr>
                <w:color w:val="auto"/>
              </w:rPr>
              <w:t>mana</w:t>
            </w:r>
            <w:r w:rsidR="00A0404B">
              <w:rPr>
                <w:color w:val="auto"/>
              </w:rPr>
              <w:t>ging</w:t>
            </w:r>
            <w:r w:rsidRPr="00862DFF">
              <w:rPr>
                <w:color w:val="auto"/>
              </w:rPr>
              <w:t xml:space="preserve"> any approvals </w:t>
            </w:r>
            <w:r w:rsidR="00507C07">
              <w:rPr>
                <w:color w:val="auto"/>
              </w:rPr>
              <w:t>and</w:t>
            </w:r>
            <w:r w:rsidRPr="00862DFF">
              <w:rPr>
                <w:color w:val="auto"/>
              </w:rPr>
              <w:t xml:space="preserve"> regulatory requirements;</w:t>
            </w:r>
          </w:p>
          <w:p w14:paraId="6076EC22" w14:textId="77777777" w:rsidR="00727381" w:rsidRPr="00862DFF" w:rsidRDefault="00727381" w:rsidP="007E6E72">
            <w:pPr>
              <w:pStyle w:val="Tableformat"/>
              <w:numPr>
                <w:ilvl w:val="1"/>
                <w:numId w:val="26"/>
              </w:numPr>
              <w:rPr>
                <w:i/>
                <w:color w:val="auto"/>
              </w:rPr>
            </w:pPr>
            <w:r w:rsidRPr="00862DFF">
              <w:rPr>
                <w:color w:val="auto"/>
              </w:rPr>
              <w:t>Stakeholder engagement;</w:t>
            </w:r>
          </w:p>
          <w:p w14:paraId="4D4DB83B" w14:textId="77777777" w:rsidR="00727381" w:rsidRPr="00862DFF" w:rsidRDefault="00727381" w:rsidP="007E6E72">
            <w:pPr>
              <w:pStyle w:val="Tableformat"/>
              <w:numPr>
                <w:ilvl w:val="1"/>
                <w:numId w:val="26"/>
              </w:numPr>
              <w:rPr>
                <w:i/>
                <w:color w:val="auto"/>
              </w:rPr>
            </w:pPr>
            <w:r w:rsidRPr="00862DFF">
              <w:rPr>
                <w:color w:val="auto"/>
              </w:rPr>
              <w:t>Expected employment opportunities generated as a result of the project;</w:t>
            </w:r>
          </w:p>
          <w:p w14:paraId="39A18E25" w14:textId="77777777" w:rsidR="00727381" w:rsidRPr="00B26E27" w:rsidRDefault="00727381" w:rsidP="007E6E72">
            <w:pPr>
              <w:pStyle w:val="Tableformat"/>
              <w:numPr>
                <w:ilvl w:val="1"/>
                <w:numId w:val="26"/>
              </w:numPr>
              <w:rPr>
                <w:i/>
                <w:color w:val="auto"/>
              </w:rPr>
            </w:pPr>
            <w:r w:rsidRPr="00926175">
              <w:rPr>
                <w:color w:val="auto"/>
              </w:rPr>
              <w:t xml:space="preserve">Proposals on how the project will meet </w:t>
            </w:r>
            <w:r w:rsidR="001F12BA" w:rsidRPr="00926175">
              <w:rPr>
                <w:color w:val="auto"/>
              </w:rPr>
              <w:t xml:space="preserve">(if any) </w:t>
            </w:r>
            <w:r w:rsidRPr="00B26E27">
              <w:rPr>
                <w:color w:val="auto"/>
              </w:rPr>
              <w:t>indigenous</w:t>
            </w:r>
            <w:r w:rsidRPr="00926175">
              <w:rPr>
                <w:color w:val="auto"/>
              </w:rPr>
              <w:t>, local and social and employment procurement targets;</w:t>
            </w:r>
          </w:p>
          <w:p w14:paraId="05D6EBB3" w14:textId="77777777" w:rsidR="00727381" w:rsidRPr="00862DFF" w:rsidRDefault="00727381" w:rsidP="007E6E72">
            <w:pPr>
              <w:pStyle w:val="Tableformat"/>
              <w:numPr>
                <w:ilvl w:val="1"/>
                <w:numId w:val="26"/>
              </w:numPr>
              <w:rPr>
                <w:i/>
                <w:color w:val="auto"/>
              </w:rPr>
            </w:pPr>
            <w:r w:rsidRPr="00862DFF">
              <w:rPr>
                <w:color w:val="auto"/>
              </w:rPr>
              <w:t>Workplace relationship management plan, compliant with WHS and Building Code requirements; and</w:t>
            </w:r>
          </w:p>
          <w:p w14:paraId="211CE5BB" w14:textId="77777777" w:rsidR="00727381" w:rsidRPr="00862DFF" w:rsidRDefault="00727381" w:rsidP="007E6E72">
            <w:pPr>
              <w:pStyle w:val="Tableformat"/>
              <w:numPr>
                <w:ilvl w:val="1"/>
                <w:numId w:val="26"/>
              </w:numPr>
              <w:rPr>
                <w:color w:val="auto"/>
              </w:rPr>
            </w:pPr>
            <w:r w:rsidRPr="00862DFF">
              <w:rPr>
                <w:color w:val="auto"/>
              </w:rPr>
              <w:t>Any other information Tasmania considers relevant to enable the Commonwealth to assess the Project Plan.</w:t>
            </w:r>
          </w:p>
          <w:p w14:paraId="6CA5F725" w14:textId="77777777" w:rsidR="0066040B" w:rsidRPr="00B26E27" w:rsidRDefault="00926175" w:rsidP="007E6E72">
            <w:pPr>
              <w:pStyle w:val="Tableformat"/>
              <w:numPr>
                <w:ilvl w:val="0"/>
                <w:numId w:val="26"/>
              </w:numPr>
              <w:rPr>
                <w:color w:val="auto"/>
              </w:rPr>
            </w:pPr>
            <w:r w:rsidRPr="00B26E27">
              <w:rPr>
                <w:color w:val="auto"/>
              </w:rPr>
              <w:t>Tasmania is responsible for advising the Commonwealth as soon as possible of any delays to the expected completion dates for any milestone listed in Table 2.</w:t>
            </w:r>
          </w:p>
          <w:p w14:paraId="360739D5" w14:textId="77777777" w:rsidR="006E59A1" w:rsidRPr="00B26E27" w:rsidRDefault="0066040B" w:rsidP="007E6E72">
            <w:pPr>
              <w:pStyle w:val="Tableformat"/>
              <w:numPr>
                <w:ilvl w:val="0"/>
                <w:numId w:val="26"/>
              </w:numPr>
              <w:rPr>
                <w:color w:val="auto"/>
              </w:rPr>
            </w:pPr>
            <w:r w:rsidRPr="00B26E27">
              <w:rPr>
                <w:color w:val="auto"/>
              </w:rPr>
              <w:t xml:space="preserve">Where a decision is made to discontinue a </w:t>
            </w:r>
            <w:r w:rsidR="006E59A1" w:rsidRPr="00B26E27">
              <w:rPr>
                <w:color w:val="auto"/>
              </w:rPr>
              <w:t>milestone</w:t>
            </w:r>
            <w:r w:rsidRPr="00B26E27">
              <w:rPr>
                <w:color w:val="auto"/>
              </w:rPr>
              <w:t xml:space="preserve">, remaining surplus funds for that </w:t>
            </w:r>
            <w:r w:rsidR="006E59A1" w:rsidRPr="00B26E27">
              <w:rPr>
                <w:color w:val="auto"/>
              </w:rPr>
              <w:t>milestone</w:t>
            </w:r>
            <w:r w:rsidRPr="00B26E27">
              <w:rPr>
                <w:color w:val="auto"/>
              </w:rPr>
              <w:t xml:space="preserve"> will be re-allocated </w:t>
            </w:r>
            <w:r w:rsidR="00727381" w:rsidRPr="00B26E27">
              <w:rPr>
                <w:color w:val="auto"/>
              </w:rPr>
              <w:t>following endorsement in writing by the Parties to this Schedule.</w:t>
            </w:r>
          </w:p>
          <w:p w14:paraId="4E426FBA" w14:textId="77777777" w:rsidR="00B559D2" w:rsidRPr="00862DFF" w:rsidRDefault="00B559D2" w:rsidP="007E6E72">
            <w:pPr>
              <w:pStyle w:val="Tableformat"/>
              <w:numPr>
                <w:ilvl w:val="0"/>
                <w:numId w:val="26"/>
              </w:numPr>
              <w:rPr>
                <w:color w:val="auto"/>
              </w:rPr>
            </w:pPr>
            <w:r w:rsidRPr="00862DFF">
              <w:rPr>
                <w:color w:val="auto"/>
              </w:rPr>
              <w:t xml:space="preserve">Additionally, Tasmania agrees to: </w:t>
            </w:r>
          </w:p>
          <w:p w14:paraId="65C51A1F" w14:textId="77777777" w:rsidR="00B559D2" w:rsidRPr="00862DFF" w:rsidRDefault="00B559D2" w:rsidP="007E6E72">
            <w:pPr>
              <w:pStyle w:val="Tableformat"/>
              <w:numPr>
                <w:ilvl w:val="1"/>
                <w:numId w:val="26"/>
              </w:numPr>
              <w:rPr>
                <w:color w:val="auto"/>
                <w:lang w:val="en-AU"/>
              </w:rPr>
            </w:pPr>
            <w:r w:rsidRPr="00862DFF">
              <w:rPr>
                <w:color w:val="auto"/>
                <w:lang w:val="en-AU"/>
              </w:rPr>
              <w:t xml:space="preserve">Maximise opportunities for local businesses and employees to be involved in the construction work undertaken as part of the UTAS Stadium </w:t>
            </w:r>
            <w:r w:rsidR="00070C44">
              <w:rPr>
                <w:color w:val="auto"/>
                <w:lang w:val="en-AU"/>
              </w:rPr>
              <w:t>R</w:t>
            </w:r>
            <w:r w:rsidR="00F63136">
              <w:rPr>
                <w:color w:val="auto"/>
                <w:lang w:val="en-AU"/>
              </w:rPr>
              <w:t>edevelopment</w:t>
            </w:r>
            <w:r w:rsidR="00070C44">
              <w:rPr>
                <w:color w:val="auto"/>
                <w:lang w:val="en-AU"/>
              </w:rPr>
              <w:t xml:space="preserve"> Project</w:t>
            </w:r>
            <w:r w:rsidRPr="00862DFF">
              <w:rPr>
                <w:color w:val="auto"/>
                <w:lang w:val="en-AU"/>
              </w:rPr>
              <w:t>.</w:t>
            </w:r>
          </w:p>
          <w:p w14:paraId="5587F226" w14:textId="77777777" w:rsidR="00B559D2" w:rsidRPr="00B26E27" w:rsidRDefault="00B559D2" w:rsidP="007E6E72">
            <w:pPr>
              <w:pStyle w:val="Tableformat"/>
              <w:numPr>
                <w:ilvl w:val="1"/>
                <w:numId w:val="26"/>
              </w:numPr>
              <w:rPr>
                <w:color w:val="auto"/>
                <w:lang w:val="en-AU"/>
              </w:rPr>
            </w:pPr>
            <w:r w:rsidRPr="00B26E27">
              <w:rPr>
                <w:color w:val="auto"/>
                <w:lang w:val="en-AU"/>
              </w:rPr>
              <w:t xml:space="preserve">Maximise opportunities for Indigenous businesses and employees to be involved in the construction work undertaken as part of the UTAS Stadium </w:t>
            </w:r>
            <w:r w:rsidR="00070C44">
              <w:rPr>
                <w:color w:val="auto"/>
                <w:lang w:val="en-AU"/>
              </w:rPr>
              <w:t>R</w:t>
            </w:r>
            <w:r w:rsidR="00F63136" w:rsidRPr="00B26E27">
              <w:rPr>
                <w:color w:val="auto"/>
                <w:lang w:val="en-AU"/>
              </w:rPr>
              <w:t>edevelopment</w:t>
            </w:r>
            <w:r w:rsidRPr="00B26E27">
              <w:rPr>
                <w:color w:val="auto"/>
                <w:lang w:val="en-AU"/>
              </w:rPr>
              <w:t xml:space="preserve"> </w:t>
            </w:r>
            <w:r w:rsidR="00070C44">
              <w:rPr>
                <w:color w:val="auto"/>
                <w:lang w:val="en-AU"/>
              </w:rPr>
              <w:t xml:space="preserve">Project </w:t>
            </w:r>
            <w:r w:rsidRPr="00B26E27">
              <w:rPr>
                <w:color w:val="auto"/>
                <w:lang w:val="en-AU"/>
              </w:rPr>
              <w:t>by including Indigenous training, employment and supplier-use requirements that reflect the local Indigenous working age population in all construction contracts</w:t>
            </w:r>
            <w:r w:rsidR="00AF6E73">
              <w:rPr>
                <w:color w:val="auto"/>
                <w:lang w:val="en-AU"/>
              </w:rPr>
              <w:t>.</w:t>
            </w:r>
            <w:r w:rsidRPr="00B26E27">
              <w:rPr>
                <w:color w:val="auto"/>
                <w:lang w:val="en-AU"/>
              </w:rPr>
              <w:t xml:space="preserve"> </w:t>
            </w:r>
          </w:p>
          <w:p w14:paraId="5B61824E" w14:textId="77777777" w:rsidR="00B559D2" w:rsidRPr="00862DFF" w:rsidRDefault="00B559D2" w:rsidP="007E6E72">
            <w:pPr>
              <w:pStyle w:val="Tableformat"/>
              <w:numPr>
                <w:ilvl w:val="1"/>
                <w:numId w:val="26"/>
              </w:numPr>
              <w:rPr>
                <w:color w:val="auto"/>
                <w:lang w:val="en-AU"/>
              </w:rPr>
            </w:pPr>
            <w:r w:rsidRPr="00862DFF">
              <w:rPr>
                <w:color w:val="auto"/>
                <w:lang w:val="en-AU"/>
              </w:rPr>
              <w:t xml:space="preserve">Prior to the commencement of construction, erect signage at the construction site that acknowledges the Commonwealth's and Tasmania's financial contributions to the UTAS Stadium </w:t>
            </w:r>
            <w:r w:rsidR="00757D10">
              <w:rPr>
                <w:color w:val="auto"/>
                <w:lang w:val="en-AU"/>
              </w:rPr>
              <w:t>R</w:t>
            </w:r>
            <w:r w:rsidR="00F63136">
              <w:rPr>
                <w:color w:val="auto"/>
                <w:lang w:val="en-AU"/>
              </w:rPr>
              <w:t>edevelopment</w:t>
            </w:r>
            <w:r w:rsidR="00757D10">
              <w:rPr>
                <w:color w:val="auto"/>
                <w:lang w:val="en-AU"/>
              </w:rPr>
              <w:t xml:space="preserve"> Project</w:t>
            </w:r>
            <w:r w:rsidRPr="00862DFF">
              <w:rPr>
                <w:color w:val="auto"/>
                <w:lang w:val="en-AU"/>
              </w:rPr>
              <w:t xml:space="preserve">, consistent with the Department of Infrastructure, Transport, </w:t>
            </w:r>
            <w:r w:rsidRPr="00862DFF">
              <w:rPr>
                <w:color w:val="auto"/>
                <w:lang w:val="en-AU"/>
              </w:rPr>
              <w:lastRenderedPageBreak/>
              <w:t>Regional Development, Communications and the Art’s Signage Guidelines, and maintain this signage for at least one year after project completion. Signage is to include the Commonwealth and Tasmania logos, and the words "</w:t>
            </w:r>
            <w:r w:rsidR="00F63136">
              <w:rPr>
                <w:color w:val="auto"/>
                <w:lang w:val="en-AU"/>
              </w:rPr>
              <w:t>The</w:t>
            </w:r>
            <w:r w:rsidRPr="00862DFF">
              <w:rPr>
                <w:color w:val="auto"/>
                <w:lang w:val="en-AU"/>
              </w:rPr>
              <w:t xml:space="preserve"> University of Tasmania Stadium </w:t>
            </w:r>
            <w:r w:rsidR="00F63136">
              <w:rPr>
                <w:color w:val="auto"/>
                <w:lang w:val="en-AU"/>
              </w:rPr>
              <w:t>Redevelopment Project is</w:t>
            </w:r>
            <w:r w:rsidRPr="00862DFF">
              <w:rPr>
                <w:color w:val="auto"/>
                <w:lang w:val="en-AU"/>
              </w:rPr>
              <w:t xml:space="preserve"> funded by the Australian and Tasmanian </w:t>
            </w:r>
            <w:r w:rsidR="00D1103A">
              <w:rPr>
                <w:color w:val="auto"/>
                <w:lang w:val="en-AU"/>
              </w:rPr>
              <w:t>g</w:t>
            </w:r>
            <w:r w:rsidRPr="00862DFF">
              <w:rPr>
                <w:color w:val="auto"/>
                <w:lang w:val="en-AU"/>
              </w:rPr>
              <w:t>overnments " (or similar wording as otherwise agreed between the Commonwealth and Tasmania).</w:t>
            </w:r>
          </w:p>
          <w:p w14:paraId="46D0D6C2" w14:textId="77777777" w:rsidR="00B559D2" w:rsidRPr="00862DFF" w:rsidRDefault="00B559D2" w:rsidP="007E6E72">
            <w:pPr>
              <w:pStyle w:val="Tableformat"/>
              <w:numPr>
                <w:ilvl w:val="1"/>
                <w:numId w:val="26"/>
              </w:numPr>
              <w:rPr>
                <w:color w:val="auto"/>
                <w:lang w:val="en-AU"/>
              </w:rPr>
            </w:pPr>
            <w:r w:rsidRPr="00862DFF">
              <w:rPr>
                <w:color w:val="auto"/>
                <w:lang w:val="en-AU"/>
              </w:rPr>
              <w:t>Include the words "</w:t>
            </w:r>
            <w:r w:rsidRPr="00862DFF">
              <w:t xml:space="preserve"> </w:t>
            </w:r>
            <w:r w:rsidR="00F63136">
              <w:rPr>
                <w:color w:val="auto"/>
                <w:lang w:val="en-AU"/>
              </w:rPr>
              <w:t>The</w:t>
            </w:r>
            <w:r w:rsidR="00F63136" w:rsidRPr="00862DFF">
              <w:rPr>
                <w:color w:val="auto"/>
                <w:lang w:val="en-AU"/>
              </w:rPr>
              <w:t xml:space="preserve"> University of Tasmania Stadium </w:t>
            </w:r>
            <w:r w:rsidR="00F63136">
              <w:rPr>
                <w:color w:val="auto"/>
                <w:lang w:val="en-AU"/>
              </w:rPr>
              <w:t>Redevelopment Project is</w:t>
            </w:r>
            <w:r w:rsidRPr="00862DFF">
              <w:rPr>
                <w:color w:val="auto"/>
                <w:lang w:val="en-AU"/>
              </w:rPr>
              <w:t xml:space="preserve"> funded by the Australian and Tasmanian </w:t>
            </w:r>
            <w:r w:rsidR="00D1103A">
              <w:rPr>
                <w:color w:val="auto"/>
                <w:lang w:val="en-AU"/>
              </w:rPr>
              <w:t>g</w:t>
            </w:r>
            <w:r w:rsidRPr="00862DFF">
              <w:rPr>
                <w:color w:val="auto"/>
                <w:lang w:val="en-AU"/>
              </w:rPr>
              <w:t>overnments " (or similar wording as otherwise agreed between the Commonwealth and Tasmania) on relevant websites, and in all publications and promotional material for at least one year after project completion.</w:t>
            </w:r>
          </w:p>
          <w:p w14:paraId="54CBA3F2" w14:textId="77777777" w:rsidR="00B559D2" w:rsidRPr="00862DFF" w:rsidRDefault="00B559D2" w:rsidP="007E6E72">
            <w:pPr>
              <w:pStyle w:val="Tableformat"/>
              <w:numPr>
                <w:ilvl w:val="1"/>
                <w:numId w:val="26"/>
              </w:numPr>
              <w:rPr>
                <w:color w:val="auto"/>
                <w:lang w:val="en-AU"/>
              </w:rPr>
            </w:pPr>
            <w:r w:rsidRPr="00862DFF">
              <w:rPr>
                <w:color w:val="auto"/>
                <w:lang w:val="en-AU"/>
              </w:rPr>
              <w:t>Acknowledge the Commonwealth in any branding or signage that is displayed to mark the official opening or other official public functions for activities relating to the project.</w:t>
            </w:r>
          </w:p>
          <w:p w14:paraId="235D6218" w14:textId="77777777" w:rsidR="00B559D2" w:rsidRPr="00862DFF" w:rsidRDefault="00B559D2" w:rsidP="007E6E72">
            <w:pPr>
              <w:pStyle w:val="Tableformat"/>
              <w:numPr>
                <w:ilvl w:val="1"/>
                <w:numId w:val="26"/>
              </w:numPr>
              <w:rPr>
                <w:color w:val="auto"/>
                <w:lang w:val="en-AU"/>
              </w:rPr>
            </w:pPr>
            <w:r w:rsidRPr="00862DFF">
              <w:rPr>
                <w:color w:val="auto"/>
                <w:lang w:val="en-AU"/>
              </w:rPr>
              <w:t xml:space="preserve">Provide </w:t>
            </w:r>
            <w:r w:rsidR="001379BC">
              <w:rPr>
                <w:color w:val="auto"/>
                <w:lang w:val="en-AU"/>
              </w:rPr>
              <w:t>as much notice as practically possible</w:t>
            </w:r>
            <w:r w:rsidRPr="00862DFF">
              <w:rPr>
                <w:color w:val="auto"/>
                <w:lang w:val="en-AU"/>
              </w:rPr>
              <w:t xml:space="preserve"> to invite the relevant Commonwealth Minister to speak at opening and/or completion functions and other significant phases of the project.</w:t>
            </w:r>
          </w:p>
          <w:p w14:paraId="5088EAC4" w14:textId="77777777" w:rsidR="00B559D2" w:rsidRPr="00862DFF" w:rsidRDefault="00B559D2" w:rsidP="007E6E72">
            <w:pPr>
              <w:pStyle w:val="Tableformat"/>
              <w:numPr>
                <w:ilvl w:val="1"/>
                <w:numId w:val="26"/>
              </w:numPr>
              <w:rPr>
                <w:color w:val="auto"/>
                <w:lang w:val="en-AU"/>
              </w:rPr>
            </w:pPr>
            <w:r w:rsidRPr="00862DFF">
              <w:rPr>
                <w:color w:val="auto"/>
                <w:lang w:val="en-AU"/>
              </w:rPr>
              <w:t>Invite a Commonwealth representative to official events or other public functions for activities relating to the project.</w:t>
            </w:r>
          </w:p>
          <w:p w14:paraId="2FA335F3" w14:textId="77777777" w:rsidR="00D934B9" w:rsidRPr="00AB7937" w:rsidRDefault="00D934B9" w:rsidP="007D68AD">
            <w:pPr>
              <w:widowControl/>
              <w:spacing w:after="160" w:line="259" w:lineRule="auto"/>
              <w:contextualSpacing/>
              <w:rPr>
                <w:i/>
                <w:highlight w:val="yellow"/>
              </w:rPr>
            </w:pPr>
          </w:p>
        </w:tc>
      </w:tr>
    </w:tbl>
    <w:p w14:paraId="72BE9E9F" w14:textId="77777777" w:rsidR="00A127F4" w:rsidRPr="00F00A18" w:rsidRDefault="00A127F4" w:rsidP="00C91B5F">
      <w:pPr>
        <w:sectPr w:rsidR="00A127F4" w:rsidRPr="00F00A18" w:rsidSect="00FC62D9">
          <w:headerReference w:type="even" r:id="rId12"/>
          <w:headerReference w:type="default" r:id="rId13"/>
          <w:footerReference w:type="even" r:id="rId14"/>
          <w:footerReference w:type="default" r:id="rId15"/>
          <w:footerReference w:type="first" r:id="rId16"/>
          <w:pgSz w:w="11906" w:h="16838" w:code="9"/>
          <w:pgMar w:top="1134" w:right="1134" w:bottom="1134" w:left="1134" w:header="709" w:footer="709" w:gutter="0"/>
          <w:pgNumType w:chapStyle="9"/>
          <w:cols w:space="708"/>
          <w:titlePg/>
          <w:docGrid w:linePitch="360"/>
        </w:sectPr>
      </w:pPr>
    </w:p>
    <w:tbl>
      <w:tblPr>
        <w:tblpPr w:leftFromText="180" w:rightFromText="180" w:vertAnchor="text" w:horzAnchor="margin" w:tblpY="-488"/>
        <w:tblW w:w="5425"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42"/>
        <w:gridCol w:w="3685"/>
        <w:gridCol w:w="2127"/>
        <w:gridCol w:w="1418"/>
      </w:tblGrid>
      <w:tr w:rsidR="00983947" w:rsidRPr="00DC2214" w14:paraId="1F1B59C2" w14:textId="77777777" w:rsidTr="007D4C34">
        <w:tc>
          <w:tcPr>
            <w:tcW w:w="9772" w:type="dxa"/>
            <w:gridSpan w:val="4"/>
            <w:shd w:val="clear" w:color="auto" w:fill="DEEAF6" w:themeFill="accent1" w:themeFillTint="33"/>
          </w:tcPr>
          <w:p w14:paraId="15D81E9E" w14:textId="3A902B51" w:rsidR="00983947" w:rsidRPr="00DC2214" w:rsidRDefault="00983947" w:rsidP="00711D8F">
            <w:pPr>
              <w:pStyle w:val="Tableformat"/>
              <w:rPr>
                <w:b/>
                <w:color w:val="auto"/>
              </w:rPr>
            </w:pPr>
            <w:r w:rsidRPr="00DC2214">
              <w:rPr>
                <w:b/>
                <w:color w:val="auto"/>
              </w:rPr>
              <w:lastRenderedPageBreak/>
              <w:t xml:space="preserve">Table 2: </w:t>
            </w:r>
            <w:r w:rsidR="006D5125">
              <w:rPr>
                <w:b/>
                <w:color w:val="auto"/>
              </w:rPr>
              <w:t>P</w:t>
            </w:r>
            <w:r w:rsidRPr="00DC2214">
              <w:rPr>
                <w:b/>
                <w:color w:val="auto"/>
              </w:rPr>
              <w:t xml:space="preserve">erformance </w:t>
            </w:r>
            <w:r>
              <w:rPr>
                <w:b/>
                <w:color w:val="auto"/>
              </w:rPr>
              <w:t xml:space="preserve">milestones, expected completion date and </w:t>
            </w:r>
            <w:r w:rsidR="006D5125">
              <w:rPr>
                <w:b/>
                <w:color w:val="auto"/>
              </w:rPr>
              <w:t>payment</w:t>
            </w:r>
          </w:p>
        </w:tc>
      </w:tr>
      <w:tr w:rsidR="00023E89" w:rsidRPr="00DC2214" w14:paraId="70D958B1" w14:textId="77777777" w:rsidTr="00C04BC4">
        <w:tc>
          <w:tcPr>
            <w:tcW w:w="2542" w:type="dxa"/>
            <w:shd w:val="clear" w:color="auto" w:fill="F2F2F2" w:themeFill="background1" w:themeFillShade="F2"/>
          </w:tcPr>
          <w:p w14:paraId="774F3074" w14:textId="77777777" w:rsidR="00023E89" w:rsidRPr="00DC2214" w:rsidRDefault="00023E89" w:rsidP="00711D8F">
            <w:pPr>
              <w:pStyle w:val="Tableformat"/>
              <w:rPr>
                <w:b/>
                <w:color w:val="auto"/>
              </w:rPr>
            </w:pPr>
            <w:r>
              <w:rPr>
                <w:b/>
                <w:color w:val="auto"/>
              </w:rPr>
              <w:t>Output</w:t>
            </w:r>
          </w:p>
        </w:tc>
        <w:tc>
          <w:tcPr>
            <w:tcW w:w="3685" w:type="dxa"/>
            <w:shd w:val="clear" w:color="auto" w:fill="F2F2F2" w:themeFill="background1" w:themeFillShade="F2"/>
          </w:tcPr>
          <w:p w14:paraId="3402CF32" w14:textId="77777777" w:rsidR="00023E89" w:rsidRPr="00DC2214" w:rsidRDefault="00023E89" w:rsidP="00711D8F">
            <w:pPr>
              <w:pStyle w:val="Tableformat"/>
              <w:rPr>
                <w:b/>
                <w:color w:val="auto"/>
              </w:rPr>
            </w:pPr>
            <w:r w:rsidRPr="00DC2214">
              <w:rPr>
                <w:b/>
                <w:color w:val="auto"/>
              </w:rPr>
              <w:t>Performance milestones</w:t>
            </w:r>
          </w:p>
        </w:tc>
        <w:tc>
          <w:tcPr>
            <w:tcW w:w="2127" w:type="dxa"/>
            <w:shd w:val="clear" w:color="auto" w:fill="F2F2F2" w:themeFill="background1" w:themeFillShade="F2"/>
          </w:tcPr>
          <w:p w14:paraId="6AD39125" w14:textId="77777777" w:rsidR="00023E89" w:rsidRPr="00DC2214" w:rsidRDefault="00023E89" w:rsidP="00711D8F">
            <w:pPr>
              <w:pStyle w:val="Tableformat"/>
              <w:rPr>
                <w:b/>
                <w:color w:val="auto"/>
              </w:rPr>
            </w:pPr>
            <w:r w:rsidRPr="00DC2214">
              <w:rPr>
                <w:b/>
                <w:color w:val="auto"/>
              </w:rPr>
              <w:t>Expected completion date</w:t>
            </w:r>
          </w:p>
        </w:tc>
        <w:tc>
          <w:tcPr>
            <w:tcW w:w="1418" w:type="dxa"/>
            <w:shd w:val="clear" w:color="auto" w:fill="F2F2F2" w:themeFill="background1" w:themeFillShade="F2"/>
          </w:tcPr>
          <w:p w14:paraId="51742C6E" w14:textId="77777777" w:rsidR="00023E89" w:rsidRPr="00DC2214" w:rsidRDefault="00023E89" w:rsidP="00711D8F">
            <w:pPr>
              <w:pStyle w:val="Tableformat"/>
              <w:rPr>
                <w:b/>
                <w:color w:val="auto"/>
              </w:rPr>
            </w:pPr>
            <w:r w:rsidRPr="00DC2214">
              <w:rPr>
                <w:b/>
                <w:color w:val="auto"/>
              </w:rPr>
              <w:t>Payment</w:t>
            </w:r>
          </w:p>
        </w:tc>
      </w:tr>
      <w:tr w:rsidR="00023E89" w:rsidRPr="00DC2214" w14:paraId="71F0D0F5" w14:textId="77777777" w:rsidTr="00C04BC4">
        <w:trPr>
          <w:trHeight w:val="1218"/>
        </w:trPr>
        <w:tc>
          <w:tcPr>
            <w:tcW w:w="2542" w:type="dxa"/>
            <w:shd w:val="clear" w:color="auto" w:fill="auto"/>
          </w:tcPr>
          <w:p w14:paraId="5D2C6B3F" w14:textId="77777777" w:rsidR="00023E89" w:rsidRPr="00711D8F" w:rsidRDefault="003E0061" w:rsidP="00023E89">
            <w:pPr>
              <w:pStyle w:val="Milestonetable"/>
              <w:rPr>
                <w:b/>
                <w:color w:val="auto"/>
              </w:rPr>
            </w:pPr>
            <w:r>
              <w:rPr>
                <w:b/>
                <w:color w:val="auto"/>
              </w:rPr>
              <w:t>The delivery of a Project Plan for the</w:t>
            </w:r>
            <w:r w:rsidR="00023E89">
              <w:rPr>
                <w:b/>
                <w:color w:val="auto"/>
              </w:rPr>
              <w:t xml:space="preserve"> </w:t>
            </w:r>
            <w:r w:rsidR="00023E89" w:rsidRPr="002C37FD">
              <w:rPr>
                <w:b/>
                <w:color w:val="auto"/>
              </w:rPr>
              <w:t>UTAS Stadium Redevelopment</w:t>
            </w:r>
            <w:r>
              <w:rPr>
                <w:b/>
                <w:color w:val="auto"/>
              </w:rPr>
              <w:t xml:space="preserve"> P</w:t>
            </w:r>
            <w:r w:rsidR="00023E89">
              <w:rPr>
                <w:b/>
                <w:color w:val="auto"/>
              </w:rPr>
              <w:t xml:space="preserve">roject  </w:t>
            </w:r>
          </w:p>
          <w:p w14:paraId="0C1B2DED" w14:textId="77777777" w:rsidR="00023E89" w:rsidRPr="00711D8F" w:rsidRDefault="00023E89" w:rsidP="00703D6C">
            <w:pPr>
              <w:pStyle w:val="Milestonetable"/>
              <w:rPr>
                <w:color w:val="auto"/>
              </w:rPr>
            </w:pPr>
          </w:p>
        </w:tc>
        <w:tc>
          <w:tcPr>
            <w:tcW w:w="3685" w:type="dxa"/>
          </w:tcPr>
          <w:p w14:paraId="09BD8F01" w14:textId="77777777" w:rsidR="003E0061" w:rsidRPr="00023E89" w:rsidRDefault="003E0061" w:rsidP="003E0061">
            <w:pPr>
              <w:pStyle w:val="Milestonetable"/>
              <w:rPr>
                <w:color w:val="auto"/>
              </w:rPr>
            </w:pPr>
            <w:r>
              <w:rPr>
                <w:color w:val="auto"/>
              </w:rPr>
              <w:t xml:space="preserve">Commonwealth acceptance of a Project Plan for the UTAS Stadium Redevelopment Project </w:t>
            </w:r>
            <w:r w:rsidR="00CD6DFB">
              <w:rPr>
                <w:color w:val="auto"/>
              </w:rPr>
              <w:t>as outlined in Additional Term 2.</w:t>
            </w:r>
          </w:p>
        </w:tc>
        <w:tc>
          <w:tcPr>
            <w:tcW w:w="2127" w:type="dxa"/>
            <w:shd w:val="clear" w:color="auto" w:fill="auto"/>
          </w:tcPr>
          <w:p w14:paraId="4823CBCA" w14:textId="77777777" w:rsidR="00023E89" w:rsidRPr="00023E89" w:rsidRDefault="00023E89" w:rsidP="00711D8F">
            <w:pPr>
              <w:pStyle w:val="Milestonetable"/>
              <w:rPr>
                <w:color w:val="auto"/>
              </w:rPr>
            </w:pPr>
            <w:r w:rsidRPr="00023E89">
              <w:rPr>
                <w:color w:val="auto"/>
              </w:rPr>
              <w:t xml:space="preserve">May 2024 </w:t>
            </w:r>
          </w:p>
          <w:p w14:paraId="204DE797" w14:textId="77777777" w:rsidR="00023E89" w:rsidRPr="00711D8F" w:rsidRDefault="00023E89" w:rsidP="00711D8F">
            <w:pPr>
              <w:pStyle w:val="Milestonetable"/>
              <w:rPr>
                <w:color w:val="auto"/>
                <w:highlight w:val="yellow"/>
              </w:rPr>
            </w:pPr>
          </w:p>
        </w:tc>
        <w:tc>
          <w:tcPr>
            <w:tcW w:w="1418" w:type="dxa"/>
          </w:tcPr>
          <w:p w14:paraId="67BA5236" w14:textId="77777777" w:rsidR="00023E89" w:rsidRPr="00711D8F" w:rsidRDefault="00023E89" w:rsidP="00711D8F">
            <w:pPr>
              <w:pStyle w:val="Milestonetable"/>
              <w:jc w:val="right"/>
              <w:rPr>
                <w:color w:val="auto"/>
              </w:rPr>
            </w:pPr>
            <w:r w:rsidRPr="00711D8F">
              <w:rPr>
                <w:color w:val="auto"/>
                <w:lang w:val="en-GB"/>
              </w:rPr>
              <w:t>$</w:t>
            </w:r>
            <w:r>
              <w:rPr>
                <w:color w:val="auto"/>
                <w:lang w:val="en-GB"/>
              </w:rPr>
              <w:t>5,000,000</w:t>
            </w:r>
          </w:p>
        </w:tc>
      </w:tr>
      <w:tr w:rsidR="00023E89" w:rsidRPr="00DC2214" w14:paraId="331274CA" w14:textId="77777777" w:rsidTr="00C04BC4">
        <w:trPr>
          <w:trHeight w:val="1452"/>
        </w:trPr>
        <w:tc>
          <w:tcPr>
            <w:tcW w:w="2542" w:type="dxa"/>
            <w:vMerge w:val="restart"/>
            <w:shd w:val="clear" w:color="auto" w:fill="auto"/>
          </w:tcPr>
          <w:p w14:paraId="3E8D440F" w14:textId="77777777" w:rsidR="00023E89" w:rsidRPr="00711D8F" w:rsidRDefault="00023E89" w:rsidP="00023E89">
            <w:pPr>
              <w:pStyle w:val="Milestonetable"/>
              <w:rPr>
                <w:b/>
                <w:color w:val="auto"/>
              </w:rPr>
            </w:pPr>
            <w:r w:rsidRPr="00711D8F">
              <w:rPr>
                <w:b/>
                <w:color w:val="auto"/>
              </w:rPr>
              <w:t xml:space="preserve">Upgrades to the ribbon board and light towers around the stadium </w:t>
            </w:r>
          </w:p>
          <w:p w14:paraId="4C78D36F" w14:textId="77777777" w:rsidR="00023E89" w:rsidRDefault="00023E89" w:rsidP="00C82C78">
            <w:pPr>
              <w:rPr>
                <w:rFonts w:ascii="Corbel" w:hAnsi="Corbel"/>
                <w:sz w:val="20"/>
                <w:szCs w:val="20"/>
              </w:rPr>
            </w:pPr>
          </w:p>
          <w:p w14:paraId="525416F3" w14:textId="77777777" w:rsidR="00023E89" w:rsidRPr="00C82C78" w:rsidRDefault="00023E89" w:rsidP="00C82C78">
            <w:pPr>
              <w:rPr>
                <w:rFonts w:ascii="Corbel" w:hAnsi="Corbel"/>
                <w:sz w:val="20"/>
                <w:szCs w:val="20"/>
              </w:rPr>
            </w:pPr>
          </w:p>
        </w:tc>
        <w:tc>
          <w:tcPr>
            <w:tcW w:w="3685" w:type="dxa"/>
          </w:tcPr>
          <w:p w14:paraId="7F014902" w14:textId="77777777" w:rsidR="003E0061" w:rsidRPr="00691238" w:rsidRDefault="003E0061" w:rsidP="00691238">
            <w:pPr>
              <w:rPr>
                <w:rFonts w:ascii="Corbel" w:hAnsi="Corbel"/>
                <w:sz w:val="20"/>
                <w:szCs w:val="20"/>
              </w:rPr>
            </w:pPr>
            <w:r>
              <w:rPr>
                <w:rFonts w:ascii="Corbel" w:hAnsi="Corbel"/>
                <w:sz w:val="20"/>
                <w:szCs w:val="20"/>
              </w:rPr>
              <w:t xml:space="preserve">Commonwealth acceptance of an </w:t>
            </w:r>
            <w:r w:rsidR="00D31B0C">
              <w:rPr>
                <w:rFonts w:ascii="Corbel" w:hAnsi="Corbel"/>
                <w:sz w:val="20"/>
                <w:szCs w:val="20"/>
              </w:rPr>
              <w:t xml:space="preserve">approved design specification and </w:t>
            </w:r>
            <w:r>
              <w:rPr>
                <w:rFonts w:ascii="Corbel" w:hAnsi="Corbel"/>
                <w:sz w:val="20"/>
                <w:szCs w:val="20"/>
              </w:rPr>
              <w:t xml:space="preserve">award </w:t>
            </w:r>
            <w:r w:rsidR="00D31B0C">
              <w:rPr>
                <w:rFonts w:ascii="Corbel" w:hAnsi="Corbel"/>
                <w:sz w:val="20"/>
                <w:szCs w:val="20"/>
              </w:rPr>
              <w:t xml:space="preserve">of </w:t>
            </w:r>
            <w:r>
              <w:rPr>
                <w:rFonts w:ascii="Corbel" w:hAnsi="Corbel"/>
                <w:sz w:val="20"/>
                <w:szCs w:val="20"/>
              </w:rPr>
              <w:t xml:space="preserve">contract </w:t>
            </w:r>
            <w:r w:rsidR="00D31B0C">
              <w:rPr>
                <w:rFonts w:ascii="Corbel" w:hAnsi="Corbel"/>
                <w:sz w:val="20"/>
                <w:szCs w:val="20"/>
              </w:rPr>
              <w:t xml:space="preserve">for </w:t>
            </w:r>
            <w:r w:rsidR="00691238" w:rsidRPr="00691238">
              <w:rPr>
                <w:rFonts w:ascii="Corbel" w:hAnsi="Corbel"/>
                <w:sz w:val="20"/>
                <w:szCs w:val="20"/>
              </w:rPr>
              <w:t>a waterproof ribbon board</w:t>
            </w:r>
            <w:r w:rsidR="00691238">
              <w:rPr>
                <w:rFonts w:ascii="Corbel" w:hAnsi="Corbel"/>
                <w:sz w:val="20"/>
                <w:szCs w:val="20"/>
              </w:rPr>
              <w:t xml:space="preserve"> and </w:t>
            </w:r>
            <w:r w:rsidR="00691238" w:rsidRPr="00691238">
              <w:rPr>
                <w:rFonts w:ascii="Corbel" w:hAnsi="Corbel"/>
                <w:sz w:val="20"/>
                <w:szCs w:val="20"/>
              </w:rPr>
              <w:t>efficient and effective lighting suitable for the stadium</w:t>
            </w:r>
            <w:r w:rsidR="00691238">
              <w:rPr>
                <w:rFonts w:ascii="Corbel" w:hAnsi="Corbel"/>
                <w:sz w:val="20"/>
                <w:szCs w:val="20"/>
              </w:rPr>
              <w:t>.</w:t>
            </w:r>
          </w:p>
        </w:tc>
        <w:tc>
          <w:tcPr>
            <w:tcW w:w="2127" w:type="dxa"/>
            <w:shd w:val="clear" w:color="auto" w:fill="auto"/>
          </w:tcPr>
          <w:p w14:paraId="6F5ABEAB" w14:textId="77777777" w:rsidR="00023E89" w:rsidRPr="00023E89" w:rsidRDefault="00023E89" w:rsidP="00711D8F">
            <w:pPr>
              <w:rPr>
                <w:rFonts w:ascii="Corbel" w:hAnsi="Corbel"/>
                <w:sz w:val="20"/>
                <w:szCs w:val="20"/>
              </w:rPr>
            </w:pPr>
            <w:r w:rsidRPr="00023E89">
              <w:rPr>
                <w:rFonts w:ascii="Corbel" w:hAnsi="Corbel"/>
                <w:sz w:val="20"/>
                <w:szCs w:val="20"/>
              </w:rPr>
              <w:t>September 2024</w:t>
            </w:r>
          </w:p>
          <w:p w14:paraId="0751AA86" w14:textId="77777777" w:rsidR="00023E89" w:rsidRPr="00711D8F" w:rsidRDefault="00023E89" w:rsidP="00711D8F">
            <w:pPr>
              <w:pStyle w:val="Milestonetable"/>
              <w:rPr>
                <w:color w:val="auto"/>
                <w:highlight w:val="yellow"/>
              </w:rPr>
            </w:pPr>
          </w:p>
        </w:tc>
        <w:tc>
          <w:tcPr>
            <w:tcW w:w="1418" w:type="dxa"/>
          </w:tcPr>
          <w:p w14:paraId="630788A8" w14:textId="77777777" w:rsidR="00023E89" w:rsidRPr="00711D8F" w:rsidRDefault="00023E89" w:rsidP="00711D8F">
            <w:pPr>
              <w:pStyle w:val="Milestonetable"/>
              <w:jc w:val="right"/>
              <w:rPr>
                <w:color w:val="auto"/>
              </w:rPr>
            </w:pPr>
            <w:r w:rsidRPr="00711D8F">
              <w:rPr>
                <w:color w:val="auto"/>
                <w:lang w:val="en-GB"/>
              </w:rPr>
              <w:t>$</w:t>
            </w:r>
            <w:r w:rsidRPr="00711D8F">
              <w:rPr>
                <w:color w:val="auto"/>
              </w:rPr>
              <w:t xml:space="preserve"> </w:t>
            </w:r>
            <w:r>
              <w:rPr>
                <w:color w:val="auto"/>
                <w:lang w:val="en-GB"/>
              </w:rPr>
              <w:t>2</w:t>
            </w:r>
            <w:r w:rsidRPr="00711D8F">
              <w:rPr>
                <w:color w:val="auto"/>
                <w:lang w:val="en-GB"/>
              </w:rPr>
              <w:t>,</w:t>
            </w:r>
            <w:r>
              <w:rPr>
                <w:color w:val="auto"/>
                <w:lang w:val="en-GB"/>
              </w:rPr>
              <w:t>0</w:t>
            </w:r>
            <w:r w:rsidRPr="00711D8F">
              <w:rPr>
                <w:color w:val="auto"/>
                <w:lang w:val="en-GB"/>
              </w:rPr>
              <w:t>00,000</w:t>
            </w:r>
          </w:p>
        </w:tc>
      </w:tr>
      <w:tr w:rsidR="00023E89" w:rsidRPr="00DC2214" w14:paraId="00F90311" w14:textId="77777777" w:rsidTr="00C04BC4">
        <w:trPr>
          <w:trHeight w:val="977"/>
        </w:trPr>
        <w:tc>
          <w:tcPr>
            <w:tcW w:w="2542" w:type="dxa"/>
            <w:vMerge/>
            <w:shd w:val="clear" w:color="auto" w:fill="auto"/>
          </w:tcPr>
          <w:p w14:paraId="66174877" w14:textId="77777777" w:rsidR="00023E89" w:rsidRPr="00711D8F" w:rsidRDefault="00023E89" w:rsidP="00023E89">
            <w:pPr>
              <w:pStyle w:val="Milestonetable"/>
              <w:rPr>
                <w:b/>
                <w:color w:val="auto"/>
              </w:rPr>
            </w:pPr>
          </w:p>
        </w:tc>
        <w:tc>
          <w:tcPr>
            <w:tcW w:w="3685" w:type="dxa"/>
          </w:tcPr>
          <w:p w14:paraId="2643EA54" w14:textId="77777777" w:rsidR="00023E89" w:rsidRPr="00023E89" w:rsidRDefault="00691238" w:rsidP="00711D8F">
            <w:pPr>
              <w:rPr>
                <w:rFonts w:ascii="Corbel" w:hAnsi="Corbel"/>
                <w:sz w:val="20"/>
                <w:szCs w:val="20"/>
              </w:rPr>
            </w:pPr>
            <w:r>
              <w:rPr>
                <w:rFonts w:ascii="Corbel" w:hAnsi="Corbel"/>
                <w:sz w:val="20"/>
                <w:szCs w:val="20"/>
              </w:rPr>
              <w:t>Delivery</w:t>
            </w:r>
            <w:r w:rsidR="00023E89">
              <w:rPr>
                <w:rFonts w:ascii="Corbel" w:hAnsi="Corbel"/>
                <w:sz w:val="20"/>
                <w:szCs w:val="20"/>
              </w:rPr>
              <w:t xml:space="preserve"> of </w:t>
            </w:r>
            <w:r>
              <w:rPr>
                <w:rFonts w:ascii="Corbel" w:hAnsi="Corbel"/>
                <w:sz w:val="20"/>
                <w:szCs w:val="20"/>
              </w:rPr>
              <w:t>a wate</w:t>
            </w:r>
            <w:r w:rsidR="00023E89">
              <w:rPr>
                <w:rFonts w:ascii="Corbel" w:hAnsi="Corbel"/>
                <w:sz w:val="20"/>
                <w:szCs w:val="20"/>
              </w:rPr>
              <w:t>r</w:t>
            </w:r>
            <w:r>
              <w:rPr>
                <w:rFonts w:ascii="Corbel" w:hAnsi="Corbel"/>
                <w:sz w:val="20"/>
                <w:szCs w:val="20"/>
              </w:rPr>
              <w:t>proof r</w:t>
            </w:r>
            <w:r w:rsidR="00023E89">
              <w:rPr>
                <w:rFonts w:ascii="Corbel" w:hAnsi="Corbel"/>
                <w:sz w:val="20"/>
                <w:szCs w:val="20"/>
              </w:rPr>
              <w:t>ibbon board and</w:t>
            </w:r>
            <w:r>
              <w:rPr>
                <w:rFonts w:ascii="Corbel" w:hAnsi="Corbel"/>
                <w:sz w:val="20"/>
                <w:szCs w:val="20"/>
              </w:rPr>
              <w:t xml:space="preserve"> </w:t>
            </w:r>
            <w:r w:rsidR="000C6A52">
              <w:rPr>
                <w:rFonts w:ascii="Corbel" w:hAnsi="Corbel"/>
                <w:sz w:val="20"/>
                <w:szCs w:val="20"/>
              </w:rPr>
              <w:t xml:space="preserve">effective and </w:t>
            </w:r>
            <w:r>
              <w:rPr>
                <w:rFonts w:ascii="Corbel" w:hAnsi="Corbel"/>
                <w:sz w:val="20"/>
                <w:szCs w:val="20"/>
              </w:rPr>
              <w:t>efficient</w:t>
            </w:r>
            <w:r w:rsidR="00023E89">
              <w:rPr>
                <w:rFonts w:ascii="Corbel" w:hAnsi="Corbel"/>
                <w:sz w:val="20"/>
                <w:szCs w:val="20"/>
              </w:rPr>
              <w:t xml:space="preserve"> light towers</w:t>
            </w:r>
            <w:r>
              <w:rPr>
                <w:rFonts w:ascii="Corbel" w:hAnsi="Corbel"/>
                <w:sz w:val="20"/>
                <w:szCs w:val="20"/>
              </w:rPr>
              <w:t xml:space="preserve"> for the stadium.</w:t>
            </w:r>
          </w:p>
        </w:tc>
        <w:tc>
          <w:tcPr>
            <w:tcW w:w="2127" w:type="dxa"/>
            <w:shd w:val="clear" w:color="auto" w:fill="auto"/>
          </w:tcPr>
          <w:p w14:paraId="16815DFA" w14:textId="77777777" w:rsidR="00023E89" w:rsidRPr="00711D8F" w:rsidRDefault="00023E89" w:rsidP="00711D8F">
            <w:pPr>
              <w:rPr>
                <w:rFonts w:ascii="Corbel" w:hAnsi="Corbel"/>
                <w:b/>
                <w:sz w:val="20"/>
                <w:szCs w:val="20"/>
                <w:u w:val="single"/>
              </w:rPr>
            </w:pPr>
            <w:r w:rsidRPr="00023E89">
              <w:rPr>
                <w:rFonts w:ascii="Corbel" w:hAnsi="Corbel"/>
                <w:sz w:val="20"/>
                <w:szCs w:val="20"/>
              </w:rPr>
              <w:t>January 2025</w:t>
            </w:r>
          </w:p>
        </w:tc>
        <w:tc>
          <w:tcPr>
            <w:tcW w:w="1418" w:type="dxa"/>
          </w:tcPr>
          <w:p w14:paraId="7BFF01E7" w14:textId="77777777" w:rsidR="00023E89" w:rsidRPr="00711D8F" w:rsidRDefault="00023E89" w:rsidP="00711D8F">
            <w:pPr>
              <w:pStyle w:val="Milestonetable"/>
              <w:jc w:val="right"/>
              <w:rPr>
                <w:color w:val="auto"/>
                <w:lang w:val="en-GB"/>
              </w:rPr>
            </w:pPr>
            <w:r w:rsidRPr="00711D8F">
              <w:rPr>
                <w:color w:val="auto"/>
                <w:lang w:val="en-GB"/>
              </w:rPr>
              <w:t>$</w:t>
            </w:r>
            <w:r w:rsidRPr="00711D8F">
              <w:rPr>
                <w:color w:val="auto"/>
              </w:rPr>
              <w:t xml:space="preserve"> </w:t>
            </w:r>
            <w:r>
              <w:rPr>
                <w:color w:val="auto"/>
                <w:lang w:val="en-GB"/>
              </w:rPr>
              <w:t>2</w:t>
            </w:r>
            <w:r w:rsidRPr="00711D8F">
              <w:rPr>
                <w:color w:val="auto"/>
                <w:lang w:val="en-GB"/>
              </w:rPr>
              <w:t>,</w:t>
            </w:r>
            <w:r>
              <w:rPr>
                <w:color w:val="auto"/>
                <w:lang w:val="en-GB"/>
              </w:rPr>
              <w:t>0</w:t>
            </w:r>
            <w:r w:rsidRPr="00711D8F">
              <w:rPr>
                <w:color w:val="auto"/>
                <w:lang w:val="en-GB"/>
              </w:rPr>
              <w:t>00,000</w:t>
            </w:r>
          </w:p>
        </w:tc>
      </w:tr>
      <w:tr w:rsidR="00023E89" w:rsidRPr="00DC2214" w14:paraId="1C550503" w14:textId="77777777" w:rsidTr="00C04BC4">
        <w:trPr>
          <w:trHeight w:val="1652"/>
        </w:trPr>
        <w:tc>
          <w:tcPr>
            <w:tcW w:w="2542" w:type="dxa"/>
            <w:shd w:val="clear" w:color="auto" w:fill="auto"/>
          </w:tcPr>
          <w:p w14:paraId="6BF7584C" w14:textId="77777777" w:rsidR="00023E89" w:rsidRPr="00711D8F" w:rsidRDefault="00023E89" w:rsidP="00023E89">
            <w:pPr>
              <w:pStyle w:val="Milestonetable"/>
              <w:rPr>
                <w:b/>
                <w:color w:val="auto"/>
              </w:rPr>
            </w:pPr>
            <w:r w:rsidRPr="00711D8F">
              <w:rPr>
                <w:b/>
                <w:color w:val="auto"/>
              </w:rPr>
              <w:t>Matchday upgrades</w:t>
            </w:r>
          </w:p>
          <w:p w14:paraId="0B035380" w14:textId="77777777" w:rsidR="00023E89" w:rsidRPr="00711D8F" w:rsidRDefault="00023E89" w:rsidP="00711D8F">
            <w:pPr>
              <w:pStyle w:val="Tableformat"/>
              <w:rPr>
                <w:color w:val="auto"/>
                <w:sz w:val="20"/>
                <w:szCs w:val="20"/>
              </w:rPr>
            </w:pPr>
          </w:p>
          <w:p w14:paraId="19A70622" w14:textId="77777777" w:rsidR="00023E89" w:rsidRPr="00711D8F" w:rsidRDefault="00023E89" w:rsidP="00711D8F">
            <w:pPr>
              <w:rPr>
                <w:rFonts w:ascii="Corbel" w:hAnsi="Corbel"/>
                <w:sz w:val="20"/>
                <w:szCs w:val="20"/>
              </w:rPr>
            </w:pPr>
          </w:p>
          <w:p w14:paraId="37A2F568" w14:textId="77777777" w:rsidR="00023E89" w:rsidRPr="00711D8F" w:rsidRDefault="00023E89" w:rsidP="00023E89">
            <w:pPr>
              <w:rPr>
                <w:b/>
              </w:rPr>
            </w:pPr>
          </w:p>
        </w:tc>
        <w:tc>
          <w:tcPr>
            <w:tcW w:w="3685" w:type="dxa"/>
          </w:tcPr>
          <w:p w14:paraId="01AD7352" w14:textId="77777777" w:rsidR="00023E89" w:rsidRPr="007E3331" w:rsidRDefault="00691238" w:rsidP="007E3331">
            <w:pPr>
              <w:rPr>
                <w:rFonts w:ascii="Corbel" w:hAnsi="Corbel"/>
                <w:sz w:val="20"/>
                <w:szCs w:val="20"/>
              </w:rPr>
            </w:pPr>
            <w:r>
              <w:rPr>
                <w:rFonts w:ascii="Corbel" w:hAnsi="Corbel"/>
                <w:sz w:val="20"/>
                <w:szCs w:val="20"/>
              </w:rPr>
              <w:t>Delivery</w:t>
            </w:r>
            <w:r w:rsidRPr="00023E89">
              <w:rPr>
                <w:rFonts w:ascii="Corbel" w:hAnsi="Corbel"/>
                <w:sz w:val="20"/>
                <w:szCs w:val="20"/>
              </w:rPr>
              <w:t xml:space="preserve"> o</w:t>
            </w:r>
            <w:r>
              <w:rPr>
                <w:rFonts w:ascii="Corbel" w:hAnsi="Corbel"/>
                <w:sz w:val="20"/>
                <w:szCs w:val="20"/>
              </w:rPr>
              <w:t>f</w:t>
            </w:r>
            <w:r w:rsidR="00D31B0C">
              <w:rPr>
                <w:rFonts w:ascii="Corbel" w:hAnsi="Corbel"/>
                <w:sz w:val="20"/>
                <w:szCs w:val="20"/>
              </w:rPr>
              <w:t xml:space="preserve"> u</w:t>
            </w:r>
            <w:r w:rsidRPr="00FD1892">
              <w:rPr>
                <w:rFonts w:ascii="Corbel" w:hAnsi="Corbel"/>
                <w:sz w:val="20"/>
                <w:szCs w:val="20"/>
              </w:rPr>
              <w:t xml:space="preserve">pgrades to the existing match day facilities to bring the changeroom areas to a level of tier 2 sporting code compliance so that the venue can continue to host elite level sport into the future. </w:t>
            </w:r>
          </w:p>
        </w:tc>
        <w:tc>
          <w:tcPr>
            <w:tcW w:w="2127" w:type="dxa"/>
            <w:shd w:val="clear" w:color="auto" w:fill="auto"/>
          </w:tcPr>
          <w:p w14:paraId="762DD0C6" w14:textId="77777777" w:rsidR="00023E89" w:rsidRPr="00023E89" w:rsidRDefault="00023E89" w:rsidP="00711D8F">
            <w:pPr>
              <w:rPr>
                <w:rFonts w:ascii="Corbel" w:hAnsi="Corbel"/>
                <w:sz w:val="20"/>
                <w:szCs w:val="20"/>
                <w:u w:val="single"/>
              </w:rPr>
            </w:pPr>
            <w:r w:rsidRPr="00023E89">
              <w:rPr>
                <w:rFonts w:ascii="Corbel" w:hAnsi="Corbel"/>
                <w:sz w:val="20"/>
                <w:szCs w:val="20"/>
              </w:rPr>
              <w:t xml:space="preserve">April 2025 </w:t>
            </w:r>
          </w:p>
        </w:tc>
        <w:tc>
          <w:tcPr>
            <w:tcW w:w="1418" w:type="dxa"/>
          </w:tcPr>
          <w:p w14:paraId="56AF40C7" w14:textId="77777777" w:rsidR="00023E89" w:rsidRPr="00711D8F" w:rsidRDefault="00023E89" w:rsidP="00711D8F">
            <w:pPr>
              <w:pStyle w:val="Milestonetable"/>
              <w:jc w:val="right"/>
              <w:rPr>
                <w:color w:val="auto"/>
                <w:lang w:val="en-GB"/>
              </w:rPr>
            </w:pPr>
            <w:r w:rsidRPr="00711D8F">
              <w:rPr>
                <w:color w:val="auto"/>
                <w:lang w:val="en-GB"/>
              </w:rPr>
              <w:t>$</w:t>
            </w:r>
            <w:r w:rsidRPr="00711D8F">
              <w:rPr>
                <w:color w:val="auto"/>
              </w:rPr>
              <w:t xml:space="preserve"> </w:t>
            </w:r>
            <w:r>
              <w:rPr>
                <w:color w:val="auto"/>
                <w:lang w:val="en-GB"/>
              </w:rPr>
              <w:t>4</w:t>
            </w:r>
            <w:r w:rsidRPr="00711D8F">
              <w:rPr>
                <w:color w:val="auto"/>
                <w:lang w:val="en-GB"/>
              </w:rPr>
              <w:t>,</w:t>
            </w:r>
            <w:r>
              <w:rPr>
                <w:color w:val="auto"/>
                <w:lang w:val="en-GB"/>
              </w:rPr>
              <w:t>0</w:t>
            </w:r>
            <w:r w:rsidRPr="00711D8F">
              <w:rPr>
                <w:color w:val="auto"/>
                <w:lang w:val="en-GB"/>
              </w:rPr>
              <w:t>00,000</w:t>
            </w:r>
          </w:p>
        </w:tc>
      </w:tr>
      <w:tr w:rsidR="00023E89" w:rsidRPr="00DC2214" w14:paraId="632CE22C" w14:textId="77777777" w:rsidTr="00C04BC4">
        <w:trPr>
          <w:trHeight w:val="3440"/>
        </w:trPr>
        <w:tc>
          <w:tcPr>
            <w:tcW w:w="2542" w:type="dxa"/>
            <w:vMerge w:val="restart"/>
            <w:shd w:val="clear" w:color="auto" w:fill="auto"/>
          </w:tcPr>
          <w:p w14:paraId="04ADFB17" w14:textId="77777777" w:rsidR="00023E89" w:rsidRPr="00711D8F" w:rsidRDefault="00023E89" w:rsidP="007E3331">
            <w:pPr>
              <w:pStyle w:val="Milestonetable"/>
              <w:spacing w:before="0" w:after="0"/>
              <w:rPr>
                <w:b/>
                <w:color w:val="auto"/>
              </w:rPr>
            </w:pPr>
            <w:r w:rsidRPr="00711D8F">
              <w:rPr>
                <w:b/>
                <w:color w:val="auto"/>
              </w:rPr>
              <w:t xml:space="preserve">New Centre-West Stand </w:t>
            </w:r>
          </w:p>
          <w:p w14:paraId="21866146" w14:textId="77777777" w:rsidR="00023E89" w:rsidRPr="00711D8F" w:rsidRDefault="00023E89" w:rsidP="007E3331">
            <w:pPr>
              <w:pStyle w:val="Milestonetable"/>
              <w:spacing w:before="0" w:after="0"/>
              <w:rPr>
                <w:b/>
                <w:color w:val="auto"/>
              </w:rPr>
            </w:pPr>
          </w:p>
          <w:p w14:paraId="3B4E6B95" w14:textId="77777777" w:rsidR="00023E89" w:rsidRPr="00711D8F" w:rsidRDefault="00023E89" w:rsidP="007E3331">
            <w:pPr>
              <w:rPr>
                <w:rFonts w:ascii="Corbel" w:eastAsia="Times New Roman" w:hAnsi="Corbel" w:cs="Arial"/>
                <w:iCs/>
                <w:sz w:val="20"/>
                <w:szCs w:val="20"/>
                <w:lang w:eastAsia="en-AU"/>
              </w:rPr>
            </w:pPr>
          </w:p>
          <w:p w14:paraId="4A8212F6" w14:textId="77777777" w:rsidR="00023E89" w:rsidRPr="00711D8F" w:rsidRDefault="00023E89" w:rsidP="007E3331">
            <w:pPr>
              <w:rPr>
                <w:b/>
              </w:rPr>
            </w:pPr>
          </w:p>
        </w:tc>
        <w:tc>
          <w:tcPr>
            <w:tcW w:w="3685" w:type="dxa"/>
          </w:tcPr>
          <w:p w14:paraId="7B1E4D6B" w14:textId="77777777" w:rsidR="007E3331" w:rsidRDefault="00691238" w:rsidP="007E3331">
            <w:pPr>
              <w:pStyle w:val="Tableformat"/>
              <w:spacing w:before="0"/>
              <w:rPr>
                <w:color w:val="auto"/>
                <w:sz w:val="20"/>
                <w:szCs w:val="20"/>
              </w:rPr>
            </w:pPr>
            <w:r w:rsidRPr="000C6A52">
              <w:rPr>
                <w:color w:val="auto"/>
                <w:sz w:val="20"/>
                <w:szCs w:val="20"/>
              </w:rPr>
              <w:t xml:space="preserve">Commonwealth acceptance of a detailed design plan </w:t>
            </w:r>
            <w:r w:rsidR="000C6A52" w:rsidRPr="000C6A52">
              <w:rPr>
                <w:color w:val="auto"/>
                <w:sz w:val="20"/>
                <w:szCs w:val="20"/>
              </w:rPr>
              <w:t xml:space="preserve">and an awarded </w:t>
            </w:r>
            <w:r w:rsidR="006A1B54">
              <w:rPr>
                <w:color w:val="auto"/>
                <w:sz w:val="20"/>
                <w:szCs w:val="20"/>
              </w:rPr>
              <w:t>construction</w:t>
            </w:r>
            <w:r w:rsidR="006A1B54" w:rsidRPr="000C6A52">
              <w:rPr>
                <w:color w:val="auto"/>
                <w:sz w:val="20"/>
                <w:szCs w:val="20"/>
              </w:rPr>
              <w:t xml:space="preserve"> </w:t>
            </w:r>
            <w:r w:rsidR="000C6A52" w:rsidRPr="000C6A52">
              <w:rPr>
                <w:color w:val="auto"/>
                <w:sz w:val="20"/>
                <w:szCs w:val="20"/>
              </w:rPr>
              <w:t xml:space="preserve">contract </w:t>
            </w:r>
            <w:r w:rsidRPr="000C6A52">
              <w:rPr>
                <w:color w:val="auto"/>
                <w:sz w:val="20"/>
                <w:szCs w:val="20"/>
              </w:rPr>
              <w:t>for a New Centre-West Stand.</w:t>
            </w:r>
            <w:r w:rsidR="000C6A52" w:rsidRPr="00711D8F">
              <w:rPr>
                <w:color w:val="auto"/>
                <w:sz w:val="20"/>
                <w:szCs w:val="20"/>
              </w:rPr>
              <w:t xml:space="preserve"> </w:t>
            </w:r>
          </w:p>
          <w:p w14:paraId="548CEAD8" w14:textId="77777777" w:rsidR="000C6A52" w:rsidRPr="00711D8F" w:rsidRDefault="00711AFD" w:rsidP="007E3331">
            <w:pPr>
              <w:pStyle w:val="Tableformat"/>
              <w:spacing w:before="0" w:after="0"/>
              <w:rPr>
                <w:color w:val="auto"/>
                <w:sz w:val="20"/>
                <w:szCs w:val="20"/>
              </w:rPr>
            </w:pPr>
            <w:r>
              <w:rPr>
                <w:color w:val="auto"/>
                <w:sz w:val="20"/>
                <w:szCs w:val="20"/>
              </w:rPr>
              <w:t xml:space="preserve">The design plan will include a new multi-level </w:t>
            </w:r>
            <w:r w:rsidR="000C6A52" w:rsidRPr="00711D8F">
              <w:rPr>
                <w:color w:val="auto"/>
                <w:sz w:val="20"/>
                <w:szCs w:val="20"/>
              </w:rPr>
              <w:t xml:space="preserve">Centre-West Stand </w:t>
            </w:r>
            <w:r>
              <w:rPr>
                <w:color w:val="auto"/>
                <w:sz w:val="20"/>
                <w:szCs w:val="20"/>
              </w:rPr>
              <w:t xml:space="preserve">that </w:t>
            </w:r>
            <w:r w:rsidR="000C6A52">
              <w:rPr>
                <w:color w:val="auto"/>
                <w:sz w:val="20"/>
                <w:szCs w:val="20"/>
              </w:rPr>
              <w:t xml:space="preserve">will </w:t>
            </w:r>
            <w:r w:rsidR="000C6A52" w:rsidRPr="00711D8F">
              <w:rPr>
                <w:color w:val="auto"/>
                <w:sz w:val="20"/>
                <w:szCs w:val="20"/>
              </w:rPr>
              <w:t>consist of</w:t>
            </w:r>
            <w:r>
              <w:rPr>
                <w:color w:val="auto"/>
                <w:sz w:val="20"/>
                <w:szCs w:val="20"/>
              </w:rPr>
              <w:t>:</w:t>
            </w:r>
          </w:p>
          <w:p w14:paraId="3D1A4CBE" w14:textId="77777777" w:rsidR="000C6A52" w:rsidRPr="000C6A52" w:rsidRDefault="000C6A52" w:rsidP="007E3331">
            <w:pPr>
              <w:pStyle w:val="ListParagraph"/>
              <w:numPr>
                <w:ilvl w:val="0"/>
                <w:numId w:val="22"/>
              </w:numPr>
              <w:rPr>
                <w:rFonts w:ascii="Corbel" w:hAnsi="Corbel"/>
                <w:sz w:val="20"/>
                <w:szCs w:val="20"/>
              </w:rPr>
            </w:pPr>
            <w:r w:rsidRPr="00711D8F">
              <w:rPr>
                <w:sz w:val="20"/>
                <w:szCs w:val="20"/>
              </w:rPr>
              <w:t xml:space="preserve">New home team changerooms </w:t>
            </w:r>
            <w:r w:rsidRPr="000C6A52">
              <w:rPr>
                <w:rFonts w:ascii="Corbel" w:hAnsi="Corbel"/>
                <w:sz w:val="20"/>
                <w:szCs w:val="20"/>
              </w:rPr>
              <w:t>purpose built for a new Tasmanian AFL team</w:t>
            </w:r>
          </w:p>
          <w:p w14:paraId="34FEDA8F" w14:textId="77777777" w:rsidR="000C6A52" w:rsidRPr="00711D8F" w:rsidRDefault="000C6A52" w:rsidP="007E3331">
            <w:pPr>
              <w:pStyle w:val="Tableformat"/>
              <w:numPr>
                <w:ilvl w:val="0"/>
                <w:numId w:val="22"/>
              </w:numPr>
              <w:spacing w:before="0" w:after="0"/>
              <w:rPr>
                <w:color w:val="auto"/>
                <w:sz w:val="20"/>
                <w:szCs w:val="20"/>
              </w:rPr>
            </w:pPr>
            <w:r w:rsidRPr="00711D8F">
              <w:rPr>
                <w:color w:val="auto"/>
                <w:sz w:val="20"/>
                <w:szCs w:val="20"/>
              </w:rPr>
              <w:t>Unique hospitality experiences such as coaches club/ field club</w:t>
            </w:r>
          </w:p>
          <w:p w14:paraId="30136901" w14:textId="77777777" w:rsidR="00711AFD" w:rsidRDefault="000C6A52" w:rsidP="007E3331">
            <w:pPr>
              <w:pStyle w:val="Tableformat"/>
              <w:numPr>
                <w:ilvl w:val="0"/>
                <w:numId w:val="22"/>
              </w:numPr>
              <w:spacing w:before="0" w:after="0"/>
              <w:rPr>
                <w:color w:val="auto"/>
                <w:sz w:val="20"/>
                <w:szCs w:val="20"/>
              </w:rPr>
            </w:pPr>
            <w:r w:rsidRPr="00711D8F">
              <w:rPr>
                <w:color w:val="auto"/>
                <w:sz w:val="20"/>
                <w:szCs w:val="20"/>
              </w:rPr>
              <w:t>Function room with associated facilities to attract events outside of an AFL matchday</w:t>
            </w:r>
          </w:p>
          <w:p w14:paraId="73B02905" w14:textId="77777777" w:rsidR="000C6A52" w:rsidRPr="00023E89" w:rsidRDefault="000C6A52" w:rsidP="007E3331">
            <w:pPr>
              <w:pStyle w:val="Tableformat"/>
              <w:numPr>
                <w:ilvl w:val="0"/>
                <w:numId w:val="22"/>
              </w:numPr>
              <w:spacing w:before="0" w:after="0"/>
              <w:rPr>
                <w:color w:val="auto"/>
                <w:sz w:val="20"/>
                <w:szCs w:val="20"/>
              </w:rPr>
            </w:pPr>
            <w:r w:rsidRPr="00023E89">
              <w:rPr>
                <w:color w:val="auto"/>
                <w:sz w:val="20"/>
                <w:szCs w:val="20"/>
              </w:rPr>
              <w:t>Suites or similar hospitality product to best maximise return on investment. These spaces will be designed so that can be used outside of an AFL matchday</w:t>
            </w:r>
          </w:p>
          <w:p w14:paraId="4822A6F7" w14:textId="77777777" w:rsidR="000C6A52" w:rsidRPr="00711D8F" w:rsidRDefault="000C6A52" w:rsidP="007E3331">
            <w:pPr>
              <w:pStyle w:val="Tableformat"/>
              <w:numPr>
                <w:ilvl w:val="0"/>
                <w:numId w:val="22"/>
              </w:numPr>
              <w:spacing w:before="0" w:after="0"/>
              <w:rPr>
                <w:color w:val="auto"/>
                <w:sz w:val="20"/>
                <w:szCs w:val="20"/>
              </w:rPr>
            </w:pPr>
            <w:r w:rsidRPr="00711D8F">
              <w:rPr>
                <w:color w:val="auto"/>
                <w:sz w:val="20"/>
                <w:szCs w:val="20"/>
              </w:rPr>
              <w:t>Media and broadcast level to unlock additional flexibility within the existing Western Stand and to meet tier 2 sporting code compliance</w:t>
            </w:r>
            <w:r>
              <w:rPr>
                <w:color w:val="auto"/>
                <w:sz w:val="20"/>
                <w:szCs w:val="20"/>
              </w:rPr>
              <w:t>.</w:t>
            </w:r>
          </w:p>
          <w:p w14:paraId="746C3F33" w14:textId="77777777" w:rsidR="00023E89" w:rsidRPr="00FD1892" w:rsidRDefault="00023E89" w:rsidP="007E3331">
            <w:pPr>
              <w:rPr>
                <w:rFonts w:ascii="Corbel" w:hAnsi="Corbel"/>
                <w:sz w:val="20"/>
                <w:szCs w:val="20"/>
              </w:rPr>
            </w:pPr>
          </w:p>
        </w:tc>
        <w:tc>
          <w:tcPr>
            <w:tcW w:w="2127" w:type="dxa"/>
            <w:shd w:val="clear" w:color="auto" w:fill="auto"/>
          </w:tcPr>
          <w:p w14:paraId="77C16FD3" w14:textId="77777777" w:rsidR="00023E89" w:rsidRDefault="00887DA9" w:rsidP="007E3331">
            <w:pPr>
              <w:rPr>
                <w:rFonts w:ascii="Corbel" w:hAnsi="Corbel"/>
                <w:sz w:val="20"/>
                <w:szCs w:val="20"/>
              </w:rPr>
            </w:pPr>
            <w:r>
              <w:rPr>
                <w:rFonts w:ascii="Corbel" w:hAnsi="Corbel"/>
                <w:sz w:val="20"/>
                <w:szCs w:val="20"/>
              </w:rPr>
              <w:t>July</w:t>
            </w:r>
            <w:r w:rsidRPr="00023E89">
              <w:rPr>
                <w:rFonts w:ascii="Corbel" w:hAnsi="Corbel"/>
                <w:sz w:val="20"/>
                <w:szCs w:val="20"/>
              </w:rPr>
              <w:t xml:space="preserve"> </w:t>
            </w:r>
            <w:r w:rsidR="00023E89" w:rsidRPr="00023E89">
              <w:rPr>
                <w:rFonts w:ascii="Corbel" w:hAnsi="Corbel"/>
                <w:sz w:val="20"/>
                <w:szCs w:val="20"/>
              </w:rPr>
              <w:t>2025</w:t>
            </w:r>
            <w:r w:rsidR="00023E89" w:rsidRPr="00711D8F">
              <w:rPr>
                <w:rFonts w:ascii="Corbel" w:hAnsi="Corbel"/>
                <w:sz w:val="20"/>
                <w:szCs w:val="20"/>
              </w:rPr>
              <w:t xml:space="preserve"> </w:t>
            </w:r>
          </w:p>
          <w:p w14:paraId="52EBEBDC" w14:textId="77777777" w:rsidR="00023E89" w:rsidRDefault="00023E89" w:rsidP="007E3331">
            <w:pPr>
              <w:rPr>
                <w:rFonts w:ascii="Corbel" w:hAnsi="Corbel"/>
                <w:sz w:val="20"/>
                <w:szCs w:val="20"/>
              </w:rPr>
            </w:pPr>
          </w:p>
          <w:p w14:paraId="3FC43AA7" w14:textId="77777777" w:rsidR="00023E89" w:rsidRPr="00711D8F" w:rsidRDefault="00023E89" w:rsidP="007E3331">
            <w:pPr>
              <w:rPr>
                <w:rFonts w:ascii="Corbel" w:hAnsi="Corbel"/>
                <w:b/>
                <w:sz w:val="20"/>
                <w:szCs w:val="20"/>
                <w:u w:val="single"/>
              </w:rPr>
            </w:pPr>
          </w:p>
          <w:p w14:paraId="660AE970" w14:textId="77777777" w:rsidR="00023E89" w:rsidRPr="00711D8F" w:rsidRDefault="00023E89" w:rsidP="007E3331">
            <w:pPr>
              <w:rPr>
                <w:rFonts w:ascii="Corbel" w:hAnsi="Corbel"/>
                <w:b/>
                <w:sz w:val="20"/>
                <w:szCs w:val="20"/>
                <w:u w:val="single"/>
              </w:rPr>
            </w:pPr>
          </w:p>
        </w:tc>
        <w:tc>
          <w:tcPr>
            <w:tcW w:w="1418" w:type="dxa"/>
          </w:tcPr>
          <w:p w14:paraId="4BAA668C" w14:textId="77777777" w:rsidR="00023E89" w:rsidRPr="00711D8F" w:rsidRDefault="00023E89" w:rsidP="007E3331">
            <w:pPr>
              <w:pStyle w:val="Milestonetable"/>
              <w:spacing w:before="0" w:after="0"/>
              <w:jc w:val="right"/>
              <w:rPr>
                <w:color w:val="auto"/>
                <w:lang w:val="en-GB"/>
              </w:rPr>
            </w:pPr>
            <w:r w:rsidRPr="00711D8F">
              <w:rPr>
                <w:color w:val="auto"/>
                <w:lang w:val="en-GB"/>
              </w:rPr>
              <w:t>$</w:t>
            </w:r>
            <w:r w:rsidR="00E2082D">
              <w:rPr>
                <w:color w:val="auto"/>
                <w:lang w:val="en-GB"/>
              </w:rPr>
              <w:t>9,750,000</w:t>
            </w:r>
          </w:p>
        </w:tc>
      </w:tr>
      <w:tr w:rsidR="00023E89" w:rsidRPr="00DC2214" w14:paraId="37E5213B" w14:textId="77777777" w:rsidTr="00C04BC4">
        <w:trPr>
          <w:trHeight w:val="2249"/>
        </w:trPr>
        <w:tc>
          <w:tcPr>
            <w:tcW w:w="2542" w:type="dxa"/>
            <w:vMerge/>
            <w:shd w:val="clear" w:color="auto" w:fill="auto"/>
          </w:tcPr>
          <w:p w14:paraId="4BED9F9B" w14:textId="77777777" w:rsidR="00023E89" w:rsidRPr="00711D8F" w:rsidRDefault="00023E89" w:rsidP="007E3331">
            <w:pPr>
              <w:pStyle w:val="Milestonetable"/>
              <w:spacing w:before="0" w:after="0"/>
              <w:rPr>
                <w:b/>
                <w:color w:val="auto"/>
              </w:rPr>
            </w:pPr>
          </w:p>
        </w:tc>
        <w:tc>
          <w:tcPr>
            <w:tcW w:w="3685" w:type="dxa"/>
          </w:tcPr>
          <w:p w14:paraId="7610CD2E" w14:textId="77777777" w:rsidR="00711AFD" w:rsidRPr="00AF6E73" w:rsidRDefault="00711AFD" w:rsidP="007E3331">
            <w:pPr>
              <w:rPr>
                <w:rFonts w:ascii="Corbel" w:hAnsi="Corbel"/>
                <w:sz w:val="20"/>
                <w:szCs w:val="20"/>
              </w:rPr>
            </w:pPr>
            <w:r w:rsidRPr="00AF6E73">
              <w:rPr>
                <w:rFonts w:ascii="Corbel" w:hAnsi="Corbel"/>
                <w:sz w:val="20"/>
                <w:szCs w:val="20"/>
              </w:rPr>
              <w:t xml:space="preserve">Commonwealth acceptance </w:t>
            </w:r>
            <w:r w:rsidR="006A1B54" w:rsidRPr="00AF6E73">
              <w:rPr>
                <w:rFonts w:ascii="Corbel" w:hAnsi="Corbel"/>
                <w:sz w:val="20"/>
                <w:szCs w:val="20"/>
              </w:rPr>
              <w:t xml:space="preserve">of progress on a </w:t>
            </w:r>
            <w:r w:rsidRPr="00AF6E73">
              <w:rPr>
                <w:rFonts w:ascii="Corbel" w:hAnsi="Corbel"/>
                <w:sz w:val="20"/>
                <w:szCs w:val="20"/>
              </w:rPr>
              <w:t>New Centre-West Stand including:</w:t>
            </w:r>
          </w:p>
          <w:p w14:paraId="7D9C4FAC" w14:textId="77777777" w:rsidR="00711AFD" w:rsidRPr="00FD1892" w:rsidRDefault="00711AFD" w:rsidP="007E3331">
            <w:pPr>
              <w:pStyle w:val="ListParagraph"/>
              <w:numPr>
                <w:ilvl w:val="0"/>
                <w:numId w:val="25"/>
              </w:numPr>
              <w:rPr>
                <w:rFonts w:ascii="Corbel" w:hAnsi="Corbel"/>
                <w:sz w:val="20"/>
                <w:szCs w:val="20"/>
              </w:rPr>
            </w:pPr>
            <w:r w:rsidRPr="00FD1892">
              <w:rPr>
                <w:rFonts w:ascii="Corbel" w:hAnsi="Corbel"/>
                <w:sz w:val="20"/>
                <w:szCs w:val="20"/>
              </w:rPr>
              <w:t xml:space="preserve">completion of demolition of </w:t>
            </w:r>
            <w:r w:rsidR="00FD1892">
              <w:rPr>
                <w:rFonts w:ascii="Corbel" w:hAnsi="Corbel"/>
                <w:sz w:val="20"/>
                <w:szCs w:val="20"/>
              </w:rPr>
              <w:t xml:space="preserve">the </w:t>
            </w:r>
            <w:r w:rsidRPr="00FD1892">
              <w:rPr>
                <w:rFonts w:ascii="Corbel" w:hAnsi="Corbel"/>
                <w:sz w:val="20"/>
                <w:szCs w:val="20"/>
              </w:rPr>
              <w:t>existing structure</w:t>
            </w:r>
          </w:p>
          <w:p w14:paraId="70A98453" w14:textId="77777777" w:rsidR="00023E89" w:rsidRPr="007E3331" w:rsidRDefault="00711AFD" w:rsidP="007E3331">
            <w:pPr>
              <w:pStyle w:val="ListParagraph"/>
              <w:numPr>
                <w:ilvl w:val="0"/>
                <w:numId w:val="25"/>
              </w:numPr>
              <w:rPr>
                <w:rFonts w:ascii="Corbel" w:hAnsi="Corbel"/>
                <w:sz w:val="20"/>
                <w:szCs w:val="20"/>
              </w:rPr>
            </w:pPr>
            <w:r w:rsidRPr="00FD1892">
              <w:rPr>
                <w:rFonts w:ascii="Corbel" w:hAnsi="Corbel"/>
                <w:sz w:val="20"/>
                <w:szCs w:val="20"/>
              </w:rPr>
              <w:t xml:space="preserve">Completion of footings, foundations and supporting infrastructure for multi-level stadium. </w:t>
            </w:r>
          </w:p>
        </w:tc>
        <w:tc>
          <w:tcPr>
            <w:tcW w:w="2127" w:type="dxa"/>
            <w:shd w:val="clear" w:color="auto" w:fill="auto"/>
          </w:tcPr>
          <w:p w14:paraId="32465452" w14:textId="77777777" w:rsidR="00023E89" w:rsidRPr="00861DC2" w:rsidRDefault="00023E89" w:rsidP="007E3331">
            <w:pPr>
              <w:rPr>
                <w:rFonts w:ascii="Corbel" w:hAnsi="Corbel"/>
                <w:sz w:val="20"/>
                <w:szCs w:val="20"/>
              </w:rPr>
            </w:pPr>
            <w:r w:rsidRPr="00023E89">
              <w:rPr>
                <w:rFonts w:ascii="Corbel" w:hAnsi="Corbel"/>
                <w:sz w:val="20"/>
                <w:szCs w:val="20"/>
              </w:rPr>
              <w:t>October 2026</w:t>
            </w:r>
            <w:r>
              <w:rPr>
                <w:rFonts w:ascii="Corbel" w:hAnsi="Corbel"/>
                <w:sz w:val="20"/>
                <w:szCs w:val="20"/>
              </w:rPr>
              <w:t xml:space="preserve"> </w:t>
            </w:r>
          </w:p>
          <w:p w14:paraId="4F1DA47B" w14:textId="77777777" w:rsidR="00023E89" w:rsidRPr="00711D8F" w:rsidRDefault="00023E89" w:rsidP="007E3331">
            <w:pPr>
              <w:rPr>
                <w:rFonts w:ascii="Corbel" w:hAnsi="Corbel"/>
                <w:b/>
                <w:sz w:val="20"/>
                <w:szCs w:val="20"/>
                <w:u w:val="single"/>
              </w:rPr>
            </w:pPr>
          </w:p>
        </w:tc>
        <w:tc>
          <w:tcPr>
            <w:tcW w:w="1418" w:type="dxa"/>
          </w:tcPr>
          <w:p w14:paraId="3F3BE298" w14:textId="77777777" w:rsidR="00813C1F" w:rsidRDefault="00813C1F" w:rsidP="007E3331">
            <w:pPr>
              <w:pStyle w:val="Milestonetable"/>
              <w:spacing w:before="0" w:after="0"/>
              <w:jc w:val="right"/>
              <w:rPr>
                <w:color w:val="auto"/>
                <w:lang w:val="en-GB"/>
              </w:rPr>
            </w:pPr>
            <w:r w:rsidRPr="00711D8F">
              <w:rPr>
                <w:color w:val="auto"/>
                <w:lang w:val="en-GB"/>
              </w:rPr>
              <w:t>$</w:t>
            </w:r>
            <w:r>
              <w:rPr>
                <w:color w:val="auto"/>
                <w:lang w:val="en-GB"/>
              </w:rPr>
              <w:t>9,750,000</w:t>
            </w:r>
          </w:p>
          <w:p w14:paraId="7770A7E0" w14:textId="77777777" w:rsidR="00023E89" w:rsidRPr="00711D8F" w:rsidRDefault="00023E89" w:rsidP="007E3331">
            <w:pPr>
              <w:pStyle w:val="Milestonetable"/>
              <w:spacing w:before="0" w:after="0"/>
              <w:jc w:val="right"/>
              <w:rPr>
                <w:color w:val="auto"/>
                <w:lang w:val="en-GB"/>
              </w:rPr>
            </w:pPr>
          </w:p>
        </w:tc>
      </w:tr>
      <w:tr w:rsidR="00023E89" w:rsidRPr="00DC2214" w14:paraId="6621608A" w14:textId="77777777" w:rsidTr="00C04BC4">
        <w:trPr>
          <w:trHeight w:val="551"/>
        </w:trPr>
        <w:tc>
          <w:tcPr>
            <w:tcW w:w="2542" w:type="dxa"/>
            <w:vMerge/>
            <w:shd w:val="clear" w:color="auto" w:fill="auto"/>
          </w:tcPr>
          <w:p w14:paraId="6C389ACA" w14:textId="77777777" w:rsidR="00023E89" w:rsidRPr="00711D8F" w:rsidRDefault="00023E89" w:rsidP="00023E89">
            <w:pPr>
              <w:pStyle w:val="Milestonetable"/>
              <w:rPr>
                <w:b/>
                <w:color w:val="auto"/>
              </w:rPr>
            </w:pPr>
          </w:p>
        </w:tc>
        <w:tc>
          <w:tcPr>
            <w:tcW w:w="3685" w:type="dxa"/>
          </w:tcPr>
          <w:p w14:paraId="529726BA" w14:textId="77777777" w:rsidR="00023E89" w:rsidRPr="00B837A3" w:rsidRDefault="002031B8" w:rsidP="00711D8F">
            <w:pPr>
              <w:rPr>
                <w:rFonts w:ascii="Corbel" w:hAnsi="Corbel"/>
                <w:sz w:val="20"/>
                <w:szCs w:val="20"/>
              </w:rPr>
            </w:pPr>
            <w:r w:rsidRPr="00C04BC4">
              <w:rPr>
                <w:rFonts w:ascii="Corbel" w:hAnsi="Corbel"/>
                <w:sz w:val="20"/>
                <w:szCs w:val="20"/>
              </w:rPr>
              <w:t xml:space="preserve">Completion </w:t>
            </w:r>
            <w:r w:rsidR="00023E89" w:rsidRPr="00B837A3">
              <w:rPr>
                <w:rFonts w:ascii="Corbel" w:hAnsi="Corbel"/>
                <w:sz w:val="20"/>
                <w:szCs w:val="20"/>
              </w:rPr>
              <w:t xml:space="preserve">of </w:t>
            </w:r>
            <w:r w:rsidR="00FD1892" w:rsidRPr="00B837A3">
              <w:rPr>
                <w:rFonts w:ascii="Corbel" w:hAnsi="Corbel"/>
                <w:sz w:val="20"/>
                <w:szCs w:val="20"/>
              </w:rPr>
              <w:t xml:space="preserve">a </w:t>
            </w:r>
            <w:r w:rsidR="00983947" w:rsidRPr="008C2B5A">
              <w:rPr>
                <w:rFonts w:ascii="Corbel" w:hAnsi="Corbel"/>
                <w:sz w:val="20"/>
                <w:szCs w:val="20"/>
              </w:rPr>
              <w:t>n</w:t>
            </w:r>
            <w:r w:rsidR="00023E89" w:rsidRPr="008C2B5A">
              <w:rPr>
                <w:rFonts w:ascii="Corbel" w:hAnsi="Corbel"/>
                <w:sz w:val="20"/>
                <w:szCs w:val="20"/>
              </w:rPr>
              <w:t>ew Centre-West Stand</w:t>
            </w:r>
            <w:r w:rsidRPr="00C04BC4">
              <w:rPr>
                <w:rFonts w:ascii="Corbel" w:hAnsi="Corbel"/>
                <w:sz w:val="20"/>
                <w:szCs w:val="20"/>
              </w:rPr>
              <w:t xml:space="preserve"> and submission of final report accepted by the Commonwealth.</w:t>
            </w:r>
          </w:p>
          <w:p w14:paraId="0BB5846A" w14:textId="77777777" w:rsidR="00BC61CC" w:rsidRPr="00C04BC4" w:rsidRDefault="00BC61CC" w:rsidP="00711D8F">
            <w:pPr>
              <w:rPr>
                <w:rFonts w:ascii="Corbel" w:hAnsi="Corbel"/>
                <w:b/>
                <w:sz w:val="20"/>
                <w:szCs w:val="20"/>
                <w:highlight w:val="yellow"/>
                <w:u w:val="single"/>
              </w:rPr>
            </w:pPr>
          </w:p>
        </w:tc>
        <w:tc>
          <w:tcPr>
            <w:tcW w:w="2127" w:type="dxa"/>
            <w:shd w:val="clear" w:color="auto" w:fill="auto"/>
          </w:tcPr>
          <w:p w14:paraId="4DA59DFD" w14:textId="77777777" w:rsidR="00023E89" w:rsidRPr="00711D8F" w:rsidRDefault="00023E89" w:rsidP="00711D8F">
            <w:pPr>
              <w:rPr>
                <w:rFonts w:ascii="Corbel" w:hAnsi="Corbel"/>
                <w:b/>
                <w:sz w:val="20"/>
                <w:szCs w:val="20"/>
                <w:u w:val="single"/>
              </w:rPr>
            </w:pPr>
            <w:r w:rsidRPr="00023E89">
              <w:rPr>
                <w:rFonts w:ascii="Corbel" w:hAnsi="Corbel"/>
                <w:sz w:val="20"/>
                <w:szCs w:val="20"/>
              </w:rPr>
              <w:t>May 2027</w:t>
            </w:r>
            <w:r w:rsidRPr="00711D8F">
              <w:rPr>
                <w:rFonts w:ascii="Corbel" w:hAnsi="Corbel"/>
                <w:sz w:val="20"/>
                <w:szCs w:val="20"/>
              </w:rPr>
              <w:t xml:space="preserve"> </w:t>
            </w:r>
          </w:p>
        </w:tc>
        <w:tc>
          <w:tcPr>
            <w:tcW w:w="1418" w:type="dxa"/>
          </w:tcPr>
          <w:p w14:paraId="65AAD7B0" w14:textId="77777777" w:rsidR="00023E89" w:rsidRPr="00711D8F" w:rsidRDefault="00813C1F" w:rsidP="00711D8F">
            <w:pPr>
              <w:pStyle w:val="Milestonetable"/>
              <w:jc w:val="right"/>
              <w:rPr>
                <w:color w:val="auto"/>
                <w:lang w:val="en-GB"/>
              </w:rPr>
            </w:pPr>
            <w:r>
              <w:rPr>
                <w:color w:val="auto"/>
                <w:lang w:val="en-GB"/>
              </w:rPr>
              <w:t>$13,000,000</w:t>
            </w:r>
          </w:p>
        </w:tc>
      </w:tr>
      <w:tr w:rsidR="00023E89" w:rsidRPr="00DC2214" w14:paraId="39E11C44" w14:textId="77777777" w:rsidTr="00C04BC4">
        <w:trPr>
          <w:trHeight w:val="1687"/>
        </w:trPr>
        <w:tc>
          <w:tcPr>
            <w:tcW w:w="2542" w:type="dxa"/>
            <w:vMerge w:val="restart"/>
            <w:shd w:val="clear" w:color="auto" w:fill="auto"/>
          </w:tcPr>
          <w:p w14:paraId="298173AA" w14:textId="77777777" w:rsidR="00023E89" w:rsidRPr="00711D8F" w:rsidRDefault="00023E89" w:rsidP="00983947">
            <w:pPr>
              <w:pStyle w:val="Milestonetable"/>
              <w:rPr>
                <w:b/>
                <w:color w:val="auto"/>
              </w:rPr>
            </w:pPr>
            <w:r w:rsidRPr="00711D8F">
              <w:rPr>
                <w:b/>
                <w:color w:val="auto"/>
              </w:rPr>
              <w:t>New Eastern Stand</w:t>
            </w:r>
          </w:p>
          <w:p w14:paraId="663EF8F4" w14:textId="77777777" w:rsidR="00023E89" w:rsidRPr="00711D8F" w:rsidRDefault="00023E89" w:rsidP="000C6A52"/>
        </w:tc>
        <w:tc>
          <w:tcPr>
            <w:tcW w:w="3685" w:type="dxa"/>
          </w:tcPr>
          <w:p w14:paraId="18E18B53" w14:textId="77777777" w:rsidR="00FD1892" w:rsidRPr="007E3331" w:rsidRDefault="000C6A52" w:rsidP="00FD1892">
            <w:pPr>
              <w:rPr>
                <w:sz w:val="20"/>
                <w:szCs w:val="20"/>
                <w:highlight w:val="yellow"/>
              </w:rPr>
            </w:pPr>
            <w:r w:rsidRPr="000C6A52">
              <w:rPr>
                <w:rFonts w:ascii="Corbel" w:hAnsi="Corbel"/>
                <w:sz w:val="20"/>
                <w:szCs w:val="20"/>
              </w:rPr>
              <w:t xml:space="preserve">Commonwealth acceptance of a detailed design plan and an awarded </w:t>
            </w:r>
            <w:r w:rsidR="006A1B54">
              <w:rPr>
                <w:rFonts w:ascii="Corbel" w:hAnsi="Corbel"/>
                <w:sz w:val="20"/>
                <w:szCs w:val="20"/>
              </w:rPr>
              <w:t>construction</w:t>
            </w:r>
            <w:r w:rsidR="006A1B54" w:rsidRPr="000C6A52">
              <w:rPr>
                <w:rFonts w:ascii="Corbel" w:hAnsi="Corbel"/>
                <w:sz w:val="20"/>
                <w:szCs w:val="20"/>
              </w:rPr>
              <w:t xml:space="preserve"> </w:t>
            </w:r>
            <w:r w:rsidRPr="000C6A52">
              <w:rPr>
                <w:rFonts w:ascii="Corbel" w:hAnsi="Corbel"/>
                <w:sz w:val="20"/>
                <w:szCs w:val="20"/>
              </w:rPr>
              <w:t>contract for</w:t>
            </w:r>
            <w:r>
              <w:rPr>
                <w:rFonts w:ascii="Corbel" w:hAnsi="Corbel"/>
                <w:sz w:val="20"/>
                <w:szCs w:val="20"/>
              </w:rPr>
              <w:t xml:space="preserve"> a </w:t>
            </w:r>
            <w:r w:rsidR="00975F04">
              <w:rPr>
                <w:rFonts w:ascii="Corbel" w:hAnsi="Corbel"/>
                <w:sz w:val="20"/>
                <w:szCs w:val="20"/>
              </w:rPr>
              <w:t>n</w:t>
            </w:r>
            <w:r>
              <w:rPr>
                <w:rFonts w:ascii="Corbel" w:hAnsi="Corbel"/>
                <w:sz w:val="20"/>
                <w:szCs w:val="20"/>
              </w:rPr>
              <w:t>ew Eastern Stand</w:t>
            </w:r>
            <w:r w:rsidR="00FD1892">
              <w:rPr>
                <w:rFonts w:ascii="Corbel" w:hAnsi="Corbel"/>
                <w:sz w:val="20"/>
                <w:szCs w:val="20"/>
              </w:rPr>
              <w:t xml:space="preserve"> that </w:t>
            </w:r>
            <w:r w:rsidR="00975F04" w:rsidRPr="00FD1892">
              <w:rPr>
                <w:sz w:val="20"/>
                <w:szCs w:val="20"/>
              </w:rPr>
              <w:t>will consist of</w:t>
            </w:r>
            <w:r w:rsidR="006A1B54" w:rsidRPr="00FD1892">
              <w:rPr>
                <w:sz w:val="20"/>
                <w:szCs w:val="20"/>
              </w:rPr>
              <w:t xml:space="preserve"> tiered undercover seating to maximise patronage and spectator experience</w:t>
            </w:r>
            <w:r w:rsidR="00FD1892" w:rsidRPr="00FD1892">
              <w:rPr>
                <w:sz w:val="20"/>
                <w:szCs w:val="20"/>
              </w:rPr>
              <w:t>.</w:t>
            </w:r>
          </w:p>
        </w:tc>
        <w:tc>
          <w:tcPr>
            <w:tcW w:w="2127" w:type="dxa"/>
            <w:shd w:val="clear" w:color="auto" w:fill="auto"/>
          </w:tcPr>
          <w:p w14:paraId="1FAAAB19" w14:textId="77777777" w:rsidR="00023E89" w:rsidRPr="00983947" w:rsidRDefault="00983947" w:rsidP="00711D8F">
            <w:pPr>
              <w:rPr>
                <w:rFonts w:ascii="Corbel" w:hAnsi="Corbel"/>
                <w:sz w:val="20"/>
                <w:szCs w:val="20"/>
              </w:rPr>
            </w:pPr>
            <w:r w:rsidRPr="00983947">
              <w:rPr>
                <w:rFonts w:ascii="Corbel" w:hAnsi="Corbel"/>
                <w:sz w:val="20"/>
                <w:szCs w:val="20"/>
              </w:rPr>
              <w:t>Oc</w:t>
            </w:r>
            <w:r w:rsidR="00023E89" w:rsidRPr="00983947">
              <w:rPr>
                <w:rFonts w:ascii="Corbel" w:hAnsi="Corbel"/>
                <w:sz w:val="20"/>
                <w:szCs w:val="20"/>
              </w:rPr>
              <w:t>tober 2025</w:t>
            </w:r>
          </w:p>
          <w:p w14:paraId="71729D8B" w14:textId="77777777" w:rsidR="00023E89" w:rsidRDefault="00023E89" w:rsidP="00983947">
            <w:pPr>
              <w:ind w:firstLine="720"/>
              <w:rPr>
                <w:rFonts w:ascii="Corbel" w:hAnsi="Corbel"/>
                <w:b/>
                <w:sz w:val="20"/>
                <w:szCs w:val="20"/>
                <w:u w:val="single"/>
              </w:rPr>
            </w:pPr>
          </w:p>
          <w:p w14:paraId="5512D7EE" w14:textId="77777777" w:rsidR="00023E89" w:rsidRPr="00711D8F" w:rsidRDefault="00023E89" w:rsidP="00711D8F">
            <w:pPr>
              <w:rPr>
                <w:rFonts w:ascii="Corbel" w:hAnsi="Corbel"/>
                <w:b/>
                <w:sz w:val="20"/>
                <w:szCs w:val="20"/>
                <w:u w:val="single"/>
              </w:rPr>
            </w:pPr>
          </w:p>
          <w:p w14:paraId="4EF297CE" w14:textId="77777777" w:rsidR="00023E89" w:rsidRPr="00711D8F" w:rsidRDefault="00023E89" w:rsidP="00711D8F">
            <w:pPr>
              <w:pStyle w:val="Milestonetable"/>
              <w:rPr>
                <w:color w:val="auto"/>
                <w:highlight w:val="yellow"/>
              </w:rPr>
            </w:pPr>
          </w:p>
        </w:tc>
        <w:tc>
          <w:tcPr>
            <w:tcW w:w="1418" w:type="dxa"/>
          </w:tcPr>
          <w:p w14:paraId="4BB6AB94" w14:textId="77777777" w:rsidR="00023E89" w:rsidRPr="00983947" w:rsidRDefault="00983947" w:rsidP="00983947">
            <w:pPr>
              <w:pStyle w:val="Milestonetable"/>
              <w:jc w:val="right"/>
              <w:rPr>
                <w:color w:val="auto"/>
                <w:lang w:val="en-GB"/>
              </w:rPr>
            </w:pPr>
            <w:r>
              <w:rPr>
                <w:color w:val="auto"/>
                <w:lang w:val="en-GB"/>
              </w:rPr>
              <w:t>$5,850,000</w:t>
            </w:r>
          </w:p>
        </w:tc>
      </w:tr>
      <w:tr w:rsidR="00023E89" w:rsidRPr="00DC2214" w14:paraId="6B6CBC7E" w14:textId="77777777" w:rsidTr="00C04BC4">
        <w:trPr>
          <w:trHeight w:val="629"/>
        </w:trPr>
        <w:tc>
          <w:tcPr>
            <w:tcW w:w="2542" w:type="dxa"/>
            <w:vMerge/>
            <w:shd w:val="clear" w:color="auto" w:fill="auto"/>
          </w:tcPr>
          <w:p w14:paraId="0C062BD5" w14:textId="77777777" w:rsidR="00023E89" w:rsidRPr="00711D8F" w:rsidRDefault="00023E89" w:rsidP="00D767E7">
            <w:pPr>
              <w:pStyle w:val="Milestonetable"/>
              <w:numPr>
                <w:ilvl w:val="0"/>
                <w:numId w:val="18"/>
              </w:numPr>
              <w:rPr>
                <w:b/>
                <w:color w:val="auto"/>
              </w:rPr>
            </w:pPr>
          </w:p>
        </w:tc>
        <w:tc>
          <w:tcPr>
            <w:tcW w:w="3685" w:type="dxa"/>
          </w:tcPr>
          <w:p w14:paraId="63CC36A9" w14:textId="77777777" w:rsidR="006A1B54" w:rsidRPr="00AF6E73" w:rsidRDefault="006A1B54" w:rsidP="006A1B54">
            <w:pPr>
              <w:rPr>
                <w:rFonts w:ascii="Corbel" w:hAnsi="Corbel"/>
                <w:sz w:val="20"/>
                <w:szCs w:val="20"/>
              </w:rPr>
            </w:pPr>
            <w:r w:rsidRPr="00AF6E73">
              <w:rPr>
                <w:rFonts w:ascii="Corbel" w:hAnsi="Corbel"/>
                <w:sz w:val="20"/>
                <w:szCs w:val="20"/>
              </w:rPr>
              <w:t>Commonwealth acceptance of progress on a new Eastern Stand including:</w:t>
            </w:r>
          </w:p>
          <w:p w14:paraId="2C59D8A6" w14:textId="77777777" w:rsidR="006A1B54" w:rsidRPr="00FD1892" w:rsidRDefault="006A1B54" w:rsidP="006A1B54">
            <w:pPr>
              <w:pStyle w:val="ListParagraph"/>
              <w:numPr>
                <w:ilvl w:val="0"/>
                <w:numId w:val="25"/>
              </w:numPr>
              <w:rPr>
                <w:rFonts w:ascii="Corbel" w:hAnsi="Corbel"/>
                <w:sz w:val="20"/>
                <w:szCs w:val="20"/>
              </w:rPr>
            </w:pPr>
            <w:r w:rsidRPr="00FD1892">
              <w:rPr>
                <w:rFonts w:ascii="Corbel" w:hAnsi="Corbel"/>
                <w:sz w:val="20"/>
                <w:szCs w:val="20"/>
              </w:rPr>
              <w:t xml:space="preserve">completion of demolition of </w:t>
            </w:r>
            <w:r w:rsidR="00FD1892" w:rsidRPr="00FD1892">
              <w:rPr>
                <w:rFonts w:ascii="Corbel" w:hAnsi="Corbel"/>
                <w:sz w:val="20"/>
                <w:szCs w:val="20"/>
              </w:rPr>
              <w:t xml:space="preserve">the </w:t>
            </w:r>
            <w:r w:rsidRPr="00FD1892">
              <w:rPr>
                <w:rFonts w:ascii="Corbel" w:hAnsi="Corbel"/>
                <w:sz w:val="20"/>
                <w:szCs w:val="20"/>
              </w:rPr>
              <w:t>existing structure</w:t>
            </w:r>
          </w:p>
          <w:p w14:paraId="0DD91753" w14:textId="77777777" w:rsidR="006A1B54" w:rsidRPr="00FD1892" w:rsidRDefault="006A1B54" w:rsidP="006A1B54">
            <w:pPr>
              <w:pStyle w:val="ListParagraph"/>
              <w:numPr>
                <w:ilvl w:val="0"/>
                <w:numId w:val="25"/>
              </w:numPr>
              <w:rPr>
                <w:rFonts w:ascii="Corbel" w:hAnsi="Corbel"/>
                <w:sz w:val="20"/>
                <w:szCs w:val="20"/>
              </w:rPr>
            </w:pPr>
            <w:r w:rsidRPr="00FD1892">
              <w:rPr>
                <w:rFonts w:ascii="Corbel" w:hAnsi="Corbel"/>
                <w:sz w:val="20"/>
                <w:szCs w:val="20"/>
              </w:rPr>
              <w:t xml:space="preserve">Completion of footings, foundations and supporting infrastructure for a tiered undercover stadium. </w:t>
            </w:r>
          </w:p>
          <w:p w14:paraId="5C607569" w14:textId="77777777" w:rsidR="00023E89" w:rsidRPr="00983947" w:rsidRDefault="00023E89" w:rsidP="00711D8F">
            <w:pPr>
              <w:rPr>
                <w:rFonts w:ascii="Corbel" w:hAnsi="Corbel"/>
                <w:sz w:val="20"/>
                <w:szCs w:val="20"/>
              </w:rPr>
            </w:pPr>
          </w:p>
        </w:tc>
        <w:tc>
          <w:tcPr>
            <w:tcW w:w="2127" w:type="dxa"/>
            <w:shd w:val="clear" w:color="auto" w:fill="auto"/>
          </w:tcPr>
          <w:p w14:paraId="7B852810" w14:textId="77777777" w:rsidR="00983947" w:rsidRPr="00861DC2" w:rsidRDefault="00983947" w:rsidP="00983947">
            <w:pPr>
              <w:rPr>
                <w:rFonts w:ascii="Corbel" w:hAnsi="Corbel"/>
                <w:sz w:val="20"/>
                <w:szCs w:val="20"/>
              </w:rPr>
            </w:pPr>
            <w:r w:rsidRPr="00983947">
              <w:rPr>
                <w:rFonts w:ascii="Corbel" w:hAnsi="Corbel"/>
                <w:sz w:val="20"/>
                <w:szCs w:val="20"/>
              </w:rPr>
              <w:t>October 2026</w:t>
            </w:r>
          </w:p>
          <w:p w14:paraId="3E5EF5BC" w14:textId="77777777" w:rsidR="00023E89" w:rsidRPr="00711D8F" w:rsidRDefault="00023E89" w:rsidP="00711D8F">
            <w:pPr>
              <w:rPr>
                <w:rFonts w:ascii="Corbel" w:hAnsi="Corbel"/>
                <w:b/>
                <w:sz w:val="20"/>
                <w:szCs w:val="20"/>
                <w:u w:val="single"/>
              </w:rPr>
            </w:pPr>
          </w:p>
        </w:tc>
        <w:tc>
          <w:tcPr>
            <w:tcW w:w="1418" w:type="dxa"/>
          </w:tcPr>
          <w:p w14:paraId="5C05F3F4" w14:textId="77777777" w:rsidR="00023E89" w:rsidRPr="00711D8F" w:rsidRDefault="00983947" w:rsidP="00711D8F">
            <w:pPr>
              <w:pStyle w:val="Milestonetable"/>
              <w:jc w:val="right"/>
              <w:rPr>
                <w:color w:val="auto"/>
                <w:lang w:val="en-GB"/>
              </w:rPr>
            </w:pPr>
            <w:r>
              <w:rPr>
                <w:color w:val="auto"/>
                <w:lang w:val="en-GB"/>
              </w:rPr>
              <w:t>$5,850,000</w:t>
            </w:r>
          </w:p>
        </w:tc>
      </w:tr>
      <w:tr w:rsidR="00023E89" w:rsidRPr="00DC2214" w14:paraId="66167B54" w14:textId="77777777" w:rsidTr="00C04BC4">
        <w:trPr>
          <w:trHeight w:val="548"/>
        </w:trPr>
        <w:tc>
          <w:tcPr>
            <w:tcW w:w="2542" w:type="dxa"/>
            <w:vMerge/>
            <w:shd w:val="clear" w:color="auto" w:fill="auto"/>
          </w:tcPr>
          <w:p w14:paraId="45881A58" w14:textId="77777777" w:rsidR="00023E89" w:rsidRPr="00711D8F" w:rsidRDefault="00023E89" w:rsidP="00D767E7">
            <w:pPr>
              <w:pStyle w:val="Milestonetable"/>
              <w:numPr>
                <w:ilvl w:val="0"/>
                <w:numId w:val="18"/>
              </w:numPr>
              <w:rPr>
                <w:b/>
                <w:color w:val="auto"/>
              </w:rPr>
            </w:pPr>
          </w:p>
        </w:tc>
        <w:tc>
          <w:tcPr>
            <w:tcW w:w="3685" w:type="dxa"/>
          </w:tcPr>
          <w:p w14:paraId="11678374" w14:textId="77777777" w:rsidR="00023E89" w:rsidRDefault="002031B8" w:rsidP="00711D8F">
            <w:pPr>
              <w:rPr>
                <w:rFonts w:ascii="Corbel" w:hAnsi="Corbel"/>
                <w:sz w:val="20"/>
                <w:szCs w:val="20"/>
              </w:rPr>
            </w:pPr>
            <w:r w:rsidRPr="00C04BC4">
              <w:rPr>
                <w:rFonts w:ascii="Corbel" w:hAnsi="Corbel"/>
                <w:sz w:val="20"/>
                <w:szCs w:val="20"/>
              </w:rPr>
              <w:t>Completion</w:t>
            </w:r>
            <w:r w:rsidRPr="00B837A3">
              <w:rPr>
                <w:rFonts w:ascii="Corbel" w:hAnsi="Corbel"/>
                <w:sz w:val="20"/>
                <w:szCs w:val="20"/>
              </w:rPr>
              <w:t xml:space="preserve"> </w:t>
            </w:r>
            <w:r w:rsidR="00983947" w:rsidRPr="00B837A3">
              <w:rPr>
                <w:rFonts w:ascii="Corbel" w:hAnsi="Corbel"/>
                <w:sz w:val="20"/>
                <w:szCs w:val="20"/>
              </w:rPr>
              <w:t xml:space="preserve">of </w:t>
            </w:r>
            <w:r w:rsidR="000C6A52" w:rsidRPr="008C2B5A">
              <w:rPr>
                <w:rFonts w:ascii="Corbel" w:hAnsi="Corbel"/>
                <w:sz w:val="20"/>
                <w:szCs w:val="20"/>
              </w:rPr>
              <w:t xml:space="preserve">a </w:t>
            </w:r>
            <w:r w:rsidR="00983947" w:rsidRPr="008C2B5A">
              <w:rPr>
                <w:rFonts w:ascii="Corbel" w:hAnsi="Corbel"/>
                <w:sz w:val="20"/>
                <w:szCs w:val="20"/>
              </w:rPr>
              <w:t>new Eastern Stand</w:t>
            </w:r>
            <w:r w:rsidRPr="00C04BC4">
              <w:rPr>
                <w:rFonts w:ascii="Corbel" w:hAnsi="Corbel"/>
                <w:sz w:val="20"/>
                <w:szCs w:val="20"/>
              </w:rPr>
              <w:t xml:space="preserve"> and submission of final report accepted by the Commonwealth.</w:t>
            </w:r>
          </w:p>
          <w:p w14:paraId="4B2AB8AE" w14:textId="77777777" w:rsidR="00B837A3" w:rsidRPr="00983947" w:rsidRDefault="00B837A3" w:rsidP="00711D8F">
            <w:pPr>
              <w:rPr>
                <w:rFonts w:ascii="Corbel" w:hAnsi="Corbel"/>
                <w:sz w:val="20"/>
                <w:szCs w:val="20"/>
              </w:rPr>
            </w:pPr>
          </w:p>
        </w:tc>
        <w:tc>
          <w:tcPr>
            <w:tcW w:w="2127" w:type="dxa"/>
            <w:shd w:val="clear" w:color="auto" w:fill="auto"/>
          </w:tcPr>
          <w:p w14:paraId="40FBC640" w14:textId="77777777" w:rsidR="00023E89" w:rsidRPr="00711D8F" w:rsidRDefault="00983947" w:rsidP="00711D8F">
            <w:pPr>
              <w:rPr>
                <w:rFonts w:ascii="Corbel" w:hAnsi="Corbel"/>
                <w:b/>
                <w:sz w:val="20"/>
                <w:szCs w:val="20"/>
                <w:u w:val="single"/>
              </w:rPr>
            </w:pPr>
            <w:r w:rsidRPr="00983947">
              <w:rPr>
                <w:rFonts w:ascii="Corbel" w:hAnsi="Corbel"/>
                <w:sz w:val="20"/>
                <w:szCs w:val="20"/>
              </w:rPr>
              <w:t>May 2027</w:t>
            </w:r>
          </w:p>
        </w:tc>
        <w:tc>
          <w:tcPr>
            <w:tcW w:w="1418" w:type="dxa"/>
          </w:tcPr>
          <w:p w14:paraId="15F15354" w14:textId="77777777" w:rsidR="00023E89" w:rsidRPr="00711D8F" w:rsidRDefault="00983947" w:rsidP="00711D8F">
            <w:pPr>
              <w:pStyle w:val="Milestonetable"/>
              <w:jc w:val="right"/>
              <w:rPr>
                <w:color w:val="auto"/>
                <w:lang w:val="en-GB"/>
              </w:rPr>
            </w:pPr>
            <w:r>
              <w:rPr>
                <w:color w:val="auto"/>
                <w:lang w:val="en-GB"/>
              </w:rPr>
              <w:t>$7,800,000</w:t>
            </w:r>
          </w:p>
        </w:tc>
      </w:tr>
    </w:tbl>
    <w:p w14:paraId="0786401A" w14:textId="77777777" w:rsidR="00A127F4" w:rsidRDefault="00A127F4" w:rsidP="00C91B5F">
      <w:pPr>
        <w:rPr>
          <w:lang w:val="en-GB"/>
        </w:rPr>
      </w:pPr>
    </w:p>
    <w:p w14:paraId="4455DF37" w14:textId="77777777" w:rsidR="00B721C6" w:rsidRDefault="00B721C6" w:rsidP="00C91B5F">
      <w:pPr>
        <w:rPr>
          <w:lang w:val="en-GB"/>
        </w:rPr>
      </w:pPr>
    </w:p>
    <w:p w14:paraId="2D611C8B" w14:textId="77777777" w:rsidR="00B721C6" w:rsidRDefault="00B721C6" w:rsidP="00C91B5F">
      <w:pPr>
        <w:rPr>
          <w:lang w:val="en-GB"/>
        </w:rPr>
      </w:pPr>
    </w:p>
    <w:p w14:paraId="54F8065E" w14:textId="637D921B" w:rsidR="00C91B5F" w:rsidRDefault="00C91B5F" w:rsidP="00C91B5F">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4A191722" w14:textId="77777777" w:rsidR="002B34C3" w:rsidRDefault="002B34C3" w:rsidP="00C91B5F">
      <w:pPr>
        <w:rPr>
          <w:lang w:val="en-GB"/>
        </w:rPr>
      </w:pPr>
    </w:p>
    <w:p w14:paraId="3F994061" w14:textId="77777777" w:rsidR="002B34C3" w:rsidRDefault="002B34C3" w:rsidP="00C91B5F">
      <w:pPr>
        <w:rPr>
          <w:lang w:val="en-GB"/>
        </w:rPr>
      </w:pPr>
    </w:p>
    <w:p w14:paraId="75479896"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2E54DE5C" w14:textId="77777777" w:rsidTr="00FC62D9">
        <w:trPr>
          <w:cantSplit/>
          <w:jc w:val="center"/>
        </w:trPr>
        <w:tc>
          <w:tcPr>
            <w:tcW w:w="4536" w:type="dxa"/>
          </w:tcPr>
          <w:p w14:paraId="56B59A0B" w14:textId="77777777" w:rsidR="00C91B5F" w:rsidRPr="004A0AE7" w:rsidRDefault="00C91B5F" w:rsidP="002B34C3">
            <w:pPr>
              <w:pStyle w:val="Signed"/>
              <w:jc w:val="left"/>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0FE3730A" w14:textId="77777777" w:rsidR="00C91B5F" w:rsidRPr="00A50751" w:rsidRDefault="00C91B5F" w:rsidP="00FC62D9">
            <w:pPr>
              <w:pStyle w:val="LineForSignature"/>
            </w:pPr>
            <w:r>
              <w:br/>
            </w:r>
            <w:r>
              <w:tab/>
            </w:r>
          </w:p>
          <w:p w14:paraId="23C0EE59" w14:textId="77777777" w:rsidR="00C91B5F" w:rsidRDefault="00C91B5F" w:rsidP="00FC62D9">
            <w:pPr>
              <w:pStyle w:val="SingleParagraph"/>
              <w:rPr>
                <w:rStyle w:val="Bold"/>
              </w:rPr>
            </w:pPr>
            <w:r>
              <w:rPr>
                <w:rStyle w:val="Bold"/>
              </w:rPr>
              <w:t xml:space="preserve">The Honourable </w:t>
            </w:r>
            <w:r w:rsidR="00E55B2A">
              <w:rPr>
                <w:rStyle w:val="Bold"/>
              </w:rPr>
              <w:t>Catherine King</w:t>
            </w:r>
            <w:r>
              <w:rPr>
                <w:rStyle w:val="Bold"/>
              </w:rPr>
              <w:t xml:space="preserve"> MP</w:t>
            </w:r>
          </w:p>
          <w:p w14:paraId="3B848A26" w14:textId="77777777" w:rsidR="00C91B5F" w:rsidRDefault="00C91B5F" w:rsidP="0021173B">
            <w:pPr>
              <w:pStyle w:val="Position"/>
              <w:jc w:val="left"/>
              <w:rPr>
                <w:lang w:val="en-GB"/>
              </w:rPr>
            </w:pPr>
            <w:r>
              <w:rPr>
                <w:lang w:val="en-GB"/>
              </w:rPr>
              <w:t xml:space="preserve">Minister for </w:t>
            </w:r>
            <w:r w:rsidR="00E55B2A">
              <w:rPr>
                <w:lang w:val="en-GB"/>
              </w:rPr>
              <w:t>Infrastructure, Transport, Regional Development and Local Government</w:t>
            </w:r>
          </w:p>
          <w:p w14:paraId="66B4A806" w14:textId="169CD16F" w:rsidR="00E55B2A" w:rsidRPr="00E55B2A" w:rsidRDefault="0021173B" w:rsidP="00E55B2A">
            <w:pPr>
              <w:pStyle w:val="Position"/>
              <w:rPr>
                <w:lang w:val="en-GB"/>
              </w:rPr>
            </w:pPr>
            <w:r w:rsidRPr="0021173B">
              <w:rPr>
                <w:bCs w:val="0"/>
                <w:sz w:val="23"/>
                <w:lang w:val="en-GB"/>
              </w:rPr>
              <w:t>Date:</w:t>
            </w:r>
          </w:p>
        </w:tc>
        <w:tc>
          <w:tcPr>
            <w:tcW w:w="1701" w:type="dxa"/>
            <w:tcMar>
              <w:left w:w="0" w:type="dxa"/>
              <w:right w:w="0" w:type="dxa"/>
            </w:tcMar>
          </w:tcPr>
          <w:p w14:paraId="3B9ECE50" w14:textId="77777777" w:rsidR="00C91B5F" w:rsidRPr="00A50751" w:rsidRDefault="00C91B5F" w:rsidP="00FC62D9">
            <w:pPr>
              <w:rPr>
                <w:rFonts w:ascii="Book Antiqua" w:hAnsi="Book Antiqua"/>
                <w:lang w:val="en-GB"/>
              </w:rPr>
            </w:pPr>
          </w:p>
        </w:tc>
        <w:tc>
          <w:tcPr>
            <w:tcW w:w="4536" w:type="dxa"/>
          </w:tcPr>
          <w:p w14:paraId="565DAEA0" w14:textId="77777777" w:rsidR="00C91B5F" w:rsidRPr="004A0AE7" w:rsidRDefault="00C91B5F" w:rsidP="002B34C3">
            <w:pPr>
              <w:pStyle w:val="Signed"/>
              <w:jc w:val="left"/>
            </w:pPr>
            <w:r>
              <w:rPr>
                <w:rStyle w:val="SignedBold"/>
              </w:rPr>
              <w:t>Signed</w:t>
            </w:r>
            <w:r w:rsidRPr="004A0AE7">
              <w:t xml:space="preserve"> for and on behalf of the</w:t>
            </w:r>
            <w:r>
              <w:t xml:space="preserve"> </w:t>
            </w:r>
            <w:r w:rsidRPr="004A0AE7">
              <w:t xml:space="preserve">State of </w:t>
            </w:r>
            <w:r w:rsidR="00250E48">
              <w:t>Tasmania</w:t>
            </w:r>
            <w:r w:rsidRPr="004A0AE7">
              <w:t xml:space="preserve"> by</w:t>
            </w:r>
          </w:p>
          <w:p w14:paraId="6301089D" w14:textId="77777777" w:rsidR="00C91B5F" w:rsidRPr="00A50751" w:rsidRDefault="00C91B5F" w:rsidP="00FC62D9">
            <w:pPr>
              <w:pStyle w:val="LineForSignature"/>
            </w:pPr>
            <w:r>
              <w:br/>
            </w:r>
            <w:r w:rsidRPr="00A50751">
              <w:tab/>
            </w:r>
          </w:p>
          <w:p w14:paraId="39B45CBB" w14:textId="6AF982CD" w:rsidR="0060403C" w:rsidRPr="0060403C" w:rsidRDefault="0060403C" w:rsidP="00B26E27">
            <w:pPr>
              <w:pStyle w:val="SingleParagraph"/>
              <w:rPr>
                <w:rStyle w:val="Bold"/>
              </w:rPr>
            </w:pPr>
            <w:r>
              <w:rPr>
                <w:rStyle w:val="Bold"/>
              </w:rPr>
              <w:t xml:space="preserve">The Honourable </w:t>
            </w:r>
            <w:r w:rsidRPr="0060403C">
              <w:rPr>
                <w:rStyle w:val="Bold"/>
              </w:rPr>
              <w:t>Nic</w:t>
            </w:r>
            <w:r w:rsidR="0021173B">
              <w:rPr>
                <w:rStyle w:val="Bold"/>
              </w:rPr>
              <w:t xml:space="preserve">k </w:t>
            </w:r>
            <w:proofErr w:type="spellStart"/>
            <w:r w:rsidR="0021173B">
              <w:rPr>
                <w:rStyle w:val="Bold"/>
              </w:rPr>
              <w:t>Duigan</w:t>
            </w:r>
            <w:proofErr w:type="spellEnd"/>
            <w:r w:rsidR="0021173B">
              <w:rPr>
                <w:rStyle w:val="Bold"/>
              </w:rPr>
              <w:t xml:space="preserve"> </w:t>
            </w:r>
            <w:r w:rsidR="00D543D4">
              <w:rPr>
                <w:rStyle w:val="Bold"/>
              </w:rPr>
              <w:t>MP</w:t>
            </w:r>
          </w:p>
          <w:p w14:paraId="575648C6" w14:textId="071D6538" w:rsidR="007E6E72" w:rsidRDefault="0021173B" w:rsidP="007E6E72">
            <w:pPr>
              <w:pStyle w:val="SingleParagraph"/>
              <w:jc w:val="left"/>
              <w:rPr>
                <w:lang w:val="en-GB"/>
              </w:rPr>
            </w:pPr>
            <w:r>
              <w:rPr>
                <w:bCs/>
                <w:sz w:val="20"/>
                <w:lang w:val="en-GB"/>
              </w:rPr>
              <w:t xml:space="preserve">Acting </w:t>
            </w:r>
            <w:r w:rsidR="0060403C" w:rsidRPr="007E6E72">
              <w:rPr>
                <w:bCs/>
                <w:sz w:val="20"/>
                <w:lang w:val="en-GB"/>
              </w:rPr>
              <w:t>Minister for Sport and Events</w:t>
            </w:r>
          </w:p>
          <w:p w14:paraId="2432C1C7" w14:textId="77777777" w:rsidR="007E6E72" w:rsidRDefault="007E6E72" w:rsidP="007E6E72">
            <w:pPr>
              <w:pStyle w:val="SingleParagraph"/>
              <w:jc w:val="left"/>
              <w:rPr>
                <w:lang w:val="en-GB"/>
              </w:rPr>
            </w:pPr>
          </w:p>
          <w:p w14:paraId="4A40ADB5" w14:textId="53F631A4" w:rsidR="00C91B5F" w:rsidRPr="00E55B2A" w:rsidRDefault="0021173B" w:rsidP="007E6E72">
            <w:pPr>
              <w:pStyle w:val="SingleParagraph"/>
              <w:jc w:val="left"/>
              <w:rPr>
                <w:lang w:val="en-GB"/>
              </w:rPr>
            </w:pPr>
            <w:r>
              <w:rPr>
                <w:lang w:val="en-GB"/>
              </w:rPr>
              <w:t>Date:</w:t>
            </w:r>
          </w:p>
        </w:tc>
      </w:tr>
    </w:tbl>
    <w:p w14:paraId="08E32E97" w14:textId="77777777" w:rsidR="00C91B5F" w:rsidRDefault="00C91B5F" w:rsidP="00201E46">
      <w:r>
        <w:rPr>
          <w:lang w:val="en-GB"/>
        </w:rPr>
        <w:t xml:space="preserve"> </w:t>
      </w:r>
    </w:p>
    <w:sectPr w:rsidR="00C91B5F" w:rsidSect="00884E8F">
      <w:headerReference w:type="even" r:id="rId17"/>
      <w:head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8CC0" w14:textId="77777777" w:rsidR="00C3372B" w:rsidRDefault="00C3372B">
      <w:r>
        <w:separator/>
      </w:r>
    </w:p>
  </w:endnote>
  <w:endnote w:type="continuationSeparator" w:id="0">
    <w:p w14:paraId="07DC8C87" w14:textId="77777777" w:rsidR="00C3372B" w:rsidRDefault="00C3372B">
      <w:r>
        <w:continuationSeparator/>
      </w:r>
    </w:p>
  </w:endnote>
  <w:endnote w:type="continuationNotice" w:id="1">
    <w:p w14:paraId="18DD6B61" w14:textId="77777777" w:rsidR="00C3372B" w:rsidRDefault="00C33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2418" w14:textId="77777777" w:rsidR="00861DC2" w:rsidRDefault="00861DC2">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ECD" w14:textId="77777777" w:rsidR="00861DC2" w:rsidRDefault="00861DC2" w:rsidP="00FC62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EA62" w14:textId="77777777" w:rsidR="00861DC2" w:rsidRPr="00CA24B0" w:rsidRDefault="00861DC2" w:rsidP="00FC62D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6652" w14:textId="77777777" w:rsidR="00C3372B" w:rsidRDefault="00C3372B">
      <w:r>
        <w:separator/>
      </w:r>
    </w:p>
  </w:footnote>
  <w:footnote w:type="continuationSeparator" w:id="0">
    <w:p w14:paraId="0FE20C3E" w14:textId="77777777" w:rsidR="00C3372B" w:rsidRDefault="00C3372B">
      <w:r>
        <w:continuationSeparator/>
      </w:r>
    </w:p>
  </w:footnote>
  <w:footnote w:type="continuationNotice" w:id="1">
    <w:p w14:paraId="6250A6B6" w14:textId="77777777" w:rsidR="00C3372B" w:rsidRDefault="00C337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AD08" w14:textId="3AD3F409" w:rsidR="00F22F56" w:rsidRDefault="00F22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EC8E" w14:textId="7045C772" w:rsidR="00F22F56" w:rsidRDefault="00F22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4867" w14:textId="0EE1AACA" w:rsidR="00861DC2" w:rsidRDefault="00861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F157" w14:textId="0261B4A5" w:rsidR="00861DC2" w:rsidRDefault="00861D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CF88" w14:textId="400159E0" w:rsidR="00861DC2" w:rsidRDefault="00861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20E"/>
    <w:multiLevelType w:val="hybridMultilevel"/>
    <w:tmpl w:val="3A507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62F06"/>
    <w:multiLevelType w:val="hybridMultilevel"/>
    <w:tmpl w:val="78D637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B24F07"/>
    <w:multiLevelType w:val="hybridMultilevel"/>
    <w:tmpl w:val="21E0EA16"/>
    <w:lvl w:ilvl="0" w:tplc="01243A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07D56"/>
    <w:multiLevelType w:val="hybridMultilevel"/>
    <w:tmpl w:val="64127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E6AD9"/>
    <w:multiLevelType w:val="hybridMultilevel"/>
    <w:tmpl w:val="AE7A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E1849"/>
    <w:multiLevelType w:val="hybridMultilevel"/>
    <w:tmpl w:val="A5949194"/>
    <w:lvl w:ilvl="0" w:tplc="8B6C4384">
      <w:numFmt w:val="bullet"/>
      <w:lvlText w:val="-"/>
      <w:lvlJc w:val="left"/>
      <w:pPr>
        <w:ind w:left="765" w:hanging="360"/>
      </w:pPr>
      <w:rPr>
        <w:rFonts w:ascii="Corbel" w:eastAsia="Times New Roman" w:hAnsi="Corbe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36C6D4C"/>
    <w:multiLevelType w:val="hybridMultilevel"/>
    <w:tmpl w:val="2E2A8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1E0537"/>
    <w:multiLevelType w:val="hybridMultilevel"/>
    <w:tmpl w:val="9C12F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3E3BF9"/>
    <w:multiLevelType w:val="hybridMultilevel"/>
    <w:tmpl w:val="F5741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B363CC"/>
    <w:multiLevelType w:val="hybridMultilevel"/>
    <w:tmpl w:val="9228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912D0"/>
    <w:multiLevelType w:val="hybridMultilevel"/>
    <w:tmpl w:val="D25C8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261A83"/>
    <w:multiLevelType w:val="hybridMultilevel"/>
    <w:tmpl w:val="8B84DA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DE02A1"/>
    <w:multiLevelType w:val="hybridMultilevel"/>
    <w:tmpl w:val="085ADDF2"/>
    <w:lvl w:ilvl="0" w:tplc="4524E628">
      <w:numFmt w:val="bullet"/>
      <w:lvlText w:val="•"/>
      <w:lvlJc w:val="left"/>
      <w:pPr>
        <w:ind w:left="720" w:hanging="360"/>
      </w:pPr>
      <w:rPr>
        <w:rFonts w:ascii="Corbel" w:eastAsia="Times New Roman" w:hAnsi="Corbe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CD6EDC"/>
    <w:multiLevelType w:val="hybridMultilevel"/>
    <w:tmpl w:val="5C8E395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E792423"/>
    <w:multiLevelType w:val="hybridMultilevel"/>
    <w:tmpl w:val="6E8205AC"/>
    <w:lvl w:ilvl="0" w:tplc="D548BAEC">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0D2A2B"/>
    <w:multiLevelType w:val="hybridMultilevel"/>
    <w:tmpl w:val="219CACE4"/>
    <w:lvl w:ilvl="0" w:tplc="969201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CC72BF"/>
    <w:multiLevelType w:val="hybridMultilevel"/>
    <w:tmpl w:val="946C9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04214"/>
    <w:multiLevelType w:val="hybridMultilevel"/>
    <w:tmpl w:val="EA823B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9" w15:restartNumberingAfterBreak="0">
    <w:nsid w:val="77507C32"/>
    <w:multiLevelType w:val="hybridMultilevel"/>
    <w:tmpl w:val="AFD899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798B1A6B"/>
    <w:multiLevelType w:val="hybridMultilevel"/>
    <w:tmpl w:val="75C2196A"/>
    <w:lvl w:ilvl="0" w:tplc="0C090017">
      <w:start w:val="1"/>
      <w:numFmt w:val="lowerLetter"/>
      <w:lvlText w:val="%1)"/>
      <w:lvlJc w:val="left"/>
      <w:pPr>
        <w:ind w:left="1755" w:hanging="360"/>
      </w:pPr>
    </w:lvl>
    <w:lvl w:ilvl="1" w:tplc="0C090019" w:tentative="1">
      <w:start w:val="1"/>
      <w:numFmt w:val="lowerLetter"/>
      <w:lvlText w:val="%2."/>
      <w:lvlJc w:val="left"/>
      <w:pPr>
        <w:ind w:left="2475" w:hanging="360"/>
      </w:pPr>
    </w:lvl>
    <w:lvl w:ilvl="2" w:tplc="0C09001B" w:tentative="1">
      <w:start w:val="1"/>
      <w:numFmt w:val="lowerRoman"/>
      <w:lvlText w:val="%3."/>
      <w:lvlJc w:val="right"/>
      <w:pPr>
        <w:ind w:left="3195" w:hanging="180"/>
      </w:pPr>
    </w:lvl>
    <w:lvl w:ilvl="3" w:tplc="0C09000F" w:tentative="1">
      <w:start w:val="1"/>
      <w:numFmt w:val="decimal"/>
      <w:lvlText w:val="%4."/>
      <w:lvlJc w:val="left"/>
      <w:pPr>
        <w:ind w:left="3915" w:hanging="360"/>
      </w:pPr>
    </w:lvl>
    <w:lvl w:ilvl="4" w:tplc="0C090019" w:tentative="1">
      <w:start w:val="1"/>
      <w:numFmt w:val="lowerLetter"/>
      <w:lvlText w:val="%5."/>
      <w:lvlJc w:val="left"/>
      <w:pPr>
        <w:ind w:left="4635" w:hanging="360"/>
      </w:pPr>
    </w:lvl>
    <w:lvl w:ilvl="5" w:tplc="0C09001B" w:tentative="1">
      <w:start w:val="1"/>
      <w:numFmt w:val="lowerRoman"/>
      <w:lvlText w:val="%6."/>
      <w:lvlJc w:val="right"/>
      <w:pPr>
        <w:ind w:left="5355" w:hanging="180"/>
      </w:pPr>
    </w:lvl>
    <w:lvl w:ilvl="6" w:tplc="0C09000F" w:tentative="1">
      <w:start w:val="1"/>
      <w:numFmt w:val="decimal"/>
      <w:lvlText w:val="%7."/>
      <w:lvlJc w:val="left"/>
      <w:pPr>
        <w:ind w:left="6075" w:hanging="360"/>
      </w:pPr>
    </w:lvl>
    <w:lvl w:ilvl="7" w:tplc="0C090019" w:tentative="1">
      <w:start w:val="1"/>
      <w:numFmt w:val="lowerLetter"/>
      <w:lvlText w:val="%8."/>
      <w:lvlJc w:val="left"/>
      <w:pPr>
        <w:ind w:left="6795" w:hanging="360"/>
      </w:pPr>
    </w:lvl>
    <w:lvl w:ilvl="8" w:tplc="0C09001B" w:tentative="1">
      <w:start w:val="1"/>
      <w:numFmt w:val="lowerRoman"/>
      <w:lvlText w:val="%9."/>
      <w:lvlJc w:val="right"/>
      <w:pPr>
        <w:ind w:left="7515" w:hanging="180"/>
      </w:pPr>
    </w:lvl>
  </w:abstractNum>
  <w:abstractNum w:abstractNumId="22" w15:restartNumberingAfterBreak="0">
    <w:nsid w:val="79EA5214"/>
    <w:multiLevelType w:val="hybridMultilevel"/>
    <w:tmpl w:val="3B1C1C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AE682E"/>
    <w:multiLevelType w:val="hybridMultilevel"/>
    <w:tmpl w:val="78D63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DA7AE2"/>
    <w:multiLevelType w:val="hybridMultilevel"/>
    <w:tmpl w:val="52FE3E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FE83528"/>
    <w:multiLevelType w:val="hybridMultilevel"/>
    <w:tmpl w:val="78D637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4499179">
    <w:abstractNumId w:val="20"/>
  </w:num>
  <w:num w:numId="2" w16cid:durableId="1444495892">
    <w:abstractNumId w:val="18"/>
  </w:num>
  <w:num w:numId="3" w16cid:durableId="1706905506">
    <w:abstractNumId w:val="6"/>
  </w:num>
  <w:num w:numId="4" w16cid:durableId="419331571">
    <w:abstractNumId w:val="15"/>
  </w:num>
  <w:num w:numId="5" w16cid:durableId="1823964219">
    <w:abstractNumId w:val="17"/>
  </w:num>
  <w:num w:numId="6" w16cid:durableId="1078018863">
    <w:abstractNumId w:val="2"/>
  </w:num>
  <w:num w:numId="7" w16cid:durableId="320236797">
    <w:abstractNumId w:val="12"/>
  </w:num>
  <w:num w:numId="8" w16cid:durableId="417138553">
    <w:abstractNumId w:val="14"/>
  </w:num>
  <w:num w:numId="9" w16cid:durableId="1471554972">
    <w:abstractNumId w:val="21"/>
  </w:num>
  <w:num w:numId="10" w16cid:durableId="1129394049">
    <w:abstractNumId w:val="5"/>
  </w:num>
  <w:num w:numId="11" w16cid:durableId="1770929412">
    <w:abstractNumId w:val="23"/>
  </w:num>
  <w:num w:numId="12" w16cid:durableId="641538788">
    <w:abstractNumId w:val="25"/>
  </w:num>
  <w:num w:numId="13" w16cid:durableId="1652949768">
    <w:abstractNumId w:val="11"/>
  </w:num>
  <w:num w:numId="14" w16cid:durableId="14768566">
    <w:abstractNumId w:val="10"/>
  </w:num>
  <w:num w:numId="15" w16cid:durableId="774136029">
    <w:abstractNumId w:val="22"/>
  </w:num>
  <w:num w:numId="16" w16cid:durableId="217476546">
    <w:abstractNumId w:val="13"/>
  </w:num>
  <w:num w:numId="17" w16cid:durableId="1471173651">
    <w:abstractNumId w:val="19"/>
  </w:num>
  <w:num w:numId="18" w16cid:durableId="2086800542">
    <w:abstractNumId w:val="24"/>
  </w:num>
  <w:num w:numId="19" w16cid:durableId="507214842">
    <w:abstractNumId w:val="8"/>
  </w:num>
  <w:num w:numId="20" w16cid:durableId="725682809">
    <w:abstractNumId w:val="0"/>
  </w:num>
  <w:num w:numId="21" w16cid:durableId="875583959">
    <w:abstractNumId w:val="16"/>
  </w:num>
  <w:num w:numId="22" w16cid:durableId="1292790278">
    <w:abstractNumId w:val="9"/>
  </w:num>
  <w:num w:numId="23" w16cid:durableId="1651400757">
    <w:abstractNumId w:val="4"/>
  </w:num>
  <w:num w:numId="24" w16cid:durableId="1555848546">
    <w:abstractNumId w:val="7"/>
  </w:num>
  <w:num w:numId="25" w16cid:durableId="1766924892">
    <w:abstractNumId w:val="3"/>
  </w:num>
  <w:num w:numId="26" w16cid:durableId="56021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11F16"/>
    <w:rsid w:val="00023E89"/>
    <w:rsid w:val="0004502C"/>
    <w:rsid w:val="00047729"/>
    <w:rsid w:val="00054008"/>
    <w:rsid w:val="000612A0"/>
    <w:rsid w:val="00070C44"/>
    <w:rsid w:val="00073FF9"/>
    <w:rsid w:val="00082195"/>
    <w:rsid w:val="000A49C3"/>
    <w:rsid w:val="000A5750"/>
    <w:rsid w:val="000B1F00"/>
    <w:rsid w:val="000C3290"/>
    <w:rsid w:val="000C6A52"/>
    <w:rsid w:val="000E04E2"/>
    <w:rsid w:val="000E319B"/>
    <w:rsid w:val="000F7E14"/>
    <w:rsid w:val="00100FC9"/>
    <w:rsid w:val="00101F13"/>
    <w:rsid w:val="0010370A"/>
    <w:rsid w:val="00106131"/>
    <w:rsid w:val="00111988"/>
    <w:rsid w:val="0012193F"/>
    <w:rsid w:val="001270CB"/>
    <w:rsid w:val="001358EB"/>
    <w:rsid w:val="001379BC"/>
    <w:rsid w:val="00152DDA"/>
    <w:rsid w:val="00157FA0"/>
    <w:rsid w:val="00164A1E"/>
    <w:rsid w:val="0017591D"/>
    <w:rsid w:val="00186081"/>
    <w:rsid w:val="00186222"/>
    <w:rsid w:val="001A4488"/>
    <w:rsid w:val="001A7A60"/>
    <w:rsid w:val="001B54D6"/>
    <w:rsid w:val="001C5C84"/>
    <w:rsid w:val="001D48CC"/>
    <w:rsid w:val="001E0FF1"/>
    <w:rsid w:val="001F12BA"/>
    <w:rsid w:val="001F730D"/>
    <w:rsid w:val="00201E46"/>
    <w:rsid w:val="002031B8"/>
    <w:rsid w:val="0021173B"/>
    <w:rsid w:val="0021480A"/>
    <w:rsid w:val="0024647C"/>
    <w:rsid w:val="00250E48"/>
    <w:rsid w:val="0026472A"/>
    <w:rsid w:val="002B34C3"/>
    <w:rsid w:val="002B4B5F"/>
    <w:rsid w:val="002C37FD"/>
    <w:rsid w:val="002D1EBE"/>
    <w:rsid w:val="002D5A0D"/>
    <w:rsid w:val="002E4EDA"/>
    <w:rsid w:val="002F281B"/>
    <w:rsid w:val="00316DFD"/>
    <w:rsid w:val="00317FB3"/>
    <w:rsid w:val="00326308"/>
    <w:rsid w:val="00327E47"/>
    <w:rsid w:val="00331DB9"/>
    <w:rsid w:val="0033349E"/>
    <w:rsid w:val="00340742"/>
    <w:rsid w:val="003423E1"/>
    <w:rsid w:val="00344B89"/>
    <w:rsid w:val="00357C34"/>
    <w:rsid w:val="00366408"/>
    <w:rsid w:val="00395BE8"/>
    <w:rsid w:val="003B3F1E"/>
    <w:rsid w:val="003D1FEC"/>
    <w:rsid w:val="003D6679"/>
    <w:rsid w:val="003E0061"/>
    <w:rsid w:val="00416232"/>
    <w:rsid w:val="004335BA"/>
    <w:rsid w:val="00433E84"/>
    <w:rsid w:val="004979FE"/>
    <w:rsid w:val="004A4729"/>
    <w:rsid w:val="004B4E6E"/>
    <w:rsid w:val="004C6983"/>
    <w:rsid w:val="004D556D"/>
    <w:rsid w:val="00504DFC"/>
    <w:rsid w:val="00507C07"/>
    <w:rsid w:val="00512521"/>
    <w:rsid w:val="00570673"/>
    <w:rsid w:val="00591ED7"/>
    <w:rsid w:val="00593FB7"/>
    <w:rsid w:val="005B483D"/>
    <w:rsid w:val="005C7D86"/>
    <w:rsid w:val="005D5588"/>
    <w:rsid w:val="005E001E"/>
    <w:rsid w:val="006021C0"/>
    <w:rsid w:val="0060403C"/>
    <w:rsid w:val="006409F7"/>
    <w:rsid w:val="0064121C"/>
    <w:rsid w:val="00644D90"/>
    <w:rsid w:val="0066040B"/>
    <w:rsid w:val="00660C22"/>
    <w:rsid w:val="00684E2A"/>
    <w:rsid w:val="00691238"/>
    <w:rsid w:val="006A0572"/>
    <w:rsid w:val="006A1B54"/>
    <w:rsid w:val="006B6E73"/>
    <w:rsid w:val="006C4B1F"/>
    <w:rsid w:val="006C4B40"/>
    <w:rsid w:val="006C721B"/>
    <w:rsid w:val="006D5125"/>
    <w:rsid w:val="006D54B4"/>
    <w:rsid w:val="006D67CA"/>
    <w:rsid w:val="006E38EC"/>
    <w:rsid w:val="006E59A1"/>
    <w:rsid w:val="006F13E8"/>
    <w:rsid w:val="006F325C"/>
    <w:rsid w:val="006F565F"/>
    <w:rsid w:val="006F7330"/>
    <w:rsid w:val="00700F54"/>
    <w:rsid w:val="00703D6C"/>
    <w:rsid w:val="00711AFD"/>
    <w:rsid w:val="00711D8F"/>
    <w:rsid w:val="00715206"/>
    <w:rsid w:val="00715F89"/>
    <w:rsid w:val="00727381"/>
    <w:rsid w:val="00727876"/>
    <w:rsid w:val="00727E33"/>
    <w:rsid w:val="00743154"/>
    <w:rsid w:val="00757D10"/>
    <w:rsid w:val="00766680"/>
    <w:rsid w:val="00775029"/>
    <w:rsid w:val="00792DA5"/>
    <w:rsid w:val="00793EC4"/>
    <w:rsid w:val="007B0078"/>
    <w:rsid w:val="007B58EA"/>
    <w:rsid w:val="007C20E5"/>
    <w:rsid w:val="007C397B"/>
    <w:rsid w:val="007D0092"/>
    <w:rsid w:val="007D14F6"/>
    <w:rsid w:val="007D68AD"/>
    <w:rsid w:val="007E3331"/>
    <w:rsid w:val="007E6E72"/>
    <w:rsid w:val="00813C1F"/>
    <w:rsid w:val="00816392"/>
    <w:rsid w:val="00827D80"/>
    <w:rsid w:val="00836AF6"/>
    <w:rsid w:val="008537C8"/>
    <w:rsid w:val="00861DC2"/>
    <w:rsid w:val="00862D7A"/>
    <w:rsid w:val="00862DFF"/>
    <w:rsid w:val="008736BD"/>
    <w:rsid w:val="0087557A"/>
    <w:rsid w:val="00884E8F"/>
    <w:rsid w:val="00887DA9"/>
    <w:rsid w:val="008936E9"/>
    <w:rsid w:val="008B034B"/>
    <w:rsid w:val="008C2B5A"/>
    <w:rsid w:val="008D009B"/>
    <w:rsid w:val="008E62E2"/>
    <w:rsid w:val="008F0CB0"/>
    <w:rsid w:val="008F41C3"/>
    <w:rsid w:val="00903470"/>
    <w:rsid w:val="00922EBE"/>
    <w:rsid w:val="00926175"/>
    <w:rsid w:val="00927109"/>
    <w:rsid w:val="009424C5"/>
    <w:rsid w:val="009569A5"/>
    <w:rsid w:val="009712F7"/>
    <w:rsid w:val="00975F04"/>
    <w:rsid w:val="00983947"/>
    <w:rsid w:val="009840FE"/>
    <w:rsid w:val="00993308"/>
    <w:rsid w:val="009A5A30"/>
    <w:rsid w:val="009C3443"/>
    <w:rsid w:val="009D5BA6"/>
    <w:rsid w:val="009F1F2D"/>
    <w:rsid w:val="009F6C23"/>
    <w:rsid w:val="00A020B2"/>
    <w:rsid w:val="00A0404B"/>
    <w:rsid w:val="00A12473"/>
    <w:rsid w:val="00A127F4"/>
    <w:rsid w:val="00A15483"/>
    <w:rsid w:val="00A367DE"/>
    <w:rsid w:val="00A54B88"/>
    <w:rsid w:val="00A60BE6"/>
    <w:rsid w:val="00A60F9A"/>
    <w:rsid w:val="00A65C44"/>
    <w:rsid w:val="00A700FC"/>
    <w:rsid w:val="00A7101C"/>
    <w:rsid w:val="00A96EAA"/>
    <w:rsid w:val="00AB7937"/>
    <w:rsid w:val="00AD7DEF"/>
    <w:rsid w:val="00AE402C"/>
    <w:rsid w:val="00AE7F37"/>
    <w:rsid w:val="00AF6E73"/>
    <w:rsid w:val="00B0708F"/>
    <w:rsid w:val="00B20B97"/>
    <w:rsid w:val="00B229FB"/>
    <w:rsid w:val="00B26E27"/>
    <w:rsid w:val="00B31891"/>
    <w:rsid w:val="00B350AD"/>
    <w:rsid w:val="00B365D4"/>
    <w:rsid w:val="00B40122"/>
    <w:rsid w:val="00B435F4"/>
    <w:rsid w:val="00B456FA"/>
    <w:rsid w:val="00B559D2"/>
    <w:rsid w:val="00B57438"/>
    <w:rsid w:val="00B5770A"/>
    <w:rsid w:val="00B61DC9"/>
    <w:rsid w:val="00B63981"/>
    <w:rsid w:val="00B64B52"/>
    <w:rsid w:val="00B6755F"/>
    <w:rsid w:val="00B721C6"/>
    <w:rsid w:val="00B72E2A"/>
    <w:rsid w:val="00B74374"/>
    <w:rsid w:val="00B76B1C"/>
    <w:rsid w:val="00B837A3"/>
    <w:rsid w:val="00B9099F"/>
    <w:rsid w:val="00BB0778"/>
    <w:rsid w:val="00BB4CB1"/>
    <w:rsid w:val="00BC61CC"/>
    <w:rsid w:val="00BC67D1"/>
    <w:rsid w:val="00BD2B74"/>
    <w:rsid w:val="00BD6E01"/>
    <w:rsid w:val="00BE39EE"/>
    <w:rsid w:val="00C04BC4"/>
    <w:rsid w:val="00C04DC7"/>
    <w:rsid w:val="00C24548"/>
    <w:rsid w:val="00C2780B"/>
    <w:rsid w:val="00C3372B"/>
    <w:rsid w:val="00C704D2"/>
    <w:rsid w:val="00C82C78"/>
    <w:rsid w:val="00C83880"/>
    <w:rsid w:val="00C85BEC"/>
    <w:rsid w:val="00C91B5F"/>
    <w:rsid w:val="00C97157"/>
    <w:rsid w:val="00CA54E0"/>
    <w:rsid w:val="00CB27C7"/>
    <w:rsid w:val="00CB2ED7"/>
    <w:rsid w:val="00CD6DFB"/>
    <w:rsid w:val="00CE2174"/>
    <w:rsid w:val="00CE444F"/>
    <w:rsid w:val="00CF0B25"/>
    <w:rsid w:val="00CF1395"/>
    <w:rsid w:val="00CF25C7"/>
    <w:rsid w:val="00D00762"/>
    <w:rsid w:val="00D1103A"/>
    <w:rsid w:val="00D31B0C"/>
    <w:rsid w:val="00D36107"/>
    <w:rsid w:val="00D543D4"/>
    <w:rsid w:val="00D54783"/>
    <w:rsid w:val="00D72A49"/>
    <w:rsid w:val="00D767E7"/>
    <w:rsid w:val="00D82BDF"/>
    <w:rsid w:val="00D934B9"/>
    <w:rsid w:val="00DC5FAA"/>
    <w:rsid w:val="00DD4E3B"/>
    <w:rsid w:val="00DD6D74"/>
    <w:rsid w:val="00DE0037"/>
    <w:rsid w:val="00DE6418"/>
    <w:rsid w:val="00DF5B01"/>
    <w:rsid w:val="00DF7D0E"/>
    <w:rsid w:val="00E14884"/>
    <w:rsid w:val="00E2082D"/>
    <w:rsid w:val="00E20A89"/>
    <w:rsid w:val="00E22933"/>
    <w:rsid w:val="00E333DC"/>
    <w:rsid w:val="00E34F65"/>
    <w:rsid w:val="00E36A8E"/>
    <w:rsid w:val="00E41826"/>
    <w:rsid w:val="00E55B2A"/>
    <w:rsid w:val="00E65A91"/>
    <w:rsid w:val="00E7700B"/>
    <w:rsid w:val="00E924F3"/>
    <w:rsid w:val="00EA36F1"/>
    <w:rsid w:val="00EC1F31"/>
    <w:rsid w:val="00EC2B58"/>
    <w:rsid w:val="00ED1910"/>
    <w:rsid w:val="00ED36E0"/>
    <w:rsid w:val="00F22F56"/>
    <w:rsid w:val="00F4605B"/>
    <w:rsid w:val="00F57CB7"/>
    <w:rsid w:val="00F63136"/>
    <w:rsid w:val="00F81FED"/>
    <w:rsid w:val="00F83656"/>
    <w:rsid w:val="00F83E74"/>
    <w:rsid w:val="00F85F63"/>
    <w:rsid w:val="00FA2382"/>
    <w:rsid w:val="00FA3B8E"/>
    <w:rsid w:val="00FC17F2"/>
    <w:rsid w:val="00FC37C1"/>
    <w:rsid w:val="00FC62D9"/>
    <w:rsid w:val="00FC7687"/>
    <w:rsid w:val="00FD1892"/>
    <w:rsid w:val="00FE3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69C4FBC8"/>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127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CB"/>
    <w:rPr>
      <w:rFonts w:ascii="Segoe UI" w:hAnsi="Segoe UI" w:cs="Segoe UI"/>
      <w:sz w:val="18"/>
      <w:szCs w:val="18"/>
      <w:lang w:val="en-US"/>
    </w:rPr>
  </w:style>
  <w:style w:type="table" w:styleId="TableGrid">
    <w:name w:val="Table Grid"/>
    <w:basedOn w:val="TableNormal"/>
    <w:uiPriority w:val="39"/>
    <w:rsid w:val="00A1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59A1"/>
    <w:rPr>
      <w:sz w:val="16"/>
      <w:szCs w:val="16"/>
    </w:rPr>
  </w:style>
  <w:style w:type="paragraph" w:styleId="CommentText">
    <w:name w:val="annotation text"/>
    <w:basedOn w:val="Normal"/>
    <w:link w:val="CommentTextChar"/>
    <w:uiPriority w:val="99"/>
    <w:unhideWhenUsed/>
    <w:rsid w:val="006E59A1"/>
    <w:rPr>
      <w:sz w:val="20"/>
      <w:szCs w:val="20"/>
    </w:rPr>
  </w:style>
  <w:style w:type="character" w:customStyle="1" w:styleId="CommentTextChar">
    <w:name w:val="Comment Text Char"/>
    <w:basedOn w:val="DefaultParagraphFont"/>
    <w:link w:val="CommentText"/>
    <w:uiPriority w:val="99"/>
    <w:rsid w:val="006E59A1"/>
    <w:rPr>
      <w:sz w:val="20"/>
      <w:szCs w:val="20"/>
      <w:lang w:val="en-US"/>
    </w:rPr>
  </w:style>
  <w:style w:type="paragraph" w:styleId="CommentSubject">
    <w:name w:val="annotation subject"/>
    <w:basedOn w:val="CommentText"/>
    <w:next w:val="CommentText"/>
    <w:link w:val="CommentSubjectChar"/>
    <w:uiPriority w:val="99"/>
    <w:semiHidden/>
    <w:unhideWhenUsed/>
    <w:rsid w:val="006E59A1"/>
    <w:rPr>
      <w:b/>
      <w:bCs/>
    </w:rPr>
  </w:style>
  <w:style w:type="character" w:customStyle="1" w:styleId="CommentSubjectChar">
    <w:name w:val="Comment Subject Char"/>
    <w:basedOn w:val="CommentTextChar"/>
    <w:link w:val="CommentSubject"/>
    <w:uiPriority w:val="99"/>
    <w:semiHidden/>
    <w:rsid w:val="006E59A1"/>
    <w:rPr>
      <w:b/>
      <w:bCs/>
      <w:sz w:val="20"/>
      <w:szCs w:val="20"/>
      <w:lang w:val="en-US"/>
    </w:rPr>
  </w:style>
  <w:style w:type="paragraph" w:styleId="Revision">
    <w:name w:val="Revision"/>
    <w:hidden/>
    <w:uiPriority w:val="99"/>
    <w:semiHidden/>
    <w:rsid w:val="005E001E"/>
    <w:pPr>
      <w:spacing w:after="0" w:line="240" w:lineRule="auto"/>
    </w:pPr>
    <w:rPr>
      <w:lang w:val="en-US"/>
    </w:rPr>
  </w:style>
  <w:style w:type="paragraph" w:styleId="NormalWeb">
    <w:name w:val="Normal (Web)"/>
    <w:basedOn w:val="Normal"/>
    <w:uiPriority w:val="99"/>
    <w:semiHidden/>
    <w:unhideWhenUsed/>
    <w:rsid w:val="00FC37C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FC37C1"/>
    <w:rPr>
      <w:color w:val="0000FF"/>
      <w:u w:val="single"/>
    </w:rPr>
  </w:style>
  <w:style w:type="character" w:styleId="FollowedHyperlink">
    <w:name w:val="FollowedHyperlink"/>
    <w:basedOn w:val="DefaultParagraphFont"/>
    <w:uiPriority w:val="99"/>
    <w:semiHidden/>
    <w:unhideWhenUsed/>
    <w:rsid w:val="00B26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4" ma:contentTypeDescription="Create a new document." ma:contentTypeScope="" ma:versionID="76887fb9575c79cc395dd9c6ff3fe319">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a0be8288fb05a0e3667af26c7cb2c6f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a0f7cc3-c266-472c-a05b-c6f864bb8450">
      <Value>28</Value>
      <Value>30</Value>
      <Value>1</Value>
      <Value>70</Value>
    </TaxCatchAll>
    <_dlc_DocId xmlns="fe39d773-a83d-4623-ae74-f25711a76616">UCFTXV2XQRDS-169621119-807</_dlc_DocId>
    <_dlc_DocIdUrl xmlns="fe39d773-a83d-4623-ae74-f25711a76616">
      <Url>https://austreasury.sharepoint.com/sites/csr-function/_layouts/15/DocIdRedir.aspx?ID=UCFTXV2XQRDS-169621119-807</Url>
      <Description>UCFTXV2XQRDS-169621119-807</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Agreement (Right of use or Memorandum of understanding)</TermName>
          <TermId xmlns="http://schemas.microsoft.com/office/infopath/2007/PartnerControls">f8448f88-8343-4d6d-a573-2505a5b4876a</TermId>
        </TermInfo>
      </Terms>
    </kfc39f3e4e2747ae990d3c8bb74a5a64>
    <Agency xmlns="8a0f7cc3-c266-472c-a05b-c6f864bb8450">Infrastructure</Agency>
    <hb21c56c5eeb498493a0059821122609 xmlns="8a0f7cc3-c266-472c-a05b-c6f864bb8450">
      <Terms xmlns="http://schemas.microsoft.com/office/infopath/2007/PartnerControls"/>
    </hb21c56c5eeb498493a0059821122609>
    <SPP xmlns="8a0f7cc3-c266-472c-a05b-c6f864bb8450">
      <Value>SPP968</Value>
    </SPP>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 xsi:nil="true"/>
    <FinancialYear1 xmlns="8a0f7cc3-c266-472c-a05b-c6f864bb8450" xsi:nil="true"/>
    <Jurisdiction xmlns="8a0f7cc3-c266-472c-a05b-c6f864bb8450">
      <Value>TAS</Value>
    </Jurisdiction>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Federal Finances</TermName>
          <TermId xmlns="http://schemas.microsoft.com/office/infopath/2007/PartnerControls">bacab4ad-74a3-47e8-ba9b-a729110a24c1</TermId>
        </TermInfo>
      </Terms>
    </gfba5f33532c49208d2320ce38cc3c2b>
  </documentManagement>
</p:properties>
</file>

<file path=customXml/itemProps1.xml><?xml version="1.0" encoding="utf-8"?>
<ds:datastoreItem xmlns:ds="http://schemas.openxmlformats.org/officeDocument/2006/customXml" ds:itemID="{CAE2F13A-79AF-4A07-8667-180DC8F9516E}">
  <ds:schemaRefs>
    <ds:schemaRef ds:uri="http://schemas.microsoft.com/sharepoint/events"/>
  </ds:schemaRefs>
</ds:datastoreItem>
</file>

<file path=customXml/itemProps2.xml><?xml version="1.0" encoding="utf-8"?>
<ds:datastoreItem xmlns:ds="http://schemas.openxmlformats.org/officeDocument/2006/customXml" ds:itemID="{DAE79418-CCE5-408D-9476-613736B150F0}">
  <ds:schemaRefs>
    <ds:schemaRef ds:uri="http://schemas.openxmlformats.org/officeDocument/2006/bibliography"/>
  </ds:schemaRefs>
</ds:datastoreItem>
</file>

<file path=customXml/itemProps3.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4.xml><?xml version="1.0" encoding="utf-8"?>
<ds:datastoreItem xmlns:ds="http://schemas.openxmlformats.org/officeDocument/2006/customXml" ds:itemID="{B5D04DEC-A3BE-4958-B275-9A1F38B7A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66d6b57a-8878-449b-bf18-cbec9d2d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D900B8-6070-407E-B433-89E316A15907}">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66d6b57a-8878-449b-bf18-cbec9d2d9c49"/>
    <ds:schemaRef ds:uri="fe39d773-a83d-4623-ae74-f25711a76616"/>
    <ds:schemaRef ds:uri="http://schemas.microsoft.com/office/2006/documentManagement/types"/>
    <ds:schemaRef ds:uri="8a0f7cc3-c266-472c-a05b-c6f864bb84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1047</Words>
  <Characters>6341</Characters>
  <Application>Microsoft Office Word</Application>
  <DocSecurity>4</DocSecurity>
  <Lines>264</Lines>
  <Paragraphs>108</Paragraphs>
  <ScaleCrop>false</ScaleCrop>
  <HeadingPairs>
    <vt:vector size="2" baseType="variant">
      <vt:variant>
        <vt:lpstr>Title</vt:lpstr>
      </vt:variant>
      <vt:variant>
        <vt:i4>1</vt:i4>
      </vt:variant>
    </vt:vector>
  </HeadingPairs>
  <TitlesOfParts>
    <vt:vector size="1" baseType="lpstr">
      <vt:lpstr>Place Cased Co-Investments in Hobart and Launceston</vt:lpstr>
    </vt:vector>
  </TitlesOfParts>
  <Company>Department of the Prime Minister and Cabinet</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Cased Co-Investments in Hobart and Launceston</dc:title>
  <dc:subject/>
  <dc:creator>Le, Alan</dc:creator>
  <cp:keywords/>
  <dc:description/>
  <cp:lastModifiedBy>Pennifold, Lauren</cp:lastModifiedBy>
  <cp:revision>2</cp:revision>
  <cp:lastPrinted>2024-05-08T02:14:00Z</cp:lastPrinted>
  <dcterms:created xsi:type="dcterms:W3CDTF">2024-06-11T04:55:00Z</dcterms:created>
  <dcterms:modified xsi:type="dcterms:W3CDTF">2024-06-11T04:55:00Z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0x010100BF60385D6BF2DD4DACED50AE18F483D0</vt:lpwstr>
  </property>
  <property fmtid="{D5CDD505-2E9C-101B-9397-08002B2CF9AE}" pid="3" name="eTheme">
    <vt:lpwstr>1</vt:lpwstr>
  </property>
  <property fmtid="{D5CDD505-2E9C-101B-9397-08002B2CF9AE}" pid="4" name="eActivity">
    <vt:lpwstr>70</vt:lpwstr>
  </property>
  <property fmtid="{D5CDD505-2E9C-101B-9397-08002B2CF9AE}" pid="5" name="_dlc_DocIdItemGuid">
    <vt:lpwstr>3bdedc5f-4af1-4d40-ae86-b17ae2035af3</vt:lpwstr>
  </property>
  <property fmtid="{D5CDD505-2E9C-101B-9397-08002B2CF9AE}" pid="6" name="TSYStatus">
    <vt:lpwstr/>
  </property>
  <property fmtid="{D5CDD505-2E9C-101B-9397-08002B2CF9AE}" pid="7" name="SPPCode">
    <vt:lpwstr/>
  </property>
  <property fmtid="{D5CDD505-2E9C-101B-9397-08002B2CF9AE}" pid="8" name="eDocumentType">
    <vt:lpwstr>28;#Agreement (Right of use or Memorandum of understanding)|f8448f88-8343-4d6d-a573-2505a5b4876a</vt:lpwstr>
  </property>
  <property fmtid="{D5CDD505-2E9C-101B-9397-08002B2CF9AE}" pid="9" name="eTopic">
    <vt:lpwstr>30;#Federal Finances|bacab4ad-74a3-47e8-ba9b-a729110a24c1</vt:lpwstr>
  </property>
</Properties>
</file>