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1385"/>
        <w:gridCol w:w="7641"/>
      </w:tblGrid>
      <w:tr w:rsidR="00814667" w:rsidRPr="00C811E9" w14:paraId="55108BEA" w14:textId="77777777" w:rsidTr="00921416">
        <w:tc>
          <w:tcPr>
            <w:tcW w:w="5000" w:type="pct"/>
            <w:gridSpan w:val="2"/>
          </w:tcPr>
          <w:p w14:paraId="4182E178" w14:textId="5F3A52D7" w:rsidR="00814667" w:rsidRPr="00C811E9" w:rsidRDefault="72CFBC29" w:rsidP="00C36337">
            <w:pPr>
              <w:pStyle w:val="CoverTitleMain"/>
            </w:pPr>
            <w:r w:rsidRPr="00921416">
              <w:t>NATIONAL</w:t>
            </w:r>
            <w:r w:rsidR="6B269962" w:rsidRPr="00921416">
              <w:t xml:space="preserve"> </w:t>
            </w:r>
            <w:r w:rsidR="002A447A">
              <w:t xml:space="preserve">agreement on social </w:t>
            </w:r>
            <w:r w:rsidR="001F0D26">
              <w:t xml:space="preserve">Housing and </w:t>
            </w:r>
            <w:r w:rsidR="00CE502A">
              <w:t>Homelessness</w:t>
            </w:r>
          </w:p>
        </w:tc>
      </w:tr>
      <w:tr w:rsidR="00814667" w:rsidRPr="00C811E9" w14:paraId="38748E21" w14:textId="77777777" w:rsidTr="55FD514C">
        <w:tc>
          <w:tcPr>
            <w:tcW w:w="767" w:type="pct"/>
          </w:tcPr>
          <w:p w14:paraId="76D4693F" w14:textId="77777777" w:rsidR="00814667" w:rsidRPr="00C811E9" w:rsidRDefault="00814667">
            <w:pPr>
              <w:pStyle w:val="SingleParagraph"/>
              <w:tabs>
                <w:tab w:val="num" w:pos="1134"/>
              </w:tabs>
              <w:spacing w:after="240"/>
              <w:ind w:left="1134" w:hanging="567"/>
            </w:pPr>
          </w:p>
        </w:tc>
        <w:tc>
          <w:tcPr>
            <w:tcW w:w="4233" w:type="pct"/>
          </w:tcPr>
          <w:p w14:paraId="4DD67C8A" w14:textId="77777777" w:rsidR="00814667" w:rsidRPr="00C811E9" w:rsidRDefault="00814667" w:rsidP="001C67BD">
            <w:pPr>
              <w:pStyle w:val="SingleParagraph"/>
              <w:tabs>
                <w:tab w:val="num" w:pos="1134"/>
              </w:tabs>
              <w:spacing w:after="240"/>
              <w:ind w:left="1134" w:hanging="567"/>
              <w:jc w:val="right"/>
            </w:pPr>
          </w:p>
        </w:tc>
      </w:tr>
      <w:tr w:rsidR="00814667" w:rsidRPr="00C811E9" w14:paraId="250937A6" w14:textId="77777777" w:rsidTr="55FD514C">
        <w:tc>
          <w:tcPr>
            <w:tcW w:w="767" w:type="pct"/>
          </w:tcPr>
          <w:p w14:paraId="6A7D5337" w14:textId="77777777" w:rsidR="00814667" w:rsidRPr="00C811E9" w:rsidRDefault="00814667">
            <w:pPr>
              <w:pStyle w:val="SingleParagraph"/>
              <w:tabs>
                <w:tab w:val="num" w:pos="1134"/>
              </w:tabs>
              <w:spacing w:after="240"/>
              <w:ind w:left="1134" w:hanging="567"/>
            </w:pPr>
          </w:p>
        </w:tc>
        <w:tc>
          <w:tcPr>
            <w:tcW w:w="4233" w:type="pct"/>
          </w:tcPr>
          <w:p w14:paraId="64EE4CE7" w14:textId="77777777" w:rsidR="00814667" w:rsidRPr="00C811E9" w:rsidRDefault="00814667">
            <w:pPr>
              <w:pStyle w:val="SingleParagraph"/>
              <w:tabs>
                <w:tab w:val="num" w:pos="1134"/>
              </w:tabs>
              <w:spacing w:after="240"/>
              <w:ind w:left="1134" w:hanging="567"/>
            </w:pPr>
          </w:p>
        </w:tc>
      </w:tr>
      <w:tr w:rsidR="00814667" w:rsidRPr="00C811E9" w14:paraId="7B096BD2" w14:textId="77777777" w:rsidTr="00921416">
        <w:tc>
          <w:tcPr>
            <w:tcW w:w="5000" w:type="pct"/>
            <w:gridSpan w:val="2"/>
          </w:tcPr>
          <w:p w14:paraId="6DA8AD33" w14:textId="77777777" w:rsidR="00814667" w:rsidRPr="00C811E9" w:rsidRDefault="00814667" w:rsidP="00B93B62">
            <w:pPr>
              <w:pStyle w:val="AgreementHeading"/>
              <w:tabs>
                <w:tab w:val="clear" w:pos="1134"/>
              </w:tabs>
              <w:ind w:left="0"/>
            </w:pPr>
            <w:r w:rsidRPr="00C811E9">
              <w:t>An agreement between</w:t>
            </w:r>
            <w:r w:rsidR="00697494" w:rsidRPr="00C811E9">
              <w:t>:</w:t>
            </w:r>
          </w:p>
        </w:tc>
      </w:tr>
      <w:tr w:rsidR="00814667" w:rsidRPr="00C811E9" w14:paraId="3FA78A11" w14:textId="77777777" w:rsidTr="55FD514C">
        <w:tc>
          <w:tcPr>
            <w:tcW w:w="767" w:type="pct"/>
          </w:tcPr>
          <w:p w14:paraId="337A3F84" w14:textId="77777777" w:rsidR="00814667" w:rsidRPr="00C811E9" w:rsidRDefault="00814667">
            <w:pPr>
              <w:pStyle w:val="AgreementHeading"/>
              <w:tabs>
                <w:tab w:val="clear" w:pos="1134"/>
              </w:tabs>
              <w:ind w:left="522"/>
            </w:pPr>
          </w:p>
        </w:tc>
        <w:tc>
          <w:tcPr>
            <w:tcW w:w="4233" w:type="pct"/>
          </w:tcPr>
          <w:p w14:paraId="73E377E7" w14:textId="77777777" w:rsidR="00814667" w:rsidRPr="00C811E9" w:rsidRDefault="00814667">
            <w:pPr>
              <w:pStyle w:val="AgreementParties"/>
            </w:pPr>
            <w:r w:rsidRPr="00C811E9">
              <w:t xml:space="preserve">the </w:t>
            </w:r>
            <w:r w:rsidRPr="00C811E9">
              <w:rPr>
                <w:rStyle w:val="Bold"/>
              </w:rPr>
              <w:t>Commonwealth of Australia</w:t>
            </w:r>
            <w:r w:rsidR="00697494" w:rsidRPr="00C811E9">
              <w:rPr>
                <w:rStyle w:val="Bold"/>
              </w:rPr>
              <w:t>;</w:t>
            </w:r>
            <w:r w:rsidRPr="00C811E9">
              <w:t xml:space="preserve"> and</w:t>
            </w:r>
          </w:p>
          <w:p w14:paraId="787BC7A9" w14:textId="77777777" w:rsidR="00814667" w:rsidRPr="00C811E9" w:rsidRDefault="00814667" w:rsidP="00697494">
            <w:pPr>
              <w:pStyle w:val="AgreementParties"/>
            </w:pPr>
            <w:r w:rsidRPr="00C811E9">
              <w:t xml:space="preserve">the </w:t>
            </w:r>
            <w:r w:rsidRPr="00C811E9">
              <w:rPr>
                <w:rStyle w:val="Bold"/>
              </w:rPr>
              <w:t>States and Territorie</w:t>
            </w:r>
            <w:r w:rsidR="00697494" w:rsidRPr="00C811E9">
              <w:rPr>
                <w:rStyle w:val="Bold"/>
              </w:rPr>
              <w:t>s of</w:t>
            </w:r>
          </w:p>
        </w:tc>
      </w:tr>
      <w:tr w:rsidR="00814667" w:rsidRPr="00C811E9" w14:paraId="70669D71" w14:textId="77777777" w:rsidTr="00921416">
        <w:tc>
          <w:tcPr>
            <w:tcW w:w="767" w:type="pct"/>
          </w:tcPr>
          <w:p w14:paraId="196888C4" w14:textId="77777777" w:rsidR="00814667" w:rsidRPr="00C811E9" w:rsidRDefault="00814667">
            <w:pPr>
              <w:pStyle w:val="SingleParagraph"/>
              <w:tabs>
                <w:tab w:val="num" w:pos="1134"/>
              </w:tabs>
              <w:spacing w:after="240"/>
              <w:ind w:left="1134" w:hanging="567"/>
            </w:pPr>
          </w:p>
        </w:tc>
        <w:tc>
          <w:tcPr>
            <w:tcW w:w="4233" w:type="pct"/>
            <w:tcBorders>
              <w:left w:val="nil"/>
            </w:tcBorders>
          </w:tcPr>
          <w:p w14:paraId="5A5391D5" w14:textId="01889E51" w:rsidR="00814667" w:rsidRPr="00C811E9" w:rsidRDefault="00814667" w:rsidP="004F3EA2">
            <w:pPr>
              <w:pStyle w:val="StatesList"/>
              <w:numPr>
                <w:ilvl w:val="0"/>
                <w:numId w:val="6"/>
              </w:numPr>
            </w:pPr>
            <w:r w:rsidRPr="00C811E9">
              <w:t>New South Wales</w:t>
            </w:r>
          </w:p>
          <w:p w14:paraId="530E6EEC" w14:textId="712E44B1" w:rsidR="00814667" w:rsidRPr="00C811E9" w:rsidRDefault="00814667" w:rsidP="004F3EA2">
            <w:pPr>
              <w:pStyle w:val="StatesList"/>
              <w:numPr>
                <w:ilvl w:val="0"/>
                <w:numId w:val="6"/>
              </w:numPr>
            </w:pPr>
            <w:r w:rsidRPr="00C811E9">
              <w:t>Victoria</w:t>
            </w:r>
          </w:p>
          <w:p w14:paraId="6BC225B4" w14:textId="170E2E25" w:rsidR="00814667" w:rsidRPr="00C811E9" w:rsidRDefault="00814667" w:rsidP="004F3EA2">
            <w:pPr>
              <w:pStyle w:val="StatesList"/>
              <w:numPr>
                <w:ilvl w:val="0"/>
                <w:numId w:val="6"/>
              </w:numPr>
            </w:pPr>
            <w:r w:rsidRPr="00C811E9">
              <w:t>Queensland</w:t>
            </w:r>
          </w:p>
          <w:p w14:paraId="122D5FA8" w14:textId="160CF96A" w:rsidR="00814667" w:rsidRPr="00C811E9" w:rsidRDefault="00814667" w:rsidP="004F3EA2">
            <w:pPr>
              <w:pStyle w:val="StatesList"/>
              <w:numPr>
                <w:ilvl w:val="0"/>
                <w:numId w:val="6"/>
              </w:numPr>
            </w:pPr>
            <w:r w:rsidRPr="00C811E9">
              <w:t>Western Australia</w:t>
            </w:r>
          </w:p>
          <w:p w14:paraId="71BB6DD8" w14:textId="0AC92549" w:rsidR="00814667" w:rsidRPr="00C811E9" w:rsidRDefault="00814667" w:rsidP="004F3EA2">
            <w:pPr>
              <w:pStyle w:val="StatesList"/>
              <w:numPr>
                <w:ilvl w:val="0"/>
                <w:numId w:val="6"/>
              </w:numPr>
            </w:pPr>
            <w:r w:rsidRPr="00C811E9">
              <w:t>South Australia</w:t>
            </w:r>
          </w:p>
          <w:p w14:paraId="3E71F20D" w14:textId="61A829D3" w:rsidR="00814667" w:rsidRPr="00C811E9" w:rsidRDefault="00814667" w:rsidP="004F3EA2">
            <w:pPr>
              <w:pStyle w:val="StatesList"/>
              <w:numPr>
                <w:ilvl w:val="0"/>
                <w:numId w:val="6"/>
              </w:numPr>
            </w:pPr>
            <w:r w:rsidRPr="00C811E9">
              <w:t>Tasmania</w:t>
            </w:r>
          </w:p>
          <w:p w14:paraId="345FBCDB" w14:textId="77777777" w:rsidR="00814667" w:rsidRPr="00C811E9" w:rsidRDefault="004B6083" w:rsidP="004F3EA2">
            <w:pPr>
              <w:pStyle w:val="StatesList"/>
              <w:numPr>
                <w:ilvl w:val="0"/>
                <w:numId w:val="6"/>
              </w:numPr>
            </w:pPr>
            <w:r w:rsidRPr="00C811E9">
              <w:t xml:space="preserve">the </w:t>
            </w:r>
            <w:r w:rsidR="00814667" w:rsidRPr="00C811E9">
              <w:t>Australian Capital Territory</w:t>
            </w:r>
            <w:r w:rsidR="00697494" w:rsidRPr="00C811E9">
              <w:t xml:space="preserve">, </w:t>
            </w:r>
            <w:r w:rsidR="00030618" w:rsidRPr="00C811E9">
              <w:t>and</w:t>
            </w:r>
          </w:p>
          <w:p w14:paraId="57DCF91F" w14:textId="28730417" w:rsidR="00814667" w:rsidRPr="00C811E9" w:rsidRDefault="004B6083" w:rsidP="004F3EA2">
            <w:pPr>
              <w:pStyle w:val="StatesList"/>
              <w:numPr>
                <w:ilvl w:val="0"/>
                <w:numId w:val="6"/>
              </w:numPr>
            </w:pPr>
            <w:r w:rsidRPr="00C811E9">
              <w:t>t</w:t>
            </w:r>
            <w:r w:rsidR="00814667" w:rsidRPr="00C811E9">
              <w:t>he Northern Territory</w:t>
            </w:r>
            <w:r w:rsidR="00726DB5" w:rsidRPr="00C811E9">
              <w:t>.</w:t>
            </w:r>
          </w:p>
          <w:p w14:paraId="534DF2C0" w14:textId="77777777" w:rsidR="00EB7EDA" w:rsidRPr="00C811E9" w:rsidRDefault="00EB7EDA" w:rsidP="00F630EF">
            <w:pPr>
              <w:rPr>
                <w:i/>
              </w:rPr>
            </w:pPr>
          </w:p>
        </w:tc>
      </w:tr>
      <w:tr w:rsidR="00814667" w:rsidRPr="00C811E9" w14:paraId="0B77AC89" w14:textId="77777777" w:rsidTr="00921416">
        <w:tc>
          <w:tcPr>
            <w:tcW w:w="5000" w:type="pct"/>
            <w:gridSpan w:val="2"/>
          </w:tcPr>
          <w:p w14:paraId="2BB2F542" w14:textId="77777777" w:rsidR="00814667" w:rsidRPr="00C811E9" w:rsidRDefault="00814667">
            <w:pPr>
              <w:pStyle w:val="SingleParagraph"/>
              <w:tabs>
                <w:tab w:val="num" w:pos="1134"/>
              </w:tabs>
              <w:spacing w:after="240"/>
              <w:ind w:left="1134" w:hanging="567"/>
            </w:pPr>
          </w:p>
        </w:tc>
      </w:tr>
      <w:tr w:rsidR="00814667" w:rsidRPr="00C811E9" w14:paraId="168BBEA7" w14:textId="77777777" w:rsidTr="00921416">
        <w:tc>
          <w:tcPr>
            <w:tcW w:w="5000" w:type="pct"/>
            <w:gridSpan w:val="2"/>
          </w:tcPr>
          <w:p w14:paraId="02B0BA08" w14:textId="4EE21D5C" w:rsidR="00936D44" w:rsidRDefault="00F81233" w:rsidP="004B678B">
            <w:pPr>
              <w:pStyle w:val="Abstract"/>
            </w:pPr>
            <w:r w:rsidRPr="00C811E9">
              <w:t>T</w:t>
            </w:r>
            <w:r w:rsidR="00B60FE0" w:rsidRPr="00C811E9">
              <w:t xml:space="preserve">his Agreement will </w:t>
            </w:r>
            <w:r w:rsidR="00A3018D">
              <w:t xml:space="preserve">help people who are </w:t>
            </w:r>
            <w:r w:rsidR="00180DDF" w:rsidRPr="00180DDF">
              <w:t>experiencing, or at risk of, homelessness and support the effective operation of Australia’s social housing and homelessness services sectors.</w:t>
            </w:r>
          </w:p>
          <w:p w14:paraId="4D8644E9" w14:textId="7F41B363" w:rsidR="00E65EE4" w:rsidRPr="00C811E9" w:rsidRDefault="00E65EE4" w:rsidP="00E65EE4">
            <w:pPr>
              <w:pStyle w:val="Abstract"/>
            </w:pPr>
          </w:p>
          <w:p w14:paraId="330E7D6E" w14:textId="77777777" w:rsidR="00E65EE4" w:rsidRPr="00C811E9" w:rsidRDefault="00E65EE4" w:rsidP="00E65EE4">
            <w:pPr>
              <w:pStyle w:val="Abstract"/>
            </w:pPr>
          </w:p>
          <w:p w14:paraId="4DEEB62F" w14:textId="77777777" w:rsidR="00E65EE4" w:rsidRPr="00C811E9" w:rsidRDefault="00E65EE4" w:rsidP="00E65EE4">
            <w:pPr>
              <w:pStyle w:val="Abstract"/>
              <w:jc w:val="center"/>
            </w:pPr>
          </w:p>
          <w:p w14:paraId="0922C928" w14:textId="71D26001" w:rsidR="00FE70A5" w:rsidRPr="00C811E9" w:rsidRDefault="00FE70A5" w:rsidP="00EA063A">
            <w:pPr>
              <w:pStyle w:val="Abstract"/>
            </w:pPr>
          </w:p>
        </w:tc>
      </w:tr>
    </w:tbl>
    <w:p w14:paraId="0A1DCC36" w14:textId="3CDD5209" w:rsidR="00814667" w:rsidRPr="00C811E9" w:rsidRDefault="166E5104" w:rsidP="00E336F4">
      <w:pPr>
        <w:pStyle w:val="Title"/>
        <w:pageBreakBefore/>
        <w:spacing w:after="240"/>
      </w:pPr>
      <w:r w:rsidRPr="00921416">
        <w:lastRenderedPageBreak/>
        <w:t xml:space="preserve">National </w:t>
      </w:r>
      <w:r w:rsidR="007B4F22">
        <w:t xml:space="preserve">Agreement on Social </w:t>
      </w:r>
      <w:r w:rsidR="00E533E9">
        <w:t xml:space="preserve">Housing and </w:t>
      </w:r>
      <w:r w:rsidR="004C35D9">
        <w:t>Homelessness</w:t>
      </w:r>
      <w:r w:rsidRPr="00921416">
        <w:t xml:space="preserve"> </w:t>
      </w:r>
    </w:p>
    <w:p w14:paraId="342FE84B" w14:textId="43766433" w:rsidR="004B2EF6" w:rsidRPr="00C811E9" w:rsidRDefault="004E2708"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CEF5353" w14:textId="39A21C1A" w:rsidR="00C960AA" w:rsidRPr="00C811E9" w:rsidRDefault="55FD514C" w:rsidP="004F3EA2">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55FD514C">
        <w:rPr>
          <w:color w:val="auto"/>
        </w:rPr>
        <w:t xml:space="preserve">The </w:t>
      </w:r>
      <w:r w:rsidR="166E5104" w:rsidRPr="00921416">
        <w:rPr>
          <w:color w:val="auto"/>
        </w:rPr>
        <w:t xml:space="preserve">National </w:t>
      </w:r>
      <w:r w:rsidR="007B4F22">
        <w:rPr>
          <w:color w:val="auto"/>
        </w:rPr>
        <w:t>Agreement on Social Housing and Homelessness</w:t>
      </w:r>
      <w:r w:rsidR="004C2A4B" w:rsidRPr="00921416">
        <w:rPr>
          <w:color w:val="auto"/>
        </w:rPr>
        <w:t xml:space="preserve"> </w:t>
      </w:r>
      <w:r w:rsidRPr="55FD514C">
        <w:rPr>
          <w:color w:val="auto"/>
        </w:rPr>
        <w:t xml:space="preserve">(the Agreement) is created subject to the provisions of the </w:t>
      </w:r>
      <w:r w:rsidRPr="55FD514C">
        <w:rPr>
          <w:i/>
          <w:iCs/>
          <w:color w:val="auto"/>
        </w:rPr>
        <w:t>Federal Financial Relations Act 2009</w:t>
      </w:r>
      <w:r w:rsidRPr="55FD514C">
        <w:rPr>
          <w:color w:val="auto"/>
        </w:rPr>
        <w:t xml:space="preserve"> (</w:t>
      </w:r>
      <w:r w:rsidR="00E336F4">
        <w:rPr>
          <w:color w:val="auto"/>
        </w:rPr>
        <w:t xml:space="preserve">Cth) </w:t>
      </w:r>
      <w:r w:rsidRPr="55FD514C">
        <w:rPr>
          <w:color w:val="auto"/>
        </w:rPr>
        <w:t>(the FFR Act) and the Intergovernmental Agreement on Federal Financial Relations (IGA FFR). It should be read in conjunction with the FFR Act, the IGA FFR and its Schedules, which provide information in relation to conditions for the State</w:t>
      </w:r>
      <w:r w:rsidR="00C019F6">
        <w:rPr>
          <w:color w:val="auto"/>
        </w:rPr>
        <w:t>s</w:t>
      </w:r>
      <w:r w:rsidRPr="55FD514C">
        <w:rPr>
          <w:color w:val="auto"/>
        </w:rPr>
        <w:t xml:space="preserve"> and Territor</w:t>
      </w:r>
      <w:r w:rsidR="009132BC">
        <w:rPr>
          <w:color w:val="auto"/>
        </w:rPr>
        <w:t>ies’</w:t>
      </w:r>
      <w:r w:rsidRPr="55FD514C">
        <w:rPr>
          <w:color w:val="auto"/>
        </w:rPr>
        <w:t xml:space="preserve"> (the States) receipt of Commonwealth financial assistance, </w:t>
      </w:r>
      <w:r w:rsidR="006B01E3">
        <w:rPr>
          <w:color w:val="auto"/>
        </w:rPr>
        <w:t>monitoring and</w:t>
      </w:r>
      <w:r w:rsidR="006B01E3" w:rsidRPr="55FD514C">
        <w:rPr>
          <w:color w:val="auto"/>
        </w:rPr>
        <w:t xml:space="preserve"> </w:t>
      </w:r>
      <w:r w:rsidRPr="55FD514C">
        <w:rPr>
          <w:color w:val="auto"/>
        </w:rPr>
        <w:t>reporting</w:t>
      </w:r>
      <w:r w:rsidR="006B01E3">
        <w:rPr>
          <w:color w:val="auto"/>
        </w:rPr>
        <w:t>,</w:t>
      </w:r>
      <w:r w:rsidRPr="55FD514C">
        <w:rPr>
          <w:color w:val="auto"/>
        </w:rPr>
        <w:t xml:space="preserve"> and payment arrangements.</w:t>
      </w:r>
    </w:p>
    <w:p w14:paraId="745C54F7" w14:textId="0A251A10" w:rsidR="0096732C" w:rsidRPr="00C811E9"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C811E9">
        <w:t>Purpose</w:t>
      </w:r>
    </w:p>
    <w:p w14:paraId="1AD828B0" w14:textId="28997915" w:rsidR="003049F6" w:rsidRDefault="003049F6" w:rsidP="004F3EA2">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Del="009A03D8">
        <w:t>This Agreement will help people who are experiencing</w:t>
      </w:r>
      <w:r w:rsidR="00180DDF">
        <w:t>,</w:t>
      </w:r>
      <w:r w:rsidDel="009A03D8">
        <w:t xml:space="preserve"> or at risk of</w:t>
      </w:r>
      <w:r w:rsidR="00180DDF">
        <w:t>,</w:t>
      </w:r>
      <w:r w:rsidDel="009A03D8">
        <w:t xml:space="preserve"> homelessness </w:t>
      </w:r>
      <w:r w:rsidR="00180DDF">
        <w:t>and</w:t>
      </w:r>
      <w:r w:rsidDel="009A03D8">
        <w:t xml:space="preserve"> support the effective operation of Australia's social housing and homelessness services sectors.</w:t>
      </w:r>
    </w:p>
    <w:p w14:paraId="4BF0584D" w14:textId="40100C36" w:rsidR="00373C22" w:rsidRPr="00C63581" w:rsidRDefault="55FD514C" w:rsidP="004F3EA2">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t>In entering this Agreement, the Commonwealth and the States acknowledge they have a mutual interest in</w:t>
      </w:r>
      <w:r w:rsidR="00073B9F">
        <w:t xml:space="preserve"> preventing homelessness and</w:t>
      </w:r>
      <w:r>
        <w:t xml:space="preserve"> </w:t>
      </w:r>
      <w:r w:rsidR="00C8661B">
        <w:t xml:space="preserve">improving social housing, </w:t>
      </w:r>
      <w:r w:rsidR="00086D25">
        <w:t>with particular regard to</w:t>
      </w:r>
      <w:r w:rsidR="003B174F">
        <w:t xml:space="preserve"> those experiencing disproportionate housing inequality and disadvantage.</w:t>
      </w:r>
    </w:p>
    <w:p w14:paraId="1E4C7AF4" w14:textId="42B13E2C" w:rsidR="00373C22" w:rsidRPr="002F15B2" w:rsidRDefault="00373C22" w:rsidP="004F3EA2">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2F15B2">
        <w:t>This Agreement forms part of</w:t>
      </w:r>
      <w:r w:rsidR="00086D25">
        <w:t>,</w:t>
      </w:r>
      <w:r w:rsidRPr="002F15B2">
        <w:t xml:space="preserve"> </w:t>
      </w:r>
      <w:r w:rsidR="00086D25">
        <w:t xml:space="preserve">and complements, </w:t>
      </w:r>
      <w:r w:rsidRPr="002F15B2">
        <w:t>a broader</w:t>
      </w:r>
      <w:r w:rsidRPr="002F15B2" w:rsidDel="00DE2F0B">
        <w:t xml:space="preserve"> </w:t>
      </w:r>
      <w:r w:rsidR="00DE2F0B" w:rsidRPr="002F15B2">
        <w:t xml:space="preserve">set </w:t>
      </w:r>
      <w:r w:rsidRPr="002F15B2">
        <w:t>of</w:t>
      </w:r>
      <w:r w:rsidR="00086D25">
        <w:t xml:space="preserve"> Commonwealth and State</w:t>
      </w:r>
      <w:r w:rsidRPr="002F15B2">
        <w:t xml:space="preserve"> housing initiatives</w:t>
      </w:r>
      <w:r w:rsidR="00086D25">
        <w:t xml:space="preserve"> and joint Agreements</w:t>
      </w:r>
      <w:r w:rsidR="00093FA3" w:rsidRPr="002F15B2">
        <w:t>.</w:t>
      </w:r>
    </w:p>
    <w:p w14:paraId="706DA3E8" w14:textId="24AAED8F" w:rsidR="00097900" w:rsidRPr="00C811E9" w:rsidRDefault="00097900" w:rsidP="004F3EA2">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t xml:space="preserve">This Agreement </w:t>
      </w:r>
      <w:r w:rsidR="002400CD">
        <w:t>reinforces the Commonwealth and States’ collective commitment to the</w:t>
      </w:r>
      <w:r>
        <w:t xml:space="preserve"> National Agreement on Closing the Gap</w:t>
      </w:r>
      <w:r w:rsidR="002400CD">
        <w:t>,</w:t>
      </w:r>
      <w:r>
        <w:t xml:space="preserve"> including the </w:t>
      </w:r>
      <w:r w:rsidR="00055551">
        <w:t>P</w:t>
      </w:r>
      <w:r>
        <w:t xml:space="preserve">riority </w:t>
      </w:r>
      <w:r w:rsidR="00055551">
        <w:t>R</w:t>
      </w:r>
      <w:r>
        <w:t>eforms.</w:t>
      </w:r>
    </w:p>
    <w:p w14:paraId="36D1808B" w14:textId="3479CF3C" w:rsidR="005B4ED9" w:rsidRDefault="55FD514C" w:rsidP="004F3EA2">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bookmarkStart w:id="0" w:name="_Hlk164873251"/>
      <w:r>
        <w:t xml:space="preserve">The Parties acknowledge that there </w:t>
      </w:r>
      <w:r w:rsidR="000175B6">
        <w:t>are</w:t>
      </w:r>
      <w:r>
        <w:t xml:space="preserve"> a range of factors outside the scope of this Agreement that impact </w:t>
      </w:r>
      <w:r w:rsidR="00C8661B">
        <w:t xml:space="preserve">the </w:t>
      </w:r>
      <w:r w:rsidR="008A22F7">
        <w:t>n</w:t>
      </w:r>
      <w:r w:rsidR="008A22F7" w:rsidRPr="008A22F7">
        <w:t>eed for social housing and homelessness services.</w:t>
      </w:r>
    </w:p>
    <w:bookmarkEnd w:id="0"/>
    <w:p w14:paraId="0C1EB4BB" w14:textId="3174B160" w:rsidR="0096732C" w:rsidRPr="00C811E9" w:rsidRDefault="0096732C" w:rsidP="00A24ADC">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A24ADC">
        <w:t>Reporting Arrangements</w:t>
      </w:r>
      <w:r w:rsidRPr="00C811E9">
        <w:t xml:space="preserve"> </w:t>
      </w:r>
    </w:p>
    <w:p w14:paraId="11081C10" w14:textId="3D2DDBB4" w:rsidR="0096732C" w:rsidRPr="00C811E9" w:rsidRDefault="003049F6" w:rsidP="004F3EA2">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bookmarkStart w:id="1" w:name="_Hlk162260961"/>
      <w:r>
        <w:t xml:space="preserve">This </w:t>
      </w:r>
      <w:r w:rsidR="00650B71">
        <w:t>A</w:t>
      </w:r>
      <w:r>
        <w:t xml:space="preserve">greement aims to improve transparency, data and reporting. </w:t>
      </w:r>
      <w:r w:rsidR="55FD514C">
        <w:t xml:space="preserve">The States will </w:t>
      </w:r>
      <w:r w:rsidR="004A5D76">
        <w:t>deliver a number of outputs,</w:t>
      </w:r>
      <w:r w:rsidR="00693473">
        <w:t xml:space="preserve"> </w:t>
      </w:r>
      <w:r w:rsidR="55FD514C">
        <w:t xml:space="preserve">as set out in </w:t>
      </w:r>
      <w:r w:rsidR="55FD514C" w:rsidRPr="2D993ACE">
        <w:t xml:space="preserve">Part </w:t>
      </w:r>
      <w:r w:rsidR="004A5D76">
        <w:t>2</w:t>
      </w:r>
      <w:r w:rsidR="55FD514C">
        <w:t xml:space="preserve"> – </w:t>
      </w:r>
      <w:r w:rsidR="004A5D76">
        <w:t>Objective, Principles and Outputs</w:t>
      </w:r>
      <w:r w:rsidR="55FD514C">
        <w:t xml:space="preserve">. </w:t>
      </w:r>
      <w:r w:rsidR="004A5D76">
        <w:t>Th</w:t>
      </w:r>
      <w:r w:rsidR="009C7EA6">
        <w:t>ese</w:t>
      </w:r>
      <w:r w:rsidR="004A5D76">
        <w:t xml:space="preserve"> include annual reporting against the </w:t>
      </w:r>
      <w:r w:rsidR="0F0F3359">
        <w:t>National O</w:t>
      </w:r>
      <w:r w:rsidR="004A5D76">
        <w:t xml:space="preserve">utcomes </w:t>
      </w:r>
      <w:r w:rsidR="3E941180">
        <w:t>F</w:t>
      </w:r>
      <w:r w:rsidR="004A5D76">
        <w:t xml:space="preserve">ramework and Statements of Assurance, as set out in Part 4 – </w:t>
      </w:r>
      <w:r w:rsidR="0045653F">
        <w:t xml:space="preserve">Monitoring and </w:t>
      </w:r>
      <w:r w:rsidR="004A5D76">
        <w:t>Reporting.</w:t>
      </w:r>
    </w:p>
    <w:bookmarkEnd w:id="1"/>
    <w:p w14:paraId="7F295924" w14:textId="77777777" w:rsidR="0096732C" w:rsidRPr="001C45AB" w:rsidRDefault="0096732C" w:rsidP="00A24ADC">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rPr>
          <w:b w:val="0"/>
          <w:szCs w:val="29"/>
        </w:rPr>
      </w:pPr>
      <w:r w:rsidRPr="00A24ADC">
        <w:t xml:space="preserve">Financial Arrangements </w:t>
      </w:r>
    </w:p>
    <w:p w14:paraId="707D3313" w14:textId="2EA5CFC5" w:rsidR="0096732C" w:rsidRPr="00C811E9" w:rsidRDefault="55FD514C" w:rsidP="004F3EA2">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As set out in </w:t>
      </w:r>
      <w:r w:rsidRPr="2D993ACE">
        <w:t>Part 5</w:t>
      </w:r>
      <w:r>
        <w:t xml:space="preserve"> – Financial Arrangements, in 2024-25, the Commonwealth will provide an estimated financial contribution to the States of $</w:t>
      </w:r>
      <w:r w:rsidR="00113FAB">
        <w:t>1,779.0</w:t>
      </w:r>
      <w:r w:rsidRPr="55FD514C">
        <w:rPr>
          <w:color w:val="FF0000"/>
        </w:rPr>
        <w:t xml:space="preserve"> </w:t>
      </w:r>
      <w:r>
        <w:t xml:space="preserve">million </w:t>
      </w:r>
      <w:r w:rsidRPr="55FD514C">
        <w:rPr>
          <w:color w:val="auto"/>
        </w:rPr>
        <w:t>(GST exclusive) in respect of this Agreement</w:t>
      </w:r>
      <w:r w:rsidR="0084083E">
        <w:rPr>
          <w:color w:val="auto"/>
        </w:rPr>
        <w:t>,</w:t>
      </w:r>
      <w:r w:rsidRPr="55FD514C">
        <w:rPr>
          <w:color w:val="auto"/>
        </w:rPr>
        <w:t xml:space="preserve"> and </w:t>
      </w:r>
      <w:r>
        <w:t>the Commonwealth’s financial contribution will be indexed annually.</w:t>
      </w:r>
    </w:p>
    <w:p w14:paraId="4ECE9D66" w14:textId="4A76016E" w:rsidR="00271F64" w:rsidRPr="00C811E9" w:rsidRDefault="004E2708" w:rsidP="00271F64">
      <w:pPr>
        <w:pStyle w:val="Heading1"/>
      </w:pPr>
      <w:r>
        <w:lastRenderedPageBreak/>
        <w:t>P</w:t>
      </w:r>
      <w:r w:rsidR="00271F64" w:rsidRPr="00C811E9">
        <w:t>reliminaries</w:t>
      </w:r>
    </w:p>
    <w:p w14:paraId="193BFC21" w14:textId="6C8ACA2A" w:rsidR="00E2177F" w:rsidRPr="00C811E9" w:rsidRDefault="55FD514C" w:rsidP="004F3EA2">
      <w:pPr>
        <w:pStyle w:val="Normalnumbered"/>
        <w:numPr>
          <w:ilvl w:val="0"/>
          <w:numId w:val="9"/>
        </w:numPr>
        <w:jc w:val="left"/>
      </w:pPr>
      <w:r>
        <w:t xml:space="preserve">This Agreement is a primary housing agreement for the purposes of </w:t>
      </w:r>
      <w:r w:rsidRPr="56E6565F">
        <w:t>Section 15C</w:t>
      </w:r>
      <w:r>
        <w:t xml:space="preserve"> of the FFR Act. Bilateral schedules are supplementary housing agreements for the purposes of </w:t>
      </w:r>
      <w:r w:rsidRPr="56E6565F">
        <w:t>Section 15C</w:t>
      </w:r>
      <w:r>
        <w:t xml:space="preserve"> of the FFR Act.</w:t>
      </w:r>
    </w:p>
    <w:p w14:paraId="61F0CF32" w14:textId="39E06808" w:rsidR="00960541" w:rsidRPr="003F1B7C" w:rsidRDefault="00960541" w:rsidP="004F3EA2">
      <w:pPr>
        <w:pStyle w:val="Normalnumbered"/>
        <w:numPr>
          <w:ilvl w:val="0"/>
          <w:numId w:val="9"/>
        </w:numPr>
        <w:spacing w:line="240" w:lineRule="auto"/>
        <w:jc w:val="left"/>
        <w:rPr>
          <w:color w:val="auto"/>
        </w:rPr>
      </w:pPr>
      <w:r>
        <w:t xml:space="preserve">This Agreement is intended to provide </w:t>
      </w:r>
      <w:r w:rsidR="00DB35C8">
        <w:t>financial assistance</w:t>
      </w:r>
      <w:r>
        <w:t xml:space="preserve"> to support the delivery of social housing and homelessness services, </w:t>
      </w:r>
      <w:r w:rsidR="009429DC">
        <w:t xml:space="preserve">and </w:t>
      </w:r>
      <w:r>
        <w:t xml:space="preserve">projects, the impact of which is to be </w:t>
      </w:r>
      <w:r w:rsidR="009429DC">
        <w:t xml:space="preserve">monitored </w:t>
      </w:r>
      <w:r>
        <w:t xml:space="preserve">in line with the </w:t>
      </w:r>
      <w:r w:rsidR="00EB4FF2">
        <w:t>outcomes</w:t>
      </w:r>
      <w:r>
        <w:t xml:space="preserve"> of this Agreement</w:t>
      </w:r>
      <w:r w:rsidR="00650B71">
        <w:t xml:space="preserve">, as set out in the National Outcomes Framework </w:t>
      </w:r>
      <w:r w:rsidR="00BE117A">
        <w:t>(</w:t>
      </w:r>
      <w:r w:rsidR="00650B71">
        <w:t>Schedule A</w:t>
      </w:r>
      <w:r w:rsidR="00BE117A">
        <w:t>)</w:t>
      </w:r>
      <w:r>
        <w:t>.</w:t>
      </w:r>
    </w:p>
    <w:p w14:paraId="576C393F" w14:textId="2DE52DE4" w:rsidR="00004788" w:rsidRPr="00BA0262" w:rsidRDefault="00354E37" w:rsidP="004F3EA2">
      <w:pPr>
        <w:pStyle w:val="Normalnumbered"/>
        <w:numPr>
          <w:ilvl w:val="1"/>
          <w:numId w:val="9"/>
        </w:numPr>
        <w:spacing w:line="240" w:lineRule="auto"/>
        <w:jc w:val="left"/>
      </w:pPr>
      <w:r w:rsidRPr="00BA0262">
        <w:t xml:space="preserve">This </w:t>
      </w:r>
      <w:r w:rsidR="00EB4538">
        <w:t>A</w:t>
      </w:r>
      <w:r w:rsidRPr="00BA0262">
        <w:t xml:space="preserve">greement </w:t>
      </w:r>
      <w:r w:rsidR="55FD514C" w:rsidRPr="00BA0262">
        <w:t>continues the long history of cooperation between the Commonwealth and States to improve housing outcomes dating back to 1945. These joint efforts have generally been directed to those most in need through social housing</w:t>
      </w:r>
      <w:r w:rsidR="03518205" w:rsidRPr="00BA0262">
        <w:t xml:space="preserve"> and homelessness services</w:t>
      </w:r>
      <w:r w:rsidR="55FD514C" w:rsidRPr="00BA0262">
        <w:t>, and recognise the significant economic and social benefits of secure housing.</w:t>
      </w:r>
    </w:p>
    <w:p w14:paraId="774766DD" w14:textId="7CF8DF87" w:rsidR="00814667" w:rsidRPr="00C811E9" w:rsidRDefault="00814667">
      <w:pPr>
        <w:pStyle w:val="Heading1"/>
      </w:pPr>
      <w:r w:rsidRPr="00C811E9">
        <w:t>Part 1 — Formalities</w:t>
      </w:r>
    </w:p>
    <w:p w14:paraId="09421D95" w14:textId="77777777" w:rsidR="00814667" w:rsidRPr="00C811E9" w:rsidRDefault="00814667">
      <w:pPr>
        <w:pStyle w:val="Heading2"/>
      </w:pPr>
      <w:r w:rsidRPr="00C811E9">
        <w:t>Parties to this Agreement</w:t>
      </w:r>
    </w:p>
    <w:p w14:paraId="487582D1" w14:textId="228344DF" w:rsidR="007B4B03" w:rsidRPr="00C811E9" w:rsidRDefault="55FD514C" w:rsidP="004F3EA2">
      <w:pPr>
        <w:pStyle w:val="Normalnumbered"/>
        <w:numPr>
          <w:ilvl w:val="0"/>
          <w:numId w:val="9"/>
        </w:numPr>
        <w:jc w:val="left"/>
      </w:pPr>
      <w:r>
        <w:t>This Agreement is between the Commonwealth of Australia (the Commonwealth) and the States and Territories (the States).</w:t>
      </w:r>
    </w:p>
    <w:p w14:paraId="5F2873C6" w14:textId="63AC3E28" w:rsidR="00814667" w:rsidRPr="00C811E9" w:rsidRDefault="005B3AF7">
      <w:pPr>
        <w:pStyle w:val="Heading2"/>
      </w:pPr>
      <w:r w:rsidRPr="00C811E9">
        <w:t>T</w:t>
      </w:r>
      <w:r w:rsidR="00814667" w:rsidRPr="00C811E9">
        <w:t>erm of the Agreement</w:t>
      </w:r>
    </w:p>
    <w:p w14:paraId="1BE0CFAE" w14:textId="5B4BDF88" w:rsidR="00354E37" w:rsidRDefault="55FD514C" w:rsidP="004F3EA2">
      <w:pPr>
        <w:pStyle w:val="Normalnumbered"/>
        <w:numPr>
          <w:ilvl w:val="0"/>
          <w:numId w:val="9"/>
        </w:numPr>
        <w:jc w:val="left"/>
      </w:pPr>
      <w:bookmarkStart w:id="2" w:name="_Hlk161817103"/>
      <w:r>
        <w:t>This Agreement will commence on 1 July 2024</w:t>
      </w:r>
      <w:r w:rsidR="00EF416A">
        <w:t>,</w:t>
      </w:r>
      <w:r>
        <w:t xml:space="preserve"> or </w:t>
      </w:r>
      <w:r w:rsidR="633AF7A2">
        <w:t>when</w:t>
      </w:r>
      <w:r>
        <w:t xml:space="preserve"> the Commonwealth and one other Party sign it, whichever is </w:t>
      </w:r>
      <w:r w:rsidR="00097900">
        <w:t>later</w:t>
      </w:r>
      <w:r>
        <w:t>.</w:t>
      </w:r>
      <w:r w:rsidDel="00D135B2">
        <w:t xml:space="preserve"> </w:t>
      </w:r>
      <w:bookmarkEnd w:id="2"/>
      <w:r>
        <w:t xml:space="preserve">This Agreement may be reviewed, varied or terminated as set out in </w:t>
      </w:r>
      <w:r w:rsidRPr="56E6565F">
        <w:t xml:space="preserve">Part </w:t>
      </w:r>
      <w:r w:rsidR="6815F0A9" w:rsidRPr="56E6565F">
        <w:t>3</w:t>
      </w:r>
      <w:r>
        <w:t xml:space="preserve"> – Governance Arrangements.</w:t>
      </w:r>
      <w:r w:rsidR="00D135B2">
        <w:t xml:space="preserve"> </w:t>
      </w:r>
    </w:p>
    <w:p w14:paraId="2E598152" w14:textId="687FBA74" w:rsidR="009B289A" w:rsidRPr="00C811E9" w:rsidRDefault="00D135B2" w:rsidP="004F3EA2">
      <w:pPr>
        <w:pStyle w:val="Normalnumbered"/>
        <w:numPr>
          <w:ilvl w:val="0"/>
          <w:numId w:val="9"/>
        </w:numPr>
        <w:jc w:val="left"/>
      </w:pPr>
      <w:r w:rsidRPr="00D135B2">
        <w:t>The Parties’ ongoing commitment to funding social housing and homelessness</w:t>
      </w:r>
      <w:r w:rsidR="00B23453">
        <w:t xml:space="preserve"> services</w:t>
      </w:r>
      <w:r w:rsidRPr="00D135B2">
        <w:t xml:space="preserve"> is not limited by the term of this Agreement.</w:t>
      </w:r>
    </w:p>
    <w:p w14:paraId="64C9D4B1" w14:textId="77777777" w:rsidR="007461F2" w:rsidRDefault="55FD514C" w:rsidP="004F3EA2">
      <w:pPr>
        <w:pStyle w:val="Normalnumbered"/>
        <w:numPr>
          <w:ilvl w:val="0"/>
          <w:numId w:val="9"/>
        </w:numPr>
        <w:jc w:val="left"/>
      </w:pPr>
      <w:r>
        <w:t>Any bilateral schedules will commence</w:t>
      </w:r>
      <w:r w:rsidR="00D135B2">
        <w:t xml:space="preserve"> once</w:t>
      </w:r>
      <w:r w:rsidDel="00D135B2">
        <w:t xml:space="preserve"> </w:t>
      </w:r>
      <w:r>
        <w:t>the Commonwealth and the relevant Party sign them.</w:t>
      </w:r>
    </w:p>
    <w:p w14:paraId="59C0E954" w14:textId="3816BFD6" w:rsidR="007461F2" w:rsidRDefault="4660B84E" w:rsidP="004F3EA2">
      <w:pPr>
        <w:pStyle w:val="Normalnumbered"/>
        <w:numPr>
          <w:ilvl w:val="0"/>
          <w:numId w:val="9"/>
        </w:numPr>
        <w:jc w:val="left"/>
      </w:pPr>
      <w:r>
        <w:t>Unless terminated earlier as agreed in writing by the relevant Parties, bilateral schedules will expire no later than 30 June 2029.</w:t>
      </w:r>
    </w:p>
    <w:p w14:paraId="21007798" w14:textId="4606125A" w:rsidR="00F00F97" w:rsidRPr="007A4F52" w:rsidRDefault="00F00F97" w:rsidP="004E2708">
      <w:pPr>
        <w:pStyle w:val="Heading1"/>
        <w:rPr>
          <w:caps w:val="0"/>
          <w:szCs w:val="32"/>
        </w:rPr>
      </w:pPr>
      <w:bookmarkStart w:id="3" w:name="_Hlk161761187"/>
      <w:r w:rsidRPr="007A4F52">
        <w:t xml:space="preserve">Part 2 — Objective, </w:t>
      </w:r>
      <w:r w:rsidR="004E2708">
        <w:t>p</w:t>
      </w:r>
      <w:r>
        <w:t>rinciples</w:t>
      </w:r>
      <w:r w:rsidRPr="007A4F52">
        <w:rPr>
          <w:szCs w:val="32"/>
        </w:rPr>
        <w:t xml:space="preserve"> and outputs</w:t>
      </w:r>
    </w:p>
    <w:p w14:paraId="29F8BBC4" w14:textId="4B9A9B72" w:rsidR="00F00F97" w:rsidRPr="00072ED1" w:rsidRDefault="00F00F97" w:rsidP="00F00F97">
      <w:pPr>
        <w:pStyle w:val="Heading2"/>
        <w:rPr>
          <w:rFonts w:cs="Times New Roman"/>
          <w:b w:val="0"/>
          <w:color w:val="000000"/>
          <w:sz w:val="23"/>
          <w:szCs w:val="23"/>
        </w:rPr>
      </w:pPr>
      <w:bookmarkStart w:id="4" w:name="_Hlk161850733"/>
      <w:r w:rsidRPr="00C811E9">
        <w:t>Objective</w:t>
      </w:r>
    </w:p>
    <w:p w14:paraId="4FA6A382" w14:textId="371D2211" w:rsidR="00F00F97" w:rsidRDefault="000E2B92" w:rsidP="004F3EA2">
      <w:pPr>
        <w:pStyle w:val="Normalnumbered"/>
        <w:numPr>
          <w:ilvl w:val="0"/>
          <w:numId w:val="9"/>
        </w:numPr>
        <w:jc w:val="left"/>
      </w:pPr>
      <w:r>
        <w:t xml:space="preserve">The overarching </w:t>
      </w:r>
      <w:r w:rsidR="00F00F97">
        <w:t xml:space="preserve">objective of this Agreement is to help people who are experiencing, or at risk of, homelessness </w:t>
      </w:r>
      <w:r w:rsidR="002A4EDA">
        <w:t xml:space="preserve">and </w:t>
      </w:r>
      <w:r w:rsidR="00F00F97">
        <w:t>support the effective operation of Australia’s social housing and homelessness services sectors.</w:t>
      </w:r>
    </w:p>
    <w:p w14:paraId="46A537DC" w14:textId="1EFD8702" w:rsidR="00097900" w:rsidRDefault="00097900" w:rsidP="00D536EC">
      <w:pPr>
        <w:pStyle w:val="Heading2"/>
        <w:keepLines/>
      </w:pPr>
      <w:r>
        <w:lastRenderedPageBreak/>
        <w:t>Principles</w:t>
      </w:r>
    </w:p>
    <w:p w14:paraId="4B5CDC0C" w14:textId="77777777" w:rsidR="00097900" w:rsidRDefault="00097900" w:rsidP="00D536EC">
      <w:pPr>
        <w:pStyle w:val="Normalnumbered"/>
        <w:keepNext/>
        <w:keepLines/>
        <w:numPr>
          <w:ilvl w:val="0"/>
          <w:numId w:val="9"/>
        </w:numPr>
        <w:tabs>
          <w:tab w:val="num" w:pos="1134"/>
        </w:tabs>
        <w:jc w:val="left"/>
      </w:pPr>
      <w:r>
        <w:t xml:space="preserve">In </w:t>
      </w:r>
      <w:r w:rsidRPr="001227B6">
        <w:t>implement</w:t>
      </w:r>
      <w:r>
        <w:t>ing</w:t>
      </w:r>
      <w:r w:rsidRPr="001227B6">
        <w:t xml:space="preserve"> the Agreement</w:t>
      </w:r>
      <w:r>
        <w:t>, the Parties agree to uphold a joint stewardship model where:</w:t>
      </w:r>
    </w:p>
    <w:p w14:paraId="44729798" w14:textId="3315E4BA" w:rsidR="00097900" w:rsidRPr="00816F6E" w:rsidRDefault="00097900" w:rsidP="00D536EC">
      <w:pPr>
        <w:pStyle w:val="Normalnumbered"/>
        <w:keepNext/>
        <w:keepLines/>
        <w:numPr>
          <w:ilvl w:val="1"/>
          <w:numId w:val="9"/>
        </w:numPr>
        <w:jc w:val="left"/>
      </w:pPr>
      <w:r w:rsidRPr="00584002">
        <w:rPr>
          <w:rFonts w:eastAsiaTheme="minorEastAsia" w:cs="Corbel"/>
          <w:color w:val="000000" w:themeColor="text1"/>
          <w:lang w:eastAsia="en-US"/>
        </w:rPr>
        <w:t>transparency and accountability of public spending</w:t>
      </w:r>
      <w:r>
        <w:rPr>
          <w:rFonts w:eastAsiaTheme="minorEastAsia" w:cs="Corbel"/>
          <w:color w:val="000000" w:themeColor="text1"/>
          <w:lang w:eastAsia="en-US"/>
        </w:rPr>
        <w:t xml:space="preserve"> is</w:t>
      </w:r>
      <w:r w:rsidRPr="00584002">
        <w:rPr>
          <w:rFonts w:eastAsiaTheme="minorEastAsia" w:cs="Corbel"/>
          <w:color w:val="000000" w:themeColor="text1"/>
          <w:lang w:eastAsia="en-US"/>
        </w:rPr>
        <w:t xml:space="preserve"> to the Australian people</w:t>
      </w:r>
    </w:p>
    <w:p w14:paraId="7B2E76E2" w14:textId="69F48504" w:rsidR="00097900" w:rsidRPr="00816F6E" w:rsidRDefault="00097900" w:rsidP="004F3EA2">
      <w:pPr>
        <w:pStyle w:val="Normalnumbered"/>
        <w:numPr>
          <w:ilvl w:val="1"/>
          <w:numId w:val="9"/>
        </w:numPr>
        <w:jc w:val="left"/>
      </w:pPr>
      <w:r>
        <w:rPr>
          <w:rFonts w:eastAsiaTheme="minorEastAsia" w:cs="Corbel"/>
          <w:color w:val="000000" w:themeColor="text1"/>
          <w:lang w:eastAsia="en-US"/>
        </w:rPr>
        <w:t>data and evidence are shared to help drive reflection, continuous improvement and lessons that can be applied around the country</w:t>
      </w:r>
    </w:p>
    <w:p w14:paraId="4093C60B" w14:textId="649FD54D" w:rsidR="00097900" w:rsidRDefault="00097900" w:rsidP="004F3EA2">
      <w:pPr>
        <w:pStyle w:val="Normalnumbered"/>
        <w:numPr>
          <w:ilvl w:val="1"/>
          <w:numId w:val="9"/>
        </w:numPr>
        <w:jc w:val="left"/>
      </w:pPr>
      <w:r>
        <w:rPr>
          <w:rFonts w:eastAsiaTheme="minorEastAsia" w:cs="Corbel"/>
          <w:color w:val="000000" w:themeColor="text1"/>
          <w:lang w:eastAsia="en-US"/>
        </w:rPr>
        <w:t>there is sufficient flexibility for governments to deliver services that best meet the needs of communities and respond to emerging challenges and opportunities</w:t>
      </w:r>
    </w:p>
    <w:p w14:paraId="10C22DEE" w14:textId="73B0A809" w:rsidR="001035CC" w:rsidRPr="001035CC" w:rsidRDefault="00C8661B" w:rsidP="004F3EA2">
      <w:pPr>
        <w:pStyle w:val="Normalnumbered"/>
        <w:numPr>
          <w:ilvl w:val="1"/>
          <w:numId w:val="9"/>
        </w:numPr>
        <w:jc w:val="left"/>
      </w:pPr>
      <w:r>
        <w:rPr>
          <w:rFonts w:eastAsiaTheme="minorEastAsia" w:cs="Corbel"/>
          <w:color w:val="000000" w:themeColor="text1"/>
          <w:lang w:eastAsia="en-US"/>
        </w:rPr>
        <w:t xml:space="preserve">government </w:t>
      </w:r>
      <w:r w:rsidR="00097900" w:rsidRPr="006A1B1A">
        <w:rPr>
          <w:rFonts w:eastAsiaTheme="minorEastAsia" w:cs="Corbel"/>
          <w:color w:val="000000" w:themeColor="text1"/>
          <w:lang w:eastAsia="en-US"/>
        </w:rPr>
        <w:t>investments</w:t>
      </w:r>
      <w:r w:rsidR="002A4EDA">
        <w:rPr>
          <w:rFonts w:eastAsiaTheme="minorEastAsia" w:cs="Corbel"/>
          <w:color w:val="000000" w:themeColor="text1"/>
          <w:lang w:eastAsia="en-US"/>
        </w:rPr>
        <w:t xml:space="preserve"> and actions</w:t>
      </w:r>
      <w:r w:rsidR="00097900" w:rsidRPr="006A1B1A">
        <w:rPr>
          <w:rFonts w:eastAsiaTheme="minorEastAsia" w:cs="Corbel"/>
          <w:color w:val="000000" w:themeColor="text1"/>
          <w:lang w:eastAsia="en-US"/>
        </w:rPr>
        <w:t xml:space="preserve"> </w:t>
      </w:r>
      <w:r w:rsidR="00097900">
        <w:rPr>
          <w:rFonts w:eastAsiaTheme="minorEastAsia" w:cs="Corbel"/>
          <w:color w:val="000000" w:themeColor="text1"/>
          <w:lang w:eastAsia="en-US"/>
        </w:rPr>
        <w:t>are</w:t>
      </w:r>
      <w:r w:rsidR="002A4EDA">
        <w:rPr>
          <w:rFonts w:eastAsiaTheme="minorEastAsia" w:cs="Corbel"/>
          <w:color w:val="000000" w:themeColor="text1"/>
          <w:lang w:eastAsia="en-US"/>
        </w:rPr>
        <w:t>, where appropriate and possible,</w:t>
      </w:r>
      <w:r w:rsidR="00097900">
        <w:rPr>
          <w:rFonts w:eastAsiaTheme="minorEastAsia" w:cs="Corbel"/>
          <w:color w:val="000000" w:themeColor="text1"/>
          <w:lang w:eastAsia="en-US"/>
        </w:rPr>
        <w:t xml:space="preserve"> coordinated </w:t>
      </w:r>
      <w:r w:rsidR="00097900" w:rsidRPr="006A1B1A">
        <w:rPr>
          <w:rFonts w:eastAsiaTheme="minorEastAsia" w:cs="Corbel"/>
          <w:color w:val="000000" w:themeColor="text1"/>
          <w:lang w:eastAsia="en-US"/>
        </w:rPr>
        <w:t xml:space="preserve">to maximise impact and </w:t>
      </w:r>
      <w:r w:rsidR="002A4EDA">
        <w:rPr>
          <w:rFonts w:eastAsiaTheme="minorEastAsia" w:cs="Corbel"/>
          <w:color w:val="000000" w:themeColor="text1"/>
          <w:lang w:eastAsia="en-US"/>
        </w:rPr>
        <w:t>address</w:t>
      </w:r>
      <w:r w:rsidR="00097900" w:rsidRPr="006A1B1A">
        <w:rPr>
          <w:rFonts w:eastAsiaTheme="minorEastAsia" w:cs="Corbel"/>
          <w:color w:val="000000" w:themeColor="text1"/>
          <w:lang w:eastAsia="en-US"/>
        </w:rPr>
        <w:t xml:space="preserve"> acute housing needs</w:t>
      </w:r>
      <w:r w:rsidR="006F341F">
        <w:rPr>
          <w:rFonts w:eastAsiaTheme="minorEastAsia" w:cs="Corbel"/>
          <w:color w:val="000000" w:themeColor="text1"/>
          <w:lang w:eastAsia="en-US"/>
        </w:rPr>
        <w:t>.</w:t>
      </w:r>
    </w:p>
    <w:p w14:paraId="0C959174" w14:textId="27E3DCA0" w:rsidR="00F00F97" w:rsidRPr="00C811E9" w:rsidRDefault="00F00F97" w:rsidP="00F00F97">
      <w:pPr>
        <w:pStyle w:val="Heading2"/>
      </w:pPr>
      <w:r w:rsidRPr="00C811E9">
        <w:t>Outputs</w:t>
      </w:r>
    </w:p>
    <w:bookmarkEnd w:id="4"/>
    <w:p w14:paraId="4E0E10C5" w14:textId="41841F82" w:rsidR="008C53BE" w:rsidRDefault="009C2901" w:rsidP="004F3EA2">
      <w:pPr>
        <w:pStyle w:val="Normalnumbered"/>
        <w:numPr>
          <w:ilvl w:val="0"/>
          <w:numId w:val="9"/>
        </w:numPr>
        <w:rPr>
          <w:color w:val="auto"/>
        </w:rPr>
      </w:pPr>
      <w:r w:rsidRPr="009C2901">
        <w:rPr>
          <w:color w:val="auto"/>
        </w:rPr>
        <w:t xml:space="preserve">Consistent with </w:t>
      </w:r>
      <w:r w:rsidR="005D5E0F">
        <w:rPr>
          <w:color w:val="auto"/>
        </w:rPr>
        <w:t>S</w:t>
      </w:r>
      <w:r w:rsidRPr="009C2901">
        <w:rPr>
          <w:color w:val="auto"/>
        </w:rPr>
        <w:t>ection 15</w:t>
      </w:r>
      <w:r w:rsidR="002E69F6">
        <w:rPr>
          <w:color w:val="auto"/>
        </w:rPr>
        <w:t>C</w:t>
      </w:r>
      <w:r w:rsidRPr="009C2901">
        <w:rPr>
          <w:color w:val="auto"/>
        </w:rPr>
        <w:t xml:space="preserve"> of the FFR Act, each State will deliver the following </w:t>
      </w:r>
      <w:r w:rsidR="00097300" w:rsidRPr="00097300">
        <w:rPr>
          <w:color w:val="auto"/>
        </w:rPr>
        <w:t xml:space="preserve">outputs to be eligible for </w:t>
      </w:r>
      <w:r w:rsidR="00DB35C8">
        <w:rPr>
          <w:color w:val="auto"/>
        </w:rPr>
        <w:t>financial assistance</w:t>
      </w:r>
      <w:r w:rsidR="00DB35C8" w:rsidRPr="00097300">
        <w:rPr>
          <w:color w:val="auto"/>
        </w:rPr>
        <w:t xml:space="preserve"> </w:t>
      </w:r>
      <w:r w:rsidR="00097300" w:rsidRPr="00097300">
        <w:rPr>
          <w:color w:val="auto"/>
        </w:rPr>
        <w:t xml:space="preserve">under this Agreement: </w:t>
      </w:r>
    </w:p>
    <w:p w14:paraId="04103154" w14:textId="499FC025" w:rsidR="009C2901" w:rsidRPr="00C811E9" w:rsidRDefault="009C2901" w:rsidP="004F3EA2">
      <w:pPr>
        <w:pStyle w:val="Normalnumbered"/>
        <w:numPr>
          <w:ilvl w:val="1"/>
          <w:numId w:val="26"/>
        </w:numPr>
        <w:jc w:val="left"/>
      </w:pPr>
      <w:r>
        <w:t>A</w:t>
      </w:r>
      <w:r w:rsidRPr="00C811E9">
        <w:t xml:space="preserve"> publicly available</w:t>
      </w:r>
      <w:r>
        <w:t xml:space="preserve"> housing and homelessness</w:t>
      </w:r>
      <w:r w:rsidRPr="00C811E9">
        <w:t xml:space="preserve"> strategy that:</w:t>
      </w:r>
    </w:p>
    <w:p w14:paraId="7C41284C" w14:textId="2FCA31F1" w:rsidR="009C2901" w:rsidRDefault="009C2901" w:rsidP="004F3EA2">
      <w:pPr>
        <w:pStyle w:val="Normalnumbered"/>
        <w:numPr>
          <w:ilvl w:val="2"/>
          <w:numId w:val="26"/>
        </w:numPr>
        <w:jc w:val="left"/>
      </w:pPr>
      <w:r>
        <w:t>details State homelessness and social housing priority policy areas</w:t>
      </w:r>
    </w:p>
    <w:p w14:paraId="6AB3E212" w14:textId="7AEAC8BB" w:rsidR="009C2901" w:rsidRDefault="009C2901" w:rsidP="004F3EA2">
      <w:pPr>
        <w:pStyle w:val="Normalnumbered"/>
        <w:numPr>
          <w:ilvl w:val="2"/>
          <w:numId w:val="26"/>
        </w:numPr>
        <w:jc w:val="left"/>
      </w:pPr>
      <w:r>
        <w:t>sets out reforms and initiatives that will contribute to reduc</w:t>
      </w:r>
      <w:r w:rsidR="00FE11FA">
        <w:t>ing</w:t>
      </w:r>
      <w:r>
        <w:t xml:space="preserve"> homelessness</w:t>
      </w:r>
    </w:p>
    <w:p w14:paraId="412FB27E" w14:textId="1C23BA80" w:rsidR="00753D0C" w:rsidRDefault="009C2901" w:rsidP="004F3EA2">
      <w:pPr>
        <w:pStyle w:val="Normalnumbered"/>
        <w:numPr>
          <w:ilvl w:val="2"/>
          <w:numId w:val="26"/>
        </w:numPr>
      </w:pPr>
      <w:bookmarkStart w:id="5" w:name="_Hlk163223064"/>
      <w:r>
        <w:t xml:space="preserve">includes Aboriginal and Torres Strait Islander people as a national priority homelessness cohort </w:t>
      </w:r>
      <w:r w:rsidR="00943ADA">
        <w:t xml:space="preserve">(see </w:t>
      </w:r>
      <w:r w:rsidR="00943ADA" w:rsidRPr="00097300">
        <w:rPr>
          <w:color w:val="auto"/>
        </w:rPr>
        <w:t>subsection 15C(6) of the FFR Act</w:t>
      </w:r>
      <w:r w:rsidR="00943ADA">
        <w:rPr>
          <w:color w:val="auto"/>
        </w:rPr>
        <w:t>)</w:t>
      </w:r>
      <w:r>
        <w:t xml:space="preserve"> </w:t>
      </w:r>
    </w:p>
    <w:p w14:paraId="11F4AD20" w14:textId="21B6910D" w:rsidR="009C2901" w:rsidRDefault="00097300" w:rsidP="004F3EA2">
      <w:pPr>
        <w:pStyle w:val="Normalnumbered"/>
        <w:numPr>
          <w:ilvl w:val="2"/>
          <w:numId w:val="26"/>
        </w:numPr>
      </w:pPr>
      <w:r w:rsidRPr="00097300">
        <w:t xml:space="preserve">addresses any other </w:t>
      </w:r>
      <w:r w:rsidR="002E6AE7">
        <w:t>target</w:t>
      </w:r>
      <w:r w:rsidR="002E6AE7" w:rsidRPr="00097300">
        <w:t xml:space="preserve"> </w:t>
      </w:r>
      <w:r w:rsidR="0039450D">
        <w:t>groups with disproportionate disadvantage</w:t>
      </w:r>
      <w:r w:rsidR="00FE2A38">
        <w:t xml:space="preserve"> that states have identified in their bilateral schedules</w:t>
      </w:r>
    </w:p>
    <w:bookmarkEnd w:id="5"/>
    <w:p w14:paraId="59E10631" w14:textId="34A9FAB3" w:rsidR="009C2901" w:rsidRDefault="009C2901" w:rsidP="004F3EA2">
      <w:pPr>
        <w:pStyle w:val="Normalnumbered"/>
        <w:numPr>
          <w:ilvl w:val="2"/>
          <w:numId w:val="26"/>
        </w:numPr>
      </w:pPr>
      <w:r w:rsidRPr="00C811E9">
        <w:t xml:space="preserve">indicates the level of housing supply needed to respond to projected housing demand, and outlines the reforms and initiatives that will </w:t>
      </w:r>
      <w:r w:rsidR="00097300" w:rsidRPr="00097300">
        <w:t>contribute to meeting this need, as required by sub</w:t>
      </w:r>
      <w:r w:rsidR="005D5E0F">
        <w:t>section</w:t>
      </w:r>
      <w:r w:rsidR="00097300" w:rsidRPr="00097300">
        <w:t> 15C(5)(a)(i) of the FFR Act</w:t>
      </w:r>
    </w:p>
    <w:p w14:paraId="28B775D2" w14:textId="77777777" w:rsidR="009C2901" w:rsidRDefault="009C2901" w:rsidP="004F3EA2">
      <w:pPr>
        <w:pStyle w:val="Normalnumbered"/>
        <w:numPr>
          <w:ilvl w:val="2"/>
          <w:numId w:val="26"/>
        </w:numPr>
        <w:jc w:val="left"/>
      </w:pPr>
      <w:r>
        <w:t>is available on a publicly accessible website for the whole of the financial year, but for any period where it is not reasonably practicable that the strategy is available.</w:t>
      </w:r>
    </w:p>
    <w:p w14:paraId="20216006" w14:textId="72BAE6ED" w:rsidR="00222C34" w:rsidRPr="006D0391" w:rsidRDefault="001603A0" w:rsidP="004F3EA2">
      <w:pPr>
        <w:pStyle w:val="Normalnumbered"/>
        <w:numPr>
          <w:ilvl w:val="1"/>
          <w:numId w:val="26"/>
        </w:numPr>
        <w:jc w:val="left"/>
      </w:pPr>
      <w:r>
        <w:t>A</w:t>
      </w:r>
      <w:r w:rsidRPr="00222C34">
        <w:t xml:space="preserve">nnual reporting against the National Outcomes Framework </w:t>
      </w:r>
      <w:r>
        <w:t xml:space="preserve">(Schedule A) </w:t>
      </w:r>
      <w:r w:rsidRPr="00222C34">
        <w:t>and Statement of Assurance</w:t>
      </w:r>
      <w:r>
        <w:t xml:space="preserve"> (Schedule B) </w:t>
      </w:r>
      <w:r w:rsidR="00B23453" w:rsidRPr="00222C34">
        <w:t>to the relevant Commonwealth Minister (or a relevant Commonwealth official)</w:t>
      </w:r>
      <w:r w:rsidR="00977C4D" w:rsidRPr="00222C34">
        <w:t xml:space="preserve"> </w:t>
      </w:r>
      <w:r w:rsidR="00B23453" w:rsidRPr="00222C34">
        <w:t xml:space="preserve">in the manner set out in Part 4 – Monitoring and </w:t>
      </w:r>
      <w:r w:rsidR="00B23453" w:rsidRPr="006D0391">
        <w:t>Reporting</w:t>
      </w:r>
      <w:r w:rsidR="00650B71" w:rsidRPr="006D0391">
        <w:t>.</w:t>
      </w:r>
    </w:p>
    <w:p w14:paraId="15114C24" w14:textId="48AE698B" w:rsidR="009C2901" w:rsidRDefault="009C2901" w:rsidP="004F3EA2">
      <w:pPr>
        <w:pStyle w:val="Normalnumbered"/>
        <w:numPr>
          <w:ilvl w:val="1"/>
          <w:numId w:val="26"/>
        </w:numPr>
        <w:jc w:val="left"/>
      </w:pPr>
      <w:r w:rsidRPr="006D0391">
        <w:t>Homelessness and social housing related data</w:t>
      </w:r>
      <w:r w:rsidR="00E1620A" w:rsidRPr="006D0391">
        <w:t xml:space="preserve"> and data improvements</w:t>
      </w:r>
      <w:r w:rsidRPr="006D0391">
        <w:t>, as set out in Schedule</w:t>
      </w:r>
      <w:r w:rsidR="00122D76" w:rsidRPr="006D0391">
        <w:t>s C</w:t>
      </w:r>
      <w:r w:rsidR="00A70A6D" w:rsidRPr="006D0391">
        <w:t xml:space="preserve"> </w:t>
      </w:r>
      <w:r w:rsidR="00122D76" w:rsidRPr="006D0391">
        <w:t>and D</w:t>
      </w:r>
      <w:r w:rsidRPr="006D0391">
        <w:t xml:space="preserve">. </w:t>
      </w:r>
    </w:p>
    <w:p w14:paraId="5DB0EFD7" w14:textId="50ED5DA6" w:rsidR="004E2C6A" w:rsidRPr="004E2C6A" w:rsidRDefault="004E2C6A" w:rsidP="00D536EC">
      <w:pPr>
        <w:pStyle w:val="Normalnumbered"/>
        <w:keepNext/>
        <w:keepLines/>
        <w:numPr>
          <w:ilvl w:val="0"/>
          <w:numId w:val="9"/>
        </w:numPr>
        <w:rPr>
          <w:color w:val="auto"/>
        </w:rPr>
      </w:pPr>
      <w:r>
        <w:lastRenderedPageBreak/>
        <w:t xml:space="preserve">For the purposes of sub-clause </w:t>
      </w:r>
      <w:r w:rsidR="006F341F">
        <w:t>18</w:t>
      </w:r>
      <w:r>
        <w:t>(a) and for the avoidance of doubt:</w:t>
      </w:r>
    </w:p>
    <w:p w14:paraId="26B671D1" w14:textId="5E0D0930" w:rsidR="004E2C6A" w:rsidRDefault="004E2C6A" w:rsidP="00D536EC">
      <w:pPr>
        <w:pStyle w:val="Normalnumbered"/>
        <w:keepNext/>
        <w:keepLines/>
        <w:numPr>
          <w:ilvl w:val="1"/>
          <w:numId w:val="9"/>
        </w:numPr>
        <w:rPr>
          <w:color w:val="auto"/>
        </w:rPr>
      </w:pPr>
      <w:r>
        <w:t>it is immaterial whether State housing and homelessness strategies are contained in a single document or multiple documents</w:t>
      </w:r>
    </w:p>
    <w:p w14:paraId="18E9DE0B" w14:textId="365DFC65" w:rsidR="004E2C6A" w:rsidRPr="004E2C6A" w:rsidRDefault="004E2C6A" w:rsidP="004F3EA2">
      <w:pPr>
        <w:pStyle w:val="Normalnumbered"/>
        <w:numPr>
          <w:ilvl w:val="1"/>
          <w:numId w:val="9"/>
        </w:numPr>
        <w:rPr>
          <w:color w:val="auto"/>
        </w:rPr>
      </w:pPr>
      <w:r>
        <w:t>the Commonwealth’s financial contribution to the State will not be reduced because the reforms and initiatives set out in the State’s housing or homelessness strategies do not achieve their stated or intended aim</w:t>
      </w:r>
    </w:p>
    <w:p w14:paraId="30D0E311" w14:textId="796B4567" w:rsidR="00CD6F5F" w:rsidRPr="004E2C6A" w:rsidRDefault="004E2C6A" w:rsidP="004F3EA2">
      <w:pPr>
        <w:pStyle w:val="Normalnumbered"/>
        <w:numPr>
          <w:ilvl w:val="1"/>
          <w:numId w:val="9"/>
        </w:numPr>
        <w:rPr>
          <w:color w:val="auto"/>
        </w:rPr>
      </w:pPr>
      <w:r w:rsidRPr="004E2C6A">
        <w:t xml:space="preserve">the Commonwealth’s financial contribution to the State will not be reduced </w:t>
      </w:r>
      <w:r>
        <w:t xml:space="preserve">if </w:t>
      </w:r>
      <w:r w:rsidRPr="004E2C6A">
        <w:t>specific outcomes or targets in the Outcomes Framework are not achieved</w:t>
      </w:r>
      <w:r w:rsidR="00CD6F5F">
        <w:t>.</w:t>
      </w:r>
    </w:p>
    <w:p w14:paraId="6971F154" w14:textId="7342010C" w:rsidR="0086392D" w:rsidRDefault="008C53BE" w:rsidP="0084083E">
      <w:pPr>
        <w:pStyle w:val="Normalnumbered"/>
        <w:numPr>
          <w:ilvl w:val="0"/>
          <w:numId w:val="9"/>
        </w:numPr>
        <w:jc w:val="left"/>
      </w:pPr>
      <w:r>
        <w:rPr>
          <w:rStyle w:val="ui-provider"/>
        </w:rPr>
        <w:t xml:space="preserve">For the purposes of sub-clause </w:t>
      </w:r>
      <w:r w:rsidR="006F341F">
        <w:rPr>
          <w:rStyle w:val="ui-provider"/>
        </w:rPr>
        <w:t>18</w:t>
      </w:r>
      <w:r>
        <w:rPr>
          <w:rStyle w:val="ui-provider"/>
        </w:rPr>
        <w:t>(a), and for subsections 15C(5) and (6) of the FFR Act,</w:t>
      </w:r>
      <w:r w:rsidDel="00943ADA">
        <w:rPr>
          <w:rStyle w:val="ui-provider"/>
        </w:rPr>
        <w:t xml:space="preserve"> </w:t>
      </w:r>
      <w:r w:rsidR="0086392D">
        <w:t>the period for which a State must have a housing strategy or a homelessness strategy and make them available on a publicly accessible website is</w:t>
      </w:r>
      <w:r w:rsidR="0084083E">
        <w:t xml:space="preserve"> </w:t>
      </w:r>
      <w:r w:rsidR="0086392D">
        <w:t>the whole of the financial year</w:t>
      </w:r>
      <w:r w:rsidR="0084083E">
        <w:t xml:space="preserve">, </w:t>
      </w:r>
      <w:r w:rsidR="0086392D">
        <w:t xml:space="preserve">but for any period where it is not reasonably practicable that the strategy is available, which may include a period: </w:t>
      </w:r>
    </w:p>
    <w:p w14:paraId="0BE1E06A" w14:textId="1A06EEE3" w:rsidR="0086392D" w:rsidRDefault="0086392D" w:rsidP="004F3EA2">
      <w:pPr>
        <w:pStyle w:val="Normalnumbered"/>
        <w:numPr>
          <w:ilvl w:val="1"/>
          <w:numId w:val="9"/>
        </w:numPr>
        <w:jc w:val="left"/>
      </w:pPr>
      <w:r>
        <w:t>during which the State is in caretaker</w:t>
      </w:r>
    </w:p>
    <w:p w14:paraId="026F314E" w14:textId="0C294951" w:rsidR="0086392D" w:rsidRDefault="0086392D" w:rsidP="004F3EA2">
      <w:pPr>
        <w:pStyle w:val="Normalnumbered"/>
        <w:numPr>
          <w:ilvl w:val="1"/>
          <w:numId w:val="9"/>
        </w:numPr>
        <w:jc w:val="left"/>
      </w:pPr>
      <w:r>
        <w:t>during which the State is developing, reviewing or updating its strategies, so long as the sum of all such periods do not exceed eighteen months in any five year period</w:t>
      </w:r>
    </w:p>
    <w:p w14:paraId="35C81714" w14:textId="26EE67F8" w:rsidR="0086392D" w:rsidRDefault="0086392D" w:rsidP="004F3EA2">
      <w:pPr>
        <w:pStyle w:val="Normalnumbered"/>
        <w:numPr>
          <w:ilvl w:val="1"/>
          <w:numId w:val="9"/>
        </w:numPr>
        <w:jc w:val="left"/>
      </w:pPr>
      <w:r>
        <w:t>during which there is a website outage; or</w:t>
      </w:r>
    </w:p>
    <w:p w14:paraId="5F675A0C" w14:textId="7704EFC1" w:rsidR="008C53BE" w:rsidRPr="006D0391" w:rsidRDefault="0086392D" w:rsidP="004F3EA2">
      <w:pPr>
        <w:pStyle w:val="Normalnumbered"/>
        <w:numPr>
          <w:ilvl w:val="1"/>
          <w:numId w:val="9"/>
        </w:numPr>
        <w:jc w:val="left"/>
      </w:pPr>
      <w:r>
        <w:t>set out in the relevant State’s bilateral schedule for this purpose, as agreed between the Commonwealth and the relevant State</w:t>
      </w:r>
      <w:r w:rsidR="008C53BE">
        <w:rPr>
          <w:rStyle w:val="ui-provider"/>
        </w:rPr>
        <w:t>.</w:t>
      </w:r>
    </w:p>
    <w:p w14:paraId="03BC12A8" w14:textId="31A5FA17" w:rsidR="00C11F06" w:rsidRPr="001E20D6" w:rsidRDefault="009C2901" w:rsidP="74186CC2">
      <w:pPr>
        <w:pStyle w:val="Heading1"/>
      </w:pPr>
      <w:r>
        <w:t xml:space="preserve">Part 3 </w:t>
      </w:r>
      <w:r w:rsidR="008F44F1" w:rsidRPr="5230D2F6">
        <w:t xml:space="preserve">— </w:t>
      </w:r>
      <w:r w:rsidR="004E2708">
        <w:t>G</w:t>
      </w:r>
      <w:r w:rsidR="00C11F06" w:rsidRPr="001E20D6">
        <w:t>overnance arrangements</w:t>
      </w:r>
    </w:p>
    <w:p w14:paraId="3F1B2D3D" w14:textId="22EC18F2" w:rsidR="00217BD6" w:rsidRPr="00217BD6" w:rsidRDefault="001E04D5" w:rsidP="004F3EA2">
      <w:pPr>
        <w:pStyle w:val="AlphaParagraph"/>
        <w:numPr>
          <w:ilvl w:val="0"/>
          <w:numId w:val="9"/>
        </w:numPr>
        <w:tabs>
          <w:tab w:val="clear" w:pos="283"/>
          <w:tab w:val="clear" w:pos="1134"/>
          <w:tab w:val="clear" w:pos="1418"/>
          <w:tab w:val="clear" w:pos="1701"/>
        </w:tabs>
        <w:jc w:val="left"/>
      </w:pPr>
      <w:r w:rsidRPr="00AE1355">
        <w:rPr>
          <w:color w:val="auto"/>
        </w:rPr>
        <w:t>The Housing and Homelessness Ministerial Council</w:t>
      </w:r>
      <w:r w:rsidR="004D40A4">
        <w:rPr>
          <w:color w:val="auto"/>
        </w:rPr>
        <w:t xml:space="preserve"> </w:t>
      </w:r>
      <w:r w:rsidR="00B23453">
        <w:rPr>
          <w:color w:val="auto"/>
        </w:rPr>
        <w:t>(the Council)</w:t>
      </w:r>
      <w:r w:rsidR="00CA5DA5">
        <w:rPr>
          <w:color w:val="auto"/>
        </w:rPr>
        <w:t>,</w:t>
      </w:r>
      <w:r w:rsidR="00CA5DA5" w:rsidRPr="00CA5DA5">
        <w:t xml:space="preserve"> </w:t>
      </w:r>
      <w:r w:rsidR="00CA5DA5" w:rsidRPr="00CA5DA5">
        <w:rPr>
          <w:color w:val="auto"/>
        </w:rPr>
        <w:t>chaired by the Commonwealth Minister for Housing and Homelessness, and including all State housing ministers</w:t>
      </w:r>
      <w:r w:rsidR="00CA5DA5">
        <w:rPr>
          <w:color w:val="auto"/>
        </w:rPr>
        <w:t>,</w:t>
      </w:r>
      <w:r w:rsidR="00B23453" w:rsidRPr="00217BD6">
        <w:rPr>
          <w:color w:val="auto"/>
        </w:rPr>
        <w:t xml:space="preserve"> </w:t>
      </w:r>
      <w:r w:rsidR="00217BD6" w:rsidRPr="001E04D5">
        <w:rPr>
          <w:color w:val="auto"/>
        </w:rPr>
        <w:t>provides joint ministerial oversight of housing and homelessness policy</w:t>
      </w:r>
      <w:r w:rsidR="00CA5DA5">
        <w:rPr>
          <w:color w:val="auto"/>
        </w:rPr>
        <w:t>. The Council has an</w:t>
      </w:r>
      <w:r w:rsidR="00217BD6" w:rsidRPr="001E04D5">
        <w:rPr>
          <w:color w:val="auto"/>
        </w:rPr>
        <w:t xml:space="preserve"> important </w:t>
      </w:r>
      <w:r w:rsidR="00CA5DA5">
        <w:rPr>
          <w:color w:val="auto"/>
        </w:rPr>
        <w:t xml:space="preserve">role in </w:t>
      </w:r>
      <w:r w:rsidR="00217BD6" w:rsidRPr="001E04D5">
        <w:rPr>
          <w:color w:val="auto"/>
        </w:rPr>
        <w:t xml:space="preserve">improving collaboration, coordination, innovation and outcomes across </w:t>
      </w:r>
      <w:r w:rsidR="00217BD6">
        <w:rPr>
          <w:color w:val="auto"/>
        </w:rPr>
        <w:t xml:space="preserve">the whole </w:t>
      </w:r>
      <w:r w:rsidR="00217BD6" w:rsidRPr="001E04D5">
        <w:rPr>
          <w:color w:val="auto"/>
        </w:rPr>
        <w:t>housing and homelessness</w:t>
      </w:r>
      <w:r w:rsidR="00217BD6">
        <w:rPr>
          <w:color w:val="auto"/>
        </w:rPr>
        <w:t xml:space="preserve"> system</w:t>
      </w:r>
      <w:r w:rsidR="00217BD6" w:rsidRPr="001E04D5">
        <w:rPr>
          <w:color w:val="auto"/>
        </w:rPr>
        <w:t xml:space="preserve">. </w:t>
      </w:r>
      <w:r w:rsidR="00217BD6">
        <w:rPr>
          <w:color w:val="auto"/>
        </w:rPr>
        <w:t>The Council</w:t>
      </w:r>
      <w:r w:rsidRPr="00AE1355">
        <w:rPr>
          <w:color w:val="auto"/>
        </w:rPr>
        <w:t xml:space="preserve"> </w:t>
      </w:r>
      <w:r w:rsidRPr="001E04D5">
        <w:rPr>
          <w:color w:val="auto"/>
        </w:rPr>
        <w:t>will</w:t>
      </w:r>
      <w:r w:rsidR="00217BD6">
        <w:rPr>
          <w:color w:val="auto"/>
        </w:rPr>
        <w:t xml:space="preserve">: </w:t>
      </w:r>
    </w:p>
    <w:p w14:paraId="5BB8E3D2" w14:textId="477810C8" w:rsidR="00476993" w:rsidRPr="005D7449" w:rsidRDefault="00476993" w:rsidP="004F3EA2">
      <w:pPr>
        <w:pStyle w:val="AlphaParagraph"/>
        <w:numPr>
          <w:ilvl w:val="1"/>
          <w:numId w:val="9"/>
        </w:numPr>
        <w:tabs>
          <w:tab w:val="clear" w:pos="283"/>
          <w:tab w:val="clear" w:pos="567"/>
          <w:tab w:val="clear" w:pos="1134"/>
          <w:tab w:val="clear" w:pos="1701"/>
        </w:tabs>
        <w:jc w:val="left"/>
      </w:pPr>
      <w:r w:rsidRPr="005D7449">
        <w:rPr>
          <w:color w:val="auto"/>
        </w:rPr>
        <w:t xml:space="preserve">steward the Agreement </w:t>
      </w:r>
      <w:r w:rsidR="00C8661B" w:rsidRPr="005D7449">
        <w:rPr>
          <w:color w:val="auto"/>
        </w:rPr>
        <w:t>to ensure its</w:t>
      </w:r>
      <w:r w:rsidRPr="005D7449">
        <w:rPr>
          <w:color w:val="auto"/>
        </w:rPr>
        <w:t xml:space="preserve"> strategic relevance as policy settings </w:t>
      </w:r>
      <w:r w:rsidR="00C8661B" w:rsidRPr="005D7449">
        <w:rPr>
          <w:color w:val="auto"/>
        </w:rPr>
        <w:t xml:space="preserve">and the housing market </w:t>
      </w:r>
      <w:r w:rsidRPr="005D7449">
        <w:rPr>
          <w:color w:val="auto"/>
        </w:rPr>
        <w:t xml:space="preserve">evolve </w:t>
      </w:r>
    </w:p>
    <w:p w14:paraId="1917FD64" w14:textId="6428ACFC" w:rsidR="00217BD6" w:rsidRPr="00217BD6" w:rsidRDefault="001E04D5" w:rsidP="004F3EA2">
      <w:pPr>
        <w:pStyle w:val="AlphaParagraph"/>
        <w:numPr>
          <w:ilvl w:val="1"/>
          <w:numId w:val="9"/>
        </w:numPr>
        <w:tabs>
          <w:tab w:val="clear" w:pos="283"/>
          <w:tab w:val="clear" w:pos="567"/>
          <w:tab w:val="clear" w:pos="1134"/>
          <w:tab w:val="clear" w:pos="1701"/>
        </w:tabs>
        <w:jc w:val="left"/>
      </w:pPr>
      <w:r w:rsidRPr="001E04D5">
        <w:rPr>
          <w:color w:val="auto"/>
        </w:rPr>
        <w:t xml:space="preserve">oversee the </w:t>
      </w:r>
      <w:r w:rsidRPr="001E04D5" w:rsidDel="00A913C5">
        <w:rPr>
          <w:color w:val="auto"/>
        </w:rPr>
        <w:t xml:space="preserve">implementation and </w:t>
      </w:r>
      <w:r w:rsidRPr="001E04D5">
        <w:rPr>
          <w:color w:val="auto"/>
        </w:rPr>
        <w:t xml:space="preserve">ongoing </w:t>
      </w:r>
      <w:r w:rsidRPr="001E04D5" w:rsidDel="00A913C5">
        <w:rPr>
          <w:color w:val="auto"/>
        </w:rPr>
        <w:t xml:space="preserve">operation </w:t>
      </w:r>
      <w:r w:rsidRPr="001E04D5">
        <w:rPr>
          <w:color w:val="auto"/>
        </w:rPr>
        <w:t xml:space="preserve">of the Agreement </w:t>
      </w:r>
    </w:p>
    <w:p w14:paraId="24F4403D" w14:textId="4BD5F598" w:rsidR="00217BD6" w:rsidRPr="00217BD6" w:rsidRDefault="00217BD6" w:rsidP="004F3EA2">
      <w:pPr>
        <w:pStyle w:val="AlphaParagraph"/>
        <w:numPr>
          <w:ilvl w:val="1"/>
          <w:numId w:val="9"/>
        </w:numPr>
        <w:tabs>
          <w:tab w:val="clear" w:pos="283"/>
          <w:tab w:val="clear" w:pos="567"/>
          <w:tab w:val="clear" w:pos="1134"/>
          <w:tab w:val="clear" w:pos="1701"/>
        </w:tabs>
        <w:jc w:val="left"/>
      </w:pPr>
      <w:r>
        <w:rPr>
          <w:color w:val="auto"/>
        </w:rPr>
        <w:t>support evidence-informed decision making.</w:t>
      </w:r>
    </w:p>
    <w:bookmarkEnd w:id="3"/>
    <w:p w14:paraId="51148F9E" w14:textId="1A10D993" w:rsidR="006F341F" w:rsidRPr="004C65BD" w:rsidRDefault="00A94405" w:rsidP="004C65BD">
      <w:pPr>
        <w:pStyle w:val="Heading2"/>
      </w:pPr>
      <w:r w:rsidRPr="00A24ADC">
        <w:t>Roles</w:t>
      </w:r>
      <w:bookmarkStart w:id="6" w:name="_Hlk164872980"/>
    </w:p>
    <w:p w14:paraId="00753922" w14:textId="31BE0EAB" w:rsidR="00EA063A" w:rsidRPr="00170051" w:rsidRDefault="000D3180" w:rsidP="00170051">
      <w:pPr>
        <w:pStyle w:val="Normalnumbered"/>
        <w:keepNext/>
        <w:numPr>
          <w:ilvl w:val="0"/>
          <w:numId w:val="9"/>
        </w:numPr>
        <w:jc w:val="left"/>
        <w:rPr>
          <w:color w:val="auto"/>
        </w:rPr>
      </w:pPr>
      <w:r w:rsidRPr="006F341F">
        <w:rPr>
          <w:color w:val="auto"/>
        </w:rPr>
        <w:t>Parties to the Agreement acknowledge</w:t>
      </w:r>
      <w:r w:rsidR="00780BEC" w:rsidRPr="006F341F">
        <w:rPr>
          <w:color w:val="auto"/>
        </w:rPr>
        <w:t xml:space="preserve"> </w:t>
      </w:r>
      <w:r w:rsidRPr="006F341F">
        <w:rPr>
          <w:color w:val="auto"/>
        </w:rPr>
        <w:t>they have a joint role in supporting the effective</w:t>
      </w:r>
      <w:r w:rsidR="006F341F">
        <w:rPr>
          <w:color w:val="auto"/>
        </w:rPr>
        <w:t xml:space="preserve"> </w:t>
      </w:r>
      <w:r w:rsidRPr="004C65BD">
        <w:t>functioning</w:t>
      </w:r>
      <w:r w:rsidRPr="006F341F">
        <w:rPr>
          <w:color w:val="auto"/>
        </w:rPr>
        <w:t xml:space="preserve"> of the social housing and homelessness service sectors, while recognising that</w:t>
      </w:r>
      <w:bookmarkStart w:id="7" w:name="_Hlk165536942"/>
      <w:r w:rsidR="006F341F">
        <w:rPr>
          <w:color w:val="auto"/>
        </w:rPr>
        <w:t xml:space="preserve"> </w:t>
      </w:r>
      <w:bookmarkEnd w:id="7"/>
      <w:r w:rsidR="003113D8" w:rsidRPr="006F341F">
        <w:rPr>
          <w:color w:val="auto"/>
        </w:rPr>
        <w:t>responsibility for</w:t>
      </w:r>
      <w:r w:rsidR="002A5EA9" w:rsidRPr="006F341F">
        <w:rPr>
          <w:color w:val="auto"/>
        </w:rPr>
        <w:t xml:space="preserve"> the delivery of social housing and homelessness services, projects, reforms or</w:t>
      </w:r>
      <w:r w:rsidR="006F341F">
        <w:rPr>
          <w:color w:val="auto"/>
        </w:rPr>
        <w:t xml:space="preserve"> </w:t>
      </w:r>
      <w:r w:rsidR="002A5EA9" w:rsidRPr="006F341F">
        <w:rPr>
          <w:color w:val="auto"/>
        </w:rPr>
        <w:t>initiatives</w:t>
      </w:r>
      <w:r w:rsidR="003113D8" w:rsidRPr="006F341F">
        <w:rPr>
          <w:color w:val="auto"/>
        </w:rPr>
        <w:t xml:space="preserve"> rests with the States. </w:t>
      </w:r>
      <w:r w:rsidR="003113D8" w:rsidRPr="00170051">
        <w:rPr>
          <w:color w:val="auto"/>
        </w:rPr>
        <w:t>Continued</w:t>
      </w:r>
      <w:r w:rsidRPr="00170051">
        <w:rPr>
          <w:color w:val="auto"/>
        </w:rPr>
        <w:t xml:space="preserve"> cooperation and collaboration </w:t>
      </w:r>
      <w:r w:rsidRPr="00170051">
        <w:rPr>
          <w:color w:val="auto"/>
        </w:rPr>
        <w:lastRenderedPageBreak/>
        <w:t>between all levels of government will be integral to achieving the Agreement’s objective.</w:t>
      </w:r>
      <w:r w:rsidR="00EA063A" w:rsidRPr="00170051">
        <w:rPr>
          <w:color w:val="auto"/>
        </w:rPr>
        <w:t xml:space="preserve"> Commonwealth and State policy responsibilities</w:t>
      </w:r>
      <w:r w:rsidR="001B47CD">
        <w:rPr>
          <w:color w:val="auto"/>
        </w:rPr>
        <w:t xml:space="preserve"> are</w:t>
      </w:r>
      <w:r w:rsidR="00EA063A" w:rsidRPr="00170051">
        <w:rPr>
          <w:color w:val="auto"/>
        </w:rPr>
        <w:t xml:space="preserve"> </w:t>
      </w:r>
      <w:r w:rsidR="00170051">
        <w:rPr>
          <w:color w:val="auto"/>
        </w:rPr>
        <w:t xml:space="preserve">listed in </w:t>
      </w:r>
      <w:r w:rsidR="00EA063A" w:rsidRPr="00170051">
        <w:rPr>
          <w:color w:val="auto"/>
        </w:rPr>
        <w:t xml:space="preserve">Schedule </w:t>
      </w:r>
      <w:r w:rsidR="00122D76" w:rsidRPr="00170051">
        <w:rPr>
          <w:color w:val="auto"/>
        </w:rPr>
        <w:t>E</w:t>
      </w:r>
      <w:r w:rsidR="00EA063A" w:rsidRPr="00170051">
        <w:rPr>
          <w:color w:val="auto"/>
        </w:rPr>
        <w:t>.</w:t>
      </w:r>
    </w:p>
    <w:bookmarkEnd w:id="6"/>
    <w:p w14:paraId="5819E4A7" w14:textId="75C4DEAB" w:rsidR="00A94405" w:rsidRPr="00C811E9" w:rsidRDefault="004770D8" w:rsidP="004F3EA2">
      <w:pPr>
        <w:pStyle w:val="Normalnumbered"/>
        <w:numPr>
          <w:ilvl w:val="0"/>
          <w:numId w:val="9"/>
        </w:numPr>
        <w:jc w:val="left"/>
      </w:pPr>
      <w:r>
        <w:t>P</w:t>
      </w:r>
      <w:r w:rsidR="00CE26BB" w:rsidRPr="00AE1355">
        <w:t>arties</w:t>
      </w:r>
      <w:r w:rsidR="00780BEC">
        <w:t xml:space="preserve"> acknowledge the importance of their</w:t>
      </w:r>
      <w:r w:rsidR="00CE26BB" w:rsidRPr="00AE1355">
        <w:t xml:space="preserve"> role in d</w:t>
      </w:r>
      <w:r w:rsidR="00A94405" w:rsidRPr="00C811E9">
        <w:t>evelop</w:t>
      </w:r>
      <w:r w:rsidR="00CE26BB">
        <w:t>ing</w:t>
      </w:r>
      <w:r w:rsidR="00A94405" w:rsidRPr="00C811E9">
        <w:t xml:space="preserve"> appropriate </w:t>
      </w:r>
      <w:r w:rsidR="00780BEC">
        <w:t xml:space="preserve">national </w:t>
      </w:r>
      <w:r w:rsidR="00A94405" w:rsidRPr="00C811E9">
        <w:t xml:space="preserve">data sets and data sharing arrangements. </w:t>
      </w:r>
    </w:p>
    <w:p w14:paraId="288AA533" w14:textId="6210E81C" w:rsidR="008F44F1" w:rsidRPr="00C811E9" w:rsidRDefault="008F44F1" w:rsidP="00BB5F42">
      <w:pPr>
        <w:pStyle w:val="Heading2"/>
      </w:pPr>
      <w:r w:rsidRPr="001E04D5">
        <w:t>R</w:t>
      </w:r>
      <w:r w:rsidR="00A94405">
        <w:t>esponsibilities</w:t>
      </w:r>
      <w:r w:rsidR="00253D93">
        <w:t xml:space="preserve"> </w:t>
      </w:r>
    </w:p>
    <w:p w14:paraId="07522426" w14:textId="3344FA52" w:rsidR="007A06F9" w:rsidRPr="00C811E9" w:rsidRDefault="55FD514C" w:rsidP="004F3EA2">
      <w:pPr>
        <w:pStyle w:val="Normalnumbered"/>
        <w:keepNext/>
        <w:numPr>
          <w:ilvl w:val="0"/>
          <w:numId w:val="9"/>
        </w:numPr>
        <w:jc w:val="left"/>
      </w:pPr>
      <w:r>
        <w:t xml:space="preserve">Under this Agreement, </w:t>
      </w:r>
      <w:r w:rsidR="00CE26BB">
        <w:t>it is the responsibility</w:t>
      </w:r>
      <w:r w:rsidR="00B64012">
        <w:t xml:space="preserve"> of </w:t>
      </w:r>
      <w:r>
        <w:t xml:space="preserve">the Commonwealth </w:t>
      </w:r>
      <w:bookmarkStart w:id="8" w:name="_Hlk166052944"/>
      <w:r w:rsidR="00B64012">
        <w:t>to</w:t>
      </w:r>
      <w:r>
        <w:t>:</w:t>
      </w:r>
    </w:p>
    <w:p w14:paraId="6142AB15" w14:textId="04BCF605" w:rsidR="00C721B0" w:rsidRDefault="007976DE" w:rsidP="004F3EA2">
      <w:pPr>
        <w:pStyle w:val="AlphaParagraph"/>
        <w:numPr>
          <w:ilvl w:val="1"/>
          <w:numId w:val="9"/>
        </w:numPr>
        <w:tabs>
          <w:tab w:val="clear" w:pos="283"/>
          <w:tab w:val="clear" w:pos="567"/>
          <w:tab w:val="clear" w:pos="1134"/>
          <w:tab w:val="clear" w:pos="1701"/>
        </w:tabs>
        <w:jc w:val="left"/>
        <w:rPr>
          <w:color w:val="auto"/>
        </w:rPr>
      </w:pPr>
      <w:r>
        <w:rPr>
          <w:color w:val="auto"/>
        </w:rPr>
        <w:t xml:space="preserve">confirm </w:t>
      </w:r>
      <w:r w:rsidR="00B64012">
        <w:rPr>
          <w:color w:val="auto"/>
        </w:rPr>
        <w:t>the</w:t>
      </w:r>
      <w:r w:rsidR="00C721B0">
        <w:rPr>
          <w:color w:val="auto"/>
        </w:rPr>
        <w:t xml:space="preserve"> delivery of outputs as set out in </w:t>
      </w:r>
      <w:r w:rsidR="00C228F6">
        <w:rPr>
          <w:color w:val="auto"/>
        </w:rPr>
        <w:t>Part 2</w:t>
      </w:r>
    </w:p>
    <w:p w14:paraId="6B234445" w14:textId="6036C8AC" w:rsidR="00C721B0" w:rsidRPr="00C811E9" w:rsidRDefault="000D6026" w:rsidP="004F3EA2">
      <w:pPr>
        <w:pStyle w:val="AlphaParagraph"/>
        <w:numPr>
          <w:ilvl w:val="1"/>
          <w:numId w:val="9"/>
        </w:numPr>
        <w:tabs>
          <w:tab w:val="clear" w:pos="283"/>
          <w:tab w:val="clear" w:pos="567"/>
          <w:tab w:val="clear" w:pos="1134"/>
          <w:tab w:val="clear" w:pos="1701"/>
        </w:tabs>
        <w:jc w:val="left"/>
        <w:rPr>
          <w:color w:val="auto"/>
        </w:rPr>
      </w:pPr>
      <w:r>
        <w:rPr>
          <w:color w:val="auto"/>
        </w:rPr>
        <w:t>m</w:t>
      </w:r>
      <w:r w:rsidR="00C721B0" w:rsidRPr="007461F2">
        <w:rPr>
          <w:color w:val="auto"/>
        </w:rPr>
        <w:t>onitor and assess progress towards</w:t>
      </w:r>
      <w:r w:rsidR="00C721B0">
        <w:rPr>
          <w:color w:val="auto"/>
        </w:rPr>
        <w:t xml:space="preserve"> </w:t>
      </w:r>
      <w:r w:rsidR="00A515E4">
        <w:rPr>
          <w:color w:val="auto"/>
        </w:rPr>
        <w:t xml:space="preserve">meeting </w:t>
      </w:r>
      <w:r w:rsidR="00C721B0">
        <w:rPr>
          <w:color w:val="auto"/>
        </w:rPr>
        <w:t>the objective</w:t>
      </w:r>
      <w:r w:rsidR="00C721B0" w:rsidRPr="007461F2">
        <w:rPr>
          <w:color w:val="auto"/>
        </w:rPr>
        <w:t xml:space="preserve"> of this Agreement</w:t>
      </w:r>
      <w:r w:rsidR="001603A0">
        <w:rPr>
          <w:color w:val="auto"/>
        </w:rPr>
        <w:t xml:space="preserve"> based on the </w:t>
      </w:r>
      <w:r w:rsidR="00E8550D">
        <w:rPr>
          <w:color w:val="auto"/>
        </w:rPr>
        <w:t xml:space="preserve">National </w:t>
      </w:r>
      <w:r w:rsidR="001603A0">
        <w:rPr>
          <w:color w:val="auto"/>
        </w:rPr>
        <w:t>Outcomes Framework</w:t>
      </w:r>
      <w:r w:rsidR="00553C1E">
        <w:rPr>
          <w:color w:val="auto"/>
        </w:rPr>
        <w:t xml:space="preserve"> (Schedule A)</w:t>
      </w:r>
    </w:p>
    <w:bookmarkEnd w:id="8"/>
    <w:p w14:paraId="3BD2EAE0" w14:textId="17E99A92" w:rsidR="00130F29" w:rsidRPr="000D6026" w:rsidRDefault="00371309" w:rsidP="004F3EA2">
      <w:pPr>
        <w:pStyle w:val="AlphaParagraph"/>
        <w:numPr>
          <w:ilvl w:val="1"/>
          <w:numId w:val="9"/>
        </w:numPr>
        <w:tabs>
          <w:tab w:val="clear" w:pos="283"/>
          <w:tab w:val="clear" w:pos="567"/>
          <w:tab w:val="clear" w:pos="1134"/>
          <w:tab w:val="clear" w:pos="1701"/>
        </w:tabs>
        <w:jc w:val="left"/>
        <w:rPr>
          <w:color w:val="auto"/>
        </w:rPr>
      </w:pPr>
      <w:r w:rsidRPr="00DE3067">
        <w:rPr>
          <w:color w:val="auto"/>
        </w:rPr>
        <w:t>agree bilateral schedules with the States to support achiev</w:t>
      </w:r>
      <w:r w:rsidR="00A515E4">
        <w:rPr>
          <w:color w:val="auto"/>
        </w:rPr>
        <w:t xml:space="preserve">ing </w:t>
      </w:r>
      <w:r w:rsidRPr="00DE3067">
        <w:rPr>
          <w:color w:val="auto"/>
        </w:rPr>
        <w:t>this Agreement’s o</w:t>
      </w:r>
      <w:r>
        <w:rPr>
          <w:color w:val="auto"/>
        </w:rPr>
        <w:t xml:space="preserve">bjective </w:t>
      </w:r>
      <w:r w:rsidRPr="008E6791">
        <w:rPr>
          <w:color w:val="auto"/>
        </w:rPr>
        <w:t xml:space="preserve">and </w:t>
      </w:r>
      <w:r w:rsidR="00A515E4">
        <w:rPr>
          <w:color w:val="auto"/>
        </w:rPr>
        <w:t xml:space="preserve">delivering </w:t>
      </w:r>
      <w:r w:rsidRPr="008E6791">
        <w:rPr>
          <w:color w:val="auto"/>
        </w:rPr>
        <w:t>outputs</w:t>
      </w:r>
      <w:r w:rsidRPr="00DE3067">
        <w:rPr>
          <w:color w:val="auto"/>
        </w:rPr>
        <w:t>, while accounting for the specific needs and circumstances of each jurisdiction</w:t>
      </w:r>
    </w:p>
    <w:p w14:paraId="270035D0" w14:textId="2277ADDE" w:rsidR="00F15279" w:rsidRDefault="003113D8" w:rsidP="004F3EA2">
      <w:pPr>
        <w:pStyle w:val="AlphaParagraph"/>
        <w:numPr>
          <w:ilvl w:val="1"/>
          <w:numId w:val="9"/>
        </w:numPr>
        <w:tabs>
          <w:tab w:val="clear" w:pos="283"/>
          <w:tab w:val="clear" w:pos="567"/>
          <w:tab w:val="clear" w:pos="1134"/>
          <w:tab w:val="clear" w:pos="1701"/>
        </w:tabs>
        <w:jc w:val="left"/>
        <w:rPr>
          <w:color w:val="auto"/>
        </w:rPr>
      </w:pPr>
      <w:r>
        <w:rPr>
          <w:color w:val="auto"/>
        </w:rPr>
        <w:t>p</w:t>
      </w:r>
      <w:r w:rsidRPr="00C811E9">
        <w:rPr>
          <w:color w:val="auto"/>
        </w:rPr>
        <w:t>rovid</w:t>
      </w:r>
      <w:r>
        <w:rPr>
          <w:color w:val="auto"/>
        </w:rPr>
        <w:t>e</w:t>
      </w:r>
      <w:r w:rsidRPr="00C811E9">
        <w:rPr>
          <w:color w:val="auto"/>
        </w:rPr>
        <w:t xml:space="preserve"> financial </w:t>
      </w:r>
      <w:r w:rsidR="00E8005B">
        <w:rPr>
          <w:color w:val="auto"/>
        </w:rPr>
        <w:t>assistance</w:t>
      </w:r>
      <w:r w:rsidR="00E8005B" w:rsidRPr="00C811E9">
        <w:rPr>
          <w:color w:val="auto"/>
        </w:rPr>
        <w:t xml:space="preserve"> </w:t>
      </w:r>
      <w:r w:rsidRPr="00C811E9">
        <w:rPr>
          <w:color w:val="auto"/>
        </w:rPr>
        <w:t>to</w:t>
      </w:r>
      <w:r w:rsidR="007A06F9" w:rsidRPr="00C811E9">
        <w:rPr>
          <w:color w:val="auto"/>
        </w:rPr>
        <w:t xml:space="preserve"> the States in accordance with this Agreement</w:t>
      </w:r>
      <w:r w:rsidR="008E6791">
        <w:rPr>
          <w:color w:val="auto"/>
        </w:rPr>
        <w:t>.</w:t>
      </w:r>
    </w:p>
    <w:p w14:paraId="613C62A9" w14:textId="6E2430FB" w:rsidR="00B64012" w:rsidRPr="00C811E9" w:rsidRDefault="00B64012" w:rsidP="004F3EA2">
      <w:pPr>
        <w:pStyle w:val="Normalnumbered"/>
        <w:keepNext/>
        <w:numPr>
          <w:ilvl w:val="0"/>
          <w:numId w:val="9"/>
        </w:numPr>
        <w:jc w:val="left"/>
      </w:pPr>
      <w:r>
        <w:t xml:space="preserve">Under this Agreement, </w:t>
      </w:r>
      <w:r w:rsidR="00CE26BB">
        <w:t>it is the responsibility</w:t>
      </w:r>
      <w:r>
        <w:t xml:space="preserve"> of the States to:</w:t>
      </w:r>
    </w:p>
    <w:p w14:paraId="12C7F77F" w14:textId="591BAB57" w:rsidR="00CE5E36" w:rsidRPr="009317C8" w:rsidRDefault="002C5B11" w:rsidP="004F3EA2">
      <w:pPr>
        <w:pStyle w:val="AlphaParagraph"/>
        <w:numPr>
          <w:ilvl w:val="1"/>
          <w:numId w:val="9"/>
        </w:numPr>
        <w:tabs>
          <w:tab w:val="clear" w:pos="283"/>
          <w:tab w:val="clear" w:pos="567"/>
          <w:tab w:val="clear" w:pos="1134"/>
          <w:tab w:val="clear" w:pos="1701"/>
        </w:tabs>
        <w:jc w:val="left"/>
        <w:rPr>
          <w:color w:val="auto"/>
        </w:rPr>
      </w:pPr>
      <w:r>
        <w:rPr>
          <w:color w:val="auto"/>
        </w:rPr>
        <w:t xml:space="preserve">work </w:t>
      </w:r>
      <w:r w:rsidR="00EB4FF2">
        <w:rPr>
          <w:color w:val="auto"/>
        </w:rPr>
        <w:t xml:space="preserve">towards </w:t>
      </w:r>
      <w:r w:rsidR="00650B71">
        <w:rPr>
          <w:color w:val="auto"/>
        </w:rPr>
        <w:t>achieving</w:t>
      </w:r>
      <w:r w:rsidR="00EB4FF2">
        <w:rPr>
          <w:color w:val="auto"/>
        </w:rPr>
        <w:t xml:space="preserve"> the objectives and outcomes detailed in the </w:t>
      </w:r>
      <w:r w:rsidR="00E8550D">
        <w:rPr>
          <w:color w:val="auto"/>
        </w:rPr>
        <w:t xml:space="preserve">National </w:t>
      </w:r>
      <w:r w:rsidR="00EB4FF2">
        <w:rPr>
          <w:color w:val="auto"/>
        </w:rPr>
        <w:t xml:space="preserve">Outcomes Framework </w:t>
      </w:r>
      <w:r w:rsidR="00BE117A">
        <w:rPr>
          <w:color w:val="auto"/>
        </w:rPr>
        <w:t>(</w:t>
      </w:r>
      <w:r w:rsidR="00EB4FF2">
        <w:rPr>
          <w:color w:val="auto"/>
        </w:rPr>
        <w:t>Schedule A</w:t>
      </w:r>
      <w:r w:rsidR="00BE117A">
        <w:rPr>
          <w:color w:val="auto"/>
        </w:rPr>
        <w:t>)</w:t>
      </w:r>
      <w:r w:rsidR="00EB4FF2">
        <w:rPr>
          <w:color w:val="auto"/>
        </w:rPr>
        <w:t>.</w:t>
      </w:r>
      <w:r w:rsidR="00CE5E36">
        <w:rPr>
          <w:color w:val="auto"/>
        </w:rPr>
        <w:t xml:space="preserve"> This </w:t>
      </w:r>
      <w:r w:rsidR="00CE5E36" w:rsidRPr="00F32CC9">
        <w:rPr>
          <w:color w:val="auto"/>
        </w:rPr>
        <w:t>includ</w:t>
      </w:r>
      <w:r w:rsidR="00CE5E36">
        <w:rPr>
          <w:color w:val="auto"/>
        </w:rPr>
        <w:t>es:</w:t>
      </w:r>
    </w:p>
    <w:p w14:paraId="39E79EAB" w14:textId="1E172916" w:rsidR="00E21E85" w:rsidRDefault="00CE5E36" w:rsidP="004F3EA2">
      <w:pPr>
        <w:pStyle w:val="AlphaParagraph"/>
        <w:numPr>
          <w:ilvl w:val="1"/>
          <w:numId w:val="25"/>
        </w:numPr>
        <w:tabs>
          <w:tab w:val="clear" w:pos="283"/>
          <w:tab w:val="clear" w:pos="567"/>
          <w:tab w:val="clear" w:pos="1418"/>
          <w:tab w:val="clear" w:pos="1701"/>
          <w:tab w:val="left" w:pos="1134"/>
        </w:tabs>
      </w:pPr>
      <w:r>
        <w:t>delivering social housing services in partnership with relevant government and non-government entities</w:t>
      </w:r>
    </w:p>
    <w:p w14:paraId="57FF51B8" w14:textId="798FE06B" w:rsidR="00CE5E36" w:rsidRDefault="00CE5E36" w:rsidP="004F3EA2">
      <w:pPr>
        <w:pStyle w:val="AlphaParagraph"/>
        <w:numPr>
          <w:ilvl w:val="1"/>
          <w:numId w:val="25"/>
        </w:numPr>
        <w:tabs>
          <w:tab w:val="clear" w:pos="283"/>
          <w:tab w:val="clear" w:pos="567"/>
          <w:tab w:val="clear" w:pos="1418"/>
          <w:tab w:val="clear" w:pos="1701"/>
          <w:tab w:val="left" w:pos="1134"/>
        </w:tabs>
      </w:pPr>
      <w:bookmarkStart w:id="9" w:name="_Hlk165537033"/>
      <w:r w:rsidDel="007861B2">
        <w:t xml:space="preserve">implementing state-level reforms to </w:t>
      </w:r>
      <w:r w:rsidRPr="00C811E9" w:rsidDel="007861B2">
        <w:t xml:space="preserve">improve the management of social housing stock </w:t>
      </w:r>
      <w:r w:rsidDel="007861B2">
        <w:t>and</w:t>
      </w:r>
      <w:r w:rsidRPr="00C811E9" w:rsidDel="007861B2">
        <w:t xml:space="preserve"> increase efficiency of </w:t>
      </w:r>
      <w:r w:rsidDel="007861B2">
        <w:t xml:space="preserve">stock </w:t>
      </w:r>
      <w:r w:rsidRPr="00C811E9" w:rsidDel="007861B2">
        <w:t>allocation and utilisation</w:t>
      </w:r>
    </w:p>
    <w:bookmarkEnd w:id="9"/>
    <w:p w14:paraId="78EEE3DF" w14:textId="0F587B27" w:rsidR="00CE5E36" w:rsidRDefault="00CE5E36" w:rsidP="004F3EA2">
      <w:pPr>
        <w:pStyle w:val="AlphaParagraph"/>
        <w:numPr>
          <w:ilvl w:val="1"/>
          <w:numId w:val="25"/>
        </w:numPr>
        <w:tabs>
          <w:tab w:val="clear" w:pos="283"/>
          <w:tab w:val="clear" w:pos="567"/>
          <w:tab w:val="clear" w:pos="1418"/>
          <w:tab w:val="clear" w:pos="1701"/>
          <w:tab w:val="left" w:pos="1134"/>
        </w:tabs>
      </w:pPr>
      <w:r>
        <w:t xml:space="preserve">delivering specialist homelessness services, in partnership with relevant non-government service providers, including </w:t>
      </w:r>
      <w:r w:rsidRPr="00C721B0">
        <w:t>crisis homelessness services, early intervention and prevention programs</w:t>
      </w:r>
      <w:r w:rsidR="00170051">
        <w:t>,</w:t>
      </w:r>
      <w:r w:rsidRPr="00C721B0">
        <w:t xml:space="preserve"> and other support services for those experiencing or at risk of homelessness.</w:t>
      </w:r>
    </w:p>
    <w:p w14:paraId="64A1E787" w14:textId="50794F9F" w:rsidR="00B64012" w:rsidRPr="009317C8" w:rsidRDefault="00122D2A" w:rsidP="004F3EA2">
      <w:pPr>
        <w:pStyle w:val="AlphaParagraph"/>
        <w:numPr>
          <w:ilvl w:val="1"/>
          <w:numId w:val="9"/>
        </w:numPr>
        <w:tabs>
          <w:tab w:val="clear" w:pos="283"/>
          <w:tab w:val="clear" w:pos="567"/>
          <w:tab w:val="clear" w:pos="1134"/>
          <w:tab w:val="clear" w:pos="1701"/>
        </w:tabs>
        <w:jc w:val="left"/>
        <w:rPr>
          <w:color w:val="auto"/>
        </w:rPr>
      </w:pPr>
      <w:r>
        <w:rPr>
          <w:color w:val="auto"/>
        </w:rPr>
        <w:t>d</w:t>
      </w:r>
      <w:r w:rsidR="00B64012" w:rsidRPr="008D0E56">
        <w:rPr>
          <w:color w:val="auto"/>
        </w:rPr>
        <w:t>eliver the outputs</w:t>
      </w:r>
      <w:r w:rsidR="00B64012">
        <w:t xml:space="preserve"> </w:t>
      </w:r>
      <w:r w:rsidR="00637DAD">
        <w:t>c</w:t>
      </w:r>
      <w:r w:rsidR="00637DAD" w:rsidRPr="00637DAD">
        <w:rPr>
          <w:color w:val="auto"/>
        </w:rPr>
        <w:t xml:space="preserve">onsistent with </w:t>
      </w:r>
      <w:r w:rsidR="005D5E0F">
        <w:rPr>
          <w:color w:val="auto"/>
        </w:rPr>
        <w:t>S</w:t>
      </w:r>
      <w:r w:rsidR="00637DAD" w:rsidRPr="00637DAD">
        <w:rPr>
          <w:color w:val="auto"/>
        </w:rPr>
        <w:t>ection 15C of the FFR Act</w:t>
      </w:r>
      <w:r w:rsidR="00DE24DA">
        <w:rPr>
          <w:color w:val="auto"/>
        </w:rPr>
        <w:t xml:space="preserve"> and</w:t>
      </w:r>
      <w:r w:rsidR="00C7509C">
        <w:rPr>
          <w:color w:val="auto"/>
        </w:rPr>
        <w:t xml:space="preserve"> </w:t>
      </w:r>
      <w:r w:rsidR="00B64012" w:rsidRPr="00F32CC9">
        <w:rPr>
          <w:color w:val="auto"/>
        </w:rPr>
        <w:t xml:space="preserve">as set out in </w:t>
      </w:r>
      <w:r w:rsidR="00C228F6" w:rsidRPr="006D0391">
        <w:rPr>
          <w:color w:val="auto"/>
        </w:rPr>
        <w:t>Part 2</w:t>
      </w:r>
    </w:p>
    <w:p w14:paraId="31EF4C5C" w14:textId="4BD30199" w:rsidR="00A94405" w:rsidRDefault="00592D02" w:rsidP="004F3EA2">
      <w:pPr>
        <w:pStyle w:val="AlphaParagraph"/>
        <w:numPr>
          <w:ilvl w:val="1"/>
          <w:numId w:val="9"/>
        </w:numPr>
        <w:tabs>
          <w:tab w:val="clear" w:pos="283"/>
          <w:tab w:val="clear" w:pos="567"/>
          <w:tab w:val="clear" w:pos="1134"/>
          <w:tab w:val="clear" w:pos="1701"/>
        </w:tabs>
        <w:jc w:val="left"/>
        <w:rPr>
          <w:color w:val="auto"/>
        </w:rPr>
      </w:pPr>
      <w:r>
        <w:rPr>
          <w:color w:val="auto"/>
        </w:rPr>
        <w:t xml:space="preserve">ensure relevant </w:t>
      </w:r>
      <w:r w:rsidR="00322C1E">
        <w:rPr>
          <w:color w:val="auto"/>
        </w:rPr>
        <w:t xml:space="preserve">social </w:t>
      </w:r>
      <w:r w:rsidR="00A94405" w:rsidRPr="00A94405">
        <w:rPr>
          <w:color w:val="auto"/>
        </w:rPr>
        <w:t xml:space="preserve">housing providers and agencies that provide </w:t>
      </w:r>
      <w:r w:rsidR="00693473">
        <w:rPr>
          <w:color w:val="auto"/>
        </w:rPr>
        <w:t xml:space="preserve">homelessness </w:t>
      </w:r>
      <w:r w:rsidR="00A94405" w:rsidRPr="00A94405">
        <w:rPr>
          <w:color w:val="auto"/>
        </w:rPr>
        <w:t xml:space="preserve">services </w:t>
      </w:r>
      <w:r>
        <w:rPr>
          <w:color w:val="auto"/>
        </w:rPr>
        <w:t xml:space="preserve">supply data </w:t>
      </w:r>
      <w:r w:rsidR="00880879">
        <w:rPr>
          <w:color w:val="auto"/>
        </w:rPr>
        <w:t>for national data sets</w:t>
      </w:r>
    </w:p>
    <w:p w14:paraId="20C96DA1" w14:textId="78F121B8" w:rsidR="00D87B28" w:rsidRPr="00D87B28" w:rsidRDefault="00D87B28" w:rsidP="004F3EA2">
      <w:pPr>
        <w:pStyle w:val="AlphaParagraph"/>
        <w:numPr>
          <w:ilvl w:val="1"/>
          <w:numId w:val="9"/>
        </w:numPr>
        <w:tabs>
          <w:tab w:val="clear" w:pos="283"/>
          <w:tab w:val="clear" w:pos="567"/>
          <w:tab w:val="clear" w:pos="1134"/>
          <w:tab w:val="clear" w:pos="1701"/>
        </w:tabs>
        <w:jc w:val="left"/>
        <w:rPr>
          <w:color w:val="auto"/>
        </w:rPr>
      </w:pPr>
      <w:r w:rsidRPr="00D87B28">
        <w:rPr>
          <w:color w:val="auto"/>
        </w:rPr>
        <w:t xml:space="preserve">agree a bilateral schedule with the Commonwealth </w:t>
      </w:r>
      <w:r w:rsidR="00170051">
        <w:rPr>
          <w:color w:val="auto"/>
        </w:rPr>
        <w:t>that</w:t>
      </w:r>
      <w:r w:rsidRPr="00D87B28">
        <w:rPr>
          <w:color w:val="auto"/>
        </w:rPr>
        <w:t xml:space="preserve"> </w:t>
      </w:r>
      <w:r w:rsidR="001E4C72">
        <w:rPr>
          <w:color w:val="auto"/>
        </w:rPr>
        <w:t>account</w:t>
      </w:r>
      <w:r w:rsidR="00170051">
        <w:rPr>
          <w:color w:val="auto"/>
        </w:rPr>
        <w:t>s</w:t>
      </w:r>
      <w:r w:rsidR="001E4C72">
        <w:rPr>
          <w:color w:val="auto"/>
        </w:rPr>
        <w:t xml:space="preserve"> for</w:t>
      </w:r>
      <w:r w:rsidRPr="00D87B28">
        <w:rPr>
          <w:color w:val="auto"/>
        </w:rPr>
        <w:t xml:space="preserve"> the specific needs</w:t>
      </w:r>
      <w:r w:rsidR="008D6C00">
        <w:rPr>
          <w:color w:val="auto"/>
        </w:rPr>
        <w:t xml:space="preserve"> and circumstances</w:t>
      </w:r>
      <w:r w:rsidRPr="00D87B28">
        <w:rPr>
          <w:color w:val="auto"/>
        </w:rPr>
        <w:t xml:space="preserve"> of each State</w:t>
      </w:r>
    </w:p>
    <w:p w14:paraId="4A9E7A3D" w14:textId="55A79990" w:rsidR="00DE3067" w:rsidRPr="00155FA6" w:rsidRDefault="00DE3067" w:rsidP="004F3EA2">
      <w:pPr>
        <w:pStyle w:val="AlphaParagraph"/>
        <w:numPr>
          <w:ilvl w:val="1"/>
          <w:numId w:val="9"/>
        </w:numPr>
        <w:tabs>
          <w:tab w:val="clear" w:pos="283"/>
          <w:tab w:val="clear" w:pos="567"/>
          <w:tab w:val="clear" w:pos="1134"/>
          <w:tab w:val="clear" w:pos="1701"/>
        </w:tabs>
        <w:jc w:val="left"/>
        <w:rPr>
          <w:color w:val="auto"/>
        </w:rPr>
      </w:pPr>
      <w:r w:rsidRPr="00155FA6">
        <w:rPr>
          <w:color w:val="auto"/>
        </w:rPr>
        <w:t xml:space="preserve">deliver on </w:t>
      </w:r>
      <w:r w:rsidR="00371309" w:rsidRPr="00155FA6">
        <w:rPr>
          <w:color w:val="auto"/>
        </w:rPr>
        <w:t xml:space="preserve">relevant </w:t>
      </w:r>
      <w:r w:rsidRPr="00155FA6">
        <w:rPr>
          <w:color w:val="auto"/>
        </w:rPr>
        <w:t>outputs and outcomes agreed with the Commonwealth under relevant bilateral schedules</w:t>
      </w:r>
    </w:p>
    <w:p w14:paraId="7AE1814C" w14:textId="07117910" w:rsidR="006A0892" w:rsidRPr="006A0892" w:rsidRDefault="004F3B66" w:rsidP="00D536EC">
      <w:pPr>
        <w:pStyle w:val="AlphaParagraph"/>
        <w:keepNext/>
        <w:keepLines/>
        <w:numPr>
          <w:ilvl w:val="1"/>
          <w:numId w:val="9"/>
        </w:numPr>
        <w:tabs>
          <w:tab w:val="clear" w:pos="283"/>
          <w:tab w:val="clear" w:pos="567"/>
          <w:tab w:val="clear" w:pos="1134"/>
          <w:tab w:val="clear" w:pos="1701"/>
        </w:tabs>
        <w:jc w:val="left"/>
        <w:rPr>
          <w:color w:val="auto"/>
        </w:rPr>
      </w:pPr>
      <w:r>
        <w:rPr>
          <w:color w:val="auto"/>
        </w:rPr>
        <w:lastRenderedPageBreak/>
        <w:t>e</w:t>
      </w:r>
      <w:r w:rsidR="006A0892" w:rsidRPr="006A0892">
        <w:rPr>
          <w:color w:val="auto"/>
        </w:rPr>
        <w:t xml:space="preserve">nsure </w:t>
      </w:r>
      <w:r w:rsidR="003113D8" w:rsidRPr="006A0892">
        <w:rPr>
          <w:color w:val="auto"/>
        </w:rPr>
        <w:t xml:space="preserve">that </w:t>
      </w:r>
      <w:r w:rsidR="001E4C72">
        <w:rPr>
          <w:color w:val="auto"/>
        </w:rPr>
        <w:t>financial assistance</w:t>
      </w:r>
      <w:r w:rsidR="001E4C72" w:rsidRPr="006A0892">
        <w:rPr>
          <w:color w:val="auto"/>
        </w:rPr>
        <w:t xml:space="preserve"> </w:t>
      </w:r>
      <w:r w:rsidR="003113D8" w:rsidRPr="006A0892">
        <w:rPr>
          <w:color w:val="auto"/>
        </w:rPr>
        <w:t xml:space="preserve">provided </w:t>
      </w:r>
      <w:r w:rsidR="006A0892" w:rsidRPr="006A0892">
        <w:rPr>
          <w:color w:val="auto"/>
        </w:rPr>
        <w:t xml:space="preserve">under this </w:t>
      </w:r>
      <w:r w:rsidR="003113D8">
        <w:rPr>
          <w:color w:val="auto"/>
        </w:rPr>
        <w:t>A</w:t>
      </w:r>
      <w:r w:rsidR="006A0892" w:rsidRPr="006A0892">
        <w:rPr>
          <w:color w:val="auto"/>
        </w:rPr>
        <w:t>greement is:</w:t>
      </w:r>
    </w:p>
    <w:p w14:paraId="203600B3" w14:textId="35A5CA27" w:rsidR="006A0892" w:rsidRPr="006A0892" w:rsidRDefault="004A696B" w:rsidP="00D536EC">
      <w:pPr>
        <w:pStyle w:val="AlphaParagraph"/>
        <w:keepNext/>
        <w:keepLines/>
        <w:numPr>
          <w:ilvl w:val="2"/>
          <w:numId w:val="9"/>
        </w:numPr>
        <w:tabs>
          <w:tab w:val="clear" w:pos="283"/>
          <w:tab w:val="clear" w:pos="567"/>
          <w:tab w:val="clear" w:pos="1134"/>
          <w:tab w:val="clear" w:pos="1418"/>
          <w:tab w:val="clear" w:pos="1701"/>
        </w:tabs>
        <w:jc w:val="left"/>
        <w:rPr>
          <w:color w:val="auto"/>
        </w:rPr>
      </w:pPr>
      <w:r>
        <w:rPr>
          <w:color w:val="auto"/>
        </w:rPr>
        <w:t>s</w:t>
      </w:r>
      <w:r w:rsidRPr="006A0892">
        <w:rPr>
          <w:color w:val="auto"/>
        </w:rPr>
        <w:t xml:space="preserve">pent </w:t>
      </w:r>
      <w:r w:rsidR="006A0892" w:rsidRPr="006A0892">
        <w:rPr>
          <w:color w:val="auto"/>
        </w:rPr>
        <w:t xml:space="preserve">for the purposes of the </w:t>
      </w:r>
      <w:r w:rsidR="00B3031B">
        <w:rPr>
          <w:color w:val="auto"/>
        </w:rPr>
        <w:t>A</w:t>
      </w:r>
      <w:r w:rsidR="006A0892" w:rsidRPr="006A0892">
        <w:rPr>
          <w:color w:val="auto"/>
        </w:rPr>
        <w:t>greement</w:t>
      </w:r>
      <w:r w:rsidR="0076615F">
        <w:rPr>
          <w:color w:val="auto"/>
        </w:rPr>
        <w:t>;</w:t>
      </w:r>
      <w:r w:rsidR="006A0892" w:rsidRPr="006A0892">
        <w:rPr>
          <w:color w:val="auto"/>
        </w:rPr>
        <w:t xml:space="preserve"> that is</w:t>
      </w:r>
      <w:r w:rsidR="00155FA6">
        <w:rPr>
          <w:color w:val="auto"/>
        </w:rPr>
        <w:t>,</w:t>
      </w:r>
      <w:r w:rsidR="006A0892" w:rsidRPr="006A0892">
        <w:rPr>
          <w:color w:val="auto"/>
        </w:rPr>
        <w:t xml:space="preserve"> on homelessness </w:t>
      </w:r>
      <w:r w:rsidR="00B3031B">
        <w:rPr>
          <w:color w:val="auto"/>
        </w:rPr>
        <w:t xml:space="preserve">services </w:t>
      </w:r>
      <w:r w:rsidR="006A0892" w:rsidRPr="006A0892">
        <w:rPr>
          <w:color w:val="auto"/>
        </w:rPr>
        <w:t>and social housing</w:t>
      </w:r>
    </w:p>
    <w:p w14:paraId="71FC94A1" w14:textId="3449095E" w:rsidR="006A0892" w:rsidRPr="006A0892" w:rsidRDefault="004A696B" w:rsidP="004F3EA2">
      <w:pPr>
        <w:pStyle w:val="AlphaParagraph"/>
        <w:numPr>
          <w:ilvl w:val="2"/>
          <w:numId w:val="9"/>
        </w:numPr>
        <w:tabs>
          <w:tab w:val="clear" w:pos="283"/>
          <w:tab w:val="clear" w:pos="567"/>
          <w:tab w:val="clear" w:pos="1134"/>
          <w:tab w:val="clear" w:pos="1418"/>
          <w:tab w:val="clear" w:pos="1701"/>
        </w:tabs>
        <w:jc w:val="left"/>
        <w:rPr>
          <w:color w:val="auto"/>
        </w:rPr>
      </w:pPr>
      <w:r>
        <w:rPr>
          <w:color w:val="auto"/>
        </w:rPr>
        <w:t>s</w:t>
      </w:r>
      <w:r w:rsidRPr="006A0892">
        <w:rPr>
          <w:color w:val="auto"/>
        </w:rPr>
        <w:t xml:space="preserve">pent </w:t>
      </w:r>
      <w:r w:rsidR="006A0892" w:rsidRPr="006A0892">
        <w:rPr>
          <w:color w:val="auto"/>
        </w:rPr>
        <w:t>in a way that de</w:t>
      </w:r>
      <w:r w:rsidR="006A0892">
        <w:rPr>
          <w:color w:val="auto"/>
        </w:rPr>
        <w:t xml:space="preserve">livers the greatest net benefit </w:t>
      </w:r>
      <w:r w:rsidR="00170051">
        <w:rPr>
          <w:color w:val="auto"/>
        </w:rPr>
        <w:t xml:space="preserve">to the community </w:t>
      </w:r>
      <w:r w:rsidR="006A0892">
        <w:rPr>
          <w:color w:val="auto"/>
        </w:rPr>
        <w:t>or, alternatively, a pathway is established to improve the quality of spending (for example, effective evaluations)</w:t>
      </w:r>
      <w:r w:rsidR="00AF70E7">
        <w:rPr>
          <w:color w:val="auto"/>
        </w:rPr>
        <w:t>.</w:t>
      </w:r>
      <w:r w:rsidR="006A0892">
        <w:rPr>
          <w:color w:val="auto"/>
        </w:rPr>
        <w:t xml:space="preserve"> </w:t>
      </w:r>
    </w:p>
    <w:p w14:paraId="2483EF0F" w14:textId="05D608E3" w:rsidR="00FA3587" w:rsidRDefault="001028DC" w:rsidP="004F3EA2">
      <w:pPr>
        <w:pStyle w:val="AlphaParagraph"/>
        <w:keepNext/>
        <w:numPr>
          <w:ilvl w:val="0"/>
          <w:numId w:val="9"/>
        </w:numPr>
        <w:tabs>
          <w:tab w:val="clear" w:pos="283"/>
          <w:tab w:val="clear" w:pos="1134"/>
          <w:tab w:val="clear" w:pos="1418"/>
          <w:tab w:val="clear" w:pos="1701"/>
        </w:tabs>
        <w:jc w:val="left"/>
      </w:pPr>
      <w:r>
        <w:t>All P</w:t>
      </w:r>
      <w:r w:rsidR="00FA3587">
        <w:t xml:space="preserve">arties have a responsibility to </w:t>
      </w:r>
      <w:r w:rsidR="00837453" w:rsidRPr="4A8D1852">
        <w:rPr>
          <w:color w:val="000000" w:themeColor="text1"/>
        </w:rPr>
        <w:t>improv</w:t>
      </w:r>
      <w:r w:rsidR="00FA3587" w:rsidRPr="4A8D1852">
        <w:rPr>
          <w:color w:val="000000" w:themeColor="text1"/>
        </w:rPr>
        <w:t>e</w:t>
      </w:r>
      <w:r w:rsidR="00837453" w:rsidRPr="4A8D1852">
        <w:rPr>
          <w:color w:val="000000" w:themeColor="text1"/>
        </w:rPr>
        <w:t xml:space="preserve"> the </w:t>
      </w:r>
      <w:r w:rsidR="00880879" w:rsidRPr="4A8D1852">
        <w:rPr>
          <w:color w:val="000000" w:themeColor="text1"/>
        </w:rPr>
        <w:t xml:space="preserve">national </w:t>
      </w:r>
      <w:r w:rsidR="00837453" w:rsidRPr="4A8D1852">
        <w:rPr>
          <w:color w:val="000000" w:themeColor="text1"/>
        </w:rPr>
        <w:t>housing and homelessness evidence base</w:t>
      </w:r>
      <w:r w:rsidR="00FA3587" w:rsidRPr="4A8D1852">
        <w:rPr>
          <w:color w:val="000000" w:themeColor="text1"/>
        </w:rPr>
        <w:t>. This includes but is not limited to a responsibility to</w:t>
      </w:r>
      <w:r w:rsidR="00837453">
        <w:t>:</w:t>
      </w:r>
    </w:p>
    <w:p w14:paraId="282FA44F" w14:textId="3B15DBCE" w:rsidR="00FA3587" w:rsidRPr="00C41001" w:rsidRDefault="002B4138" w:rsidP="004F3EA2">
      <w:pPr>
        <w:pStyle w:val="AlphaParagraph"/>
        <w:keepNext/>
        <w:numPr>
          <w:ilvl w:val="1"/>
          <w:numId w:val="9"/>
        </w:numPr>
        <w:tabs>
          <w:tab w:val="clear" w:pos="283"/>
          <w:tab w:val="clear" w:pos="567"/>
          <w:tab w:val="clear" w:pos="1134"/>
          <w:tab w:val="clear" w:pos="1701"/>
          <w:tab w:val="num" w:pos="2268"/>
        </w:tabs>
        <w:jc w:val="left"/>
      </w:pPr>
      <w:r>
        <w:t>collect</w:t>
      </w:r>
      <w:r w:rsidR="00322C1E">
        <w:t>, compile</w:t>
      </w:r>
      <w:r w:rsidR="00837453">
        <w:t xml:space="preserve"> and supply data </w:t>
      </w:r>
      <w:r w:rsidR="00170051">
        <w:t>to</w:t>
      </w:r>
      <w:r w:rsidR="00837453">
        <w:t xml:space="preserve"> develop nationally consistent data sets</w:t>
      </w:r>
      <w:r w:rsidR="00AA3593">
        <w:t xml:space="preserve"> (Schedule C)</w:t>
      </w:r>
    </w:p>
    <w:p w14:paraId="4208ED05" w14:textId="006D9E4E" w:rsidR="00837453" w:rsidRPr="006D0391" w:rsidRDefault="002B4138" w:rsidP="004F3EA2">
      <w:pPr>
        <w:pStyle w:val="AlphaParagraph"/>
        <w:keepNext/>
        <w:numPr>
          <w:ilvl w:val="1"/>
          <w:numId w:val="9"/>
        </w:numPr>
        <w:tabs>
          <w:tab w:val="clear" w:pos="283"/>
          <w:tab w:val="clear" w:pos="567"/>
          <w:tab w:val="clear" w:pos="1134"/>
          <w:tab w:val="clear" w:pos="1701"/>
          <w:tab w:val="num" w:pos="2268"/>
        </w:tabs>
        <w:jc w:val="left"/>
      </w:pPr>
      <w:r>
        <w:t xml:space="preserve">share </w:t>
      </w:r>
      <w:r w:rsidR="00FA3587">
        <w:t xml:space="preserve">data for the purposes of </w:t>
      </w:r>
      <w:r w:rsidR="00CB50A3">
        <w:t xml:space="preserve">monitoring and </w:t>
      </w:r>
      <w:r w:rsidR="00FA3587">
        <w:t>reporting</w:t>
      </w:r>
      <w:r w:rsidR="00253FC5">
        <w:t>,</w:t>
      </w:r>
      <w:r w:rsidR="00FA3587">
        <w:t xml:space="preserve"> and </w:t>
      </w:r>
      <w:r w:rsidR="00FA3587" w:rsidRPr="006D0391">
        <w:t>delivering improved outcomes under this Agreement.</w:t>
      </w:r>
      <w:r w:rsidR="004F3B66" w:rsidRPr="006D0391">
        <w:t xml:space="preserve"> This includes p</w:t>
      </w:r>
      <w:r w:rsidR="00FA3587" w:rsidRPr="006D0391">
        <w:t>rovid</w:t>
      </w:r>
      <w:r w:rsidR="004F3B66" w:rsidRPr="006D0391">
        <w:t>ing</w:t>
      </w:r>
      <w:r w:rsidR="00FA3587" w:rsidRPr="006D0391">
        <w:t xml:space="preserve"> </w:t>
      </w:r>
      <w:r w:rsidR="00880879" w:rsidRPr="006D0391">
        <w:t xml:space="preserve">Parties to the Agreement with </w:t>
      </w:r>
      <w:r w:rsidR="00FA3587" w:rsidRPr="006D0391">
        <w:t xml:space="preserve">reasonable access to </w:t>
      </w:r>
      <w:r w:rsidR="00880879" w:rsidRPr="006D0391">
        <w:t>relevant</w:t>
      </w:r>
      <w:r w:rsidR="004F3B66" w:rsidRPr="006D0391">
        <w:t xml:space="preserve"> data sets for the purpose of</w:t>
      </w:r>
      <w:r w:rsidR="00880879" w:rsidRPr="006D0391">
        <w:t xml:space="preserve"> </w:t>
      </w:r>
      <w:r w:rsidR="00FA3587" w:rsidRPr="006D0391">
        <w:t xml:space="preserve">research and </w:t>
      </w:r>
      <w:r w:rsidR="004F3B66" w:rsidRPr="006D0391">
        <w:t>policy development</w:t>
      </w:r>
      <w:r w:rsidR="00FA3587" w:rsidRPr="006D0391">
        <w:t xml:space="preserve">, including but not limited to </w:t>
      </w:r>
      <w:r w:rsidR="00170051">
        <w:t>purposes</w:t>
      </w:r>
      <w:r w:rsidR="00170051" w:rsidRPr="006D0391">
        <w:t xml:space="preserve"> </w:t>
      </w:r>
      <w:r w:rsidR="00FA3587" w:rsidRPr="006D0391">
        <w:t xml:space="preserve">outlined </w:t>
      </w:r>
      <w:r w:rsidR="0001703E" w:rsidRPr="006D0391">
        <w:t>in</w:t>
      </w:r>
      <w:r w:rsidR="00FA3587" w:rsidRPr="006D0391">
        <w:t xml:space="preserve"> </w:t>
      </w:r>
      <w:r w:rsidR="00E15C6C" w:rsidRPr="006D0391">
        <w:t xml:space="preserve">Schedule </w:t>
      </w:r>
      <w:r w:rsidR="00AA3593" w:rsidRPr="006D0391">
        <w:t>C</w:t>
      </w:r>
      <w:r w:rsidR="00FA3587" w:rsidRPr="006D0391">
        <w:t>.</w:t>
      </w:r>
    </w:p>
    <w:p w14:paraId="66CFACC0" w14:textId="6D66CFFB" w:rsidR="00837453" w:rsidRPr="00C811E9" w:rsidRDefault="001028DC" w:rsidP="004F3EA2">
      <w:pPr>
        <w:pStyle w:val="Normalnumbered"/>
        <w:numPr>
          <w:ilvl w:val="0"/>
          <w:numId w:val="9"/>
        </w:numPr>
        <w:spacing w:after="0"/>
        <w:jc w:val="left"/>
      </w:pPr>
      <w:r w:rsidRPr="006D0391">
        <w:t>All</w:t>
      </w:r>
      <w:r w:rsidR="00837453" w:rsidRPr="006D0391">
        <w:t xml:space="preserve"> Parties will </w:t>
      </w:r>
      <w:r w:rsidR="00C86B7A" w:rsidRPr="006D0391">
        <w:t xml:space="preserve">ensure </w:t>
      </w:r>
      <w:r w:rsidR="00837453" w:rsidRPr="006D0391">
        <w:t>that prior agreement</w:t>
      </w:r>
      <w:r w:rsidR="00837453">
        <w:t xml:space="preserve"> is reached on the nature and content of any events, announcements, promotional material or publicity relating to activities under this Agreement, and that the roles of both Parties will be acknowledged and recognised appropriately.</w:t>
      </w:r>
    </w:p>
    <w:p w14:paraId="554C06C9" w14:textId="27BD02FC" w:rsidR="365F8E01" w:rsidRDefault="365F8E01" w:rsidP="007461F2">
      <w:pPr>
        <w:pStyle w:val="Heading2"/>
      </w:pPr>
      <w:r>
        <w:t xml:space="preserve">Aboriginal and Torres Strait Islander </w:t>
      </w:r>
      <w:r w:rsidR="00217259">
        <w:t>people</w:t>
      </w:r>
    </w:p>
    <w:p w14:paraId="570CF86E" w14:textId="278518CF" w:rsidR="00071F3D" w:rsidRDefault="00637DAD" w:rsidP="004F3EA2">
      <w:pPr>
        <w:pStyle w:val="FootnoteText"/>
        <w:keepNext/>
        <w:numPr>
          <w:ilvl w:val="0"/>
          <w:numId w:val="9"/>
        </w:numPr>
        <w:tabs>
          <w:tab w:val="left" w:pos="142"/>
        </w:tabs>
        <w:spacing w:after="240"/>
        <w:rPr>
          <w:rFonts w:eastAsiaTheme="minorEastAsia" w:cs="Corbel"/>
          <w:color w:val="000000" w:themeColor="text1"/>
          <w:sz w:val="23"/>
          <w:szCs w:val="23"/>
          <w:lang w:eastAsia="en-US"/>
        </w:rPr>
      </w:pPr>
      <w:r w:rsidRPr="4A8D1852">
        <w:rPr>
          <w:rFonts w:eastAsiaTheme="minorEastAsia" w:cs="Corbel"/>
          <w:color w:val="000000" w:themeColor="text1"/>
          <w:sz w:val="23"/>
          <w:szCs w:val="23"/>
          <w:lang w:eastAsia="en-US"/>
        </w:rPr>
        <w:t xml:space="preserve">The Agreement recognises the need to address the disproportionate housing inequality that affects Aboriginal and Torres Strait Islander people. </w:t>
      </w:r>
      <w:r w:rsidRPr="00AD1403">
        <w:rPr>
          <w:sz w:val="23"/>
          <w:szCs w:val="23"/>
        </w:rPr>
        <w:t xml:space="preserve">This </w:t>
      </w:r>
      <w:r>
        <w:rPr>
          <w:sz w:val="23"/>
          <w:szCs w:val="23"/>
        </w:rPr>
        <w:t>Agreement recognises that progress must</w:t>
      </w:r>
      <w:r w:rsidRPr="00AD1403">
        <w:rPr>
          <w:sz w:val="23"/>
          <w:szCs w:val="23"/>
        </w:rPr>
        <w:t xml:space="preserve"> be achieved through</w:t>
      </w:r>
      <w:r>
        <w:rPr>
          <w:sz w:val="23"/>
          <w:szCs w:val="23"/>
        </w:rPr>
        <w:t xml:space="preserve"> </w:t>
      </w:r>
      <w:r w:rsidR="00991184">
        <w:rPr>
          <w:sz w:val="23"/>
          <w:szCs w:val="23"/>
        </w:rPr>
        <w:t>alignment with</w:t>
      </w:r>
      <w:r w:rsidRPr="00AD1403">
        <w:rPr>
          <w:sz w:val="23"/>
          <w:szCs w:val="23"/>
        </w:rPr>
        <w:t xml:space="preserve"> the </w:t>
      </w:r>
      <w:r w:rsidR="00055551">
        <w:rPr>
          <w:sz w:val="23"/>
          <w:szCs w:val="23"/>
        </w:rPr>
        <w:t>P</w:t>
      </w:r>
      <w:r w:rsidRPr="00AD1403">
        <w:rPr>
          <w:sz w:val="23"/>
          <w:szCs w:val="23"/>
        </w:rPr>
        <w:t xml:space="preserve">riority </w:t>
      </w:r>
      <w:r w:rsidR="00055551">
        <w:rPr>
          <w:sz w:val="23"/>
          <w:szCs w:val="23"/>
        </w:rPr>
        <w:t>R</w:t>
      </w:r>
      <w:r w:rsidRPr="00AD1403">
        <w:rPr>
          <w:sz w:val="23"/>
          <w:szCs w:val="23"/>
        </w:rPr>
        <w:t xml:space="preserve">eforms </w:t>
      </w:r>
      <w:r w:rsidR="00991184">
        <w:rPr>
          <w:sz w:val="23"/>
          <w:szCs w:val="23"/>
        </w:rPr>
        <w:t xml:space="preserve">committed to </w:t>
      </w:r>
      <w:r w:rsidRPr="00AD1403">
        <w:rPr>
          <w:sz w:val="23"/>
          <w:szCs w:val="23"/>
        </w:rPr>
        <w:t xml:space="preserve">in the </w:t>
      </w:r>
      <w:r>
        <w:rPr>
          <w:sz w:val="23"/>
          <w:szCs w:val="23"/>
        </w:rPr>
        <w:t xml:space="preserve">National Agreement </w:t>
      </w:r>
      <w:r w:rsidR="002F5511">
        <w:rPr>
          <w:sz w:val="23"/>
          <w:szCs w:val="23"/>
        </w:rPr>
        <w:t>on</w:t>
      </w:r>
      <w:r>
        <w:rPr>
          <w:sz w:val="23"/>
          <w:szCs w:val="23"/>
        </w:rPr>
        <w:t xml:space="preserve"> </w:t>
      </w:r>
      <w:r w:rsidRPr="00AD1403">
        <w:rPr>
          <w:sz w:val="23"/>
          <w:szCs w:val="23"/>
        </w:rPr>
        <w:t>Closing the Gap</w:t>
      </w:r>
      <w:r>
        <w:rPr>
          <w:sz w:val="23"/>
          <w:szCs w:val="23"/>
        </w:rPr>
        <w:t>, which are</w:t>
      </w:r>
      <w:r w:rsidRPr="00AD1403">
        <w:rPr>
          <w:sz w:val="23"/>
          <w:szCs w:val="23"/>
        </w:rPr>
        <w:t>:</w:t>
      </w:r>
      <w:r>
        <w:rPr>
          <w:sz w:val="23"/>
          <w:szCs w:val="23"/>
        </w:rPr>
        <w:t xml:space="preserve"> </w:t>
      </w:r>
    </w:p>
    <w:p w14:paraId="391103DE" w14:textId="77777777" w:rsidR="00BB6773" w:rsidRDefault="00BB6773" w:rsidP="004F3EA2">
      <w:pPr>
        <w:pStyle w:val="FootnoteText"/>
        <w:keepNext/>
        <w:numPr>
          <w:ilvl w:val="1"/>
          <w:numId w:val="9"/>
        </w:numPr>
        <w:tabs>
          <w:tab w:val="left" w:pos="142"/>
        </w:tabs>
        <w:spacing w:after="240"/>
        <w:rPr>
          <w:rFonts w:eastAsiaTheme="minorEastAsia" w:cs="Corbel"/>
          <w:color w:val="000000" w:themeColor="text1"/>
          <w:sz w:val="23"/>
          <w:szCs w:val="23"/>
          <w:lang w:eastAsia="en-US"/>
        </w:rPr>
      </w:pPr>
      <w:r>
        <w:rPr>
          <w:rFonts w:eastAsiaTheme="minorEastAsia" w:cs="Corbel"/>
          <w:color w:val="000000" w:themeColor="text1"/>
          <w:sz w:val="23"/>
          <w:szCs w:val="23"/>
          <w:lang w:eastAsia="en-US"/>
        </w:rPr>
        <w:t xml:space="preserve">Priority Reform One: </w:t>
      </w:r>
      <w:r w:rsidRPr="4A8D1852">
        <w:rPr>
          <w:rFonts w:eastAsiaTheme="minorEastAsia" w:cs="Corbel"/>
          <w:color w:val="000000" w:themeColor="text1"/>
          <w:sz w:val="23"/>
          <w:szCs w:val="23"/>
          <w:lang w:eastAsia="en-US"/>
        </w:rPr>
        <w:t xml:space="preserve">Formal </w:t>
      </w:r>
      <w:r>
        <w:rPr>
          <w:rFonts w:eastAsiaTheme="minorEastAsia" w:cs="Corbel"/>
          <w:color w:val="000000" w:themeColor="text1"/>
          <w:sz w:val="23"/>
          <w:szCs w:val="23"/>
          <w:lang w:eastAsia="en-US"/>
        </w:rPr>
        <w:t>P</w:t>
      </w:r>
      <w:r w:rsidRPr="4A8D1852">
        <w:rPr>
          <w:rFonts w:eastAsiaTheme="minorEastAsia" w:cs="Corbel"/>
          <w:color w:val="000000" w:themeColor="text1"/>
          <w:sz w:val="23"/>
          <w:szCs w:val="23"/>
          <w:lang w:eastAsia="en-US"/>
        </w:rPr>
        <w:t>artnerships and Shared Decision Making</w:t>
      </w:r>
    </w:p>
    <w:p w14:paraId="5CCE2D9E" w14:textId="77777777" w:rsidR="00BB6773" w:rsidRDefault="00BB6773" w:rsidP="004F3EA2">
      <w:pPr>
        <w:pStyle w:val="FootnoteText"/>
        <w:keepNext/>
        <w:numPr>
          <w:ilvl w:val="1"/>
          <w:numId w:val="9"/>
        </w:numPr>
        <w:tabs>
          <w:tab w:val="left" w:pos="142"/>
        </w:tabs>
        <w:spacing w:after="240"/>
        <w:rPr>
          <w:rFonts w:eastAsiaTheme="minorEastAsia" w:cs="Corbel"/>
          <w:color w:val="000000" w:themeColor="text1"/>
          <w:sz w:val="23"/>
          <w:szCs w:val="23"/>
          <w:lang w:eastAsia="en-US"/>
        </w:rPr>
      </w:pPr>
      <w:r>
        <w:rPr>
          <w:rFonts w:eastAsiaTheme="minorEastAsia" w:cs="Corbel"/>
          <w:color w:val="000000" w:themeColor="text1"/>
          <w:sz w:val="23"/>
          <w:szCs w:val="23"/>
          <w:lang w:eastAsia="en-US"/>
        </w:rPr>
        <w:t xml:space="preserve">Priority Reform Two: </w:t>
      </w:r>
      <w:r w:rsidRPr="4A8D1852">
        <w:rPr>
          <w:rFonts w:eastAsiaTheme="minorEastAsia" w:cs="Corbel"/>
          <w:color w:val="000000" w:themeColor="text1"/>
          <w:sz w:val="23"/>
          <w:szCs w:val="23"/>
          <w:lang w:eastAsia="en-US"/>
        </w:rPr>
        <w:t>Building the Community-Controlled Sector</w:t>
      </w:r>
    </w:p>
    <w:p w14:paraId="6CB8FBA9" w14:textId="77777777" w:rsidR="00BB6773" w:rsidRPr="00071F3D" w:rsidRDefault="00BB6773" w:rsidP="004F3EA2">
      <w:pPr>
        <w:pStyle w:val="FootnoteText"/>
        <w:keepNext/>
        <w:numPr>
          <w:ilvl w:val="1"/>
          <w:numId w:val="9"/>
        </w:numPr>
        <w:tabs>
          <w:tab w:val="left" w:pos="142"/>
        </w:tabs>
        <w:spacing w:after="240"/>
        <w:rPr>
          <w:rFonts w:eastAsiaTheme="minorEastAsia" w:cs="Corbel"/>
          <w:color w:val="000000" w:themeColor="text1"/>
          <w:sz w:val="23"/>
          <w:szCs w:val="23"/>
          <w:lang w:eastAsia="en-US"/>
        </w:rPr>
      </w:pPr>
      <w:r>
        <w:rPr>
          <w:rFonts w:eastAsiaTheme="minorEastAsia" w:cs="Corbel"/>
          <w:color w:val="000000" w:themeColor="text1"/>
          <w:sz w:val="23"/>
          <w:szCs w:val="23"/>
          <w:lang w:eastAsia="en-US"/>
        </w:rPr>
        <w:t xml:space="preserve">Priority Reform Three: </w:t>
      </w:r>
      <w:r w:rsidRPr="4A8D1852">
        <w:rPr>
          <w:rFonts w:eastAsiaTheme="minorEastAsia" w:cs="Corbel"/>
          <w:color w:val="000000" w:themeColor="text1"/>
          <w:sz w:val="23"/>
          <w:szCs w:val="23"/>
          <w:lang w:eastAsia="en-US"/>
        </w:rPr>
        <w:t>Transforming Government Organisations</w:t>
      </w:r>
    </w:p>
    <w:p w14:paraId="0F9B6681" w14:textId="77777777" w:rsidR="00BB6773" w:rsidRPr="0083649D" w:rsidRDefault="00BB6773" w:rsidP="004F3EA2">
      <w:pPr>
        <w:pStyle w:val="FootnoteText"/>
        <w:keepNext/>
        <w:numPr>
          <w:ilvl w:val="1"/>
          <w:numId w:val="9"/>
        </w:numPr>
        <w:tabs>
          <w:tab w:val="left" w:pos="142"/>
        </w:tabs>
        <w:spacing w:after="240"/>
        <w:rPr>
          <w:rFonts w:eastAsiaTheme="minorEastAsia" w:cs="Corbel"/>
          <w:color w:val="000000" w:themeColor="text1"/>
          <w:sz w:val="23"/>
          <w:szCs w:val="23"/>
          <w:lang w:eastAsia="en-US"/>
        </w:rPr>
      </w:pPr>
      <w:r>
        <w:rPr>
          <w:rFonts w:eastAsiaTheme="minorEastAsia" w:cs="Corbel"/>
          <w:color w:val="000000" w:themeColor="text1"/>
          <w:sz w:val="23"/>
          <w:szCs w:val="23"/>
          <w:lang w:eastAsia="en-US"/>
        </w:rPr>
        <w:t xml:space="preserve">Priority Reform Four: </w:t>
      </w:r>
      <w:r w:rsidRPr="4A8D1852">
        <w:rPr>
          <w:rFonts w:eastAsiaTheme="minorEastAsia" w:cs="Corbel"/>
          <w:color w:val="000000" w:themeColor="text1"/>
          <w:sz w:val="23"/>
          <w:szCs w:val="23"/>
          <w:lang w:eastAsia="en-US"/>
        </w:rPr>
        <w:t>Shared Access to Data and Information at a Regional Level.</w:t>
      </w:r>
    </w:p>
    <w:p w14:paraId="28C55C40" w14:textId="085EB3C9" w:rsidR="00BB6773" w:rsidRDefault="00D87B28" w:rsidP="004F3EA2">
      <w:pPr>
        <w:pStyle w:val="FootnoteText"/>
        <w:keepNext/>
        <w:numPr>
          <w:ilvl w:val="0"/>
          <w:numId w:val="9"/>
        </w:numPr>
        <w:tabs>
          <w:tab w:val="left" w:pos="142"/>
        </w:tabs>
        <w:spacing w:after="240"/>
        <w:rPr>
          <w:rFonts w:eastAsiaTheme="minorEastAsia" w:cs="Corbel"/>
          <w:color w:val="000000" w:themeColor="text1"/>
          <w:sz w:val="23"/>
          <w:szCs w:val="23"/>
          <w:lang w:eastAsia="en-US"/>
        </w:rPr>
      </w:pPr>
      <w:r>
        <w:rPr>
          <w:rFonts w:eastAsiaTheme="minorEastAsia" w:cs="Corbel"/>
          <w:color w:val="000000" w:themeColor="text1"/>
          <w:sz w:val="23"/>
          <w:szCs w:val="23"/>
          <w:lang w:eastAsia="en-US"/>
        </w:rPr>
        <w:t xml:space="preserve">All parties have </w:t>
      </w:r>
      <w:r w:rsidDel="00657600">
        <w:rPr>
          <w:rFonts w:eastAsiaTheme="minorEastAsia" w:cs="Corbel"/>
          <w:color w:val="000000" w:themeColor="text1"/>
          <w:sz w:val="23"/>
          <w:szCs w:val="23"/>
          <w:lang w:eastAsia="en-US"/>
        </w:rPr>
        <w:t xml:space="preserve">responsibility </w:t>
      </w:r>
      <w:r w:rsidR="001F41EC" w:rsidDel="00657600">
        <w:rPr>
          <w:rFonts w:eastAsiaTheme="minorEastAsia" w:cs="Corbel"/>
          <w:color w:val="000000" w:themeColor="text1"/>
          <w:sz w:val="23"/>
          <w:szCs w:val="23"/>
          <w:lang w:eastAsia="en-US"/>
        </w:rPr>
        <w:t xml:space="preserve">to ensure their </w:t>
      </w:r>
      <w:r w:rsidR="001F41EC">
        <w:rPr>
          <w:rFonts w:eastAsiaTheme="minorEastAsia" w:cs="Corbel"/>
          <w:color w:val="000000" w:themeColor="text1"/>
          <w:sz w:val="23"/>
          <w:szCs w:val="23"/>
          <w:lang w:eastAsia="en-US"/>
        </w:rPr>
        <w:t xml:space="preserve">commitment under the </w:t>
      </w:r>
      <w:r w:rsidR="001F41EC">
        <w:rPr>
          <w:sz w:val="23"/>
          <w:szCs w:val="23"/>
        </w:rPr>
        <w:t xml:space="preserve">National Agreement on </w:t>
      </w:r>
      <w:r w:rsidR="001F41EC" w:rsidRPr="00AD1403">
        <w:rPr>
          <w:sz w:val="23"/>
          <w:szCs w:val="23"/>
        </w:rPr>
        <w:t>Closing the Gap</w:t>
      </w:r>
      <w:r w:rsidR="001F41EC">
        <w:rPr>
          <w:sz w:val="23"/>
          <w:szCs w:val="23"/>
        </w:rPr>
        <w:t xml:space="preserve"> </w:t>
      </w:r>
      <w:r w:rsidR="001F41EC" w:rsidDel="00657600">
        <w:rPr>
          <w:sz w:val="23"/>
          <w:szCs w:val="23"/>
        </w:rPr>
        <w:t xml:space="preserve">are met </w:t>
      </w:r>
      <w:r w:rsidR="001F41EC" w:rsidDel="004E034C">
        <w:rPr>
          <w:sz w:val="23"/>
          <w:szCs w:val="23"/>
        </w:rPr>
        <w:t xml:space="preserve">including </w:t>
      </w:r>
      <w:r w:rsidDel="004E034C">
        <w:rPr>
          <w:rFonts w:eastAsiaTheme="minorEastAsia" w:cs="Corbel"/>
          <w:color w:val="000000" w:themeColor="text1"/>
          <w:sz w:val="23"/>
          <w:szCs w:val="23"/>
          <w:lang w:eastAsia="en-US"/>
        </w:rPr>
        <w:t>implementing these Priority Reforms</w:t>
      </w:r>
      <w:r w:rsidR="001F41EC">
        <w:rPr>
          <w:rFonts w:eastAsiaTheme="minorEastAsia" w:cs="Corbel"/>
          <w:color w:val="000000" w:themeColor="text1"/>
          <w:sz w:val="23"/>
          <w:szCs w:val="23"/>
          <w:lang w:eastAsia="en-US"/>
        </w:rPr>
        <w:t>.</w:t>
      </w:r>
      <w:r>
        <w:rPr>
          <w:rFonts w:eastAsiaTheme="minorEastAsia" w:cs="Corbel"/>
          <w:color w:val="000000" w:themeColor="text1"/>
          <w:sz w:val="23"/>
          <w:szCs w:val="23"/>
          <w:lang w:eastAsia="en-US"/>
        </w:rPr>
        <w:t xml:space="preserve"> </w:t>
      </w:r>
    </w:p>
    <w:p w14:paraId="4A8A966B" w14:textId="4ADFB450" w:rsidR="00071F3D" w:rsidRPr="003B201B" w:rsidRDefault="0044016E" w:rsidP="004F3EA2">
      <w:pPr>
        <w:pStyle w:val="FootnoteText"/>
        <w:keepNext/>
        <w:numPr>
          <w:ilvl w:val="0"/>
          <w:numId w:val="9"/>
        </w:numPr>
        <w:tabs>
          <w:tab w:val="left" w:pos="142"/>
        </w:tabs>
        <w:spacing w:after="240"/>
        <w:rPr>
          <w:rFonts w:eastAsiaTheme="minorEastAsia" w:cs="Corbel"/>
          <w:color w:val="000000" w:themeColor="text1"/>
          <w:sz w:val="23"/>
          <w:szCs w:val="23"/>
          <w:lang w:eastAsia="en-US"/>
        </w:rPr>
      </w:pPr>
      <w:r>
        <w:rPr>
          <w:rFonts w:eastAsiaTheme="minorEastAsia" w:cs="Corbel"/>
          <w:color w:val="000000" w:themeColor="text1"/>
          <w:sz w:val="23"/>
          <w:szCs w:val="23"/>
          <w:lang w:eastAsia="en-US"/>
        </w:rPr>
        <w:tab/>
      </w:r>
      <w:r w:rsidR="0083649D" w:rsidRPr="0083649D">
        <w:rPr>
          <w:rFonts w:eastAsiaTheme="minorEastAsia" w:cs="Corbel"/>
          <w:color w:val="000000" w:themeColor="text1"/>
          <w:sz w:val="23"/>
          <w:szCs w:val="23"/>
          <w:lang w:eastAsia="en-US"/>
        </w:rPr>
        <w:t xml:space="preserve">In line with all governments’ commitments to these </w:t>
      </w:r>
      <w:r w:rsidR="00055551">
        <w:rPr>
          <w:rFonts w:eastAsiaTheme="minorEastAsia" w:cs="Corbel"/>
          <w:color w:val="000000" w:themeColor="text1"/>
          <w:sz w:val="23"/>
          <w:szCs w:val="23"/>
          <w:lang w:eastAsia="en-US"/>
        </w:rPr>
        <w:t>P</w:t>
      </w:r>
      <w:r w:rsidR="0083649D" w:rsidRPr="0083649D">
        <w:rPr>
          <w:rFonts w:eastAsiaTheme="minorEastAsia" w:cs="Corbel"/>
          <w:color w:val="000000" w:themeColor="text1"/>
          <w:sz w:val="23"/>
          <w:szCs w:val="23"/>
          <w:lang w:eastAsia="en-US"/>
        </w:rPr>
        <w:t xml:space="preserve">riority </w:t>
      </w:r>
      <w:r w:rsidR="00055551">
        <w:rPr>
          <w:rFonts w:eastAsiaTheme="minorEastAsia" w:cs="Corbel"/>
          <w:color w:val="000000" w:themeColor="text1"/>
          <w:sz w:val="23"/>
          <w:szCs w:val="23"/>
          <w:lang w:eastAsia="en-US"/>
        </w:rPr>
        <w:t>R</w:t>
      </w:r>
      <w:r w:rsidR="0083649D" w:rsidRPr="0083649D">
        <w:rPr>
          <w:rFonts w:eastAsiaTheme="minorEastAsia" w:cs="Corbel"/>
          <w:color w:val="000000" w:themeColor="text1"/>
          <w:sz w:val="23"/>
          <w:szCs w:val="23"/>
          <w:lang w:eastAsia="en-US"/>
        </w:rPr>
        <w:t xml:space="preserve">eforms, decisions </w:t>
      </w:r>
      <w:r w:rsidR="008C64E0">
        <w:rPr>
          <w:rFonts w:eastAsiaTheme="minorEastAsia" w:cs="Corbel"/>
          <w:color w:val="000000" w:themeColor="text1"/>
          <w:sz w:val="23"/>
          <w:szCs w:val="23"/>
          <w:lang w:eastAsia="en-US"/>
        </w:rPr>
        <w:t>that</w:t>
      </w:r>
      <w:r w:rsidR="0086392D">
        <w:rPr>
          <w:rFonts w:eastAsiaTheme="minorEastAsia" w:cs="Corbel"/>
          <w:color w:val="000000" w:themeColor="text1"/>
          <w:sz w:val="23"/>
          <w:szCs w:val="23"/>
          <w:lang w:eastAsia="en-US"/>
        </w:rPr>
        <w:t xml:space="preserve"> predomina</w:t>
      </w:r>
      <w:r w:rsidR="008B072B">
        <w:rPr>
          <w:rFonts w:eastAsiaTheme="minorEastAsia" w:cs="Corbel"/>
          <w:color w:val="000000" w:themeColor="text1"/>
          <w:sz w:val="23"/>
          <w:szCs w:val="23"/>
          <w:lang w:eastAsia="en-US"/>
        </w:rPr>
        <w:t>n</w:t>
      </w:r>
      <w:r w:rsidR="0086392D">
        <w:rPr>
          <w:rFonts w:eastAsiaTheme="minorEastAsia" w:cs="Corbel"/>
          <w:color w:val="000000" w:themeColor="text1"/>
          <w:sz w:val="23"/>
          <w:szCs w:val="23"/>
          <w:lang w:eastAsia="en-US"/>
        </w:rPr>
        <w:t>tly</w:t>
      </w:r>
      <w:r w:rsidR="0083649D" w:rsidRPr="0083649D">
        <w:rPr>
          <w:rFonts w:eastAsiaTheme="minorEastAsia" w:cs="Corbel"/>
          <w:color w:val="000000" w:themeColor="text1"/>
          <w:sz w:val="23"/>
          <w:szCs w:val="23"/>
          <w:lang w:eastAsia="en-US"/>
        </w:rPr>
        <w:t xml:space="preserve"> affect Aboriginal and Torres Strait Islander people will be decided by Partnership Bod</w:t>
      </w:r>
      <w:r w:rsidR="00CA5DA5">
        <w:rPr>
          <w:rFonts w:eastAsiaTheme="minorEastAsia" w:cs="Corbel"/>
          <w:color w:val="000000" w:themeColor="text1"/>
          <w:sz w:val="23"/>
          <w:szCs w:val="23"/>
          <w:lang w:eastAsia="en-US"/>
        </w:rPr>
        <w:t>ies for each jurisdiction</w:t>
      </w:r>
      <w:r w:rsidR="0083649D" w:rsidRPr="0083649D">
        <w:rPr>
          <w:rFonts w:eastAsiaTheme="minorEastAsia" w:cs="Corbel"/>
          <w:color w:val="000000" w:themeColor="text1"/>
          <w:sz w:val="23"/>
          <w:szCs w:val="23"/>
          <w:lang w:eastAsia="en-US"/>
        </w:rPr>
        <w:t>, made up of appropriate representation from Aboriginal and Torres Strait Islander communit</w:t>
      </w:r>
      <w:r w:rsidR="00C8661B">
        <w:rPr>
          <w:rFonts w:eastAsiaTheme="minorEastAsia" w:cs="Corbel"/>
          <w:color w:val="000000" w:themeColor="text1"/>
          <w:sz w:val="23"/>
          <w:szCs w:val="23"/>
          <w:lang w:eastAsia="en-US"/>
        </w:rPr>
        <w:t>ies</w:t>
      </w:r>
      <w:r w:rsidR="0083649D" w:rsidRPr="0083649D">
        <w:rPr>
          <w:rFonts w:eastAsiaTheme="minorEastAsia" w:cs="Corbel"/>
          <w:color w:val="000000" w:themeColor="text1"/>
          <w:sz w:val="23"/>
          <w:szCs w:val="23"/>
          <w:lang w:eastAsia="en-US"/>
        </w:rPr>
        <w:t xml:space="preserve">, housing peak </w:t>
      </w:r>
      <w:r w:rsidR="00C8661B">
        <w:rPr>
          <w:rFonts w:eastAsiaTheme="minorEastAsia" w:cs="Corbel"/>
          <w:color w:val="000000" w:themeColor="text1"/>
          <w:sz w:val="23"/>
          <w:szCs w:val="23"/>
          <w:lang w:eastAsia="en-US"/>
        </w:rPr>
        <w:t>bodies (where available</w:t>
      </w:r>
      <w:r w:rsidR="00CA5DA5">
        <w:rPr>
          <w:rFonts w:eastAsiaTheme="minorEastAsia" w:cs="Corbel"/>
          <w:color w:val="000000" w:themeColor="text1"/>
          <w:sz w:val="23"/>
          <w:szCs w:val="23"/>
          <w:lang w:eastAsia="en-US"/>
        </w:rPr>
        <w:t xml:space="preserve"> in the jurisdiction</w:t>
      </w:r>
      <w:r w:rsidR="00C8661B">
        <w:rPr>
          <w:rFonts w:eastAsiaTheme="minorEastAsia" w:cs="Corbel"/>
          <w:color w:val="000000" w:themeColor="text1"/>
          <w:sz w:val="23"/>
          <w:szCs w:val="23"/>
          <w:lang w:eastAsia="en-US"/>
        </w:rPr>
        <w:t>),</w:t>
      </w:r>
      <w:r w:rsidR="0083649D" w:rsidRPr="0083649D">
        <w:rPr>
          <w:rFonts w:eastAsiaTheme="minorEastAsia" w:cs="Corbel"/>
          <w:color w:val="000000" w:themeColor="text1"/>
          <w:sz w:val="23"/>
          <w:szCs w:val="23"/>
          <w:lang w:eastAsia="en-US"/>
        </w:rPr>
        <w:t xml:space="preserve"> and </w:t>
      </w:r>
      <w:r w:rsidR="00CA5DA5">
        <w:rPr>
          <w:rFonts w:eastAsiaTheme="minorEastAsia" w:cs="Corbel"/>
          <w:color w:val="000000" w:themeColor="text1"/>
          <w:sz w:val="23"/>
          <w:szCs w:val="23"/>
          <w:lang w:eastAsia="en-US"/>
        </w:rPr>
        <w:t xml:space="preserve">the </w:t>
      </w:r>
      <w:r w:rsidR="008C64E0">
        <w:rPr>
          <w:rFonts w:eastAsiaTheme="minorEastAsia" w:cs="Corbel"/>
          <w:color w:val="000000" w:themeColor="text1"/>
          <w:sz w:val="23"/>
          <w:szCs w:val="23"/>
          <w:lang w:eastAsia="en-US"/>
        </w:rPr>
        <w:t>S</w:t>
      </w:r>
      <w:r w:rsidR="0083649D" w:rsidRPr="0083649D">
        <w:rPr>
          <w:rFonts w:eastAsiaTheme="minorEastAsia" w:cs="Corbel"/>
          <w:color w:val="000000" w:themeColor="text1"/>
          <w:sz w:val="23"/>
          <w:szCs w:val="23"/>
          <w:lang w:eastAsia="en-US"/>
        </w:rPr>
        <w:t xml:space="preserve">tate government. </w:t>
      </w:r>
      <w:r w:rsidR="007C75DE">
        <w:rPr>
          <w:rFonts w:eastAsiaTheme="minorEastAsia" w:cs="Corbel"/>
          <w:color w:val="000000" w:themeColor="text1"/>
          <w:sz w:val="23"/>
          <w:szCs w:val="23"/>
          <w:lang w:eastAsia="en-US"/>
        </w:rPr>
        <w:t xml:space="preserve">Existing structures, such as Closing the Gap </w:t>
      </w:r>
      <w:r w:rsidR="007C75DE">
        <w:rPr>
          <w:rFonts w:eastAsiaTheme="minorEastAsia" w:cs="Corbel"/>
          <w:color w:val="000000" w:themeColor="text1"/>
          <w:sz w:val="23"/>
          <w:szCs w:val="23"/>
          <w:lang w:eastAsia="en-US"/>
        </w:rPr>
        <w:lastRenderedPageBreak/>
        <w:t>governance structures, may act as the Partnership Body for a jurisdiction where the existing structures are fit for this purpose.</w:t>
      </w:r>
      <w:r w:rsidR="0083649D" w:rsidRPr="0083649D">
        <w:rPr>
          <w:rFonts w:eastAsiaTheme="minorEastAsia" w:cs="Corbel"/>
          <w:color w:val="000000" w:themeColor="text1"/>
          <w:sz w:val="23"/>
          <w:szCs w:val="23"/>
          <w:lang w:eastAsia="en-US"/>
        </w:rPr>
        <w:t xml:space="preserve"> </w:t>
      </w:r>
      <w:r w:rsidR="00637DAD" w:rsidRPr="003B201B">
        <w:rPr>
          <w:rFonts w:eastAsiaTheme="minorEastAsia" w:cs="Corbel"/>
          <w:color w:val="000000" w:themeColor="text1"/>
          <w:sz w:val="23"/>
          <w:szCs w:val="23"/>
          <w:lang w:eastAsia="en-US"/>
        </w:rPr>
        <w:t>The Partnership Body will be responsible for</w:t>
      </w:r>
      <w:r w:rsidR="00071F3D" w:rsidRPr="003B201B">
        <w:rPr>
          <w:rFonts w:eastAsiaTheme="minorEastAsia" w:cs="Corbel"/>
          <w:color w:val="000000" w:themeColor="text1"/>
          <w:sz w:val="23"/>
          <w:szCs w:val="23"/>
          <w:lang w:eastAsia="en-US"/>
        </w:rPr>
        <w:t>:</w:t>
      </w:r>
    </w:p>
    <w:p w14:paraId="40348914" w14:textId="4C4000A2" w:rsidR="00071F3D" w:rsidRDefault="00637DAD" w:rsidP="004F3EA2">
      <w:pPr>
        <w:pStyle w:val="FootnoteText"/>
        <w:keepNext/>
        <w:numPr>
          <w:ilvl w:val="1"/>
          <w:numId w:val="9"/>
        </w:numPr>
        <w:tabs>
          <w:tab w:val="left" w:pos="142"/>
        </w:tabs>
        <w:spacing w:after="240"/>
        <w:rPr>
          <w:rFonts w:eastAsiaTheme="minorEastAsia" w:cs="Corbel"/>
          <w:color w:val="000000" w:themeColor="text1"/>
          <w:sz w:val="23"/>
          <w:szCs w:val="23"/>
          <w:lang w:eastAsia="en-US"/>
        </w:rPr>
      </w:pPr>
      <w:r w:rsidRPr="4A8D1852">
        <w:rPr>
          <w:rFonts w:eastAsiaTheme="minorEastAsia" w:cs="Corbel"/>
          <w:color w:val="000000" w:themeColor="text1"/>
          <w:sz w:val="23"/>
          <w:szCs w:val="23"/>
          <w:lang w:eastAsia="en-US"/>
        </w:rPr>
        <w:t xml:space="preserve">ensuring </w:t>
      </w:r>
      <w:r w:rsidR="001A4149">
        <w:rPr>
          <w:rFonts w:eastAsiaTheme="minorEastAsia" w:cs="Corbel"/>
          <w:color w:val="000000" w:themeColor="text1"/>
          <w:sz w:val="23"/>
          <w:szCs w:val="23"/>
          <w:lang w:eastAsia="en-US"/>
        </w:rPr>
        <w:t>the Principles of Genuine Partnership</w:t>
      </w:r>
      <w:r w:rsidR="003113D8" w:rsidRPr="4A8D1852">
        <w:rPr>
          <w:rFonts w:eastAsiaTheme="minorEastAsia" w:cs="Corbel"/>
          <w:color w:val="000000" w:themeColor="text1"/>
          <w:sz w:val="23"/>
          <w:szCs w:val="23"/>
          <w:lang w:eastAsia="en-US"/>
        </w:rPr>
        <w:t xml:space="preserve"> are </w:t>
      </w:r>
      <w:r w:rsidRPr="4A8D1852">
        <w:rPr>
          <w:rFonts w:eastAsiaTheme="minorEastAsia" w:cs="Corbel"/>
          <w:color w:val="000000" w:themeColor="text1"/>
          <w:sz w:val="23"/>
          <w:szCs w:val="23"/>
          <w:lang w:eastAsia="en-US"/>
        </w:rPr>
        <w:t>undertaken on all funding decisions related to this Agreement which affect Aboriginal and Torres Strait Islander people, and</w:t>
      </w:r>
    </w:p>
    <w:p w14:paraId="3A7BA54C" w14:textId="3423E842" w:rsidR="00637DAD" w:rsidRPr="00071F3D" w:rsidRDefault="00637DAD" w:rsidP="004F3EA2">
      <w:pPr>
        <w:pStyle w:val="FootnoteText"/>
        <w:keepNext/>
        <w:numPr>
          <w:ilvl w:val="1"/>
          <w:numId w:val="9"/>
        </w:numPr>
        <w:tabs>
          <w:tab w:val="left" w:pos="142"/>
        </w:tabs>
        <w:spacing w:after="240"/>
        <w:rPr>
          <w:rFonts w:eastAsiaTheme="minorEastAsia" w:cs="Corbel"/>
          <w:color w:val="000000" w:themeColor="text1"/>
          <w:sz w:val="23"/>
          <w:szCs w:val="23"/>
          <w:lang w:eastAsia="en-US"/>
        </w:rPr>
      </w:pPr>
      <w:r w:rsidRPr="4A8D1852">
        <w:rPr>
          <w:rFonts w:eastAsiaTheme="minorEastAsia" w:cs="Corbel"/>
          <w:color w:val="000000" w:themeColor="text1"/>
          <w:sz w:val="23"/>
          <w:szCs w:val="23"/>
          <w:lang w:eastAsia="en-US"/>
        </w:rPr>
        <w:t xml:space="preserve">monitoring and reporting on </w:t>
      </w:r>
      <w:r w:rsidR="00170051" w:rsidRPr="4A8D1852">
        <w:rPr>
          <w:rFonts w:eastAsiaTheme="minorEastAsia" w:cs="Corbel"/>
          <w:color w:val="000000" w:themeColor="text1"/>
          <w:sz w:val="23"/>
          <w:szCs w:val="23"/>
          <w:lang w:eastAsia="en-US"/>
        </w:rPr>
        <w:t xml:space="preserve">programs focused </w:t>
      </w:r>
      <w:r w:rsidR="00170051">
        <w:rPr>
          <w:rFonts w:eastAsiaTheme="minorEastAsia" w:cs="Corbel"/>
          <w:color w:val="000000" w:themeColor="text1"/>
          <w:sz w:val="23"/>
          <w:szCs w:val="23"/>
          <w:lang w:eastAsia="en-US"/>
        </w:rPr>
        <w:t xml:space="preserve">on </w:t>
      </w:r>
      <w:r w:rsidRPr="4A8D1852">
        <w:rPr>
          <w:rFonts w:eastAsiaTheme="minorEastAsia" w:cs="Corbel"/>
          <w:color w:val="000000" w:themeColor="text1"/>
          <w:sz w:val="23"/>
          <w:szCs w:val="23"/>
          <w:lang w:eastAsia="en-US"/>
        </w:rPr>
        <w:t xml:space="preserve">Aboriginal and Torres Strait Islander </w:t>
      </w:r>
      <w:r w:rsidR="00170051">
        <w:rPr>
          <w:rFonts w:eastAsiaTheme="minorEastAsia" w:cs="Corbel"/>
          <w:color w:val="000000" w:themeColor="text1"/>
          <w:sz w:val="23"/>
          <w:szCs w:val="23"/>
          <w:lang w:eastAsia="en-US"/>
        </w:rPr>
        <w:t xml:space="preserve">people </w:t>
      </w:r>
      <w:r w:rsidRPr="4A8D1852">
        <w:rPr>
          <w:rFonts w:eastAsiaTheme="minorEastAsia" w:cs="Corbel"/>
          <w:color w:val="000000" w:themeColor="text1"/>
          <w:sz w:val="23"/>
          <w:szCs w:val="23"/>
          <w:lang w:eastAsia="en-US"/>
        </w:rPr>
        <w:t xml:space="preserve">funded through this Agreement. </w:t>
      </w:r>
    </w:p>
    <w:p w14:paraId="34813711" w14:textId="22AFDDD2" w:rsidR="00637DAD" w:rsidRPr="001D7936" w:rsidRDefault="00637DAD" w:rsidP="004F3EA2">
      <w:pPr>
        <w:pStyle w:val="FootnoteText"/>
        <w:keepNext/>
        <w:numPr>
          <w:ilvl w:val="0"/>
          <w:numId w:val="9"/>
        </w:numPr>
        <w:tabs>
          <w:tab w:val="clear" w:pos="284"/>
        </w:tabs>
        <w:spacing w:after="240"/>
        <w:rPr>
          <w:rFonts w:eastAsiaTheme="minorEastAsia" w:cs="Corbel"/>
          <w:color w:val="000000" w:themeColor="text1"/>
          <w:sz w:val="23"/>
          <w:szCs w:val="23"/>
          <w:lang w:eastAsia="en-US"/>
        </w:rPr>
      </w:pPr>
      <w:r w:rsidRPr="4A8D1852">
        <w:rPr>
          <w:rFonts w:eastAsiaTheme="minorEastAsia" w:cs="Corbel"/>
          <w:color w:val="000000" w:themeColor="text1"/>
          <w:sz w:val="23"/>
          <w:szCs w:val="23"/>
          <w:lang w:eastAsia="en-US"/>
        </w:rPr>
        <w:t>The Housing Policy Partnership (HPP) will provide oversight and assurance functions</w:t>
      </w:r>
      <w:r w:rsidR="00C30D6B">
        <w:rPr>
          <w:rFonts w:eastAsiaTheme="minorEastAsia" w:cs="Corbel"/>
          <w:color w:val="000000" w:themeColor="text1"/>
          <w:sz w:val="23"/>
          <w:szCs w:val="23"/>
          <w:lang w:eastAsia="en-US"/>
        </w:rPr>
        <w:t xml:space="preserve"> of arrangements relating specifically to Aboriginal and Torres Strait Islander people</w:t>
      </w:r>
      <w:r w:rsidRPr="4A8D1852">
        <w:rPr>
          <w:rFonts w:eastAsiaTheme="minorEastAsia" w:cs="Corbel"/>
          <w:color w:val="000000" w:themeColor="text1"/>
          <w:sz w:val="23"/>
          <w:szCs w:val="23"/>
          <w:lang w:eastAsia="en-US"/>
        </w:rPr>
        <w:t>.</w:t>
      </w:r>
    </w:p>
    <w:p w14:paraId="399149D0" w14:textId="7503A200" w:rsidR="004410F4" w:rsidRDefault="004410F4" w:rsidP="004F3EA2">
      <w:pPr>
        <w:pStyle w:val="FootnoteText"/>
        <w:keepNext/>
        <w:numPr>
          <w:ilvl w:val="0"/>
          <w:numId w:val="9"/>
        </w:numPr>
        <w:tabs>
          <w:tab w:val="clear" w:pos="284"/>
          <w:tab w:val="clear" w:pos="567"/>
        </w:tabs>
        <w:spacing w:after="240"/>
        <w:rPr>
          <w:rFonts w:eastAsiaTheme="minorEastAsia" w:cs="Corbel"/>
          <w:color w:val="000000" w:themeColor="text1"/>
          <w:sz w:val="23"/>
          <w:szCs w:val="23"/>
          <w:lang w:eastAsia="en-US"/>
        </w:rPr>
      </w:pPr>
      <w:r>
        <w:rPr>
          <w:rFonts w:eastAsiaTheme="minorEastAsia" w:cs="Corbel"/>
          <w:color w:val="000000" w:themeColor="text1"/>
          <w:sz w:val="23"/>
          <w:szCs w:val="23"/>
          <w:lang w:eastAsia="en-US"/>
        </w:rPr>
        <w:t>The Partnership Bodies will agree and implement</w:t>
      </w:r>
      <w:r w:rsidR="00055551">
        <w:rPr>
          <w:rFonts w:eastAsiaTheme="minorEastAsia" w:cs="Corbel"/>
          <w:color w:val="000000" w:themeColor="text1"/>
          <w:sz w:val="23"/>
          <w:szCs w:val="23"/>
          <w:lang w:eastAsia="en-US"/>
        </w:rPr>
        <w:t xml:space="preserve"> for their jurisdictions</w:t>
      </w:r>
      <w:r>
        <w:rPr>
          <w:rFonts w:eastAsiaTheme="minorEastAsia" w:cs="Corbel"/>
          <w:color w:val="000000" w:themeColor="text1"/>
          <w:sz w:val="23"/>
          <w:szCs w:val="23"/>
          <w:lang w:eastAsia="en-US"/>
        </w:rPr>
        <w:t>:</w:t>
      </w:r>
    </w:p>
    <w:p w14:paraId="100F4BD4" w14:textId="3D6AE935" w:rsidR="004410F4" w:rsidRPr="006D0391" w:rsidRDefault="00170051" w:rsidP="004F3EA2">
      <w:pPr>
        <w:pStyle w:val="FootnoteText"/>
        <w:keepNext/>
        <w:numPr>
          <w:ilvl w:val="1"/>
          <w:numId w:val="9"/>
        </w:numPr>
        <w:tabs>
          <w:tab w:val="clear" w:pos="284"/>
        </w:tabs>
        <w:spacing w:after="240"/>
        <w:rPr>
          <w:rFonts w:eastAsiaTheme="minorEastAsia" w:cs="Corbel"/>
          <w:color w:val="000000" w:themeColor="text1"/>
          <w:sz w:val="23"/>
          <w:szCs w:val="23"/>
          <w:lang w:eastAsia="en-US"/>
        </w:rPr>
      </w:pPr>
      <w:r>
        <w:rPr>
          <w:rFonts w:eastAsiaTheme="minorEastAsia" w:cs="Corbel"/>
          <w:color w:val="000000" w:themeColor="text1"/>
          <w:sz w:val="23"/>
          <w:szCs w:val="23"/>
          <w:lang w:eastAsia="en-US"/>
        </w:rPr>
        <w:t xml:space="preserve">outcomes frameworks focussed on </w:t>
      </w:r>
      <w:r w:rsidR="00055551" w:rsidRPr="4A8D1852">
        <w:rPr>
          <w:rFonts w:eastAsiaTheme="minorEastAsia" w:cs="Corbel"/>
          <w:color w:val="000000" w:themeColor="text1"/>
          <w:sz w:val="23"/>
          <w:szCs w:val="23"/>
          <w:lang w:eastAsia="en-US"/>
        </w:rPr>
        <w:t>Aboriginal and Torres Strait Islander</w:t>
      </w:r>
      <w:r>
        <w:rPr>
          <w:rFonts w:eastAsiaTheme="minorEastAsia" w:cs="Corbel"/>
          <w:color w:val="000000" w:themeColor="text1"/>
          <w:sz w:val="23"/>
          <w:szCs w:val="23"/>
          <w:lang w:eastAsia="en-US"/>
        </w:rPr>
        <w:t xml:space="preserve"> people </w:t>
      </w:r>
      <w:r w:rsidR="00055551" w:rsidRPr="006D0391">
        <w:rPr>
          <w:rFonts w:eastAsiaTheme="minorEastAsia" w:cs="Corbel"/>
          <w:color w:val="000000" w:themeColor="text1"/>
          <w:sz w:val="23"/>
          <w:szCs w:val="23"/>
          <w:lang w:eastAsia="en-US"/>
        </w:rPr>
        <w:t xml:space="preserve">to supplement the </w:t>
      </w:r>
      <w:r w:rsidR="00BE117A" w:rsidRPr="006D0391">
        <w:rPr>
          <w:rFonts w:eastAsiaTheme="minorEastAsia" w:cs="Corbel"/>
          <w:color w:val="000000" w:themeColor="text1"/>
          <w:sz w:val="23"/>
          <w:szCs w:val="23"/>
          <w:lang w:eastAsia="en-US"/>
        </w:rPr>
        <w:t>National Outcomes F</w:t>
      </w:r>
      <w:r w:rsidR="00055551" w:rsidRPr="006D0391">
        <w:rPr>
          <w:rFonts w:eastAsiaTheme="minorEastAsia" w:cs="Corbel"/>
          <w:color w:val="000000" w:themeColor="text1"/>
          <w:sz w:val="23"/>
          <w:szCs w:val="23"/>
          <w:lang w:eastAsia="en-US"/>
        </w:rPr>
        <w:t xml:space="preserve">ramework </w:t>
      </w:r>
      <w:r w:rsidR="00BE117A" w:rsidRPr="006D0391">
        <w:rPr>
          <w:rFonts w:eastAsiaTheme="minorEastAsia" w:cs="Corbel"/>
          <w:color w:val="000000" w:themeColor="text1"/>
          <w:sz w:val="23"/>
          <w:szCs w:val="23"/>
          <w:lang w:eastAsia="en-US"/>
        </w:rPr>
        <w:t>(</w:t>
      </w:r>
      <w:r w:rsidR="00055551" w:rsidRPr="006D0391">
        <w:rPr>
          <w:rFonts w:eastAsiaTheme="minorEastAsia" w:cs="Corbel"/>
          <w:color w:val="000000" w:themeColor="text1"/>
          <w:sz w:val="23"/>
          <w:szCs w:val="23"/>
          <w:lang w:eastAsia="en-US"/>
        </w:rPr>
        <w:t>Schedule A</w:t>
      </w:r>
      <w:r w:rsidR="00BE117A" w:rsidRPr="006D0391">
        <w:rPr>
          <w:rFonts w:eastAsiaTheme="minorEastAsia" w:cs="Corbel"/>
          <w:color w:val="000000" w:themeColor="text1"/>
          <w:sz w:val="23"/>
          <w:szCs w:val="23"/>
          <w:lang w:eastAsia="en-US"/>
        </w:rPr>
        <w:t>)</w:t>
      </w:r>
    </w:p>
    <w:p w14:paraId="5F3A76B1" w14:textId="49815B43" w:rsidR="00F80210" w:rsidRPr="006D0391" w:rsidDel="00F80210" w:rsidRDefault="00FA133D" w:rsidP="004F3EA2">
      <w:pPr>
        <w:pStyle w:val="FootnoteText"/>
        <w:keepNext/>
        <w:numPr>
          <w:ilvl w:val="1"/>
          <w:numId w:val="9"/>
        </w:numPr>
        <w:tabs>
          <w:tab w:val="clear" w:pos="284"/>
        </w:tabs>
        <w:spacing w:after="240"/>
        <w:rPr>
          <w:rFonts w:eastAsiaTheme="minorEastAsia" w:cs="Corbel"/>
          <w:color w:val="000000" w:themeColor="text1"/>
          <w:sz w:val="23"/>
          <w:szCs w:val="23"/>
          <w:lang w:eastAsia="en-US"/>
        </w:rPr>
      </w:pPr>
      <w:r>
        <w:rPr>
          <w:rFonts w:eastAsiaTheme="minorEastAsia" w:cs="Corbel"/>
          <w:color w:val="000000" w:themeColor="text1"/>
          <w:sz w:val="23"/>
          <w:szCs w:val="23"/>
          <w:lang w:eastAsia="en-US"/>
        </w:rPr>
        <w:t xml:space="preserve">a </w:t>
      </w:r>
      <w:r w:rsidR="00CE5E36" w:rsidRPr="006D0391">
        <w:rPr>
          <w:rFonts w:eastAsiaTheme="minorEastAsia" w:cs="Corbel"/>
          <w:color w:val="000000" w:themeColor="text1"/>
          <w:sz w:val="23"/>
          <w:szCs w:val="23"/>
          <w:lang w:eastAsia="en-US"/>
        </w:rPr>
        <w:t xml:space="preserve">statement of assurance </w:t>
      </w:r>
      <w:r w:rsidR="00055551" w:rsidRPr="006D0391">
        <w:rPr>
          <w:rFonts w:eastAsiaTheme="minorEastAsia" w:cs="Corbel"/>
          <w:color w:val="000000" w:themeColor="text1"/>
          <w:sz w:val="23"/>
          <w:szCs w:val="23"/>
          <w:lang w:eastAsia="en-US"/>
        </w:rPr>
        <w:t>reporting framework</w:t>
      </w:r>
      <w:r w:rsidR="00F80210" w:rsidRPr="006D0391">
        <w:rPr>
          <w:rFonts w:eastAsiaTheme="minorEastAsia" w:cs="Corbel"/>
          <w:color w:val="000000" w:themeColor="text1"/>
          <w:sz w:val="23"/>
          <w:szCs w:val="23"/>
          <w:lang w:eastAsia="en-US"/>
        </w:rPr>
        <w:t xml:space="preserve"> </w:t>
      </w:r>
      <w:r>
        <w:rPr>
          <w:rFonts w:eastAsiaTheme="minorEastAsia" w:cs="Corbel"/>
          <w:color w:val="000000" w:themeColor="text1"/>
          <w:sz w:val="23"/>
          <w:szCs w:val="23"/>
          <w:lang w:eastAsia="en-US"/>
        </w:rPr>
        <w:t xml:space="preserve">focussed on </w:t>
      </w:r>
      <w:r w:rsidRPr="006D0391">
        <w:rPr>
          <w:rFonts w:eastAsiaTheme="minorEastAsia" w:cs="Corbel"/>
          <w:color w:val="000000" w:themeColor="text1"/>
          <w:sz w:val="23"/>
          <w:szCs w:val="23"/>
          <w:lang w:eastAsia="en-US"/>
        </w:rPr>
        <w:t>Aboriginal and Torres Strait Islander</w:t>
      </w:r>
      <w:r>
        <w:rPr>
          <w:rFonts w:eastAsiaTheme="minorEastAsia" w:cs="Corbel"/>
          <w:color w:val="000000" w:themeColor="text1"/>
          <w:sz w:val="23"/>
          <w:szCs w:val="23"/>
          <w:lang w:eastAsia="en-US"/>
        </w:rPr>
        <w:t xml:space="preserve"> people</w:t>
      </w:r>
      <w:r w:rsidRPr="006D0391">
        <w:rPr>
          <w:rFonts w:eastAsiaTheme="minorEastAsia" w:cs="Corbel"/>
          <w:color w:val="000000" w:themeColor="text1"/>
          <w:sz w:val="23"/>
          <w:szCs w:val="23"/>
          <w:lang w:eastAsia="en-US"/>
        </w:rPr>
        <w:t xml:space="preserve"> </w:t>
      </w:r>
      <w:r w:rsidR="00055551" w:rsidRPr="006D0391">
        <w:rPr>
          <w:rFonts w:eastAsiaTheme="minorEastAsia" w:cs="Corbel"/>
          <w:color w:val="000000" w:themeColor="text1"/>
          <w:sz w:val="23"/>
          <w:szCs w:val="23"/>
          <w:lang w:eastAsia="en-US"/>
        </w:rPr>
        <w:t>to supplement the broader framework</w:t>
      </w:r>
      <w:r w:rsidR="00B63479" w:rsidRPr="006D0391">
        <w:rPr>
          <w:rFonts w:eastAsiaTheme="minorEastAsia" w:cs="Corbel"/>
          <w:color w:val="000000" w:themeColor="text1"/>
          <w:sz w:val="23"/>
          <w:szCs w:val="23"/>
          <w:lang w:eastAsia="en-US"/>
        </w:rPr>
        <w:t xml:space="preserve"> as</w:t>
      </w:r>
      <w:r w:rsidR="00055551" w:rsidRPr="006D0391">
        <w:rPr>
          <w:rFonts w:eastAsiaTheme="minorEastAsia" w:cs="Corbel"/>
          <w:color w:val="000000" w:themeColor="text1"/>
          <w:sz w:val="23"/>
          <w:szCs w:val="23"/>
          <w:lang w:eastAsia="en-US"/>
        </w:rPr>
        <w:t xml:space="preserve"> detailed in Schedule B.</w:t>
      </w:r>
      <w:r w:rsidR="00BE117A" w:rsidRPr="006D0391">
        <w:rPr>
          <w:rFonts w:eastAsiaTheme="minorEastAsia" w:cs="Corbel"/>
          <w:color w:val="000000" w:themeColor="text1"/>
          <w:sz w:val="23"/>
          <w:szCs w:val="23"/>
          <w:lang w:eastAsia="en-US"/>
        </w:rPr>
        <w:t xml:space="preserve"> </w:t>
      </w:r>
    </w:p>
    <w:p w14:paraId="5C2A5493" w14:textId="4400155F" w:rsidR="00637DAD" w:rsidRDefault="004F6F52" w:rsidP="004F3EA2">
      <w:pPr>
        <w:pStyle w:val="FootnoteText"/>
        <w:keepNext/>
        <w:numPr>
          <w:ilvl w:val="0"/>
          <w:numId w:val="9"/>
        </w:numPr>
        <w:tabs>
          <w:tab w:val="clear" w:pos="284"/>
          <w:tab w:val="clear" w:pos="567"/>
        </w:tabs>
        <w:spacing w:after="240"/>
        <w:rPr>
          <w:rFonts w:eastAsiaTheme="minorEastAsia" w:cs="Corbel"/>
          <w:color w:val="000000" w:themeColor="text1"/>
          <w:sz w:val="23"/>
          <w:szCs w:val="23"/>
          <w:lang w:eastAsia="en-US"/>
        </w:rPr>
      </w:pPr>
      <w:r>
        <w:rPr>
          <w:rFonts w:eastAsiaTheme="minorEastAsia" w:cs="Corbel"/>
          <w:color w:val="000000" w:themeColor="text1"/>
          <w:sz w:val="23"/>
          <w:szCs w:val="23"/>
          <w:lang w:eastAsia="en-US"/>
        </w:rPr>
        <w:t>A</w:t>
      </w:r>
      <w:r w:rsidR="00637DAD" w:rsidRPr="006D0391">
        <w:rPr>
          <w:rFonts w:eastAsiaTheme="minorEastAsia" w:cs="Corbel"/>
          <w:color w:val="000000" w:themeColor="text1"/>
          <w:sz w:val="23"/>
          <w:szCs w:val="23"/>
          <w:lang w:eastAsia="en-US"/>
        </w:rPr>
        <w:t>chiev</w:t>
      </w:r>
      <w:r>
        <w:rPr>
          <w:rFonts w:eastAsiaTheme="minorEastAsia" w:cs="Corbel"/>
          <w:color w:val="000000" w:themeColor="text1"/>
          <w:sz w:val="23"/>
          <w:szCs w:val="23"/>
          <w:lang w:eastAsia="en-US"/>
        </w:rPr>
        <w:t xml:space="preserve">ing </w:t>
      </w:r>
      <w:r w:rsidR="00637DAD" w:rsidRPr="006D0391">
        <w:rPr>
          <w:rFonts w:eastAsiaTheme="minorEastAsia" w:cs="Corbel"/>
          <w:color w:val="000000" w:themeColor="text1"/>
          <w:sz w:val="23"/>
          <w:szCs w:val="23"/>
          <w:lang w:eastAsia="en-US"/>
        </w:rPr>
        <w:t xml:space="preserve">improved housing and homelessness outcomes </w:t>
      </w:r>
      <w:r w:rsidRPr="4A8D1852">
        <w:rPr>
          <w:rFonts w:eastAsiaTheme="minorEastAsia" w:cs="Corbel"/>
          <w:color w:val="000000" w:themeColor="text1"/>
          <w:sz w:val="23"/>
          <w:szCs w:val="23"/>
          <w:lang w:eastAsia="en-US"/>
        </w:rPr>
        <w:t>for Aboriginal and Torres Strait Islander</w:t>
      </w:r>
      <w:r>
        <w:rPr>
          <w:rFonts w:eastAsiaTheme="minorEastAsia" w:cs="Corbel"/>
          <w:color w:val="000000" w:themeColor="text1"/>
          <w:sz w:val="23"/>
          <w:szCs w:val="23"/>
          <w:lang w:eastAsia="en-US"/>
        </w:rPr>
        <w:t xml:space="preserve"> people</w:t>
      </w:r>
      <w:r w:rsidRPr="4A8D1852">
        <w:rPr>
          <w:rFonts w:eastAsiaTheme="minorEastAsia" w:cs="Corbel"/>
          <w:color w:val="000000" w:themeColor="text1"/>
          <w:sz w:val="23"/>
          <w:szCs w:val="23"/>
          <w:lang w:eastAsia="en-US"/>
        </w:rPr>
        <w:t xml:space="preserve"> </w:t>
      </w:r>
      <w:r w:rsidR="00637DAD" w:rsidRPr="006D0391">
        <w:rPr>
          <w:rFonts w:eastAsiaTheme="minorEastAsia" w:cs="Corbel"/>
          <w:color w:val="000000" w:themeColor="text1"/>
          <w:sz w:val="23"/>
          <w:szCs w:val="23"/>
          <w:lang w:eastAsia="en-US"/>
        </w:rPr>
        <w:t xml:space="preserve">(including </w:t>
      </w:r>
      <w:r w:rsidR="001F41EC" w:rsidRPr="006D0391">
        <w:rPr>
          <w:rFonts w:eastAsiaTheme="minorEastAsia" w:cs="Corbel"/>
          <w:color w:val="000000" w:themeColor="text1"/>
          <w:sz w:val="23"/>
          <w:szCs w:val="23"/>
          <w:lang w:eastAsia="en-US"/>
        </w:rPr>
        <w:t>National</w:t>
      </w:r>
      <w:r w:rsidR="001F41EC">
        <w:rPr>
          <w:rFonts w:eastAsiaTheme="minorEastAsia" w:cs="Corbel"/>
          <w:color w:val="000000" w:themeColor="text1"/>
          <w:sz w:val="23"/>
          <w:szCs w:val="23"/>
          <w:lang w:eastAsia="en-US"/>
        </w:rPr>
        <w:t xml:space="preserve"> Agreement on </w:t>
      </w:r>
      <w:r w:rsidR="00637DAD" w:rsidRPr="4A8D1852">
        <w:rPr>
          <w:rFonts w:eastAsiaTheme="minorEastAsia" w:cs="Corbel"/>
          <w:color w:val="000000" w:themeColor="text1"/>
          <w:sz w:val="23"/>
          <w:szCs w:val="23"/>
          <w:lang w:eastAsia="en-US"/>
        </w:rPr>
        <w:t>Closing the Gap targets) and implement</w:t>
      </w:r>
      <w:r>
        <w:rPr>
          <w:rFonts w:eastAsiaTheme="minorEastAsia" w:cs="Corbel"/>
          <w:color w:val="000000" w:themeColor="text1"/>
          <w:sz w:val="23"/>
          <w:szCs w:val="23"/>
          <w:lang w:eastAsia="en-US"/>
        </w:rPr>
        <w:t>ing</w:t>
      </w:r>
      <w:r w:rsidR="00637DAD" w:rsidRPr="4A8D1852">
        <w:rPr>
          <w:rFonts w:eastAsiaTheme="minorEastAsia" w:cs="Corbel"/>
          <w:color w:val="000000" w:themeColor="text1"/>
          <w:sz w:val="23"/>
          <w:szCs w:val="23"/>
          <w:lang w:eastAsia="en-US"/>
        </w:rPr>
        <w:t xml:space="preserve"> </w:t>
      </w:r>
      <w:r w:rsidR="00055551">
        <w:rPr>
          <w:rFonts w:eastAsiaTheme="minorEastAsia" w:cs="Corbel"/>
          <w:color w:val="000000" w:themeColor="text1"/>
          <w:sz w:val="23"/>
          <w:szCs w:val="23"/>
          <w:lang w:eastAsia="en-US"/>
        </w:rPr>
        <w:t>P</w:t>
      </w:r>
      <w:r w:rsidR="00637DAD" w:rsidRPr="4A8D1852">
        <w:rPr>
          <w:rFonts w:eastAsiaTheme="minorEastAsia" w:cs="Corbel"/>
          <w:color w:val="000000" w:themeColor="text1"/>
          <w:sz w:val="23"/>
          <w:szCs w:val="23"/>
          <w:lang w:eastAsia="en-US"/>
        </w:rPr>
        <w:t xml:space="preserve">riority </w:t>
      </w:r>
      <w:r w:rsidR="00055551">
        <w:rPr>
          <w:rFonts w:eastAsiaTheme="minorEastAsia" w:cs="Corbel"/>
          <w:color w:val="000000" w:themeColor="text1"/>
          <w:sz w:val="23"/>
          <w:szCs w:val="23"/>
          <w:lang w:eastAsia="en-US"/>
        </w:rPr>
        <w:t>R</w:t>
      </w:r>
      <w:r w:rsidR="00637DAD" w:rsidRPr="4A8D1852">
        <w:rPr>
          <w:rFonts w:eastAsiaTheme="minorEastAsia" w:cs="Corbel"/>
          <w:color w:val="000000" w:themeColor="text1"/>
          <w:sz w:val="23"/>
          <w:szCs w:val="23"/>
          <w:lang w:eastAsia="en-US"/>
        </w:rPr>
        <w:t xml:space="preserve">eforms will be the subject of a formal evaluation during this </w:t>
      </w:r>
      <w:r w:rsidR="003113D8">
        <w:rPr>
          <w:rFonts w:eastAsiaTheme="minorEastAsia" w:cs="Corbel"/>
          <w:color w:val="000000" w:themeColor="text1"/>
          <w:sz w:val="23"/>
          <w:szCs w:val="23"/>
          <w:lang w:eastAsia="en-US"/>
        </w:rPr>
        <w:t>A</w:t>
      </w:r>
      <w:r w:rsidR="00637DAD" w:rsidRPr="4A8D1852">
        <w:rPr>
          <w:rFonts w:eastAsiaTheme="minorEastAsia" w:cs="Corbel"/>
          <w:color w:val="000000" w:themeColor="text1"/>
          <w:sz w:val="23"/>
          <w:szCs w:val="23"/>
          <w:lang w:eastAsia="en-US"/>
        </w:rPr>
        <w:t xml:space="preserve">greement. The evaluation will be agreed through the </w:t>
      </w:r>
      <w:r w:rsidR="00991184">
        <w:rPr>
          <w:rFonts w:eastAsiaTheme="minorEastAsia" w:cs="Corbel"/>
          <w:color w:val="000000" w:themeColor="text1"/>
          <w:sz w:val="23"/>
          <w:szCs w:val="23"/>
          <w:lang w:eastAsia="en-US"/>
        </w:rPr>
        <w:t xml:space="preserve">relevant Partnership Body and the </w:t>
      </w:r>
      <w:r w:rsidR="00637DAD" w:rsidRPr="4A8D1852">
        <w:rPr>
          <w:rFonts w:eastAsiaTheme="minorEastAsia" w:cs="Corbel"/>
          <w:color w:val="000000" w:themeColor="text1"/>
          <w:sz w:val="23"/>
          <w:szCs w:val="23"/>
          <w:lang w:eastAsia="en-US"/>
        </w:rPr>
        <w:t>HPP</w:t>
      </w:r>
      <w:r w:rsidR="00D9013E">
        <w:rPr>
          <w:rFonts w:eastAsiaTheme="minorEastAsia" w:cs="Corbel"/>
          <w:color w:val="000000" w:themeColor="text1"/>
          <w:sz w:val="23"/>
          <w:szCs w:val="23"/>
          <w:lang w:eastAsia="en-US"/>
        </w:rPr>
        <w:t>.</w:t>
      </w:r>
    </w:p>
    <w:p w14:paraId="6D0F348C" w14:textId="77777777" w:rsidR="72087CE1" w:rsidRDefault="72087CE1" w:rsidP="007461F2">
      <w:pPr>
        <w:pStyle w:val="Heading2"/>
      </w:pPr>
      <w:r>
        <w:t>Enforceability of the Agreement</w:t>
      </w:r>
    </w:p>
    <w:p w14:paraId="2F7204BE" w14:textId="456143D3" w:rsidR="72087CE1" w:rsidRDefault="72087CE1" w:rsidP="004F3EA2">
      <w:pPr>
        <w:pStyle w:val="Normalnumbered"/>
        <w:numPr>
          <w:ilvl w:val="0"/>
          <w:numId w:val="9"/>
        </w:numPr>
        <w:spacing w:line="240" w:lineRule="auto"/>
        <w:jc w:val="left"/>
      </w:pPr>
      <w:r>
        <w:t>The provisions of this Agreement as they relate to the FFR Act are legally enforceable. All other provisions are not intended to be legally enforceable. However, this does not lessen the Parties’ commitment to this Agreement.</w:t>
      </w:r>
    </w:p>
    <w:p w14:paraId="08E5A20D" w14:textId="24F68640" w:rsidR="72087CE1" w:rsidRPr="007461F2" w:rsidRDefault="72087CE1" w:rsidP="007461F2">
      <w:pPr>
        <w:pStyle w:val="Heading2"/>
        <w:rPr>
          <w:color w:val="000000" w:themeColor="text1"/>
        </w:rPr>
      </w:pPr>
      <w:r w:rsidRPr="2D993ACE">
        <w:t>Review of the Agreement</w:t>
      </w:r>
    </w:p>
    <w:p w14:paraId="0E67C631" w14:textId="1995948C" w:rsidR="72087CE1" w:rsidRPr="007461F2" w:rsidRDefault="72087CE1" w:rsidP="004F3EA2">
      <w:pPr>
        <w:pStyle w:val="Normalnumbered"/>
        <w:numPr>
          <w:ilvl w:val="0"/>
          <w:numId w:val="9"/>
        </w:numPr>
        <w:spacing w:line="240" w:lineRule="auto"/>
        <w:jc w:val="left"/>
        <w:rPr>
          <w:color w:val="auto"/>
        </w:rPr>
      </w:pPr>
      <w:r w:rsidRPr="007461F2">
        <w:rPr>
          <w:color w:val="auto"/>
        </w:rPr>
        <w:t xml:space="preserve">As part of the shared commitment to improving homelessness </w:t>
      </w:r>
      <w:r w:rsidR="00AA36A5">
        <w:rPr>
          <w:color w:val="auto"/>
        </w:rPr>
        <w:t xml:space="preserve">and social housing </w:t>
      </w:r>
      <w:r w:rsidRPr="007461F2">
        <w:rPr>
          <w:color w:val="auto"/>
        </w:rPr>
        <w:t xml:space="preserve">outcomes, the Commonwealth, in consultation with the </w:t>
      </w:r>
      <w:r w:rsidR="00274F5B">
        <w:rPr>
          <w:color w:val="auto"/>
        </w:rPr>
        <w:t>S</w:t>
      </w:r>
      <w:r w:rsidRPr="007461F2">
        <w:rPr>
          <w:color w:val="auto"/>
        </w:rPr>
        <w:t xml:space="preserve">tates, will </w:t>
      </w:r>
      <w:r w:rsidR="00643B44">
        <w:rPr>
          <w:color w:val="auto"/>
        </w:rPr>
        <w:t>commission</w:t>
      </w:r>
      <w:r w:rsidRPr="007461F2">
        <w:rPr>
          <w:color w:val="auto"/>
        </w:rPr>
        <w:t xml:space="preserve"> an independent review of this Agreement</w:t>
      </w:r>
      <w:r w:rsidRPr="007A1BE0">
        <w:rPr>
          <w:color w:val="auto"/>
        </w:rPr>
        <w:t xml:space="preserve">. </w:t>
      </w:r>
      <w:r w:rsidRPr="007A1BE0">
        <w:t>This review</w:t>
      </w:r>
      <w:r w:rsidRPr="00AE59D9">
        <w:t xml:space="preserve"> will be completed </w:t>
      </w:r>
      <w:r w:rsidR="00A460A0" w:rsidRPr="00AE59D9">
        <w:t>by no later than</w:t>
      </w:r>
      <w:r w:rsidRPr="007A1BE0">
        <w:t xml:space="preserve"> </w:t>
      </w:r>
      <w:r w:rsidR="00C8661B">
        <w:t>1</w:t>
      </w:r>
      <w:r w:rsidR="00D536EC">
        <w:t> </w:t>
      </w:r>
      <w:r w:rsidR="00C8661B">
        <w:t>July 2028.</w:t>
      </w:r>
    </w:p>
    <w:p w14:paraId="5749DC96" w14:textId="0B67DF44" w:rsidR="00AF1EF5" w:rsidRDefault="72087CE1" w:rsidP="004F3EA2">
      <w:pPr>
        <w:pStyle w:val="Normalnumbered"/>
        <w:numPr>
          <w:ilvl w:val="0"/>
          <w:numId w:val="9"/>
        </w:numPr>
        <w:spacing w:line="240" w:lineRule="auto"/>
        <w:jc w:val="left"/>
        <w:rPr>
          <w:color w:val="auto"/>
        </w:rPr>
      </w:pPr>
      <w:r w:rsidRPr="007461F2">
        <w:rPr>
          <w:color w:val="auto"/>
        </w:rPr>
        <w:t xml:space="preserve">The terms of reference of this review will be developed by the </w:t>
      </w:r>
      <w:r w:rsidRPr="007461F2" w:rsidDel="00DD06FC">
        <w:rPr>
          <w:color w:val="auto"/>
        </w:rPr>
        <w:t>Commonwealth, in consultation with States</w:t>
      </w:r>
      <w:r w:rsidRPr="007461F2">
        <w:rPr>
          <w:color w:val="auto"/>
        </w:rPr>
        <w:t xml:space="preserve">. </w:t>
      </w:r>
      <w:r w:rsidR="00AF1EF5">
        <w:rPr>
          <w:color w:val="auto"/>
        </w:rPr>
        <w:t>With respect to clause 3</w:t>
      </w:r>
      <w:r w:rsidR="00ED0DB5">
        <w:rPr>
          <w:color w:val="auto"/>
        </w:rPr>
        <w:t>5</w:t>
      </w:r>
      <w:r w:rsidR="00AF1EF5">
        <w:rPr>
          <w:color w:val="auto"/>
        </w:rPr>
        <w:t>, all</w:t>
      </w:r>
      <w:r w:rsidR="00AF1EF5" w:rsidRPr="00AF1EF5">
        <w:rPr>
          <w:color w:val="auto"/>
        </w:rPr>
        <w:t xml:space="preserve"> </w:t>
      </w:r>
      <w:r w:rsidR="00AF1EF5">
        <w:rPr>
          <w:color w:val="auto"/>
        </w:rPr>
        <w:t>P</w:t>
      </w:r>
      <w:r w:rsidR="00AF1EF5" w:rsidRPr="00AF1EF5">
        <w:rPr>
          <w:color w:val="auto"/>
        </w:rPr>
        <w:t xml:space="preserve">arties </w:t>
      </w:r>
      <w:r w:rsidR="00AF1EF5">
        <w:rPr>
          <w:color w:val="auto"/>
        </w:rPr>
        <w:t xml:space="preserve">commit </w:t>
      </w:r>
      <w:r w:rsidR="00AF1EF5" w:rsidRPr="00AF1EF5">
        <w:rPr>
          <w:color w:val="auto"/>
        </w:rPr>
        <w:t>to engag</w:t>
      </w:r>
      <w:r w:rsidR="00AF1EF5">
        <w:rPr>
          <w:color w:val="auto"/>
        </w:rPr>
        <w:t>ing</w:t>
      </w:r>
      <w:r w:rsidR="00AF1EF5" w:rsidRPr="00AF1EF5">
        <w:rPr>
          <w:color w:val="auto"/>
        </w:rPr>
        <w:t xml:space="preserve"> and meaningfully consider</w:t>
      </w:r>
      <w:r w:rsidR="00AF1EF5">
        <w:rPr>
          <w:color w:val="auto"/>
        </w:rPr>
        <w:t xml:space="preserve">ing </w:t>
      </w:r>
      <w:r w:rsidR="00AF1EF5" w:rsidRPr="00AF1EF5">
        <w:rPr>
          <w:color w:val="auto"/>
        </w:rPr>
        <w:t xml:space="preserve">any recommendations made by the </w:t>
      </w:r>
      <w:r w:rsidR="00D765C6">
        <w:rPr>
          <w:color w:val="auto"/>
        </w:rPr>
        <w:t>reviewing body</w:t>
      </w:r>
      <w:r w:rsidR="004F6F52">
        <w:rPr>
          <w:color w:val="auto"/>
        </w:rPr>
        <w:t xml:space="preserve"> </w:t>
      </w:r>
      <w:r w:rsidR="00AF1EF5" w:rsidRPr="00AF1EF5">
        <w:rPr>
          <w:color w:val="auto"/>
        </w:rPr>
        <w:t>in the interests of continuous improvement</w:t>
      </w:r>
      <w:r w:rsidR="00AF1EF5">
        <w:rPr>
          <w:color w:val="auto"/>
        </w:rPr>
        <w:t>.</w:t>
      </w:r>
    </w:p>
    <w:p w14:paraId="7953B6B2" w14:textId="77777777" w:rsidR="72087CE1" w:rsidRDefault="72087CE1" w:rsidP="007461F2">
      <w:pPr>
        <w:pStyle w:val="Heading2"/>
      </w:pPr>
      <w:r>
        <w:t>Variation of the Agreement</w:t>
      </w:r>
    </w:p>
    <w:p w14:paraId="27EA0AD9" w14:textId="77777777" w:rsidR="72087CE1" w:rsidRDefault="72087CE1" w:rsidP="004F3EA2">
      <w:pPr>
        <w:pStyle w:val="Normalnumbered"/>
        <w:numPr>
          <w:ilvl w:val="0"/>
          <w:numId w:val="9"/>
        </w:numPr>
        <w:jc w:val="left"/>
      </w:pPr>
      <w:r>
        <w:t>The Agreement may be amended at any time by agreement in writing by all the Parties.</w:t>
      </w:r>
    </w:p>
    <w:p w14:paraId="4C1C1C10" w14:textId="3E1F0999" w:rsidR="003113D8" w:rsidRDefault="003113D8" w:rsidP="004F3EA2">
      <w:pPr>
        <w:pStyle w:val="Normalnumbered"/>
        <w:numPr>
          <w:ilvl w:val="0"/>
          <w:numId w:val="9"/>
        </w:numPr>
        <w:jc w:val="left"/>
      </w:pPr>
      <w:r>
        <w:lastRenderedPageBreak/>
        <w:t xml:space="preserve">Bilateral schedules under this Agreement that have no impact on other Parties may be amended at any time by agreement in writing between the relevant Parties; that is, between the Commonwealth and the relevant </w:t>
      </w:r>
      <w:r w:rsidR="00422D76">
        <w:t>State</w:t>
      </w:r>
      <w:r>
        <w:t>.</w:t>
      </w:r>
    </w:p>
    <w:p w14:paraId="51530627" w14:textId="77777777" w:rsidR="72087CE1" w:rsidRDefault="72087CE1" w:rsidP="004F3EA2">
      <w:pPr>
        <w:pStyle w:val="Normalnumbered"/>
        <w:numPr>
          <w:ilvl w:val="0"/>
          <w:numId w:val="9"/>
        </w:numPr>
        <w:jc w:val="left"/>
      </w:pPr>
      <w:r>
        <w:t>A Party to the Agreement may terminate their participation in the Agreement at any time by giving 12 months’ notice of intention to do so, in writing, to all the other Parties.</w:t>
      </w:r>
    </w:p>
    <w:p w14:paraId="5058B5E7" w14:textId="77777777" w:rsidR="72087CE1" w:rsidRDefault="72087CE1" w:rsidP="007461F2">
      <w:pPr>
        <w:pStyle w:val="Heading2"/>
      </w:pPr>
      <w:r>
        <w:t>Delegations</w:t>
      </w:r>
    </w:p>
    <w:p w14:paraId="7EB8EBFD" w14:textId="2A98A037" w:rsidR="72087CE1" w:rsidRDefault="72087CE1" w:rsidP="004F3EA2">
      <w:pPr>
        <w:pStyle w:val="Normalnumbered"/>
        <w:numPr>
          <w:ilvl w:val="0"/>
          <w:numId w:val="9"/>
        </w:numPr>
        <w:jc w:val="left"/>
      </w:pPr>
      <w:r>
        <w:t>The Commonwealth Minister with portfolio responsibility for housing and homelessness</w:t>
      </w:r>
      <w:r w:rsidR="00C8661B">
        <w:t xml:space="preserve"> is</w:t>
      </w:r>
      <w:r>
        <w:t xml:space="preserve"> authorised to </w:t>
      </w:r>
      <w:r w:rsidR="003113D8">
        <w:t xml:space="preserve">agree and amend </w:t>
      </w:r>
      <w:r w:rsidR="00982356">
        <w:t xml:space="preserve">the </w:t>
      </w:r>
      <w:r w:rsidR="00E54453">
        <w:t>A</w:t>
      </w:r>
      <w:r w:rsidR="00982356">
        <w:t xml:space="preserve">greement and </w:t>
      </w:r>
      <w:r w:rsidR="003113D8">
        <w:t xml:space="preserve">schedules under this Agreement and </w:t>
      </w:r>
      <w:r>
        <w:t xml:space="preserve">to certify that outputs under this Agreement have been </w:t>
      </w:r>
      <w:r w:rsidR="0024667D">
        <w:t>delivered.</w:t>
      </w:r>
      <w:r w:rsidR="003113D8" w:rsidRPr="003113D8">
        <w:t xml:space="preserve"> </w:t>
      </w:r>
    </w:p>
    <w:p w14:paraId="1942844F" w14:textId="1220DB87" w:rsidR="72087CE1" w:rsidRDefault="72087CE1" w:rsidP="004F3EA2">
      <w:pPr>
        <w:pStyle w:val="Normalnumbered"/>
        <w:numPr>
          <w:ilvl w:val="0"/>
          <w:numId w:val="9"/>
        </w:numPr>
        <w:jc w:val="left"/>
      </w:pPr>
      <w:r>
        <w:t>Respective State Ministers with portfolio responsibility for housing and homelessness are authorised to agree and amend schedules to this Agreement.</w:t>
      </w:r>
    </w:p>
    <w:p w14:paraId="6BBCFFDA" w14:textId="09D6C994" w:rsidR="00362BF3" w:rsidRDefault="003F2002" w:rsidP="004F3EA2">
      <w:pPr>
        <w:pStyle w:val="Normalnumbered"/>
        <w:numPr>
          <w:ilvl w:val="0"/>
          <w:numId w:val="9"/>
        </w:numPr>
        <w:jc w:val="left"/>
      </w:pPr>
      <w:r>
        <w:rPr>
          <w:color w:val="auto"/>
        </w:rPr>
        <w:t xml:space="preserve">The Council may </w:t>
      </w:r>
      <w:r w:rsidR="00362BF3">
        <w:rPr>
          <w:color w:val="auto"/>
        </w:rPr>
        <w:t xml:space="preserve">delegate </w:t>
      </w:r>
      <w:r w:rsidR="00422D76">
        <w:rPr>
          <w:color w:val="auto"/>
        </w:rPr>
        <w:t xml:space="preserve">its </w:t>
      </w:r>
      <w:r w:rsidR="00362BF3">
        <w:rPr>
          <w:color w:val="auto"/>
        </w:rPr>
        <w:t>responsibilities</w:t>
      </w:r>
      <w:r w:rsidR="00422D76">
        <w:rPr>
          <w:color w:val="auto"/>
        </w:rPr>
        <w:t xml:space="preserve"> as </w:t>
      </w:r>
      <w:r w:rsidR="004F6F52">
        <w:rPr>
          <w:color w:val="auto"/>
        </w:rPr>
        <w:t xml:space="preserve">they </w:t>
      </w:r>
      <w:r w:rsidR="00422D76">
        <w:rPr>
          <w:color w:val="auto"/>
        </w:rPr>
        <w:t>pertain to this Agreement</w:t>
      </w:r>
      <w:r w:rsidR="00362BF3">
        <w:rPr>
          <w:color w:val="auto"/>
        </w:rPr>
        <w:t xml:space="preserve"> to relevant </w:t>
      </w:r>
      <w:r w:rsidR="00CA5DA5">
        <w:rPr>
          <w:color w:val="auto"/>
        </w:rPr>
        <w:t xml:space="preserve">officials </w:t>
      </w:r>
      <w:r w:rsidR="00362BF3">
        <w:rPr>
          <w:color w:val="auto"/>
        </w:rPr>
        <w:t>reporting to the Council at their discretion (such as working groups made up of state officials).</w:t>
      </w:r>
      <w:r w:rsidR="00362BF3" w:rsidRPr="001E04D5">
        <w:rPr>
          <w:color w:val="auto"/>
        </w:rPr>
        <w:t xml:space="preserve"> </w:t>
      </w:r>
    </w:p>
    <w:p w14:paraId="10DB79E5" w14:textId="77777777" w:rsidR="72087CE1" w:rsidRDefault="72087CE1" w:rsidP="007461F2">
      <w:pPr>
        <w:pStyle w:val="Heading2"/>
      </w:pPr>
      <w:r>
        <w:t>Dispute resolution</w:t>
      </w:r>
    </w:p>
    <w:p w14:paraId="1C006A05" w14:textId="77777777" w:rsidR="72087CE1" w:rsidRDefault="72087CE1" w:rsidP="004F3EA2">
      <w:pPr>
        <w:pStyle w:val="Normalnumbered"/>
        <w:numPr>
          <w:ilvl w:val="0"/>
          <w:numId w:val="9"/>
        </w:numPr>
        <w:jc w:val="left"/>
      </w:pPr>
      <w:r>
        <w:t>Any Party may give notice to other Parties of a dispute under this Agreement.</w:t>
      </w:r>
    </w:p>
    <w:p w14:paraId="47D51E27" w14:textId="518A26D4" w:rsidR="72087CE1" w:rsidRDefault="72087CE1" w:rsidP="004F3EA2">
      <w:pPr>
        <w:pStyle w:val="Normalnumbered"/>
        <w:numPr>
          <w:ilvl w:val="0"/>
          <w:numId w:val="9"/>
        </w:numPr>
        <w:jc w:val="left"/>
      </w:pPr>
      <w:r>
        <w:t>Officials of relevant</w:t>
      </w:r>
      <w:r w:rsidRPr="007461F2">
        <w:rPr>
          <w:i/>
          <w:iCs/>
        </w:rPr>
        <w:t xml:space="preserve"> </w:t>
      </w:r>
      <w:r>
        <w:t>Parties will attempt to resolve any dispute in the first instance.</w:t>
      </w:r>
    </w:p>
    <w:p w14:paraId="757F1417" w14:textId="60D0204D" w:rsidR="72087CE1" w:rsidRDefault="72087CE1" w:rsidP="004F3EA2">
      <w:pPr>
        <w:pStyle w:val="Normalnumbered"/>
        <w:numPr>
          <w:ilvl w:val="0"/>
          <w:numId w:val="9"/>
        </w:numPr>
        <w:jc w:val="left"/>
      </w:pPr>
      <w:r>
        <w:t xml:space="preserve">If a dispute cannot be resolved by officials, the matter may be escalated to the relevant </w:t>
      </w:r>
      <w:r w:rsidR="00B23453">
        <w:t>Ministers.</w:t>
      </w:r>
    </w:p>
    <w:p w14:paraId="666229E4" w14:textId="5DAFBE68" w:rsidR="00814667" w:rsidRPr="00C811E9" w:rsidRDefault="00814667">
      <w:pPr>
        <w:pStyle w:val="Heading1"/>
      </w:pPr>
      <w:r w:rsidRPr="00C811E9">
        <w:t xml:space="preserve">Part </w:t>
      </w:r>
      <w:r w:rsidR="00057610">
        <w:t>4</w:t>
      </w:r>
      <w:r w:rsidRPr="00C811E9">
        <w:t xml:space="preserve"> — </w:t>
      </w:r>
      <w:r w:rsidR="0045653F">
        <w:t>Monitoring and</w:t>
      </w:r>
      <w:r w:rsidR="0045653F" w:rsidRPr="00C811E9">
        <w:t xml:space="preserve"> </w:t>
      </w:r>
      <w:r w:rsidR="002F0F15" w:rsidRPr="00C811E9">
        <w:t>reporting</w:t>
      </w:r>
      <w:r w:rsidR="000927CF">
        <w:t xml:space="preserve"> </w:t>
      </w:r>
    </w:p>
    <w:p w14:paraId="3F964F4F" w14:textId="402EE42A" w:rsidR="00B73D24" w:rsidRPr="0005234E" w:rsidRDefault="00B73D24" w:rsidP="004E2708">
      <w:pPr>
        <w:pStyle w:val="ListParagraph"/>
        <w:numPr>
          <w:ilvl w:val="0"/>
          <w:numId w:val="9"/>
        </w:numPr>
        <w:rPr>
          <w:rFonts w:ascii="Corbel" w:hAnsi="Corbel"/>
          <w:b/>
          <w:color w:val="000000"/>
          <w:sz w:val="23"/>
          <w:szCs w:val="23"/>
        </w:rPr>
      </w:pPr>
      <w:r w:rsidRPr="009266BD">
        <w:rPr>
          <w:rFonts w:ascii="Corbel" w:hAnsi="Corbel"/>
          <w:sz w:val="23"/>
          <w:szCs w:val="23"/>
        </w:rPr>
        <w:t xml:space="preserve">Progress towards achieving the objective </w:t>
      </w:r>
      <w:r w:rsidR="00A82742" w:rsidRPr="009266BD">
        <w:rPr>
          <w:rFonts w:ascii="Corbel" w:hAnsi="Corbel"/>
          <w:color w:val="000000"/>
          <w:sz w:val="23"/>
          <w:szCs w:val="23"/>
        </w:rPr>
        <w:t xml:space="preserve">of </w:t>
      </w:r>
      <w:r w:rsidRPr="009266BD">
        <w:rPr>
          <w:rFonts w:ascii="Corbel" w:hAnsi="Corbel"/>
          <w:color w:val="000000"/>
          <w:sz w:val="23"/>
          <w:szCs w:val="23"/>
        </w:rPr>
        <w:t xml:space="preserve">this Agreement </w:t>
      </w:r>
      <w:r w:rsidR="0024667D" w:rsidRPr="009266BD">
        <w:rPr>
          <w:rFonts w:ascii="Corbel" w:hAnsi="Corbel"/>
          <w:color w:val="000000"/>
          <w:sz w:val="23"/>
          <w:szCs w:val="20"/>
        </w:rPr>
        <w:t xml:space="preserve">will be </w:t>
      </w:r>
      <w:r w:rsidR="009429DC" w:rsidRPr="009266BD">
        <w:rPr>
          <w:rFonts w:ascii="Corbel" w:hAnsi="Corbel"/>
          <w:color w:val="000000"/>
          <w:sz w:val="23"/>
          <w:szCs w:val="23"/>
        </w:rPr>
        <w:t xml:space="preserve">monitored </w:t>
      </w:r>
      <w:r w:rsidR="00162BCD" w:rsidRPr="009266BD">
        <w:rPr>
          <w:rFonts w:ascii="Corbel" w:hAnsi="Corbel"/>
          <w:color w:val="000000"/>
          <w:sz w:val="23"/>
          <w:szCs w:val="23"/>
        </w:rPr>
        <w:t xml:space="preserve">and reported </w:t>
      </w:r>
      <w:r w:rsidR="001810BA">
        <w:rPr>
          <w:rFonts w:ascii="Corbel" w:hAnsi="Corbel"/>
          <w:color w:val="000000"/>
          <w:sz w:val="23"/>
          <w:szCs w:val="23"/>
        </w:rPr>
        <w:t xml:space="preserve">annually </w:t>
      </w:r>
      <w:r w:rsidR="00F80210" w:rsidRPr="009266BD">
        <w:rPr>
          <w:rFonts w:ascii="Corbel" w:hAnsi="Corbel"/>
          <w:color w:val="000000"/>
          <w:sz w:val="23"/>
          <w:szCs w:val="23"/>
        </w:rPr>
        <w:t xml:space="preserve">against the National Outcomes Framework (Schedule A) </w:t>
      </w:r>
      <w:r w:rsidR="00F04813" w:rsidRPr="009266BD">
        <w:rPr>
          <w:rFonts w:ascii="Corbel" w:hAnsi="Corbel"/>
          <w:color w:val="000000"/>
          <w:sz w:val="23"/>
          <w:szCs w:val="23"/>
        </w:rPr>
        <w:t xml:space="preserve">as detailed in Schedule </w:t>
      </w:r>
      <w:r w:rsidR="006D0391" w:rsidRPr="009266BD">
        <w:rPr>
          <w:rFonts w:ascii="Corbel" w:hAnsi="Corbel"/>
          <w:color w:val="000000"/>
          <w:sz w:val="23"/>
          <w:szCs w:val="23"/>
        </w:rPr>
        <w:t>B</w:t>
      </w:r>
      <w:r w:rsidR="002804ED" w:rsidRPr="009266BD">
        <w:rPr>
          <w:rFonts w:ascii="Corbel" w:hAnsi="Corbel"/>
          <w:color w:val="000000"/>
          <w:sz w:val="23"/>
          <w:szCs w:val="23"/>
        </w:rPr>
        <w:t xml:space="preserve">. This </w:t>
      </w:r>
      <w:r w:rsidRPr="009266BD">
        <w:rPr>
          <w:rFonts w:ascii="Corbel" w:hAnsi="Corbel"/>
          <w:color w:val="000000"/>
          <w:sz w:val="23"/>
          <w:szCs w:val="23"/>
        </w:rPr>
        <w:t>includ</w:t>
      </w:r>
      <w:r w:rsidR="002804ED" w:rsidRPr="009266BD">
        <w:rPr>
          <w:rFonts w:ascii="Corbel" w:hAnsi="Corbel"/>
          <w:color w:val="000000"/>
          <w:sz w:val="23"/>
          <w:szCs w:val="23"/>
        </w:rPr>
        <w:t>e</w:t>
      </w:r>
      <w:r w:rsidR="00FC6C1A" w:rsidRPr="009266BD">
        <w:rPr>
          <w:rFonts w:ascii="Corbel" w:hAnsi="Corbel"/>
          <w:color w:val="000000"/>
          <w:sz w:val="23"/>
          <w:szCs w:val="23"/>
        </w:rPr>
        <w:t>s</w:t>
      </w:r>
      <w:r w:rsidRPr="009266BD">
        <w:rPr>
          <w:rFonts w:ascii="Corbel" w:hAnsi="Corbel"/>
          <w:color w:val="000000"/>
          <w:sz w:val="23"/>
          <w:szCs w:val="23"/>
        </w:rPr>
        <w:t>:</w:t>
      </w:r>
    </w:p>
    <w:p w14:paraId="01FFD841" w14:textId="77777777" w:rsidR="0005234E" w:rsidRPr="009266BD" w:rsidRDefault="0005234E" w:rsidP="0005234E">
      <w:pPr>
        <w:pStyle w:val="ListParagraph"/>
        <w:ind w:left="567"/>
        <w:rPr>
          <w:rFonts w:ascii="Corbel" w:hAnsi="Corbel"/>
          <w:b/>
          <w:color w:val="000000"/>
          <w:sz w:val="23"/>
          <w:szCs w:val="23"/>
        </w:rPr>
      </w:pPr>
    </w:p>
    <w:p w14:paraId="046D5469" w14:textId="716D9DB4" w:rsidR="00B73D24" w:rsidRPr="00E81213" w:rsidRDefault="00794690" w:rsidP="004F3EA2">
      <w:pPr>
        <w:pStyle w:val="AlphaParagraph"/>
        <w:numPr>
          <w:ilvl w:val="1"/>
          <w:numId w:val="9"/>
        </w:numPr>
        <w:tabs>
          <w:tab w:val="clear" w:pos="283"/>
          <w:tab w:val="clear" w:pos="567"/>
          <w:tab w:val="clear" w:pos="1134"/>
          <w:tab w:val="clear" w:pos="1701"/>
        </w:tabs>
        <w:jc w:val="left"/>
        <w:rPr>
          <w:rFonts w:cs="Corbel"/>
          <w:color w:val="auto"/>
        </w:rPr>
      </w:pPr>
      <w:r>
        <w:rPr>
          <w:rFonts w:cs="Corbel"/>
          <w:color w:val="auto"/>
        </w:rPr>
        <w:t>r</w:t>
      </w:r>
      <w:r w:rsidR="000D1832" w:rsidRPr="00E81213">
        <w:rPr>
          <w:rFonts w:cs="Corbel"/>
          <w:color w:val="auto"/>
        </w:rPr>
        <w:t>eporting against</w:t>
      </w:r>
      <w:r w:rsidR="00B73D24" w:rsidRPr="00E81213">
        <w:rPr>
          <w:rFonts w:cs="Corbel"/>
          <w:color w:val="auto"/>
        </w:rPr>
        <w:t xml:space="preserve"> </w:t>
      </w:r>
      <w:r w:rsidR="00091CC5">
        <w:rPr>
          <w:rFonts w:cs="Corbel"/>
          <w:color w:val="auto"/>
        </w:rPr>
        <w:t>measure</w:t>
      </w:r>
      <w:r w:rsidR="00B73D24" w:rsidRPr="00E81213">
        <w:rPr>
          <w:rFonts w:cs="Corbel"/>
          <w:color w:val="auto"/>
        </w:rPr>
        <w:t>s</w:t>
      </w:r>
      <w:r w:rsidR="000D1832" w:rsidRPr="00E81213">
        <w:rPr>
          <w:rFonts w:cs="Corbel"/>
          <w:color w:val="auto"/>
        </w:rPr>
        <w:t xml:space="preserve"> </w:t>
      </w:r>
      <w:r w:rsidR="00F80210" w:rsidRPr="00E81213">
        <w:rPr>
          <w:rFonts w:cs="Corbel"/>
          <w:color w:val="auto"/>
        </w:rPr>
        <w:t>as agreed in the bilateral schedules</w:t>
      </w:r>
    </w:p>
    <w:p w14:paraId="080D809D" w14:textId="1547E513" w:rsidR="00B73D24" w:rsidRDefault="00794690" w:rsidP="004F3EA2">
      <w:pPr>
        <w:pStyle w:val="AlphaParagraph"/>
        <w:numPr>
          <w:ilvl w:val="1"/>
          <w:numId w:val="9"/>
        </w:numPr>
        <w:tabs>
          <w:tab w:val="clear" w:pos="283"/>
          <w:tab w:val="clear" w:pos="567"/>
          <w:tab w:val="clear" w:pos="1134"/>
          <w:tab w:val="clear" w:pos="1701"/>
        </w:tabs>
        <w:jc w:val="left"/>
        <w:rPr>
          <w:rFonts w:cs="Corbel"/>
          <w:color w:val="auto"/>
        </w:rPr>
      </w:pPr>
      <w:r>
        <w:rPr>
          <w:rFonts w:cs="Corbel"/>
          <w:color w:val="auto"/>
        </w:rPr>
        <w:t>r</w:t>
      </w:r>
      <w:r w:rsidR="000D1832" w:rsidRPr="00995795">
        <w:rPr>
          <w:rFonts w:cs="Corbel"/>
          <w:color w:val="auto"/>
        </w:rPr>
        <w:t>eporting</w:t>
      </w:r>
      <w:r w:rsidR="00B73D24" w:rsidRPr="00995795">
        <w:rPr>
          <w:rFonts w:cs="Corbel"/>
          <w:color w:val="auto"/>
        </w:rPr>
        <w:t xml:space="preserve"> on relevant</w:t>
      </w:r>
      <w:r w:rsidR="00C21072" w:rsidRPr="00995795">
        <w:rPr>
          <w:rFonts w:cs="Corbel"/>
          <w:color w:val="auto"/>
        </w:rPr>
        <w:t xml:space="preserve"> State government</w:t>
      </w:r>
      <w:r w:rsidR="00B73D24" w:rsidRPr="00995795">
        <w:rPr>
          <w:rFonts w:cs="Corbel"/>
          <w:color w:val="auto"/>
        </w:rPr>
        <w:t xml:space="preserve"> expenditure</w:t>
      </w:r>
      <w:r w:rsidR="00995795" w:rsidRPr="00995795">
        <w:rPr>
          <w:rFonts w:cs="Corbel"/>
          <w:color w:val="auto"/>
        </w:rPr>
        <w:t xml:space="preserve"> and </w:t>
      </w:r>
      <w:r w:rsidR="00FC6C1A" w:rsidRPr="00995795">
        <w:rPr>
          <w:rFonts w:cs="Corbel"/>
          <w:color w:val="auto"/>
        </w:rPr>
        <w:t xml:space="preserve">relevant </w:t>
      </w:r>
      <w:r w:rsidR="00C21072" w:rsidRPr="00995795">
        <w:rPr>
          <w:rFonts w:cs="Corbel"/>
          <w:color w:val="auto"/>
        </w:rPr>
        <w:t xml:space="preserve">State </w:t>
      </w:r>
      <w:r w:rsidR="00B73D24" w:rsidRPr="00995795">
        <w:rPr>
          <w:rFonts w:cs="Corbel"/>
          <w:color w:val="auto"/>
        </w:rPr>
        <w:t>government programs</w:t>
      </w:r>
      <w:r w:rsidR="002804ED" w:rsidRPr="00995795">
        <w:rPr>
          <w:rFonts w:cs="Corbel"/>
          <w:color w:val="auto"/>
        </w:rPr>
        <w:t>,</w:t>
      </w:r>
      <w:r w:rsidR="00B73D24" w:rsidRPr="00995795">
        <w:rPr>
          <w:rFonts w:cs="Corbel"/>
          <w:color w:val="auto"/>
        </w:rPr>
        <w:t xml:space="preserve"> reforms</w:t>
      </w:r>
      <w:r w:rsidR="002804ED" w:rsidRPr="00995795">
        <w:rPr>
          <w:rFonts w:cs="Corbel"/>
          <w:color w:val="auto"/>
        </w:rPr>
        <w:t xml:space="preserve"> and initiatives</w:t>
      </w:r>
      <w:r w:rsidR="00B73D24" w:rsidRPr="00995795">
        <w:rPr>
          <w:rFonts w:cs="Corbel"/>
          <w:color w:val="auto"/>
        </w:rPr>
        <w:t>.</w:t>
      </w:r>
    </w:p>
    <w:p w14:paraId="4B1F0362" w14:textId="641EED57" w:rsidR="00217BD6" w:rsidRPr="00982356" w:rsidRDefault="003D2770" w:rsidP="004F3EA2">
      <w:pPr>
        <w:pStyle w:val="AlphaParagraph"/>
        <w:numPr>
          <w:ilvl w:val="0"/>
          <w:numId w:val="9"/>
        </w:numPr>
        <w:tabs>
          <w:tab w:val="clear" w:pos="283"/>
          <w:tab w:val="clear" w:pos="1134"/>
          <w:tab w:val="clear" w:pos="1418"/>
          <w:tab w:val="clear" w:pos="1701"/>
        </w:tabs>
        <w:jc w:val="left"/>
        <w:rPr>
          <w:rFonts w:cs="Corbel"/>
          <w:color w:val="auto"/>
        </w:rPr>
      </w:pPr>
      <w:r w:rsidRPr="00982356">
        <w:rPr>
          <w:rFonts w:cs="Corbel"/>
          <w:color w:val="auto"/>
        </w:rPr>
        <w:t xml:space="preserve">From the second year of the Agreement onwards, </w:t>
      </w:r>
      <w:r w:rsidR="00217BD6" w:rsidRPr="00982356">
        <w:rPr>
          <w:rFonts w:cs="Corbel"/>
          <w:color w:val="auto"/>
        </w:rPr>
        <w:t>a</w:t>
      </w:r>
      <w:r w:rsidRPr="00982356">
        <w:rPr>
          <w:rFonts w:cs="Corbel"/>
          <w:color w:val="auto"/>
        </w:rPr>
        <w:t xml:space="preserve">nnual reporting shared with the Council </w:t>
      </w:r>
      <w:r w:rsidR="004C7345" w:rsidRPr="00982356">
        <w:rPr>
          <w:rFonts w:cs="Corbel"/>
          <w:color w:val="auto"/>
        </w:rPr>
        <w:t xml:space="preserve">will provide an opportunity for </w:t>
      </w:r>
      <w:r w:rsidRPr="00982356">
        <w:rPr>
          <w:rFonts w:cs="Corbel"/>
          <w:color w:val="auto"/>
        </w:rPr>
        <w:t xml:space="preserve">Ministers to collectively review the Agreement’s </w:t>
      </w:r>
      <w:r w:rsidR="00217BD6" w:rsidRPr="00982356">
        <w:rPr>
          <w:rFonts w:cs="Corbel"/>
          <w:color w:val="auto"/>
        </w:rPr>
        <w:t xml:space="preserve">ongoing </w:t>
      </w:r>
      <w:r w:rsidRPr="00982356">
        <w:rPr>
          <w:rFonts w:cs="Corbel"/>
          <w:color w:val="auto"/>
        </w:rPr>
        <w:t>strategic relevance</w:t>
      </w:r>
      <w:r w:rsidR="00217BD6" w:rsidRPr="00982356">
        <w:rPr>
          <w:rFonts w:cs="Corbel"/>
          <w:color w:val="auto"/>
        </w:rPr>
        <w:t xml:space="preserve">. </w:t>
      </w:r>
    </w:p>
    <w:p w14:paraId="3B8A40B2" w14:textId="0C7C9947" w:rsidR="003D2770" w:rsidRPr="00982356" w:rsidRDefault="000A33A1" w:rsidP="004F3EA2">
      <w:pPr>
        <w:pStyle w:val="AlphaParagraph"/>
        <w:numPr>
          <w:ilvl w:val="1"/>
          <w:numId w:val="9"/>
        </w:numPr>
        <w:tabs>
          <w:tab w:val="clear" w:pos="283"/>
          <w:tab w:val="clear" w:pos="567"/>
          <w:tab w:val="clear" w:pos="1134"/>
          <w:tab w:val="clear" w:pos="1701"/>
        </w:tabs>
        <w:jc w:val="left"/>
        <w:rPr>
          <w:rFonts w:cs="Corbel"/>
          <w:color w:val="auto"/>
        </w:rPr>
      </w:pPr>
      <w:r w:rsidRPr="00982356">
        <w:rPr>
          <w:rFonts w:cs="Corbel"/>
          <w:color w:val="auto"/>
        </w:rPr>
        <w:t>D</w:t>
      </w:r>
      <w:r w:rsidR="004C7345" w:rsidRPr="00982356">
        <w:rPr>
          <w:rFonts w:cs="Corbel"/>
          <w:color w:val="auto"/>
        </w:rPr>
        <w:t>iscussion</w:t>
      </w:r>
      <w:r w:rsidRPr="00982356">
        <w:rPr>
          <w:rFonts w:cs="Corbel"/>
          <w:color w:val="auto"/>
        </w:rPr>
        <w:t>s</w:t>
      </w:r>
      <w:r w:rsidR="004C7345" w:rsidRPr="00982356">
        <w:rPr>
          <w:rFonts w:cs="Corbel"/>
          <w:color w:val="auto"/>
        </w:rPr>
        <w:t xml:space="preserve"> </w:t>
      </w:r>
      <w:r w:rsidRPr="00982356">
        <w:rPr>
          <w:rFonts w:cs="Corbel"/>
          <w:color w:val="auto"/>
        </w:rPr>
        <w:t xml:space="preserve">pursuant to </w:t>
      </w:r>
      <w:r w:rsidR="002D272A">
        <w:rPr>
          <w:rFonts w:cs="Corbel"/>
          <w:color w:val="auto"/>
        </w:rPr>
        <w:t>this clause</w:t>
      </w:r>
      <w:r w:rsidRPr="00982356">
        <w:rPr>
          <w:rFonts w:cs="Corbel"/>
          <w:color w:val="auto"/>
        </w:rPr>
        <w:t xml:space="preserve"> </w:t>
      </w:r>
      <w:r w:rsidR="004C7345" w:rsidRPr="00982356">
        <w:rPr>
          <w:rFonts w:cs="Corbel"/>
          <w:color w:val="auto"/>
        </w:rPr>
        <w:t xml:space="preserve">will be held </w:t>
      </w:r>
      <w:r w:rsidR="00217BD6" w:rsidRPr="00982356">
        <w:rPr>
          <w:rFonts w:cs="Corbel"/>
          <w:color w:val="auto"/>
        </w:rPr>
        <w:t>with regard to both the Agreement’s</w:t>
      </w:r>
      <w:r w:rsidR="003D2770" w:rsidRPr="00982356">
        <w:rPr>
          <w:rFonts w:cs="Corbel"/>
          <w:color w:val="auto"/>
        </w:rPr>
        <w:t xml:space="preserve"> objective and the broader housing policy context.</w:t>
      </w:r>
    </w:p>
    <w:p w14:paraId="01486BDE" w14:textId="2C08B665" w:rsidR="00733196" w:rsidRPr="005B08CD" w:rsidRDefault="00B73D24" w:rsidP="00733196">
      <w:pPr>
        <w:pStyle w:val="Heading2"/>
        <w:rPr>
          <w:spacing w:val="10"/>
          <w:sz w:val="23"/>
          <w:szCs w:val="23"/>
        </w:rPr>
      </w:pPr>
      <w:r w:rsidRPr="001E5744">
        <w:t xml:space="preserve">National </w:t>
      </w:r>
      <w:r w:rsidR="00733196" w:rsidRPr="001E5744">
        <w:t xml:space="preserve">Outcomes Framework </w:t>
      </w:r>
    </w:p>
    <w:p w14:paraId="769F7069" w14:textId="6454B52A" w:rsidR="000927CF" w:rsidRDefault="00836B45" w:rsidP="004F3EA2">
      <w:pPr>
        <w:pStyle w:val="Normalnumbered"/>
        <w:numPr>
          <w:ilvl w:val="0"/>
          <w:numId w:val="9"/>
        </w:numPr>
        <w:jc w:val="left"/>
      </w:pPr>
      <w:r>
        <w:t xml:space="preserve">Progress </w:t>
      </w:r>
      <w:r w:rsidR="00015F2B">
        <w:t xml:space="preserve">against </w:t>
      </w:r>
      <w:r w:rsidR="004C7345">
        <w:t>the</w:t>
      </w:r>
      <w:r w:rsidR="000A33A1">
        <w:t xml:space="preserve"> Agreement’s</w:t>
      </w:r>
      <w:r w:rsidR="004C7345">
        <w:t xml:space="preserve"> objective will </w:t>
      </w:r>
      <w:r>
        <w:t xml:space="preserve">be </w:t>
      </w:r>
      <w:r w:rsidR="00CA163F">
        <w:t>assessed against the National Outcomes Framework (Schedule A) and</w:t>
      </w:r>
      <w:r>
        <w:t xml:space="preserve"> measured using the </w:t>
      </w:r>
      <w:r w:rsidR="00091CC5">
        <w:t>measure</w:t>
      </w:r>
      <w:r>
        <w:t>s specified in</w:t>
      </w:r>
      <w:r w:rsidR="00B73D24">
        <w:t xml:space="preserve"> </w:t>
      </w:r>
      <w:r w:rsidR="00A53726">
        <w:t xml:space="preserve">bilateral schedules. These will comprise, at a minimum, the </w:t>
      </w:r>
      <w:r w:rsidR="006B264D">
        <w:t xml:space="preserve">compulsory </w:t>
      </w:r>
      <w:r w:rsidR="00091CC5">
        <w:t>measures</w:t>
      </w:r>
      <w:r w:rsidR="00A53726">
        <w:t xml:space="preserve"> in the </w:t>
      </w:r>
      <w:r w:rsidR="00A53726">
        <w:lastRenderedPageBreak/>
        <w:t xml:space="preserve">National Outcomes Framework. </w:t>
      </w:r>
      <w:r w:rsidR="001D0DD2">
        <w:t>S</w:t>
      </w:r>
      <w:r w:rsidR="000927CF">
        <w:t xml:space="preserve">tate-specific </w:t>
      </w:r>
      <w:r w:rsidR="00091CC5">
        <w:t>measures</w:t>
      </w:r>
      <w:r w:rsidR="000927CF">
        <w:t xml:space="preserve"> </w:t>
      </w:r>
      <w:r w:rsidR="001D0DD2">
        <w:t>will</w:t>
      </w:r>
      <w:r w:rsidR="000927CF">
        <w:t xml:space="preserve"> </w:t>
      </w:r>
      <w:r w:rsidR="00255755">
        <w:t xml:space="preserve">be </w:t>
      </w:r>
      <w:r w:rsidR="000927CF">
        <w:t xml:space="preserve">agreed between relevant </w:t>
      </w:r>
      <w:r w:rsidR="00C21072">
        <w:t>P</w:t>
      </w:r>
      <w:r w:rsidR="000927CF">
        <w:t xml:space="preserve">arties and set out in </w:t>
      </w:r>
      <w:r w:rsidR="00A53726">
        <w:t xml:space="preserve">the </w:t>
      </w:r>
      <w:r w:rsidR="000927CF">
        <w:t>bilateral schedules.</w:t>
      </w:r>
    </w:p>
    <w:p w14:paraId="01585566" w14:textId="27EA849D" w:rsidR="00733196" w:rsidRPr="00423E9C" w:rsidRDefault="00733196" w:rsidP="004F3EA2">
      <w:pPr>
        <w:pStyle w:val="Normalnumbered"/>
        <w:numPr>
          <w:ilvl w:val="0"/>
          <w:numId w:val="9"/>
        </w:numPr>
        <w:jc w:val="left"/>
      </w:pPr>
      <w:r>
        <w:t>The Parties recognise th</w:t>
      </w:r>
      <w:r w:rsidR="000927CF">
        <w:t>e</w:t>
      </w:r>
      <w:r>
        <w:t xml:space="preserve"> </w:t>
      </w:r>
      <w:r w:rsidR="008A00C9">
        <w:t>N</w:t>
      </w:r>
      <w:r>
        <w:t xml:space="preserve">ational </w:t>
      </w:r>
      <w:r w:rsidR="008A00C9">
        <w:t xml:space="preserve">Outcomes Framework </w:t>
      </w:r>
      <w:r w:rsidR="00387D7A">
        <w:t xml:space="preserve">indicators and </w:t>
      </w:r>
      <w:r w:rsidR="008A00C9">
        <w:t>measures</w:t>
      </w:r>
      <w:r>
        <w:t xml:space="preserve"> may require data improvements where necessary to</w:t>
      </w:r>
      <w:r w:rsidR="004E5AA3">
        <w:t xml:space="preserve"> improve data quality and reporting</w:t>
      </w:r>
      <w:r>
        <w:t>.</w:t>
      </w:r>
    </w:p>
    <w:p w14:paraId="0B062B2F" w14:textId="0ABE9045" w:rsidR="00E94F94" w:rsidRPr="009E4D69" w:rsidRDefault="00E94F94" w:rsidP="004E2708">
      <w:pPr>
        <w:pStyle w:val="Heading2"/>
        <w:rPr>
          <w:szCs w:val="29"/>
        </w:rPr>
      </w:pPr>
      <w:r w:rsidRPr="009E4D69">
        <w:t>Statement of assurance</w:t>
      </w:r>
    </w:p>
    <w:p w14:paraId="37125E59" w14:textId="4487C86D" w:rsidR="00256E79" w:rsidRPr="00E81213" w:rsidRDefault="55FD514C" w:rsidP="004F3EA2">
      <w:pPr>
        <w:pStyle w:val="Normalnumbered"/>
        <w:numPr>
          <w:ilvl w:val="0"/>
          <w:numId w:val="9"/>
        </w:numPr>
        <w:jc w:val="left"/>
      </w:pPr>
      <w:r>
        <w:t xml:space="preserve">Each State will provide to the relevant Commonwealth Minister (or a relevant </w:t>
      </w:r>
      <w:r w:rsidRPr="00E81213">
        <w:t>Commonwealth official) an annual statement of assurance</w:t>
      </w:r>
      <w:r w:rsidR="00256E79" w:rsidRPr="00E81213">
        <w:t>.</w:t>
      </w:r>
      <w:r w:rsidRPr="00E81213">
        <w:t xml:space="preserve"> </w:t>
      </w:r>
      <w:r w:rsidR="00256E79" w:rsidRPr="00E81213">
        <w:t xml:space="preserve">The statement will take the form as detailed in Schedule </w:t>
      </w:r>
      <w:r w:rsidR="00E81213" w:rsidRPr="00E81213">
        <w:t>B</w:t>
      </w:r>
      <w:r w:rsidR="00256E79" w:rsidRPr="00E81213">
        <w:t xml:space="preserve"> and with reference to the bilateral schedules.</w:t>
      </w:r>
    </w:p>
    <w:p w14:paraId="020D744A" w14:textId="5958EEF0" w:rsidR="007B78EA" w:rsidRDefault="55FD514C" w:rsidP="004F3EA2">
      <w:pPr>
        <w:pStyle w:val="Normalnumbered"/>
        <w:numPr>
          <w:ilvl w:val="0"/>
          <w:numId w:val="9"/>
        </w:numPr>
        <w:jc w:val="left"/>
      </w:pPr>
      <w:r>
        <w:t xml:space="preserve">The Commonwealth will publish statements on a public website where details of this </w:t>
      </w:r>
      <w:r w:rsidR="00E54453">
        <w:t>A</w:t>
      </w:r>
      <w:r>
        <w:t xml:space="preserve">greement are also published. States may also choose to </w:t>
      </w:r>
      <w:r w:rsidR="007904C8">
        <w:t>publish the statements on their websites</w:t>
      </w:r>
      <w:r>
        <w:t>.</w:t>
      </w:r>
    </w:p>
    <w:p w14:paraId="1C46A380" w14:textId="5DB0A723" w:rsidR="00362BF3" w:rsidRPr="00C811E9" w:rsidRDefault="00362BF3" w:rsidP="004F3EA2">
      <w:pPr>
        <w:pStyle w:val="Normalnumbered"/>
        <w:numPr>
          <w:ilvl w:val="0"/>
          <w:numId w:val="9"/>
        </w:numPr>
        <w:jc w:val="left"/>
      </w:pPr>
      <w:bookmarkStart w:id="10" w:name="_Hlk164416926"/>
      <w:r>
        <w:t>Parties will work together to improve the quality and utility of the</w:t>
      </w:r>
      <w:r w:rsidR="00FB7DDF">
        <w:t xml:space="preserve"> information </w:t>
      </w:r>
      <w:r w:rsidR="00422D76">
        <w:t>provided</w:t>
      </w:r>
      <w:r w:rsidR="00FB7DDF">
        <w:t xml:space="preserve"> in the</w:t>
      </w:r>
      <w:r>
        <w:t xml:space="preserve"> statements of </w:t>
      </w:r>
      <w:r w:rsidR="00B23453">
        <w:t>assurance.</w:t>
      </w:r>
    </w:p>
    <w:bookmarkEnd w:id="10"/>
    <w:p w14:paraId="0D311BD0" w14:textId="53D64B93" w:rsidR="00584EE6" w:rsidRPr="009E4D69" w:rsidRDefault="001366E6" w:rsidP="004E2708">
      <w:pPr>
        <w:pStyle w:val="Heading2"/>
        <w:rPr>
          <w:szCs w:val="29"/>
        </w:rPr>
      </w:pPr>
      <w:r w:rsidRPr="009E4D69">
        <w:t xml:space="preserve">National </w:t>
      </w:r>
      <w:r w:rsidR="00387D7A">
        <w:rPr>
          <w:szCs w:val="29"/>
        </w:rPr>
        <w:t>r</w:t>
      </w:r>
      <w:r w:rsidR="00584EE6" w:rsidRPr="009E4D69">
        <w:rPr>
          <w:szCs w:val="29"/>
        </w:rPr>
        <w:t xml:space="preserve">eporting </w:t>
      </w:r>
      <w:r w:rsidR="003167EF" w:rsidRPr="009E4D69">
        <w:rPr>
          <w:szCs w:val="29"/>
        </w:rPr>
        <w:t xml:space="preserve">and </w:t>
      </w:r>
      <w:r w:rsidR="00387D7A">
        <w:rPr>
          <w:szCs w:val="29"/>
        </w:rPr>
        <w:t>a</w:t>
      </w:r>
      <w:r w:rsidR="002804ED" w:rsidRPr="009E4D69">
        <w:rPr>
          <w:szCs w:val="29"/>
        </w:rPr>
        <w:t>nalysis</w:t>
      </w:r>
    </w:p>
    <w:p w14:paraId="71B28569" w14:textId="2057CCC0" w:rsidR="00990F46" w:rsidRPr="00FB7DDF" w:rsidRDefault="00990F46" w:rsidP="004F3EA2">
      <w:pPr>
        <w:pStyle w:val="Normalnumbered"/>
        <w:numPr>
          <w:ilvl w:val="0"/>
          <w:numId w:val="9"/>
        </w:numPr>
        <w:jc w:val="left"/>
      </w:pPr>
      <w:r w:rsidRPr="00FB7DDF">
        <w:t xml:space="preserve">Where appropriate, reporting and analysis will draw on existing data collections and reports, for example the Specialist Homelessness Services Collection and </w:t>
      </w:r>
      <w:r w:rsidR="00B23453" w:rsidRPr="00FB7DDF">
        <w:t xml:space="preserve">the </w:t>
      </w:r>
      <w:r w:rsidRPr="00FB7DDF">
        <w:t xml:space="preserve">Report on Government Services, recognising that adjustments to existing data may be required. </w:t>
      </w:r>
    </w:p>
    <w:p w14:paraId="3D8A9732" w14:textId="43D35078" w:rsidR="002A419E" w:rsidRPr="00C811E9" w:rsidRDefault="55FD514C" w:rsidP="004F3EA2">
      <w:pPr>
        <w:pStyle w:val="Normalnumbered"/>
        <w:numPr>
          <w:ilvl w:val="0"/>
          <w:numId w:val="9"/>
        </w:numPr>
        <w:jc w:val="left"/>
      </w:pPr>
      <w:r>
        <w:t>Th</w:t>
      </w:r>
      <w:r w:rsidR="00256E79">
        <w:t xml:space="preserve">e </w:t>
      </w:r>
      <w:bookmarkStart w:id="11" w:name="_Hlk164675604"/>
      <w:r w:rsidR="00256E79">
        <w:t>Parties</w:t>
      </w:r>
      <w:r>
        <w:t xml:space="preserve"> may undertake additional reporting and analysis </w:t>
      </w:r>
      <w:bookmarkEnd w:id="11"/>
      <w:r w:rsidR="002804ED">
        <w:t xml:space="preserve">relevant </w:t>
      </w:r>
      <w:r>
        <w:t xml:space="preserve">to the objective and outcomes contributed to by the Agreement. This may take the form of a summary of statements received or other analysis report. The </w:t>
      </w:r>
      <w:r w:rsidR="00256E79">
        <w:t xml:space="preserve">Parties </w:t>
      </w:r>
      <w:r>
        <w:t xml:space="preserve">will provide </w:t>
      </w:r>
      <w:r w:rsidR="000C3A36">
        <w:t>each other</w:t>
      </w:r>
      <w:r>
        <w:t xml:space="preserve"> the opportunity to comment on any report prior to publishing. </w:t>
      </w:r>
    </w:p>
    <w:p w14:paraId="5FEE7694" w14:textId="70F847B4" w:rsidR="006C41E3" w:rsidRDefault="006C41E3" w:rsidP="009E093C">
      <w:pPr>
        <w:pStyle w:val="Heading1"/>
      </w:pPr>
      <w:r>
        <w:t xml:space="preserve">Part 5 </w:t>
      </w:r>
      <w:r w:rsidR="00EB2F96" w:rsidRPr="00C811E9">
        <w:t>—</w:t>
      </w:r>
      <w:r>
        <w:t xml:space="preserve"> Financial Arrangements</w:t>
      </w:r>
    </w:p>
    <w:p w14:paraId="70E8D8C7" w14:textId="0D39E416" w:rsidR="00EB0619" w:rsidRPr="00824B10" w:rsidRDefault="00EB0619" w:rsidP="004F3EA2">
      <w:pPr>
        <w:pStyle w:val="Normalnumbered"/>
        <w:numPr>
          <w:ilvl w:val="0"/>
          <w:numId w:val="9"/>
        </w:numPr>
        <w:jc w:val="left"/>
      </w:pPr>
      <w:r w:rsidRPr="00C811E9">
        <w:t xml:space="preserve">In 2024-25, the Commonwealth will provide an estimated total financial contribution to the States of </w:t>
      </w:r>
      <w:r w:rsidRPr="00443A62">
        <w:t>$</w:t>
      </w:r>
      <w:r w:rsidR="000525D8" w:rsidRPr="00443A62">
        <w:t>1.8</w:t>
      </w:r>
      <w:r w:rsidRPr="00443A62">
        <w:t xml:space="preserve"> billion</w:t>
      </w:r>
      <w:r w:rsidRPr="00C811E9">
        <w:t xml:space="preserve"> </w:t>
      </w:r>
      <w:r w:rsidRPr="00C811E9">
        <w:rPr>
          <w:color w:val="auto"/>
        </w:rPr>
        <w:t>in respect of this Agreement.</w:t>
      </w:r>
      <w:r>
        <w:rPr>
          <w:color w:val="auto"/>
        </w:rPr>
        <w:t xml:space="preserve"> </w:t>
      </w:r>
      <w:r w:rsidRPr="00C811E9">
        <w:t>All payments are GST exclusive.</w:t>
      </w:r>
    </w:p>
    <w:p w14:paraId="2FD12CE7" w14:textId="266CE8B5" w:rsidR="00EB0619" w:rsidRPr="00C811E9" w:rsidRDefault="007976DE" w:rsidP="004F3EA2">
      <w:pPr>
        <w:pStyle w:val="Normalnumbered"/>
        <w:numPr>
          <w:ilvl w:val="0"/>
          <w:numId w:val="9"/>
        </w:numPr>
        <w:jc w:val="left"/>
      </w:pPr>
      <w:r w:rsidRPr="007976DE">
        <w:t>For the remainder of the Agreement, the Commonwealth’s total financial contribution will be indexed annually to Wage Cost Index</w:t>
      </w:r>
      <w:r w:rsidR="000D7B17">
        <w:t xml:space="preserve"> </w:t>
      </w:r>
      <w:r w:rsidRPr="007976DE">
        <w:t xml:space="preserve">1. The actual </w:t>
      </w:r>
      <w:r w:rsidR="00DB35C8">
        <w:t>financial assistance</w:t>
      </w:r>
      <w:r w:rsidR="00DB35C8" w:rsidRPr="007976DE">
        <w:t xml:space="preserve"> </w:t>
      </w:r>
      <w:r w:rsidRPr="007976DE">
        <w:t>is subject to change based on updates to Wage Cost Index 1 as part of the Commonwealth Budget processes.</w:t>
      </w:r>
    </w:p>
    <w:p w14:paraId="06B465F9" w14:textId="3B2832C2" w:rsidR="00EB0619" w:rsidRPr="001A7C6A" w:rsidRDefault="00EB0619" w:rsidP="004F3EA2">
      <w:pPr>
        <w:pStyle w:val="Normalnumbered"/>
        <w:numPr>
          <w:ilvl w:val="0"/>
          <w:numId w:val="9"/>
        </w:numPr>
        <w:jc w:val="left"/>
      </w:pPr>
      <w:r>
        <w:t xml:space="preserve">The Commonwealth’s contribution will not be reduced where the States secure funding from other activity </w:t>
      </w:r>
      <w:r w:rsidRPr="001A7C6A">
        <w:t>partners.</w:t>
      </w:r>
    </w:p>
    <w:p w14:paraId="51B8C2F2" w14:textId="0DCC7A88" w:rsidR="00EB0619" w:rsidRPr="001A7C6A" w:rsidRDefault="00EB0619" w:rsidP="004F3EA2">
      <w:pPr>
        <w:pStyle w:val="Normalnumbered"/>
        <w:numPr>
          <w:ilvl w:val="0"/>
          <w:numId w:val="9"/>
        </w:numPr>
        <w:jc w:val="left"/>
      </w:pPr>
      <w:r w:rsidRPr="001A7C6A">
        <w:t>The Commonwealth</w:t>
      </w:r>
      <w:r w:rsidR="000525D8">
        <w:t>’s</w:t>
      </w:r>
      <w:r w:rsidRPr="001A7C6A">
        <w:t xml:space="preserve"> estimated financial contribution to the operation of this Agreement </w:t>
      </w:r>
      <w:r w:rsidR="0010397F">
        <w:t xml:space="preserve">and the allocation across the States </w:t>
      </w:r>
      <w:r w:rsidRPr="001A7C6A">
        <w:t>are shown in Tables 1 and 2.</w:t>
      </w:r>
    </w:p>
    <w:p w14:paraId="381B8E50" w14:textId="5A1A4D5F" w:rsidR="00EB0619" w:rsidRPr="00C811E9" w:rsidRDefault="007976DE" w:rsidP="004F3EA2">
      <w:pPr>
        <w:pStyle w:val="Normalnumbered"/>
        <w:numPr>
          <w:ilvl w:val="0"/>
          <w:numId w:val="9"/>
        </w:numPr>
        <w:jc w:val="left"/>
      </w:pPr>
      <w:r w:rsidRPr="007976DE">
        <w:t xml:space="preserve">Consistent with </w:t>
      </w:r>
      <w:r w:rsidR="005D5E0F">
        <w:t>S</w:t>
      </w:r>
      <w:r>
        <w:t xml:space="preserve">ection </w:t>
      </w:r>
      <w:r w:rsidRPr="007976DE">
        <w:t xml:space="preserve">17 of the FFR Act, Commonwealth contributions will be paid monthly in advance providing that the relevant terms and conditions set out in this Agreement are met (see Part 2). The Commonwealth Treasurer will make a final determination on the distribution of </w:t>
      </w:r>
      <w:r w:rsidR="00DB35C8">
        <w:t>financial assistance</w:t>
      </w:r>
      <w:r w:rsidR="00DB35C8" w:rsidRPr="007976DE">
        <w:t xml:space="preserve"> </w:t>
      </w:r>
      <w:r w:rsidRPr="007976DE">
        <w:t>to the States after the end of the financial year.</w:t>
      </w:r>
    </w:p>
    <w:p w14:paraId="142F6915" w14:textId="59243BFA" w:rsidR="00EB0619" w:rsidRPr="00C811E9" w:rsidRDefault="009C5F97" w:rsidP="00EB0619">
      <w:pPr>
        <w:pStyle w:val="Heading2"/>
      </w:pPr>
      <w:r>
        <w:lastRenderedPageBreak/>
        <w:t xml:space="preserve">Funding allocations </w:t>
      </w:r>
    </w:p>
    <w:p w14:paraId="03563F24" w14:textId="6BAC6327" w:rsidR="004C7345" w:rsidRDefault="00982356" w:rsidP="004F3EA2">
      <w:pPr>
        <w:pStyle w:val="Normalnumbered"/>
        <w:numPr>
          <w:ilvl w:val="0"/>
          <w:numId w:val="9"/>
        </w:numPr>
        <w:jc w:val="left"/>
      </w:pPr>
      <w:r>
        <w:t xml:space="preserve">Financial assistance </w:t>
      </w:r>
      <w:r w:rsidR="004C7345">
        <w:t>will be split into specified homelessness funding for the purposes of subsection 15C(7) of the FFR Act</w:t>
      </w:r>
      <w:r w:rsidR="000A33A1">
        <w:t>; and remaining funding</w:t>
      </w:r>
      <w:r w:rsidR="004C7345">
        <w:t xml:space="preserve"> </w:t>
      </w:r>
      <w:r w:rsidR="000A33A1">
        <w:t>(</w:t>
      </w:r>
      <w:r w:rsidR="00A329A3">
        <w:t xml:space="preserve">referred to as </w:t>
      </w:r>
      <w:r w:rsidR="000A33A1">
        <w:t>‘</w:t>
      </w:r>
      <w:r w:rsidR="004C7345">
        <w:t>General Funding</w:t>
      </w:r>
      <w:r w:rsidR="000A33A1">
        <w:t>’</w:t>
      </w:r>
      <w:r w:rsidR="001A4149">
        <w:t>; Appendix A – Glossary refers</w:t>
      </w:r>
      <w:r w:rsidR="000A33A1">
        <w:t>)</w:t>
      </w:r>
      <w:r w:rsidR="004C7345">
        <w:t>.</w:t>
      </w:r>
    </w:p>
    <w:p w14:paraId="4329E83D" w14:textId="70076CC1" w:rsidR="009C5F97" w:rsidRDefault="009C5F97" w:rsidP="004F3EA2">
      <w:pPr>
        <w:pStyle w:val="Normalnumbered"/>
        <w:numPr>
          <w:ilvl w:val="0"/>
          <w:numId w:val="9"/>
        </w:numPr>
        <w:jc w:val="left"/>
      </w:pPr>
      <w:r>
        <w:t xml:space="preserve">General Funding can be spent on initiatives that address the objective </w:t>
      </w:r>
      <w:r w:rsidR="00BE117A">
        <w:t xml:space="preserve">or </w:t>
      </w:r>
      <w:r>
        <w:t xml:space="preserve">outcomes in the </w:t>
      </w:r>
      <w:r w:rsidR="00BE117A">
        <w:t>National Outcomes F</w:t>
      </w:r>
      <w:r>
        <w:t xml:space="preserve">ramework </w:t>
      </w:r>
      <w:r w:rsidR="00BE117A">
        <w:t>(</w:t>
      </w:r>
      <w:r>
        <w:t>Schedule A</w:t>
      </w:r>
      <w:r w:rsidR="00BE117A">
        <w:t>)</w:t>
      </w:r>
      <w:r w:rsidR="00F859D4">
        <w:t>,</w:t>
      </w:r>
      <w:r>
        <w:t xml:space="preserve"> including homelessness initiatives. In addition, </w:t>
      </w:r>
      <w:r w:rsidR="00F859D4">
        <w:t>G</w:t>
      </w:r>
      <w:r>
        <w:t xml:space="preserve">eneral </w:t>
      </w:r>
      <w:r w:rsidR="00F859D4">
        <w:t>F</w:t>
      </w:r>
      <w:r>
        <w:t xml:space="preserve">unding can be spent on projects that involve mixed </w:t>
      </w:r>
      <w:r w:rsidR="00B23453">
        <w:t>models of social and affordable housing.</w:t>
      </w:r>
    </w:p>
    <w:p w14:paraId="07846F02" w14:textId="67E41788" w:rsidR="00F859D4" w:rsidRDefault="001F0D26" w:rsidP="004F3EA2">
      <w:pPr>
        <w:pStyle w:val="Normalnumbered"/>
        <w:numPr>
          <w:ilvl w:val="1"/>
          <w:numId w:val="9"/>
        </w:numPr>
        <w:jc w:val="left"/>
      </w:pPr>
      <w:r>
        <w:t>However, f</w:t>
      </w:r>
      <w:r w:rsidR="00F859D4">
        <w:t>or the avoidance of doubt, any General Funding spent on projects with mixed models of social and affordable housing must be solely allocated to the social housing component of the project.</w:t>
      </w:r>
    </w:p>
    <w:p w14:paraId="1638004A" w14:textId="77777777" w:rsidR="00EB0619" w:rsidRDefault="00EB0619" w:rsidP="004F3EA2">
      <w:pPr>
        <w:pStyle w:val="Normalnumbered"/>
        <w:keepLines/>
        <w:numPr>
          <w:ilvl w:val="0"/>
          <w:numId w:val="9"/>
        </w:numPr>
        <w:jc w:val="left"/>
      </w:pPr>
      <w:r>
        <w:t>The States agree to:</w:t>
      </w:r>
    </w:p>
    <w:p w14:paraId="7D6FCA48" w14:textId="00754179" w:rsidR="00EB0619" w:rsidRDefault="00942C2A" w:rsidP="004F3EA2">
      <w:pPr>
        <w:pStyle w:val="Normalnumbered"/>
        <w:keepLines/>
        <w:numPr>
          <w:ilvl w:val="1"/>
          <w:numId w:val="27"/>
        </w:numPr>
        <w:jc w:val="left"/>
      </w:pPr>
      <w:r>
        <w:t xml:space="preserve">spend </w:t>
      </w:r>
      <w:r w:rsidR="007B5429">
        <w:t xml:space="preserve">specified </w:t>
      </w:r>
      <w:r w:rsidR="00EB0619" w:rsidRPr="006251D1">
        <w:t xml:space="preserve">homelessness funding </w:t>
      </w:r>
      <w:r>
        <w:t>on</w:t>
      </w:r>
      <w:r w:rsidR="00EB0619">
        <w:t xml:space="preserve"> the homelessness services sector</w:t>
      </w:r>
      <w:r w:rsidR="00AD4306">
        <w:t>, and</w:t>
      </w:r>
    </w:p>
    <w:p w14:paraId="44B01D39" w14:textId="33405859" w:rsidR="00EB0619" w:rsidRPr="00C811E9" w:rsidRDefault="00EB0619" w:rsidP="004F3EA2">
      <w:pPr>
        <w:pStyle w:val="Normalnumbered"/>
        <w:keepLines/>
        <w:numPr>
          <w:ilvl w:val="1"/>
          <w:numId w:val="27"/>
        </w:numPr>
        <w:jc w:val="left"/>
      </w:pPr>
      <w:r w:rsidRPr="00C811E9">
        <w:t xml:space="preserve">match </w:t>
      </w:r>
      <w:r w:rsidR="007B5429">
        <w:t>this amount each year in funding to the homelessness services sector</w:t>
      </w:r>
      <w:r>
        <w:t>.</w:t>
      </w:r>
    </w:p>
    <w:p w14:paraId="12B90D1E" w14:textId="77777777" w:rsidR="00EC3226" w:rsidRPr="00EC3226" w:rsidRDefault="00EC3226" w:rsidP="00EC3226">
      <w:pPr>
        <w:rPr>
          <w:szCs w:val="23"/>
        </w:rPr>
      </w:pPr>
    </w:p>
    <w:p w14:paraId="35FE9F11" w14:textId="194223E2" w:rsidR="00EB0619" w:rsidRPr="007318EC" w:rsidRDefault="00EB0619" w:rsidP="00EB0619">
      <w:pPr>
        <w:pStyle w:val="Normalnumbered"/>
        <w:keepNext/>
        <w:keepLines/>
        <w:tabs>
          <w:tab w:val="clear" w:pos="360"/>
        </w:tabs>
        <w:ind w:left="0" w:firstLine="0"/>
        <w:jc w:val="left"/>
        <w:rPr>
          <w:b/>
          <w:color w:val="auto"/>
        </w:rPr>
      </w:pPr>
      <w:r w:rsidRPr="007318EC">
        <w:rPr>
          <w:b/>
          <w:color w:val="auto"/>
        </w:rPr>
        <w:t xml:space="preserve">Table 1: Estimated </w:t>
      </w:r>
      <w:r w:rsidR="00443A62">
        <w:rPr>
          <w:b/>
          <w:color w:val="auto"/>
        </w:rPr>
        <w:t xml:space="preserve">Commonwealth </w:t>
      </w:r>
      <w:r w:rsidRPr="007318EC">
        <w:rPr>
          <w:b/>
          <w:color w:val="auto"/>
        </w:rPr>
        <w:t>financial contributions</w:t>
      </w:r>
      <w:r w:rsidR="00A201A6">
        <w:rPr>
          <w:b/>
          <w:color w:val="auto"/>
        </w:rPr>
        <w:t xml:space="preserve"> (a)</w:t>
      </w:r>
    </w:p>
    <w:tbl>
      <w:tblPr>
        <w:tblW w:w="9620" w:type="dxa"/>
        <w:tblLook w:val="01E0" w:firstRow="1" w:lastRow="1" w:firstColumn="1" w:lastColumn="1" w:noHBand="0" w:noVBand="0"/>
      </w:tblPr>
      <w:tblGrid>
        <w:gridCol w:w="3261"/>
        <w:gridCol w:w="1134"/>
        <w:gridCol w:w="1134"/>
        <w:gridCol w:w="992"/>
        <w:gridCol w:w="993"/>
        <w:gridCol w:w="1133"/>
        <w:gridCol w:w="973"/>
      </w:tblGrid>
      <w:tr w:rsidR="00166192" w:rsidRPr="00C811E9" w14:paraId="12F861CF" w14:textId="77777777" w:rsidTr="00CE624D">
        <w:trPr>
          <w:cantSplit/>
        </w:trPr>
        <w:tc>
          <w:tcPr>
            <w:tcW w:w="3261" w:type="dxa"/>
            <w:tcBorders>
              <w:top w:val="single" w:sz="4" w:space="0" w:color="000080"/>
            </w:tcBorders>
            <w:shd w:val="clear" w:color="auto" w:fill="auto"/>
          </w:tcPr>
          <w:p w14:paraId="04291A55" w14:textId="77777777" w:rsidR="00EB0619" w:rsidRPr="007318EC" w:rsidRDefault="00EB0619" w:rsidP="00166954">
            <w:pPr>
              <w:keepNext/>
              <w:keepLines/>
              <w:spacing w:before="40" w:after="40"/>
              <w:jc w:val="left"/>
              <w:rPr>
                <w:b/>
              </w:rPr>
            </w:pPr>
            <w:r w:rsidRPr="007318EC">
              <w:rPr>
                <w:b/>
              </w:rPr>
              <w:t>($ million)</w:t>
            </w:r>
          </w:p>
        </w:tc>
        <w:tc>
          <w:tcPr>
            <w:tcW w:w="1134" w:type="dxa"/>
            <w:tcBorders>
              <w:top w:val="single" w:sz="4" w:space="0" w:color="000080"/>
              <w:bottom w:val="single" w:sz="4" w:space="0" w:color="000080"/>
            </w:tcBorders>
            <w:shd w:val="clear" w:color="auto" w:fill="auto"/>
          </w:tcPr>
          <w:p w14:paraId="37E3E979" w14:textId="77777777" w:rsidR="00EB0619" w:rsidRPr="007318EC" w:rsidRDefault="00EB0619" w:rsidP="00166954">
            <w:pPr>
              <w:keepNext/>
              <w:keepLines/>
              <w:spacing w:before="40" w:after="40"/>
              <w:jc w:val="right"/>
            </w:pPr>
            <w:r w:rsidRPr="007318EC">
              <w:t>202</w:t>
            </w:r>
            <w:r>
              <w:t>4</w:t>
            </w:r>
            <w:r w:rsidRPr="007318EC">
              <w:t>-2</w:t>
            </w:r>
            <w:r>
              <w:t>5</w:t>
            </w:r>
          </w:p>
        </w:tc>
        <w:tc>
          <w:tcPr>
            <w:tcW w:w="1134" w:type="dxa"/>
            <w:tcBorders>
              <w:top w:val="single" w:sz="4" w:space="0" w:color="000080"/>
              <w:bottom w:val="single" w:sz="4" w:space="0" w:color="000080"/>
            </w:tcBorders>
            <w:shd w:val="clear" w:color="auto" w:fill="auto"/>
          </w:tcPr>
          <w:p w14:paraId="3D80A272" w14:textId="77777777" w:rsidR="00EB0619" w:rsidRPr="007318EC" w:rsidRDefault="00EB0619" w:rsidP="00166954">
            <w:pPr>
              <w:keepNext/>
              <w:keepLines/>
              <w:spacing w:before="40" w:after="40"/>
              <w:jc w:val="right"/>
            </w:pPr>
            <w:r w:rsidRPr="007318EC">
              <w:t>202</w:t>
            </w:r>
            <w:r>
              <w:t>5</w:t>
            </w:r>
            <w:r w:rsidRPr="007318EC">
              <w:t>-2</w:t>
            </w:r>
            <w:r>
              <w:t>6</w:t>
            </w:r>
          </w:p>
        </w:tc>
        <w:tc>
          <w:tcPr>
            <w:tcW w:w="992" w:type="dxa"/>
            <w:tcBorders>
              <w:top w:val="single" w:sz="4" w:space="0" w:color="000080"/>
              <w:bottom w:val="single" w:sz="4" w:space="0" w:color="000080"/>
            </w:tcBorders>
            <w:shd w:val="clear" w:color="auto" w:fill="auto"/>
          </w:tcPr>
          <w:p w14:paraId="0AE4C0F1" w14:textId="77777777" w:rsidR="00EB0619" w:rsidRPr="007318EC" w:rsidRDefault="00EB0619" w:rsidP="00166954">
            <w:pPr>
              <w:keepNext/>
              <w:keepLines/>
              <w:spacing w:before="40" w:after="40"/>
              <w:jc w:val="right"/>
            </w:pPr>
            <w:r w:rsidRPr="007318EC">
              <w:t>202</w:t>
            </w:r>
            <w:r>
              <w:t>6</w:t>
            </w:r>
            <w:r w:rsidRPr="007318EC">
              <w:t>-2</w:t>
            </w:r>
            <w:r>
              <w:t>7</w:t>
            </w:r>
          </w:p>
        </w:tc>
        <w:tc>
          <w:tcPr>
            <w:tcW w:w="993" w:type="dxa"/>
            <w:tcBorders>
              <w:top w:val="single" w:sz="4" w:space="0" w:color="000080"/>
              <w:bottom w:val="single" w:sz="4" w:space="0" w:color="000080"/>
            </w:tcBorders>
            <w:shd w:val="clear" w:color="auto" w:fill="auto"/>
          </w:tcPr>
          <w:p w14:paraId="04CA82A5" w14:textId="77777777" w:rsidR="00EB0619" w:rsidRPr="007318EC" w:rsidRDefault="00EB0619" w:rsidP="00166954">
            <w:pPr>
              <w:keepNext/>
              <w:keepLines/>
              <w:spacing w:before="40" w:after="40"/>
              <w:jc w:val="right"/>
            </w:pPr>
            <w:r w:rsidRPr="007318EC">
              <w:t>202</w:t>
            </w:r>
            <w:r>
              <w:t>7</w:t>
            </w:r>
            <w:r w:rsidRPr="007318EC">
              <w:t>-2</w:t>
            </w:r>
            <w:r>
              <w:t>8</w:t>
            </w:r>
          </w:p>
        </w:tc>
        <w:tc>
          <w:tcPr>
            <w:tcW w:w="1133" w:type="dxa"/>
            <w:tcBorders>
              <w:top w:val="single" w:sz="4" w:space="0" w:color="000080"/>
              <w:bottom w:val="single" w:sz="4" w:space="0" w:color="000080"/>
            </w:tcBorders>
            <w:shd w:val="clear" w:color="auto" w:fill="auto"/>
          </w:tcPr>
          <w:p w14:paraId="6802A40B" w14:textId="77777777" w:rsidR="00EB0619" w:rsidRPr="007318EC" w:rsidRDefault="00EB0619" w:rsidP="00166954">
            <w:pPr>
              <w:keepNext/>
              <w:keepLines/>
              <w:spacing w:before="40" w:after="40"/>
              <w:jc w:val="right"/>
            </w:pPr>
            <w:r w:rsidRPr="007318EC">
              <w:t>202</w:t>
            </w:r>
            <w:r>
              <w:t>8</w:t>
            </w:r>
            <w:r w:rsidRPr="007318EC">
              <w:t>-2</w:t>
            </w:r>
            <w:r>
              <w:t>9</w:t>
            </w:r>
          </w:p>
        </w:tc>
        <w:tc>
          <w:tcPr>
            <w:tcW w:w="973" w:type="dxa"/>
            <w:tcBorders>
              <w:top w:val="single" w:sz="4" w:space="0" w:color="000080"/>
              <w:bottom w:val="single" w:sz="4" w:space="0" w:color="000080"/>
            </w:tcBorders>
            <w:shd w:val="clear" w:color="auto" w:fill="auto"/>
          </w:tcPr>
          <w:p w14:paraId="485C2B5D" w14:textId="47ADF711" w:rsidR="00EB0619" w:rsidRPr="007318EC" w:rsidRDefault="00B23453" w:rsidP="00166954">
            <w:pPr>
              <w:keepNext/>
              <w:keepLines/>
              <w:spacing w:before="40" w:after="40"/>
              <w:jc w:val="right"/>
              <w:rPr>
                <w:b/>
              </w:rPr>
            </w:pPr>
            <w:r w:rsidRPr="007318EC">
              <w:rPr>
                <w:b/>
              </w:rPr>
              <w:t>Total</w:t>
            </w:r>
          </w:p>
        </w:tc>
      </w:tr>
      <w:tr w:rsidR="00166192" w:rsidRPr="00C811E9" w14:paraId="3FC38BC9" w14:textId="77777777" w:rsidTr="00CE624D">
        <w:trPr>
          <w:cantSplit/>
        </w:trPr>
        <w:tc>
          <w:tcPr>
            <w:tcW w:w="3261" w:type="dxa"/>
            <w:shd w:val="clear" w:color="auto" w:fill="auto"/>
          </w:tcPr>
          <w:p w14:paraId="431C6259" w14:textId="0E2901A6" w:rsidR="00EB0619" w:rsidRPr="007318EC" w:rsidRDefault="00897726" w:rsidP="00A201A6">
            <w:pPr>
              <w:keepNext/>
              <w:keepLines/>
              <w:spacing w:before="40" w:after="40"/>
              <w:ind w:left="174"/>
              <w:jc w:val="left"/>
            </w:pPr>
            <w:r>
              <w:t>General</w:t>
            </w:r>
            <w:r w:rsidR="008C6E58">
              <w:t xml:space="preserve"> Funding</w:t>
            </w:r>
          </w:p>
          <w:p w14:paraId="1BA18861" w14:textId="570D04DA" w:rsidR="00EB0619" w:rsidRPr="007318EC" w:rsidRDefault="008C6E58" w:rsidP="00443A62">
            <w:pPr>
              <w:keepNext/>
              <w:keepLines/>
              <w:spacing w:before="40" w:after="40"/>
              <w:ind w:left="174"/>
              <w:jc w:val="left"/>
            </w:pPr>
            <w:r>
              <w:t xml:space="preserve">Specified </w:t>
            </w:r>
            <w:r w:rsidR="00EB0619" w:rsidRPr="007318EC">
              <w:t>Homelessness</w:t>
            </w:r>
            <w:r>
              <w:t xml:space="preserve"> Funding</w:t>
            </w:r>
          </w:p>
        </w:tc>
        <w:tc>
          <w:tcPr>
            <w:tcW w:w="1134" w:type="dxa"/>
            <w:tcBorders>
              <w:bottom w:val="single" w:sz="4" w:space="0" w:color="000080"/>
            </w:tcBorders>
            <w:shd w:val="clear" w:color="auto" w:fill="auto"/>
          </w:tcPr>
          <w:p w14:paraId="5E1649F0" w14:textId="77777777" w:rsidR="00924917" w:rsidRDefault="00924917" w:rsidP="00443A62">
            <w:pPr>
              <w:keepNext/>
              <w:keepLines/>
              <w:spacing w:before="40" w:after="40"/>
              <w:jc w:val="right"/>
            </w:pPr>
            <w:r>
              <w:t>1,379.0</w:t>
            </w:r>
          </w:p>
          <w:p w14:paraId="54F2F2AE" w14:textId="1CC38587" w:rsidR="00924917" w:rsidRPr="00166192" w:rsidRDefault="00924917" w:rsidP="00443A62">
            <w:pPr>
              <w:keepNext/>
              <w:keepLines/>
              <w:spacing w:before="40" w:after="40"/>
              <w:jc w:val="right"/>
            </w:pPr>
            <w:r>
              <w:t>400.0</w:t>
            </w:r>
          </w:p>
        </w:tc>
        <w:tc>
          <w:tcPr>
            <w:tcW w:w="1134" w:type="dxa"/>
            <w:tcBorders>
              <w:bottom w:val="single" w:sz="4" w:space="0" w:color="000080"/>
            </w:tcBorders>
            <w:shd w:val="clear" w:color="auto" w:fill="auto"/>
          </w:tcPr>
          <w:p w14:paraId="03FA192A" w14:textId="77777777" w:rsidR="00EB0619" w:rsidRDefault="00924917" w:rsidP="00443A62">
            <w:pPr>
              <w:keepNext/>
              <w:keepLines/>
              <w:spacing w:before="40" w:after="40"/>
              <w:jc w:val="right"/>
            </w:pPr>
            <w:r>
              <w:t>1,410.7</w:t>
            </w:r>
          </w:p>
          <w:p w14:paraId="31B8402A" w14:textId="372D57F9" w:rsidR="00924917" w:rsidRPr="00166192" w:rsidRDefault="00924917" w:rsidP="00443A62">
            <w:pPr>
              <w:keepNext/>
              <w:keepLines/>
              <w:spacing w:before="40" w:after="40"/>
              <w:jc w:val="right"/>
            </w:pPr>
            <w:r>
              <w:t>409.2</w:t>
            </w:r>
          </w:p>
        </w:tc>
        <w:tc>
          <w:tcPr>
            <w:tcW w:w="992" w:type="dxa"/>
            <w:tcBorders>
              <w:bottom w:val="single" w:sz="4" w:space="0" w:color="000080"/>
            </w:tcBorders>
            <w:shd w:val="clear" w:color="auto" w:fill="auto"/>
          </w:tcPr>
          <w:p w14:paraId="5E98C537" w14:textId="77777777" w:rsidR="00EB0619" w:rsidRDefault="00924917" w:rsidP="00443A62">
            <w:pPr>
              <w:keepNext/>
              <w:keepLines/>
              <w:spacing w:before="40" w:after="40"/>
              <w:jc w:val="right"/>
            </w:pPr>
            <w:r>
              <w:t>1,441.7</w:t>
            </w:r>
          </w:p>
          <w:p w14:paraId="10BD8A03" w14:textId="25E80F8D" w:rsidR="00924917" w:rsidRPr="00166192" w:rsidRDefault="00924917" w:rsidP="00443A62">
            <w:pPr>
              <w:keepNext/>
              <w:keepLines/>
              <w:spacing w:before="40" w:after="40"/>
              <w:jc w:val="right"/>
            </w:pPr>
            <w:r>
              <w:t>418.2</w:t>
            </w:r>
          </w:p>
        </w:tc>
        <w:tc>
          <w:tcPr>
            <w:tcW w:w="993" w:type="dxa"/>
            <w:tcBorders>
              <w:bottom w:val="single" w:sz="4" w:space="0" w:color="000080"/>
            </w:tcBorders>
            <w:shd w:val="clear" w:color="auto" w:fill="auto"/>
          </w:tcPr>
          <w:p w14:paraId="46AE677B" w14:textId="77777777" w:rsidR="00EB0619" w:rsidRDefault="00924917" w:rsidP="00443A62">
            <w:pPr>
              <w:keepNext/>
              <w:keepLines/>
              <w:spacing w:before="40" w:after="40"/>
              <w:jc w:val="right"/>
            </w:pPr>
            <w:r>
              <w:t>1,470.6</w:t>
            </w:r>
          </w:p>
          <w:p w14:paraId="49BD53C2" w14:textId="303C583D" w:rsidR="00924917" w:rsidRPr="00166192" w:rsidRDefault="00924917" w:rsidP="00443A62">
            <w:pPr>
              <w:keepNext/>
              <w:keepLines/>
              <w:spacing w:before="40" w:after="40"/>
              <w:jc w:val="right"/>
            </w:pPr>
            <w:r>
              <w:t>426.</w:t>
            </w:r>
            <w:r w:rsidR="00BD4F2D">
              <w:t>6</w:t>
            </w:r>
          </w:p>
        </w:tc>
        <w:tc>
          <w:tcPr>
            <w:tcW w:w="1133" w:type="dxa"/>
            <w:tcBorders>
              <w:bottom w:val="single" w:sz="4" w:space="0" w:color="000080"/>
            </w:tcBorders>
            <w:shd w:val="clear" w:color="auto" w:fill="auto"/>
          </w:tcPr>
          <w:p w14:paraId="44998E4E" w14:textId="77777777" w:rsidR="00EB0619" w:rsidRDefault="00924917" w:rsidP="00443A62">
            <w:pPr>
              <w:keepNext/>
              <w:keepLines/>
              <w:spacing w:before="40" w:after="40"/>
              <w:jc w:val="right"/>
            </w:pPr>
            <w:r>
              <w:t>1,500.0</w:t>
            </w:r>
          </w:p>
          <w:p w14:paraId="1B763E56" w14:textId="7DF679D6" w:rsidR="00924917" w:rsidRPr="00166192" w:rsidRDefault="00924917" w:rsidP="00443A62">
            <w:pPr>
              <w:keepNext/>
              <w:keepLines/>
              <w:spacing w:before="40" w:after="40"/>
              <w:jc w:val="right"/>
            </w:pPr>
            <w:r>
              <w:t>435.1</w:t>
            </w:r>
          </w:p>
        </w:tc>
        <w:tc>
          <w:tcPr>
            <w:tcW w:w="973" w:type="dxa"/>
            <w:tcBorders>
              <w:bottom w:val="single" w:sz="4" w:space="0" w:color="000080"/>
            </w:tcBorders>
            <w:shd w:val="clear" w:color="auto" w:fill="auto"/>
          </w:tcPr>
          <w:p w14:paraId="4CFC4599" w14:textId="77777777" w:rsidR="00EB0619" w:rsidRDefault="00924917" w:rsidP="00443A62">
            <w:pPr>
              <w:keepNext/>
              <w:keepLines/>
              <w:spacing w:before="40" w:after="40"/>
              <w:jc w:val="right"/>
              <w:rPr>
                <w:b/>
              </w:rPr>
            </w:pPr>
            <w:r>
              <w:rPr>
                <w:b/>
              </w:rPr>
              <w:t>7,202.0</w:t>
            </w:r>
          </w:p>
          <w:p w14:paraId="73D951C6" w14:textId="5ACB4E26" w:rsidR="00924917" w:rsidRPr="00166192" w:rsidRDefault="00924917" w:rsidP="00443A62">
            <w:pPr>
              <w:keepNext/>
              <w:keepLines/>
              <w:spacing w:before="40" w:after="40"/>
              <w:jc w:val="right"/>
              <w:rPr>
                <w:b/>
              </w:rPr>
            </w:pPr>
            <w:r>
              <w:rPr>
                <w:b/>
              </w:rPr>
              <w:t>2,089.1</w:t>
            </w:r>
          </w:p>
        </w:tc>
      </w:tr>
      <w:tr w:rsidR="00166192" w:rsidRPr="00C811E9" w14:paraId="7FEB0708" w14:textId="77777777" w:rsidTr="00CE624D">
        <w:trPr>
          <w:cantSplit/>
        </w:trPr>
        <w:tc>
          <w:tcPr>
            <w:tcW w:w="3261" w:type="dxa"/>
            <w:shd w:val="clear" w:color="auto" w:fill="auto"/>
          </w:tcPr>
          <w:p w14:paraId="214C2459" w14:textId="77777777" w:rsidR="00EB0619" w:rsidRPr="007318EC" w:rsidRDefault="00EB0619" w:rsidP="00443A62">
            <w:pPr>
              <w:keepNext/>
              <w:keepLines/>
              <w:spacing w:before="40" w:after="40"/>
              <w:ind w:left="174"/>
              <w:jc w:val="left"/>
            </w:pPr>
            <w:r w:rsidRPr="007318EC">
              <w:t xml:space="preserve">Total Commonwealth contribution </w:t>
            </w:r>
          </w:p>
        </w:tc>
        <w:tc>
          <w:tcPr>
            <w:tcW w:w="1134" w:type="dxa"/>
            <w:tcBorders>
              <w:top w:val="single" w:sz="4" w:space="0" w:color="000080"/>
              <w:bottom w:val="single" w:sz="4" w:space="0" w:color="000080"/>
            </w:tcBorders>
            <w:shd w:val="clear" w:color="auto" w:fill="auto"/>
          </w:tcPr>
          <w:p w14:paraId="011B2202" w14:textId="4D0236BC" w:rsidR="00EB0619" w:rsidRPr="00166192" w:rsidRDefault="00F96253" w:rsidP="00443A62">
            <w:pPr>
              <w:keepNext/>
              <w:keepLines/>
              <w:spacing w:before="40" w:after="40"/>
              <w:jc w:val="right"/>
            </w:pPr>
            <w:r>
              <w:t>1,779.0</w:t>
            </w:r>
          </w:p>
        </w:tc>
        <w:tc>
          <w:tcPr>
            <w:tcW w:w="1134" w:type="dxa"/>
            <w:tcBorders>
              <w:top w:val="single" w:sz="4" w:space="0" w:color="000080"/>
              <w:bottom w:val="single" w:sz="4" w:space="0" w:color="000080"/>
            </w:tcBorders>
            <w:shd w:val="clear" w:color="auto" w:fill="auto"/>
          </w:tcPr>
          <w:p w14:paraId="08F458A2" w14:textId="1789DB34" w:rsidR="00EB0619" w:rsidRPr="00166192" w:rsidRDefault="00F96253" w:rsidP="00443A62">
            <w:pPr>
              <w:keepNext/>
              <w:keepLines/>
              <w:spacing w:before="40" w:after="40"/>
              <w:jc w:val="right"/>
            </w:pPr>
            <w:r>
              <w:t>1,819.9</w:t>
            </w:r>
          </w:p>
        </w:tc>
        <w:tc>
          <w:tcPr>
            <w:tcW w:w="992" w:type="dxa"/>
            <w:tcBorders>
              <w:top w:val="single" w:sz="4" w:space="0" w:color="000080"/>
              <w:bottom w:val="single" w:sz="4" w:space="0" w:color="000080"/>
            </w:tcBorders>
            <w:shd w:val="clear" w:color="auto" w:fill="auto"/>
          </w:tcPr>
          <w:p w14:paraId="20F8F148" w14:textId="1EAB1FA7" w:rsidR="00EB0619" w:rsidRPr="00166192" w:rsidRDefault="00F96253" w:rsidP="00443A62">
            <w:pPr>
              <w:keepNext/>
              <w:keepLines/>
              <w:spacing w:before="40" w:after="40"/>
              <w:jc w:val="right"/>
            </w:pPr>
            <w:r>
              <w:t>1,859.9</w:t>
            </w:r>
          </w:p>
        </w:tc>
        <w:tc>
          <w:tcPr>
            <w:tcW w:w="993" w:type="dxa"/>
            <w:tcBorders>
              <w:top w:val="single" w:sz="4" w:space="0" w:color="000080"/>
              <w:bottom w:val="single" w:sz="4" w:space="0" w:color="000080"/>
            </w:tcBorders>
            <w:shd w:val="clear" w:color="auto" w:fill="auto"/>
          </w:tcPr>
          <w:p w14:paraId="094D1F81" w14:textId="25EA0144" w:rsidR="00EB0619" w:rsidRPr="00166192" w:rsidRDefault="00F96253" w:rsidP="00443A62">
            <w:pPr>
              <w:keepNext/>
              <w:keepLines/>
              <w:spacing w:before="40" w:after="40"/>
              <w:jc w:val="right"/>
            </w:pPr>
            <w:r>
              <w:t>1,897.1</w:t>
            </w:r>
          </w:p>
        </w:tc>
        <w:tc>
          <w:tcPr>
            <w:tcW w:w="1133" w:type="dxa"/>
            <w:tcBorders>
              <w:top w:val="single" w:sz="4" w:space="0" w:color="000080"/>
              <w:bottom w:val="single" w:sz="4" w:space="0" w:color="000080"/>
            </w:tcBorders>
            <w:shd w:val="clear" w:color="auto" w:fill="auto"/>
          </w:tcPr>
          <w:p w14:paraId="6EBE4681" w14:textId="1D3F5F01" w:rsidR="00EB0619" w:rsidRPr="00166192" w:rsidRDefault="00F96253" w:rsidP="00443A62">
            <w:pPr>
              <w:keepNext/>
              <w:keepLines/>
              <w:spacing w:before="40" w:after="40"/>
              <w:jc w:val="right"/>
            </w:pPr>
            <w:r>
              <w:t>1,935.1</w:t>
            </w:r>
          </w:p>
        </w:tc>
        <w:tc>
          <w:tcPr>
            <w:tcW w:w="973" w:type="dxa"/>
            <w:tcBorders>
              <w:top w:val="single" w:sz="4" w:space="0" w:color="000080"/>
              <w:bottom w:val="single" w:sz="4" w:space="0" w:color="000080"/>
            </w:tcBorders>
            <w:shd w:val="clear" w:color="auto" w:fill="auto"/>
          </w:tcPr>
          <w:p w14:paraId="14A3B29F" w14:textId="27AB56FF" w:rsidR="00EB0619" w:rsidRPr="00166192" w:rsidRDefault="00F96253" w:rsidP="00443A62">
            <w:pPr>
              <w:keepNext/>
              <w:keepLines/>
              <w:spacing w:before="40" w:after="40"/>
              <w:jc w:val="right"/>
              <w:rPr>
                <w:b/>
              </w:rPr>
            </w:pPr>
            <w:r>
              <w:rPr>
                <w:b/>
              </w:rPr>
              <w:t>9291.1</w:t>
            </w:r>
          </w:p>
        </w:tc>
      </w:tr>
    </w:tbl>
    <w:p w14:paraId="388D77F8" w14:textId="1611FACC" w:rsidR="00EB0619" w:rsidRPr="007318EC" w:rsidRDefault="00EB0619" w:rsidP="00A201A6">
      <w:pPr>
        <w:pStyle w:val="Normalnumbered"/>
        <w:keepLines/>
        <w:tabs>
          <w:tab w:val="clear" w:pos="360"/>
          <w:tab w:val="left" w:pos="284"/>
        </w:tabs>
        <w:spacing w:after="0"/>
        <w:ind w:left="284" w:hanging="284"/>
        <w:jc w:val="left"/>
        <w:rPr>
          <w:rFonts w:ascii="Arial" w:hAnsi="Arial" w:cs="Arial"/>
          <w:color w:val="auto"/>
          <w:sz w:val="16"/>
          <w:szCs w:val="16"/>
          <w:vertAlign w:val="superscript"/>
        </w:rPr>
      </w:pPr>
      <w:r w:rsidRPr="007318EC">
        <w:rPr>
          <w:rFonts w:ascii="Arial" w:hAnsi="Arial" w:cs="Arial"/>
          <w:color w:val="auto"/>
          <w:sz w:val="16"/>
          <w:szCs w:val="16"/>
        </w:rPr>
        <w:t xml:space="preserve"> </w:t>
      </w:r>
      <w:r w:rsidRPr="007318EC">
        <w:rPr>
          <w:rFonts w:ascii="Arial" w:hAnsi="Arial" w:cs="Arial"/>
          <w:color w:val="auto"/>
          <w:sz w:val="16"/>
          <w:szCs w:val="16"/>
        </w:rPr>
        <w:tab/>
      </w:r>
    </w:p>
    <w:p w14:paraId="2640327F" w14:textId="08FDB00D" w:rsidR="00EB0619" w:rsidRPr="007318EC" w:rsidRDefault="00EB0619" w:rsidP="00EB0619">
      <w:pPr>
        <w:pStyle w:val="Normalnumbered"/>
        <w:keepLines/>
        <w:tabs>
          <w:tab w:val="clear" w:pos="360"/>
          <w:tab w:val="left" w:pos="284"/>
        </w:tabs>
        <w:spacing w:after="0"/>
        <w:ind w:left="284" w:hanging="284"/>
        <w:jc w:val="left"/>
        <w:rPr>
          <w:rFonts w:ascii="Arial" w:hAnsi="Arial" w:cs="Arial"/>
          <w:color w:val="auto"/>
          <w:sz w:val="16"/>
          <w:szCs w:val="16"/>
        </w:rPr>
      </w:pPr>
      <w:r w:rsidRPr="007318EC">
        <w:rPr>
          <w:rFonts w:ascii="Arial" w:hAnsi="Arial" w:cs="Arial"/>
          <w:color w:val="auto"/>
          <w:sz w:val="16"/>
          <w:szCs w:val="16"/>
        </w:rPr>
        <w:t>(a)</w:t>
      </w:r>
      <w:r w:rsidRPr="007318EC">
        <w:rPr>
          <w:rFonts w:ascii="Arial" w:hAnsi="Arial" w:cs="Arial"/>
          <w:color w:val="auto"/>
          <w:sz w:val="16"/>
          <w:szCs w:val="16"/>
        </w:rPr>
        <w:tab/>
      </w:r>
      <w:r w:rsidR="00A201A6">
        <w:rPr>
          <w:rFonts w:ascii="Arial" w:hAnsi="Arial" w:cs="Arial"/>
          <w:color w:val="auto"/>
          <w:sz w:val="16"/>
          <w:szCs w:val="16"/>
        </w:rPr>
        <w:t>B</w:t>
      </w:r>
      <w:r w:rsidRPr="007318EC">
        <w:rPr>
          <w:rFonts w:ascii="Arial" w:hAnsi="Arial" w:cs="Arial"/>
          <w:color w:val="auto"/>
          <w:sz w:val="16"/>
          <w:szCs w:val="16"/>
        </w:rPr>
        <w:t>ased on 20</w:t>
      </w:r>
      <w:r>
        <w:rPr>
          <w:rFonts w:ascii="Arial" w:hAnsi="Arial" w:cs="Arial"/>
          <w:color w:val="auto"/>
          <w:sz w:val="16"/>
          <w:szCs w:val="16"/>
        </w:rPr>
        <w:t>24</w:t>
      </w:r>
      <w:r w:rsidRPr="007318EC">
        <w:rPr>
          <w:rFonts w:ascii="Arial" w:hAnsi="Arial" w:cs="Arial"/>
          <w:color w:val="auto"/>
          <w:sz w:val="16"/>
          <w:szCs w:val="16"/>
        </w:rPr>
        <w:t>-</w:t>
      </w:r>
      <w:r>
        <w:rPr>
          <w:rFonts w:ascii="Arial" w:hAnsi="Arial" w:cs="Arial"/>
          <w:color w:val="auto"/>
          <w:sz w:val="16"/>
          <w:szCs w:val="16"/>
        </w:rPr>
        <w:t>25</w:t>
      </w:r>
      <w:r w:rsidRPr="007318EC">
        <w:rPr>
          <w:rFonts w:ascii="Arial" w:hAnsi="Arial" w:cs="Arial"/>
          <w:color w:val="auto"/>
          <w:sz w:val="16"/>
          <w:szCs w:val="16"/>
        </w:rPr>
        <w:t xml:space="preserve"> Budget estimates and subject to adjustment in accordance </w:t>
      </w:r>
      <w:r w:rsidRPr="007A3100">
        <w:rPr>
          <w:rFonts w:ascii="Arial" w:hAnsi="Arial" w:cs="Arial"/>
          <w:color w:val="auto"/>
          <w:sz w:val="16"/>
          <w:szCs w:val="16"/>
        </w:rPr>
        <w:t>with Part 5 of</w:t>
      </w:r>
      <w:r w:rsidRPr="007318EC">
        <w:rPr>
          <w:rFonts w:ascii="Arial" w:hAnsi="Arial" w:cs="Arial"/>
          <w:color w:val="auto"/>
          <w:sz w:val="16"/>
          <w:szCs w:val="16"/>
        </w:rPr>
        <w:t xml:space="preserve"> this Agreement.</w:t>
      </w:r>
    </w:p>
    <w:p w14:paraId="62F6F6D9" w14:textId="110A9F87" w:rsidR="00EB0619" w:rsidRPr="00EA499A" w:rsidRDefault="00EB0619" w:rsidP="00EB0619">
      <w:pPr>
        <w:pStyle w:val="Normalnumbered"/>
        <w:keepNext/>
        <w:keepLines/>
        <w:tabs>
          <w:tab w:val="clear" w:pos="360"/>
        </w:tabs>
        <w:spacing w:after="120"/>
        <w:ind w:left="0" w:firstLine="0"/>
        <w:jc w:val="left"/>
        <w:rPr>
          <w:b/>
          <w:color w:val="auto"/>
        </w:rPr>
      </w:pPr>
      <w:r w:rsidRPr="00EA499A">
        <w:rPr>
          <w:b/>
          <w:color w:val="auto"/>
        </w:rPr>
        <w:lastRenderedPageBreak/>
        <w:t xml:space="preserve">Table 2: </w:t>
      </w:r>
      <w:r w:rsidR="00443A62">
        <w:rPr>
          <w:b/>
          <w:color w:val="auto"/>
        </w:rPr>
        <w:t xml:space="preserve">Estimated </w:t>
      </w:r>
      <w:r w:rsidRPr="00EA499A">
        <w:rPr>
          <w:b/>
          <w:color w:val="auto"/>
        </w:rPr>
        <w:t xml:space="preserve">State allocations </w:t>
      </w:r>
      <w:r w:rsidR="00A201A6">
        <w:rPr>
          <w:b/>
          <w:color w:val="auto"/>
        </w:rPr>
        <w:t>(a)</w:t>
      </w:r>
    </w:p>
    <w:tbl>
      <w:tblPr>
        <w:tblW w:w="9464" w:type="dxa"/>
        <w:tblLook w:val="01E0" w:firstRow="1" w:lastRow="1" w:firstColumn="1" w:lastColumn="1" w:noHBand="0" w:noVBand="0"/>
      </w:tblPr>
      <w:tblGrid>
        <w:gridCol w:w="3544"/>
        <w:gridCol w:w="992"/>
        <w:gridCol w:w="992"/>
        <w:gridCol w:w="992"/>
        <w:gridCol w:w="993"/>
        <w:gridCol w:w="992"/>
        <w:gridCol w:w="959"/>
      </w:tblGrid>
      <w:tr w:rsidR="006251D1" w:rsidRPr="00C811E9" w14:paraId="0177006D" w14:textId="77777777" w:rsidTr="00443A62">
        <w:trPr>
          <w:cantSplit/>
        </w:trPr>
        <w:tc>
          <w:tcPr>
            <w:tcW w:w="3544" w:type="dxa"/>
            <w:tcBorders>
              <w:top w:val="single" w:sz="4" w:space="0" w:color="000080"/>
              <w:left w:val="nil"/>
              <w:bottom w:val="single" w:sz="4" w:space="0" w:color="auto"/>
              <w:right w:val="nil"/>
            </w:tcBorders>
            <w:shd w:val="clear" w:color="auto" w:fill="auto"/>
            <w:hideMark/>
          </w:tcPr>
          <w:p w14:paraId="3768DE3D" w14:textId="77777777" w:rsidR="006251D1" w:rsidRPr="00EA499A" w:rsidRDefault="006251D1" w:rsidP="006251D1">
            <w:pPr>
              <w:keepNext/>
              <w:keepLines/>
              <w:spacing w:before="40" w:after="40"/>
              <w:jc w:val="left"/>
              <w:rPr>
                <w:b/>
              </w:rPr>
            </w:pPr>
            <w:r w:rsidRPr="00EA499A">
              <w:rPr>
                <w:b/>
              </w:rPr>
              <w:t>($ million)</w:t>
            </w:r>
            <w:r w:rsidRPr="00EA499A">
              <w:rPr>
                <w:b/>
                <w:vertAlign w:val="superscript"/>
              </w:rPr>
              <w:t xml:space="preserve"> </w:t>
            </w:r>
          </w:p>
        </w:tc>
        <w:tc>
          <w:tcPr>
            <w:tcW w:w="992" w:type="dxa"/>
            <w:tcBorders>
              <w:top w:val="single" w:sz="4" w:space="0" w:color="000080"/>
              <w:left w:val="nil"/>
              <w:bottom w:val="single" w:sz="4" w:space="0" w:color="auto"/>
              <w:right w:val="nil"/>
            </w:tcBorders>
            <w:shd w:val="clear" w:color="auto" w:fill="auto"/>
            <w:hideMark/>
          </w:tcPr>
          <w:p w14:paraId="4D22AA38" w14:textId="4CB71086" w:rsidR="006251D1" w:rsidRPr="006251D1" w:rsidRDefault="006251D1" w:rsidP="006251D1">
            <w:pPr>
              <w:keepNext/>
              <w:keepLines/>
              <w:spacing w:before="40" w:after="40"/>
              <w:jc w:val="right"/>
              <w:rPr>
                <w:sz w:val="22"/>
                <w:szCs w:val="18"/>
              </w:rPr>
            </w:pPr>
            <w:r w:rsidRPr="006251D1">
              <w:rPr>
                <w:sz w:val="22"/>
                <w:szCs w:val="18"/>
              </w:rPr>
              <w:t>2024-25</w:t>
            </w:r>
          </w:p>
        </w:tc>
        <w:tc>
          <w:tcPr>
            <w:tcW w:w="992" w:type="dxa"/>
            <w:tcBorders>
              <w:top w:val="single" w:sz="4" w:space="0" w:color="000080"/>
              <w:left w:val="nil"/>
              <w:bottom w:val="single" w:sz="4" w:space="0" w:color="auto"/>
              <w:right w:val="nil"/>
            </w:tcBorders>
            <w:shd w:val="clear" w:color="auto" w:fill="auto"/>
            <w:hideMark/>
          </w:tcPr>
          <w:p w14:paraId="45E8FAF0" w14:textId="2E246CE7" w:rsidR="006251D1" w:rsidRPr="006251D1" w:rsidRDefault="006251D1" w:rsidP="006251D1">
            <w:pPr>
              <w:keepNext/>
              <w:keepLines/>
              <w:spacing w:before="40" w:after="40"/>
              <w:jc w:val="right"/>
              <w:rPr>
                <w:sz w:val="22"/>
                <w:szCs w:val="18"/>
              </w:rPr>
            </w:pPr>
            <w:r w:rsidRPr="006251D1">
              <w:rPr>
                <w:sz w:val="22"/>
                <w:szCs w:val="18"/>
              </w:rPr>
              <w:t>2025-26</w:t>
            </w:r>
          </w:p>
        </w:tc>
        <w:tc>
          <w:tcPr>
            <w:tcW w:w="992" w:type="dxa"/>
            <w:tcBorders>
              <w:top w:val="single" w:sz="4" w:space="0" w:color="000080"/>
              <w:left w:val="nil"/>
              <w:bottom w:val="single" w:sz="4" w:space="0" w:color="auto"/>
              <w:right w:val="nil"/>
            </w:tcBorders>
            <w:shd w:val="clear" w:color="auto" w:fill="auto"/>
            <w:hideMark/>
          </w:tcPr>
          <w:p w14:paraId="15EFA5CD" w14:textId="3481A389" w:rsidR="006251D1" w:rsidRPr="006251D1" w:rsidRDefault="006251D1" w:rsidP="006251D1">
            <w:pPr>
              <w:keepNext/>
              <w:keepLines/>
              <w:spacing w:before="40" w:after="40"/>
              <w:jc w:val="right"/>
              <w:rPr>
                <w:sz w:val="22"/>
                <w:szCs w:val="18"/>
              </w:rPr>
            </w:pPr>
            <w:r w:rsidRPr="006251D1">
              <w:rPr>
                <w:sz w:val="22"/>
                <w:szCs w:val="18"/>
              </w:rPr>
              <w:t>2026-27</w:t>
            </w:r>
          </w:p>
        </w:tc>
        <w:tc>
          <w:tcPr>
            <w:tcW w:w="993" w:type="dxa"/>
            <w:tcBorders>
              <w:top w:val="single" w:sz="4" w:space="0" w:color="000080"/>
              <w:left w:val="nil"/>
              <w:bottom w:val="single" w:sz="4" w:space="0" w:color="auto"/>
              <w:right w:val="nil"/>
            </w:tcBorders>
            <w:shd w:val="clear" w:color="auto" w:fill="auto"/>
            <w:hideMark/>
          </w:tcPr>
          <w:p w14:paraId="25B8706F" w14:textId="75C7B5FB" w:rsidR="006251D1" w:rsidRPr="006251D1" w:rsidRDefault="006251D1" w:rsidP="006251D1">
            <w:pPr>
              <w:keepNext/>
              <w:keepLines/>
              <w:spacing w:before="40" w:after="40"/>
              <w:jc w:val="right"/>
              <w:rPr>
                <w:sz w:val="22"/>
                <w:szCs w:val="18"/>
              </w:rPr>
            </w:pPr>
            <w:r w:rsidRPr="006251D1">
              <w:rPr>
                <w:sz w:val="22"/>
                <w:szCs w:val="18"/>
              </w:rPr>
              <w:t>2027-28</w:t>
            </w:r>
          </w:p>
        </w:tc>
        <w:tc>
          <w:tcPr>
            <w:tcW w:w="992" w:type="dxa"/>
            <w:tcBorders>
              <w:top w:val="single" w:sz="4" w:space="0" w:color="000080"/>
              <w:left w:val="nil"/>
              <w:bottom w:val="single" w:sz="4" w:space="0" w:color="auto"/>
              <w:right w:val="nil"/>
            </w:tcBorders>
            <w:shd w:val="clear" w:color="auto" w:fill="auto"/>
          </w:tcPr>
          <w:p w14:paraId="2FBE0653" w14:textId="7340E478" w:rsidR="006251D1" w:rsidRPr="006251D1" w:rsidRDefault="006251D1" w:rsidP="006251D1">
            <w:pPr>
              <w:keepNext/>
              <w:keepLines/>
              <w:spacing w:before="40" w:after="40"/>
              <w:jc w:val="right"/>
              <w:rPr>
                <w:sz w:val="22"/>
                <w:szCs w:val="18"/>
              </w:rPr>
            </w:pPr>
            <w:r w:rsidRPr="006251D1">
              <w:rPr>
                <w:sz w:val="22"/>
                <w:szCs w:val="18"/>
              </w:rPr>
              <w:t>2028-29</w:t>
            </w:r>
          </w:p>
        </w:tc>
        <w:tc>
          <w:tcPr>
            <w:tcW w:w="959" w:type="dxa"/>
            <w:tcBorders>
              <w:top w:val="single" w:sz="4" w:space="0" w:color="000080"/>
              <w:left w:val="nil"/>
              <w:bottom w:val="single" w:sz="4" w:space="0" w:color="auto"/>
              <w:right w:val="nil"/>
            </w:tcBorders>
            <w:shd w:val="clear" w:color="auto" w:fill="auto"/>
            <w:hideMark/>
          </w:tcPr>
          <w:p w14:paraId="28057A3E" w14:textId="77777777" w:rsidR="006251D1" w:rsidRPr="00EA499A" w:rsidRDefault="006251D1" w:rsidP="006251D1">
            <w:pPr>
              <w:keepNext/>
              <w:keepLines/>
              <w:spacing w:before="40" w:after="40"/>
              <w:jc w:val="right"/>
              <w:rPr>
                <w:b/>
              </w:rPr>
            </w:pPr>
            <w:r w:rsidRPr="00EA499A">
              <w:rPr>
                <w:b/>
              </w:rPr>
              <w:t>Total</w:t>
            </w:r>
          </w:p>
        </w:tc>
      </w:tr>
      <w:tr w:rsidR="009E4D69" w:rsidRPr="00C811E9" w14:paraId="4832316E" w14:textId="77777777" w:rsidTr="00443A62">
        <w:trPr>
          <w:trHeight w:val="454"/>
        </w:trPr>
        <w:tc>
          <w:tcPr>
            <w:tcW w:w="3544" w:type="dxa"/>
            <w:tcBorders>
              <w:top w:val="single" w:sz="4" w:space="0" w:color="auto"/>
              <w:bottom w:val="single" w:sz="4" w:space="0" w:color="auto"/>
            </w:tcBorders>
            <w:shd w:val="clear" w:color="auto" w:fill="auto"/>
            <w:hideMark/>
          </w:tcPr>
          <w:p w14:paraId="155269B9" w14:textId="4C1FF6D8" w:rsidR="00EB0619" w:rsidRPr="00EA499A" w:rsidRDefault="00897726" w:rsidP="00166954">
            <w:pPr>
              <w:keepNext/>
              <w:keepLines/>
              <w:spacing w:before="60" w:after="60" w:line="240" w:lineRule="auto"/>
              <w:jc w:val="left"/>
            </w:pPr>
            <w:r>
              <w:t>General</w:t>
            </w:r>
            <w:r w:rsidR="00A201A6">
              <w:t xml:space="preserve"> Funding</w:t>
            </w:r>
          </w:p>
          <w:p w14:paraId="15AE9402" w14:textId="16E05DEF" w:rsidR="00EB0619" w:rsidRPr="00EA499A" w:rsidRDefault="00EB0619" w:rsidP="00166954">
            <w:pPr>
              <w:keepNext/>
              <w:keepLines/>
              <w:spacing w:before="60" w:after="60" w:line="240" w:lineRule="auto"/>
              <w:jc w:val="left"/>
            </w:pPr>
            <w:r w:rsidRPr="00EA499A">
              <w:tab/>
              <w:t>New South Wales</w:t>
            </w:r>
          </w:p>
          <w:p w14:paraId="6570D43C" w14:textId="38804F66" w:rsidR="00EB0619" w:rsidRPr="00EA499A" w:rsidRDefault="00EB0619" w:rsidP="00166954">
            <w:pPr>
              <w:keepNext/>
              <w:keepLines/>
              <w:spacing w:before="60" w:after="60" w:line="240" w:lineRule="auto"/>
              <w:jc w:val="left"/>
            </w:pPr>
            <w:r w:rsidRPr="00EA499A">
              <w:tab/>
              <w:t>Victoria</w:t>
            </w:r>
          </w:p>
          <w:p w14:paraId="348AF4E3" w14:textId="2D72D106" w:rsidR="00EB0619" w:rsidRPr="00EA499A" w:rsidRDefault="00EB0619" w:rsidP="00166954">
            <w:pPr>
              <w:keepNext/>
              <w:keepLines/>
              <w:spacing w:before="60" w:after="60" w:line="240" w:lineRule="auto"/>
              <w:jc w:val="left"/>
            </w:pPr>
            <w:r w:rsidRPr="00EA499A">
              <w:tab/>
              <w:t>Queensland</w:t>
            </w:r>
          </w:p>
          <w:p w14:paraId="51E1824E" w14:textId="28C9AC45" w:rsidR="00EB0619" w:rsidRPr="00EA499A" w:rsidRDefault="00EB0619" w:rsidP="00166954">
            <w:pPr>
              <w:keepNext/>
              <w:keepLines/>
              <w:spacing w:before="60" w:after="60" w:line="240" w:lineRule="auto"/>
              <w:jc w:val="left"/>
            </w:pPr>
            <w:r w:rsidRPr="00EA499A">
              <w:tab/>
              <w:t>Western Australia</w:t>
            </w:r>
          </w:p>
          <w:p w14:paraId="5350BC02" w14:textId="5BE2ABC8" w:rsidR="00EB0619" w:rsidRPr="00EA499A" w:rsidRDefault="00EB0619" w:rsidP="00166954">
            <w:pPr>
              <w:keepNext/>
              <w:keepLines/>
              <w:spacing w:before="60" w:after="60" w:line="240" w:lineRule="auto"/>
              <w:jc w:val="left"/>
            </w:pPr>
            <w:r w:rsidRPr="00EA499A">
              <w:tab/>
              <w:t>South Australia</w:t>
            </w:r>
          </w:p>
          <w:p w14:paraId="5B49721D" w14:textId="21E4F3E5" w:rsidR="00EB0619" w:rsidRPr="00EA499A" w:rsidRDefault="00EB0619" w:rsidP="00166954">
            <w:pPr>
              <w:keepNext/>
              <w:keepLines/>
              <w:spacing w:before="60" w:after="60" w:line="240" w:lineRule="auto"/>
              <w:jc w:val="left"/>
            </w:pPr>
            <w:r w:rsidRPr="00EA499A">
              <w:tab/>
              <w:t>Tasmania</w:t>
            </w:r>
          </w:p>
          <w:p w14:paraId="2BABB720" w14:textId="14E27C31" w:rsidR="00EB0619" w:rsidRPr="00EA499A" w:rsidRDefault="00EB0619" w:rsidP="00166954">
            <w:pPr>
              <w:keepNext/>
              <w:keepLines/>
              <w:spacing w:before="60" w:after="60" w:line="240" w:lineRule="auto"/>
              <w:jc w:val="left"/>
            </w:pPr>
            <w:r w:rsidRPr="00EA499A">
              <w:tab/>
              <w:t>A</w:t>
            </w:r>
            <w:r w:rsidR="005D5E0F">
              <w:t xml:space="preserve">ustralian </w:t>
            </w:r>
            <w:r w:rsidRPr="00EA499A">
              <w:t>C</w:t>
            </w:r>
            <w:r w:rsidR="005D5E0F">
              <w:t xml:space="preserve">apital </w:t>
            </w:r>
            <w:r w:rsidRPr="00EA499A">
              <w:t>T</w:t>
            </w:r>
            <w:r w:rsidR="005D5E0F">
              <w:t>erritory</w:t>
            </w:r>
          </w:p>
          <w:p w14:paraId="759D1260" w14:textId="4FC32896" w:rsidR="00EB0619" w:rsidRPr="00EA499A" w:rsidRDefault="00EB0619" w:rsidP="00166954">
            <w:pPr>
              <w:keepNext/>
              <w:keepLines/>
              <w:spacing w:before="60" w:after="60" w:line="240" w:lineRule="auto"/>
              <w:jc w:val="left"/>
            </w:pPr>
            <w:r w:rsidRPr="00EA499A">
              <w:tab/>
              <w:t>N</w:t>
            </w:r>
            <w:r w:rsidR="005D5E0F">
              <w:t xml:space="preserve">orthern </w:t>
            </w:r>
            <w:r w:rsidRPr="00EA499A">
              <w:t>T</w:t>
            </w:r>
            <w:r w:rsidR="005D5E0F">
              <w:t>erritory</w:t>
            </w:r>
          </w:p>
          <w:p w14:paraId="25D6DF38" w14:textId="44730F30" w:rsidR="00EB0619" w:rsidRPr="00EA499A" w:rsidRDefault="00A201A6" w:rsidP="00166954">
            <w:pPr>
              <w:keepNext/>
              <w:keepLines/>
              <w:spacing w:before="60" w:after="60" w:line="240" w:lineRule="auto"/>
              <w:jc w:val="left"/>
            </w:pPr>
            <w:r>
              <w:t xml:space="preserve">Specified </w:t>
            </w:r>
            <w:r w:rsidR="00EB0619" w:rsidRPr="00EA499A">
              <w:t>Homelessness</w:t>
            </w:r>
            <w:r>
              <w:t xml:space="preserve"> Funding</w:t>
            </w:r>
          </w:p>
          <w:p w14:paraId="3F3E2203" w14:textId="0CF8D298" w:rsidR="00EB0619" w:rsidRPr="00EA499A" w:rsidRDefault="00EB0619" w:rsidP="00166954">
            <w:pPr>
              <w:keepNext/>
              <w:keepLines/>
              <w:spacing w:before="60" w:after="60" w:line="240" w:lineRule="auto"/>
              <w:jc w:val="left"/>
            </w:pPr>
            <w:r w:rsidRPr="00EA499A">
              <w:tab/>
              <w:t>New South Wales</w:t>
            </w:r>
          </w:p>
          <w:p w14:paraId="4DABAF8C" w14:textId="40B3CB5D" w:rsidR="00EB0619" w:rsidRPr="00EA499A" w:rsidRDefault="00EB0619" w:rsidP="00166954">
            <w:pPr>
              <w:keepNext/>
              <w:keepLines/>
              <w:spacing w:before="60" w:after="60" w:line="240" w:lineRule="auto"/>
              <w:jc w:val="left"/>
            </w:pPr>
            <w:r w:rsidRPr="00EA499A">
              <w:tab/>
              <w:t>Victoria</w:t>
            </w:r>
          </w:p>
          <w:p w14:paraId="4E7A5B42" w14:textId="4C8D86D3" w:rsidR="00EB0619" w:rsidRPr="00EA499A" w:rsidRDefault="00EB0619" w:rsidP="00166954">
            <w:pPr>
              <w:keepNext/>
              <w:keepLines/>
              <w:spacing w:before="60" w:after="60" w:line="240" w:lineRule="auto"/>
              <w:jc w:val="left"/>
            </w:pPr>
            <w:r w:rsidRPr="00EA499A">
              <w:tab/>
              <w:t>Queensland</w:t>
            </w:r>
          </w:p>
          <w:p w14:paraId="470BE52B" w14:textId="6C7A36E6" w:rsidR="00EB0619" w:rsidRPr="00EA499A" w:rsidRDefault="00EB0619" w:rsidP="00166954">
            <w:pPr>
              <w:keepNext/>
              <w:keepLines/>
              <w:spacing w:before="60" w:after="60" w:line="240" w:lineRule="auto"/>
              <w:jc w:val="left"/>
            </w:pPr>
            <w:r w:rsidRPr="00EA499A">
              <w:tab/>
              <w:t>Western Australia</w:t>
            </w:r>
          </w:p>
          <w:p w14:paraId="2E637591" w14:textId="27990520" w:rsidR="00EB0619" w:rsidRPr="00EA499A" w:rsidRDefault="00EB0619" w:rsidP="00166954">
            <w:pPr>
              <w:keepNext/>
              <w:keepLines/>
              <w:spacing w:before="60" w:after="60" w:line="240" w:lineRule="auto"/>
              <w:jc w:val="left"/>
            </w:pPr>
            <w:r w:rsidRPr="00EA499A">
              <w:tab/>
              <w:t>South Australia</w:t>
            </w:r>
          </w:p>
          <w:p w14:paraId="38A21870" w14:textId="346661EF" w:rsidR="00EB0619" w:rsidRPr="00EA499A" w:rsidRDefault="00EB0619" w:rsidP="00166954">
            <w:pPr>
              <w:keepNext/>
              <w:keepLines/>
              <w:spacing w:before="60" w:after="60" w:line="240" w:lineRule="auto"/>
              <w:jc w:val="left"/>
            </w:pPr>
            <w:r w:rsidRPr="00EA499A">
              <w:tab/>
              <w:t>Tasmania</w:t>
            </w:r>
          </w:p>
          <w:p w14:paraId="3D905595" w14:textId="4D376F07" w:rsidR="00EB0619" w:rsidRPr="00EA499A" w:rsidRDefault="00EB0619" w:rsidP="00166954">
            <w:pPr>
              <w:keepNext/>
              <w:keepLines/>
              <w:spacing w:before="60" w:after="60" w:line="240" w:lineRule="auto"/>
              <w:jc w:val="left"/>
            </w:pPr>
            <w:r w:rsidRPr="00EA499A">
              <w:tab/>
            </w:r>
            <w:r w:rsidR="005D5E0F" w:rsidRPr="00EA499A">
              <w:t>A</w:t>
            </w:r>
            <w:r w:rsidR="005D5E0F">
              <w:t xml:space="preserve">ustralian </w:t>
            </w:r>
            <w:r w:rsidR="005D5E0F" w:rsidRPr="00EA499A">
              <w:t>C</w:t>
            </w:r>
            <w:r w:rsidR="005D5E0F">
              <w:t xml:space="preserve">apital </w:t>
            </w:r>
            <w:r w:rsidR="005D5E0F" w:rsidRPr="00EA499A">
              <w:t>T</w:t>
            </w:r>
            <w:r w:rsidR="005D5E0F">
              <w:t>erritory</w:t>
            </w:r>
          </w:p>
          <w:p w14:paraId="65300740" w14:textId="549C1CA7" w:rsidR="00EB0619" w:rsidRPr="00EA499A" w:rsidRDefault="00EB0619" w:rsidP="00166954">
            <w:pPr>
              <w:keepNext/>
              <w:keepLines/>
              <w:spacing w:before="60" w:after="60" w:line="240" w:lineRule="auto"/>
              <w:jc w:val="left"/>
            </w:pPr>
            <w:r w:rsidRPr="00EA499A">
              <w:tab/>
            </w:r>
            <w:r w:rsidR="005D5E0F" w:rsidRPr="00EA499A">
              <w:t>N</w:t>
            </w:r>
            <w:r w:rsidR="005D5E0F">
              <w:t xml:space="preserve">orthern </w:t>
            </w:r>
            <w:r w:rsidR="005D5E0F" w:rsidRPr="00EA499A">
              <w:t>T</w:t>
            </w:r>
            <w:r w:rsidR="005D5E0F">
              <w:t>erritory</w:t>
            </w:r>
          </w:p>
          <w:p w14:paraId="7E92FF15" w14:textId="1967FCFD" w:rsidR="0062091A" w:rsidRPr="00EA499A" w:rsidRDefault="0062091A" w:rsidP="00166954">
            <w:pPr>
              <w:keepNext/>
              <w:keepLines/>
              <w:spacing w:before="60" w:after="60" w:line="240" w:lineRule="auto"/>
              <w:jc w:val="left"/>
              <w:rPr>
                <w:highlight w:val="yellow"/>
              </w:rPr>
            </w:pPr>
          </w:p>
        </w:tc>
        <w:tc>
          <w:tcPr>
            <w:tcW w:w="992" w:type="dxa"/>
            <w:tcBorders>
              <w:top w:val="single" w:sz="4" w:space="0" w:color="auto"/>
              <w:bottom w:val="single" w:sz="4" w:space="0" w:color="auto"/>
            </w:tcBorders>
            <w:shd w:val="clear" w:color="auto" w:fill="auto"/>
          </w:tcPr>
          <w:p w14:paraId="7E8301B5" w14:textId="77777777" w:rsidR="00EB0619" w:rsidRPr="00EA499A" w:rsidRDefault="00EB0619" w:rsidP="0062091A">
            <w:pPr>
              <w:keepNext/>
              <w:keepLines/>
              <w:spacing w:before="60" w:after="60" w:line="240" w:lineRule="auto"/>
              <w:jc w:val="right"/>
            </w:pPr>
          </w:p>
          <w:p w14:paraId="271F9406" w14:textId="77777777" w:rsidR="00187440" w:rsidRDefault="00187440" w:rsidP="00443A62">
            <w:pPr>
              <w:keepNext/>
              <w:keepLines/>
              <w:spacing w:before="60" w:after="60" w:line="240" w:lineRule="auto"/>
              <w:ind w:left="-246" w:firstLine="246"/>
              <w:jc w:val="right"/>
            </w:pPr>
            <w:r>
              <w:t xml:space="preserve">425.3 </w:t>
            </w:r>
          </w:p>
          <w:p w14:paraId="017E7EB4" w14:textId="77777777" w:rsidR="00187440" w:rsidRDefault="00187440" w:rsidP="00187440">
            <w:pPr>
              <w:keepNext/>
              <w:keepLines/>
              <w:spacing w:before="60" w:after="60" w:line="240" w:lineRule="auto"/>
              <w:jc w:val="right"/>
            </w:pPr>
            <w:r>
              <w:t xml:space="preserve"> 350.9 </w:t>
            </w:r>
          </w:p>
          <w:p w14:paraId="6CCF6EAB" w14:textId="77777777" w:rsidR="00187440" w:rsidRDefault="00187440" w:rsidP="00187440">
            <w:pPr>
              <w:keepNext/>
              <w:keepLines/>
              <w:spacing w:before="60" w:after="60" w:line="240" w:lineRule="auto"/>
              <w:jc w:val="right"/>
            </w:pPr>
            <w:r>
              <w:t xml:space="preserve"> 282.2 </w:t>
            </w:r>
          </w:p>
          <w:p w14:paraId="6CD58790" w14:textId="77777777" w:rsidR="00187440" w:rsidRDefault="00187440" w:rsidP="00187440">
            <w:pPr>
              <w:keepNext/>
              <w:keepLines/>
              <w:spacing w:before="60" w:after="60" w:line="240" w:lineRule="auto"/>
              <w:jc w:val="right"/>
            </w:pPr>
            <w:r>
              <w:t xml:space="preserve"> 158.4 </w:t>
            </w:r>
          </w:p>
          <w:p w14:paraId="56BE84D7" w14:textId="77777777" w:rsidR="00187440" w:rsidRDefault="00187440" w:rsidP="00187440">
            <w:pPr>
              <w:keepNext/>
              <w:keepLines/>
              <w:spacing w:before="60" w:after="60" w:line="240" w:lineRule="auto"/>
              <w:jc w:val="right"/>
            </w:pPr>
            <w:r>
              <w:t xml:space="preserve"> 95.4 </w:t>
            </w:r>
          </w:p>
          <w:p w14:paraId="65FB0ABD" w14:textId="77777777" w:rsidR="00187440" w:rsidRDefault="00187440" w:rsidP="00187440">
            <w:pPr>
              <w:keepNext/>
              <w:keepLines/>
              <w:spacing w:before="60" w:after="60" w:line="240" w:lineRule="auto"/>
              <w:jc w:val="right"/>
            </w:pPr>
            <w:r>
              <w:t xml:space="preserve"> 29.7 </w:t>
            </w:r>
          </w:p>
          <w:p w14:paraId="6AD7DE4F" w14:textId="77777777" w:rsidR="00187440" w:rsidRDefault="00187440" w:rsidP="00187440">
            <w:pPr>
              <w:keepNext/>
              <w:keepLines/>
              <w:spacing w:before="60" w:after="60" w:line="240" w:lineRule="auto"/>
              <w:jc w:val="right"/>
            </w:pPr>
            <w:r>
              <w:t xml:space="preserve"> 24.3 </w:t>
            </w:r>
          </w:p>
          <w:p w14:paraId="71213ED4" w14:textId="77777777" w:rsidR="00187440" w:rsidRDefault="00187440" w:rsidP="00187440">
            <w:pPr>
              <w:keepNext/>
              <w:keepLines/>
              <w:spacing w:before="60" w:after="60" w:line="240" w:lineRule="auto"/>
              <w:jc w:val="right"/>
            </w:pPr>
            <w:r>
              <w:t xml:space="preserve"> 12.8</w:t>
            </w:r>
          </w:p>
          <w:p w14:paraId="1D4799B1" w14:textId="02437662" w:rsidR="00EB0619" w:rsidRPr="00EA499A" w:rsidRDefault="00187440" w:rsidP="00187440">
            <w:pPr>
              <w:keepNext/>
              <w:keepLines/>
              <w:spacing w:before="60" w:after="60" w:line="240" w:lineRule="auto"/>
              <w:jc w:val="right"/>
            </w:pPr>
            <w:r>
              <w:t xml:space="preserve"> </w:t>
            </w:r>
          </w:p>
          <w:p w14:paraId="12679C04" w14:textId="77777777" w:rsidR="00924917" w:rsidRDefault="00924917" w:rsidP="00924917">
            <w:pPr>
              <w:keepNext/>
              <w:keepLines/>
              <w:spacing w:before="60" w:after="60" w:line="240" w:lineRule="auto"/>
              <w:jc w:val="right"/>
            </w:pPr>
            <w:r>
              <w:t xml:space="preserve">114.3 </w:t>
            </w:r>
          </w:p>
          <w:p w14:paraId="2BD91028" w14:textId="77777777" w:rsidR="00924917" w:rsidRDefault="00924917" w:rsidP="00924917">
            <w:pPr>
              <w:keepNext/>
              <w:keepLines/>
              <w:spacing w:before="60" w:after="60" w:line="240" w:lineRule="auto"/>
              <w:jc w:val="right"/>
            </w:pPr>
            <w:r>
              <w:t xml:space="preserve"> 100.1 </w:t>
            </w:r>
          </w:p>
          <w:p w14:paraId="414DAC0B" w14:textId="77777777" w:rsidR="00924917" w:rsidRDefault="00924917" w:rsidP="00924917">
            <w:pPr>
              <w:keepNext/>
              <w:keepLines/>
              <w:spacing w:before="60" w:after="60" w:line="240" w:lineRule="auto"/>
              <w:jc w:val="right"/>
            </w:pPr>
            <w:r>
              <w:t xml:space="preserve"> 73.2 </w:t>
            </w:r>
          </w:p>
          <w:p w14:paraId="5BCDEFD8" w14:textId="77777777" w:rsidR="00924917" w:rsidRDefault="00924917" w:rsidP="00924917">
            <w:pPr>
              <w:keepNext/>
              <w:keepLines/>
              <w:spacing w:before="60" w:after="60" w:line="240" w:lineRule="auto"/>
              <w:jc w:val="right"/>
            </w:pPr>
            <w:r>
              <w:t xml:space="preserve"> 31.8 </w:t>
            </w:r>
          </w:p>
          <w:p w14:paraId="0677271C" w14:textId="77777777" w:rsidR="00924917" w:rsidRDefault="00924917" w:rsidP="00924917">
            <w:pPr>
              <w:keepNext/>
              <w:keepLines/>
              <w:spacing w:before="60" w:after="60" w:line="240" w:lineRule="auto"/>
              <w:jc w:val="right"/>
            </w:pPr>
            <w:r>
              <w:t xml:space="preserve"> 24.3 </w:t>
            </w:r>
          </w:p>
          <w:p w14:paraId="24241765" w14:textId="77777777" w:rsidR="00924917" w:rsidRDefault="00924917" w:rsidP="00924917">
            <w:pPr>
              <w:keepNext/>
              <w:keepLines/>
              <w:spacing w:before="60" w:after="60" w:line="240" w:lineRule="auto"/>
              <w:jc w:val="right"/>
            </w:pPr>
            <w:r>
              <w:t xml:space="preserve"> 7.7 </w:t>
            </w:r>
          </w:p>
          <w:p w14:paraId="17A23657" w14:textId="77777777" w:rsidR="00924917" w:rsidRDefault="00924917" w:rsidP="00924917">
            <w:pPr>
              <w:keepNext/>
              <w:keepLines/>
              <w:spacing w:before="60" w:after="60" w:line="240" w:lineRule="auto"/>
              <w:jc w:val="right"/>
            </w:pPr>
            <w:r>
              <w:t xml:space="preserve"> 5.8 </w:t>
            </w:r>
          </w:p>
          <w:p w14:paraId="55813DFD" w14:textId="450B675F" w:rsidR="00EB0619" w:rsidRPr="00EA499A" w:rsidRDefault="00924917" w:rsidP="00924917">
            <w:pPr>
              <w:keepNext/>
              <w:keepLines/>
              <w:spacing w:before="60" w:after="60" w:line="240" w:lineRule="auto"/>
              <w:jc w:val="right"/>
            </w:pPr>
            <w:r>
              <w:t xml:space="preserve"> 42.8 </w:t>
            </w:r>
          </w:p>
        </w:tc>
        <w:tc>
          <w:tcPr>
            <w:tcW w:w="992" w:type="dxa"/>
            <w:tcBorders>
              <w:top w:val="single" w:sz="4" w:space="0" w:color="auto"/>
              <w:bottom w:val="single" w:sz="4" w:space="0" w:color="auto"/>
            </w:tcBorders>
            <w:shd w:val="clear" w:color="auto" w:fill="auto"/>
          </w:tcPr>
          <w:p w14:paraId="149E3878" w14:textId="77777777" w:rsidR="00EB0619" w:rsidRPr="00EA499A" w:rsidRDefault="00EB0619" w:rsidP="0062091A">
            <w:pPr>
              <w:keepNext/>
              <w:keepLines/>
              <w:spacing w:before="60" w:after="60" w:line="240" w:lineRule="auto"/>
              <w:jc w:val="right"/>
            </w:pPr>
          </w:p>
          <w:p w14:paraId="789527F0" w14:textId="77777777" w:rsidR="00187440" w:rsidRDefault="00187440" w:rsidP="00187440">
            <w:pPr>
              <w:keepNext/>
              <w:keepLines/>
              <w:spacing w:before="60" w:after="60" w:line="240" w:lineRule="auto"/>
              <w:jc w:val="right"/>
            </w:pPr>
            <w:r>
              <w:t xml:space="preserve">435.0 </w:t>
            </w:r>
          </w:p>
          <w:p w14:paraId="0D2A2551" w14:textId="77777777" w:rsidR="00187440" w:rsidRDefault="00187440" w:rsidP="00187440">
            <w:pPr>
              <w:keepNext/>
              <w:keepLines/>
              <w:spacing w:before="60" w:after="60" w:line="240" w:lineRule="auto"/>
              <w:jc w:val="right"/>
            </w:pPr>
            <w:r>
              <w:t xml:space="preserve"> 359.0 </w:t>
            </w:r>
          </w:p>
          <w:p w14:paraId="24E6431C" w14:textId="77777777" w:rsidR="00187440" w:rsidRDefault="00187440" w:rsidP="00187440">
            <w:pPr>
              <w:keepNext/>
              <w:keepLines/>
              <w:spacing w:before="60" w:after="60" w:line="240" w:lineRule="auto"/>
              <w:jc w:val="right"/>
            </w:pPr>
            <w:r>
              <w:t xml:space="preserve"> 288.6 </w:t>
            </w:r>
          </w:p>
          <w:p w14:paraId="30A942DE" w14:textId="77777777" w:rsidR="00187440" w:rsidRDefault="00187440" w:rsidP="00187440">
            <w:pPr>
              <w:keepNext/>
              <w:keepLines/>
              <w:spacing w:before="60" w:after="60" w:line="240" w:lineRule="auto"/>
              <w:jc w:val="right"/>
            </w:pPr>
            <w:r>
              <w:t xml:space="preserve"> 162.0 </w:t>
            </w:r>
          </w:p>
          <w:p w14:paraId="6877133E" w14:textId="77777777" w:rsidR="00187440" w:rsidRDefault="00187440" w:rsidP="00187440">
            <w:pPr>
              <w:keepNext/>
              <w:keepLines/>
              <w:spacing w:before="60" w:after="60" w:line="240" w:lineRule="auto"/>
              <w:jc w:val="right"/>
            </w:pPr>
            <w:r>
              <w:t xml:space="preserve"> 97.6 </w:t>
            </w:r>
          </w:p>
          <w:p w14:paraId="3B2A0E23" w14:textId="77777777" w:rsidR="00187440" w:rsidRDefault="00187440" w:rsidP="00187440">
            <w:pPr>
              <w:keepNext/>
              <w:keepLines/>
              <w:spacing w:before="60" w:after="60" w:line="240" w:lineRule="auto"/>
              <w:jc w:val="right"/>
            </w:pPr>
            <w:r>
              <w:t xml:space="preserve"> 30.4 </w:t>
            </w:r>
          </w:p>
          <w:p w14:paraId="576D1BAC" w14:textId="77777777" w:rsidR="00187440" w:rsidRDefault="00187440" w:rsidP="00187440">
            <w:pPr>
              <w:keepNext/>
              <w:keepLines/>
              <w:spacing w:before="60" w:after="60" w:line="240" w:lineRule="auto"/>
              <w:jc w:val="right"/>
            </w:pPr>
            <w:r>
              <w:t xml:space="preserve"> 24.9 </w:t>
            </w:r>
          </w:p>
          <w:p w14:paraId="0E13E1D3" w14:textId="0FCB6FDA" w:rsidR="00EB0619" w:rsidRDefault="00187440" w:rsidP="00187440">
            <w:pPr>
              <w:keepNext/>
              <w:keepLines/>
              <w:spacing w:before="60" w:after="60" w:line="240" w:lineRule="auto"/>
              <w:jc w:val="right"/>
            </w:pPr>
            <w:r>
              <w:t xml:space="preserve"> 13.1 </w:t>
            </w:r>
          </w:p>
          <w:p w14:paraId="1F992147" w14:textId="77777777" w:rsidR="00187440" w:rsidRPr="00EA499A" w:rsidRDefault="00187440" w:rsidP="00187440">
            <w:pPr>
              <w:keepNext/>
              <w:keepLines/>
              <w:spacing w:before="60" w:after="60" w:line="240" w:lineRule="auto"/>
              <w:jc w:val="right"/>
            </w:pPr>
          </w:p>
          <w:p w14:paraId="0AD22A8B" w14:textId="77777777" w:rsidR="00924917" w:rsidRDefault="00924917" w:rsidP="00924917">
            <w:pPr>
              <w:keepNext/>
              <w:keepLines/>
              <w:spacing w:before="60" w:after="60" w:line="240" w:lineRule="auto"/>
              <w:jc w:val="right"/>
            </w:pPr>
            <w:r>
              <w:t xml:space="preserve">117.0 </w:t>
            </w:r>
          </w:p>
          <w:p w14:paraId="3BB6DDE7" w14:textId="77777777" w:rsidR="00924917" w:rsidRDefault="00924917" w:rsidP="00924917">
            <w:pPr>
              <w:keepNext/>
              <w:keepLines/>
              <w:spacing w:before="60" w:after="60" w:line="240" w:lineRule="auto"/>
              <w:jc w:val="right"/>
            </w:pPr>
            <w:r>
              <w:t xml:space="preserve"> 102.4 </w:t>
            </w:r>
          </w:p>
          <w:p w14:paraId="716BC4BA" w14:textId="77777777" w:rsidR="00924917" w:rsidRDefault="00924917" w:rsidP="00924917">
            <w:pPr>
              <w:keepNext/>
              <w:keepLines/>
              <w:spacing w:before="60" w:after="60" w:line="240" w:lineRule="auto"/>
              <w:jc w:val="right"/>
            </w:pPr>
            <w:r>
              <w:t xml:space="preserve"> 74.9 </w:t>
            </w:r>
          </w:p>
          <w:p w14:paraId="4E66FD4B" w14:textId="77777777" w:rsidR="00924917" w:rsidRDefault="00924917" w:rsidP="00924917">
            <w:pPr>
              <w:keepNext/>
              <w:keepLines/>
              <w:spacing w:before="60" w:after="60" w:line="240" w:lineRule="auto"/>
              <w:jc w:val="right"/>
            </w:pPr>
            <w:r>
              <w:t xml:space="preserve"> 32.5 </w:t>
            </w:r>
          </w:p>
          <w:p w14:paraId="60100B79" w14:textId="77777777" w:rsidR="00924917" w:rsidRDefault="00924917" w:rsidP="00924917">
            <w:pPr>
              <w:keepNext/>
              <w:keepLines/>
              <w:spacing w:before="60" w:after="60" w:line="240" w:lineRule="auto"/>
              <w:jc w:val="right"/>
            </w:pPr>
            <w:r>
              <w:t xml:space="preserve"> 24.8 </w:t>
            </w:r>
          </w:p>
          <w:p w14:paraId="62950A01" w14:textId="77777777" w:rsidR="00924917" w:rsidRDefault="00924917" w:rsidP="00924917">
            <w:pPr>
              <w:keepNext/>
              <w:keepLines/>
              <w:spacing w:before="60" w:after="60" w:line="240" w:lineRule="auto"/>
              <w:jc w:val="right"/>
            </w:pPr>
            <w:r>
              <w:t xml:space="preserve"> 7.9 </w:t>
            </w:r>
          </w:p>
          <w:p w14:paraId="0AADBB88" w14:textId="77777777" w:rsidR="00924917" w:rsidRDefault="00924917" w:rsidP="00924917">
            <w:pPr>
              <w:keepNext/>
              <w:keepLines/>
              <w:spacing w:before="60" w:after="60" w:line="240" w:lineRule="auto"/>
              <w:jc w:val="right"/>
            </w:pPr>
            <w:r>
              <w:t xml:space="preserve"> 5.9 </w:t>
            </w:r>
          </w:p>
          <w:p w14:paraId="233274B6" w14:textId="46000ADA" w:rsidR="00EB0619" w:rsidRPr="00EA499A" w:rsidRDefault="00924917" w:rsidP="00924917">
            <w:pPr>
              <w:keepNext/>
              <w:keepLines/>
              <w:spacing w:before="60" w:after="60" w:line="240" w:lineRule="auto"/>
              <w:jc w:val="right"/>
            </w:pPr>
            <w:r>
              <w:t xml:space="preserve"> 43.8</w:t>
            </w:r>
          </w:p>
        </w:tc>
        <w:tc>
          <w:tcPr>
            <w:tcW w:w="992" w:type="dxa"/>
            <w:tcBorders>
              <w:top w:val="single" w:sz="4" w:space="0" w:color="auto"/>
              <w:bottom w:val="single" w:sz="4" w:space="0" w:color="auto"/>
            </w:tcBorders>
            <w:shd w:val="clear" w:color="auto" w:fill="auto"/>
          </w:tcPr>
          <w:p w14:paraId="56086014" w14:textId="77777777" w:rsidR="00EB0619" w:rsidRPr="00EA499A" w:rsidRDefault="00EB0619" w:rsidP="0062091A">
            <w:pPr>
              <w:keepNext/>
              <w:keepLines/>
              <w:spacing w:before="60" w:after="60" w:line="240" w:lineRule="auto"/>
              <w:jc w:val="right"/>
            </w:pPr>
          </w:p>
          <w:p w14:paraId="11737948" w14:textId="77777777" w:rsidR="00187440" w:rsidRDefault="00187440" w:rsidP="00187440">
            <w:pPr>
              <w:keepNext/>
              <w:keepLines/>
              <w:spacing w:before="60" w:after="60" w:line="240" w:lineRule="auto"/>
              <w:jc w:val="right"/>
            </w:pPr>
            <w:r>
              <w:t xml:space="preserve">444.6 </w:t>
            </w:r>
          </w:p>
          <w:p w14:paraId="16007B1A" w14:textId="77777777" w:rsidR="00187440" w:rsidRDefault="00187440" w:rsidP="00187440">
            <w:pPr>
              <w:keepNext/>
              <w:keepLines/>
              <w:spacing w:before="60" w:after="60" w:line="240" w:lineRule="auto"/>
              <w:jc w:val="right"/>
            </w:pPr>
            <w:r>
              <w:t xml:space="preserve"> 366.9 </w:t>
            </w:r>
          </w:p>
          <w:p w14:paraId="2B7F53E9" w14:textId="77777777" w:rsidR="00187440" w:rsidRDefault="00187440" w:rsidP="00187440">
            <w:pPr>
              <w:keepNext/>
              <w:keepLines/>
              <w:spacing w:before="60" w:after="60" w:line="240" w:lineRule="auto"/>
              <w:jc w:val="right"/>
            </w:pPr>
            <w:r>
              <w:t xml:space="preserve"> 295.0 </w:t>
            </w:r>
          </w:p>
          <w:p w14:paraId="4EC2E5B7" w14:textId="77777777" w:rsidR="00187440" w:rsidRDefault="00187440" w:rsidP="00187440">
            <w:pPr>
              <w:keepNext/>
              <w:keepLines/>
              <w:spacing w:before="60" w:after="60" w:line="240" w:lineRule="auto"/>
              <w:jc w:val="right"/>
            </w:pPr>
            <w:r>
              <w:t xml:space="preserve"> 165.6 </w:t>
            </w:r>
          </w:p>
          <w:p w14:paraId="25F36FAE" w14:textId="77777777" w:rsidR="00187440" w:rsidRDefault="00187440" w:rsidP="00187440">
            <w:pPr>
              <w:keepNext/>
              <w:keepLines/>
              <w:spacing w:before="60" w:after="60" w:line="240" w:lineRule="auto"/>
              <w:jc w:val="right"/>
            </w:pPr>
            <w:r>
              <w:t xml:space="preserve"> 99.8 </w:t>
            </w:r>
          </w:p>
          <w:p w14:paraId="071023A8" w14:textId="77777777" w:rsidR="00187440" w:rsidRDefault="00187440" w:rsidP="00187440">
            <w:pPr>
              <w:keepNext/>
              <w:keepLines/>
              <w:spacing w:before="60" w:after="60" w:line="240" w:lineRule="auto"/>
              <w:jc w:val="right"/>
            </w:pPr>
            <w:r>
              <w:t xml:space="preserve"> 31.1 </w:t>
            </w:r>
          </w:p>
          <w:p w14:paraId="1134956A" w14:textId="77777777" w:rsidR="00187440" w:rsidRDefault="00187440" w:rsidP="00187440">
            <w:pPr>
              <w:keepNext/>
              <w:keepLines/>
              <w:spacing w:before="60" w:after="60" w:line="240" w:lineRule="auto"/>
              <w:jc w:val="right"/>
            </w:pPr>
            <w:r>
              <w:t xml:space="preserve"> 25.4 </w:t>
            </w:r>
          </w:p>
          <w:p w14:paraId="72A9D4C2" w14:textId="2954AB85" w:rsidR="00EB0619" w:rsidRDefault="00187440" w:rsidP="00187440">
            <w:pPr>
              <w:keepNext/>
              <w:keepLines/>
              <w:spacing w:before="60" w:after="60" w:line="240" w:lineRule="auto"/>
              <w:jc w:val="right"/>
            </w:pPr>
            <w:r>
              <w:t xml:space="preserve"> 13.4 </w:t>
            </w:r>
          </w:p>
          <w:p w14:paraId="5E5EFB76" w14:textId="77777777" w:rsidR="00187440" w:rsidRPr="00EA499A" w:rsidRDefault="00187440" w:rsidP="00187440">
            <w:pPr>
              <w:keepNext/>
              <w:keepLines/>
              <w:spacing w:before="60" w:after="60" w:line="240" w:lineRule="auto"/>
              <w:jc w:val="right"/>
            </w:pPr>
          </w:p>
          <w:p w14:paraId="134D1627" w14:textId="77777777" w:rsidR="00924917" w:rsidRDefault="00924917" w:rsidP="00924917">
            <w:pPr>
              <w:keepNext/>
              <w:keepLines/>
              <w:spacing w:before="60" w:after="60" w:line="240" w:lineRule="auto"/>
              <w:jc w:val="right"/>
            </w:pPr>
            <w:r>
              <w:t xml:space="preserve">119.5 </w:t>
            </w:r>
          </w:p>
          <w:p w14:paraId="0F57835A" w14:textId="77777777" w:rsidR="00924917" w:rsidRDefault="00924917" w:rsidP="00924917">
            <w:pPr>
              <w:keepNext/>
              <w:keepLines/>
              <w:spacing w:before="60" w:after="60" w:line="240" w:lineRule="auto"/>
              <w:jc w:val="right"/>
            </w:pPr>
            <w:r>
              <w:t xml:space="preserve"> 104.7 </w:t>
            </w:r>
          </w:p>
          <w:p w14:paraId="2B56DB7A" w14:textId="77777777" w:rsidR="00924917" w:rsidRDefault="00924917" w:rsidP="00924917">
            <w:pPr>
              <w:keepNext/>
              <w:keepLines/>
              <w:spacing w:before="60" w:after="60" w:line="240" w:lineRule="auto"/>
              <w:jc w:val="right"/>
            </w:pPr>
            <w:r>
              <w:t xml:space="preserve"> 76.6 </w:t>
            </w:r>
          </w:p>
          <w:p w14:paraId="3E2EB19C" w14:textId="77777777" w:rsidR="00924917" w:rsidRDefault="00924917" w:rsidP="00924917">
            <w:pPr>
              <w:keepNext/>
              <w:keepLines/>
              <w:spacing w:before="60" w:after="60" w:line="240" w:lineRule="auto"/>
              <w:jc w:val="right"/>
            </w:pPr>
            <w:r>
              <w:t xml:space="preserve"> 33.2 </w:t>
            </w:r>
          </w:p>
          <w:p w14:paraId="206082CB" w14:textId="77777777" w:rsidR="00924917" w:rsidRDefault="00924917" w:rsidP="00924917">
            <w:pPr>
              <w:keepNext/>
              <w:keepLines/>
              <w:spacing w:before="60" w:after="60" w:line="240" w:lineRule="auto"/>
              <w:jc w:val="right"/>
            </w:pPr>
            <w:r>
              <w:t xml:space="preserve"> 25.4 </w:t>
            </w:r>
          </w:p>
          <w:p w14:paraId="31866669" w14:textId="77777777" w:rsidR="00924917" w:rsidRDefault="00924917" w:rsidP="00924917">
            <w:pPr>
              <w:keepNext/>
              <w:keepLines/>
              <w:spacing w:before="60" w:after="60" w:line="240" w:lineRule="auto"/>
              <w:jc w:val="right"/>
            </w:pPr>
            <w:r>
              <w:t xml:space="preserve"> 8.0 </w:t>
            </w:r>
          </w:p>
          <w:p w14:paraId="0C139A9F" w14:textId="77777777" w:rsidR="00924917" w:rsidRDefault="00924917" w:rsidP="00924917">
            <w:pPr>
              <w:keepNext/>
              <w:keepLines/>
              <w:spacing w:before="60" w:after="60" w:line="240" w:lineRule="auto"/>
              <w:jc w:val="right"/>
            </w:pPr>
            <w:r>
              <w:t xml:space="preserve"> 6.1 </w:t>
            </w:r>
          </w:p>
          <w:p w14:paraId="2BF16115" w14:textId="671F7C62" w:rsidR="00EB0619" w:rsidRPr="00EA499A" w:rsidRDefault="00924917" w:rsidP="00924917">
            <w:pPr>
              <w:keepNext/>
              <w:keepLines/>
              <w:spacing w:before="60" w:after="60" w:line="240" w:lineRule="auto"/>
              <w:jc w:val="right"/>
            </w:pPr>
            <w:r>
              <w:t xml:space="preserve"> 44.7</w:t>
            </w:r>
          </w:p>
        </w:tc>
        <w:tc>
          <w:tcPr>
            <w:tcW w:w="993" w:type="dxa"/>
            <w:tcBorders>
              <w:top w:val="single" w:sz="4" w:space="0" w:color="auto"/>
              <w:bottom w:val="single" w:sz="4" w:space="0" w:color="auto"/>
            </w:tcBorders>
            <w:shd w:val="clear" w:color="auto" w:fill="auto"/>
          </w:tcPr>
          <w:p w14:paraId="5F5B8DC5" w14:textId="77777777" w:rsidR="00EB0619" w:rsidRPr="00EA499A" w:rsidRDefault="00EB0619" w:rsidP="0062091A">
            <w:pPr>
              <w:keepNext/>
              <w:keepLines/>
              <w:spacing w:before="60" w:after="60" w:line="240" w:lineRule="auto"/>
              <w:jc w:val="right"/>
            </w:pPr>
          </w:p>
          <w:p w14:paraId="3C9E1CDE" w14:textId="77777777" w:rsidR="00187440" w:rsidRDefault="00187440" w:rsidP="00187440">
            <w:pPr>
              <w:keepNext/>
              <w:keepLines/>
              <w:spacing w:before="60" w:after="60" w:line="240" w:lineRule="auto"/>
              <w:jc w:val="right"/>
            </w:pPr>
            <w:r>
              <w:t xml:space="preserve">453.5 </w:t>
            </w:r>
          </w:p>
          <w:p w14:paraId="18C63A3B" w14:textId="77777777" w:rsidR="00187440" w:rsidRDefault="00187440" w:rsidP="00187440">
            <w:pPr>
              <w:keepNext/>
              <w:keepLines/>
              <w:spacing w:before="60" w:after="60" w:line="240" w:lineRule="auto"/>
              <w:jc w:val="right"/>
            </w:pPr>
            <w:r>
              <w:t xml:space="preserve"> 374.2 </w:t>
            </w:r>
          </w:p>
          <w:p w14:paraId="07B4AB26" w14:textId="77777777" w:rsidR="00187440" w:rsidRDefault="00187440" w:rsidP="00187440">
            <w:pPr>
              <w:keepNext/>
              <w:keepLines/>
              <w:spacing w:before="60" w:after="60" w:line="240" w:lineRule="auto"/>
              <w:jc w:val="right"/>
            </w:pPr>
            <w:r>
              <w:t xml:space="preserve"> 300.9 </w:t>
            </w:r>
          </w:p>
          <w:p w14:paraId="39168FBF" w14:textId="77777777" w:rsidR="00187440" w:rsidRDefault="00187440" w:rsidP="00187440">
            <w:pPr>
              <w:keepNext/>
              <w:keepLines/>
              <w:spacing w:before="60" w:after="60" w:line="240" w:lineRule="auto"/>
              <w:jc w:val="right"/>
            </w:pPr>
            <w:r>
              <w:t xml:space="preserve"> 168.9 </w:t>
            </w:r>
          </w:p>
          <w:p w14:paraId="31955C0B" w14:textId="77777777" w:rsidR="00187440" w:rsidRDefault="00187440" w:rsidP="00187440">
            <w:pPr>
              <w:keepNext/>
              <w:keepLines/>
              <w:spacing w:before="60" w:after="60" w:line="240" w:lineRule="auto"/>
              <w:jc w:val="right"/>
            </w:pPr>
            <w:r>
              <w:t xml:space="preserve"> 101.8 </w:t>
            </w:r>
          </w:p>
          <w:p w14:paraId="49F8DAAD" w14:textId="77777777" w:rsidR="00187440" w:rsidRDefault="00187440" w:rsidP="00187440">
            <w:pPr>
              <w:keepNext/>
              <w:keepLines/>
              <w:spacing w:before="60" w:after="60" w:line="240" w:lineRule="auto"/>
              <w:jc w:val="right"/>
            </w:pPr>
            <w:r>
              <w:t xml:space="preserve"> 31.7 </w:t>
            </w:r>
          </w:p>
          <w:p w14:paraId="6AEA0007" w14:textId="77777777" w:rsidR="00187440" w:rsidRDefault="00187440" w:rsidP="00187440">
            <w:pPr>
              <w:keepNext/>
              <w:keepLines/>
              <w:spacing w:before="60" w:after="60" w:line="240" w:lineRule="auto"/>
              <w:jc w:val="right"/>
            </w:pPr>
            <w:r>
              <w:t xml:space="preserve"> 26.0 </w:t>
            </w:r>
          </w:p>
          <w:p w14:paraId="608FF1D6" w14:textId="2E0FFCF0" w:rsidR="00EB0619" w:rsidRDefault="00187440" w:rsidP="00187440">
            <w:pPr>
              <w:keepNext/>
              <w:keepLines/>
              <w:spacing w:before="60" w:after="60" w:line="240" w:lineRule="auto"/>
              <w:jc w:val="right"/>
            </w:pPr>
            <w:r>
              <w:t xml:space="preserve"> 13.6 </w:t>
            </w:r>
          </w:p>
          <w:p w14:paraId="334F4AE9" w14:textId="77777777" w:rsidR="00187440" w:rsidRPr="00EA499A" w:rsidRDefault="00187440" w:rsidP="00187440">
            <w:pPr>
              <w:keepNext/>
              <w:keepLines/>
              <w:spacing w:before="60" w:after="60" w:line="240" w:lineRule="auto"/>
              <w:jc w:val="right"/>
            </w:pPr>
          </w:p>
          <w:p w14:paraId="3E409EDA" w14:textId="77777777" w:rsidR="00924917" w:rsidRDefault="00924917" w:rsidP="00924917">
            <w:pPr>
              <w:keepNext/>
              <w:keepLines/>
              <w:spacing w:before="60" w:after="60" w:line="240" w:lineRule="auto"/>
              <w:jc w:val="right"/>
            </w:pPr>
            <w:r>
              <w:t xml:space="preserve">121.9 </w:t>
            </w:r>
          </w:p>
          <w:p w14:paraId="501ADC33" w14:textId="77777777" w:rsidR="00924917" w:rsidRDefault="00924917" w:rsidP="00924917">
            <w:pPr>
              <w:keepNext/>
              <w:keepLines/>
              <w:spacing w:before="60" w:after="60" w:line="240" w:lineRule="auto"/>
              <w:jc w:val="right"/>
            </w:pPr>
            <w:r>
              <w:t xml:space="preserve"> 106.8 </w:t>
            </w:r>
          </w:p>
          <w:p w14:paraId="317E638D" w14:textId="77777777" w:rsidR="00924917" w:rsidRDefault="00924917" w:rsidP="00924917">
            <w:pPr>
              <w:keepNext/>
              <w:keepLines/>
              <w:spacing w:before="60" w:after="60" w:line="240" w:lineRule="auto"/>
              <w:jc w:val="right"/>
            </w:pPr>
            <w:r>
              <w:t xml:space="preserve"> 78.1 </w:t>
            </w:r>
          </w:p>
          <w:p w14:paraId="58BDD596" w14:textId="77777777" w:rsidR="00924917" w:rsidRDefault="00924917" w:rsidP="00924917">
            <w:pPr>
              <w:keepNext/>
              <w:keepLines/>
              <w:spacing w:before="60" w:after="60" w:line="240" w:lineRule="auto"/>
              <w:jc w:val="right"/>
            </w:pPr>
            <w:r>
              <w:t xml:space="preserve"> 33.9 </w:t>
            </w:r>
          </w:p>
          <w:p w14:paraId="05B7D2A2" w14:textId="77777777" w:rsidR="00924917" w:rsidRDefault="00924917" w:rsidP="00924917">
            <w:pPr>
              <w:keepNext/>
              <w:keepLines/>
              <w:spacing w:before="60" w:after="60" w:line="240" w:lineRule="auto"/>
              <w:jc w:val="right"/>
            </w:pPr>
            <w:r>
              <w:t xml:space="preserve"> 25.9 </w:t>
            </w:r>
          </w:p>
          <w:p w14:paraId="78183CFB" w14:textId="77777777" w:rsidR="00924917" w:rsidRDefault="00924917" w:rsidP="00924917">
            <w:pPr>
              <w:keepNext/>
              <w:keepLines/>
              <w:spacing w:before="60" w:after="60" w:line="240" w:lineRule="auto"/>
              <w:jc w:val="right"/>
            </w:pPr>
            <w:r>
              <w:t xml:space="preserve"> 8.2 </w:t>
            </w:r>
          </w:p>
          <w:p w14:paraId="54E868DC" w14:textId="77777777" w:rsidR="00924917" w:rsidRDefault="00924917" w:rsidP="00924917">
            <w:pPr>
              <w:keepNext/>
              <w:keepLines/>
              <w:spacing w:before="60" w:after="60" w:line="240" w:lineRule="auto"/>
              <w:jc w:val="right"/>
            </w:pPr>
            <w:r>
              <w:t xml:space="preserve"> 6.2 </w:t>
            </w:r>
          </w:p>
          <w:p w14:paraId="03DF8CF8" w14:textId="730BAD8A" w:rsidR="00EB0619" w:rsidRPr="00EA499A" w:rsidRDefault="00924917" w:rsidP="00924917">
            <w:pPr>
              <w:keepNext/>
              <w:keepLines/>
              <w:spacing w:before="60" w:after="60" w:line="240" w:lineRule="auto"/>
              <w:jc w:val="right"/>
            </w:pPr>
            <w:r>
              <w:t xml:space="preserve"> 45.6</w:t>
            </w:r>
          </w:p>
        </w:tc>
        <w:tc>
          <w:tcPr>
            <w:tcW w:w="992" w:type="dxa"/>
            <w:tcBorders>
              <w:top w:val="single" w:sz="4" w:space="0" w:color="auto"/>
              <w:bottom w:val="single" w:sz="4" w:space="0" w:color="auto"/>
            </w:tcBorders>
            <w:shd w:val="clear" w:color="auto" w:fill="auto"/>
          </w:tcPr>
          <w:p w14:paraId="697C43E7" w14:textId="77777777" w:rsidR="00EB0619" w:rsidRPr="00EA499A" w:rsidRDefault="00EB0619" w:rsidP="0062091A">
            <w:pPr>
              <w:keepNext/>
              <w:keepLines/>
              <w:spacing w:before="60" w:after="60" w:line="240" w:lineRule="auto"/>
              <w:jc w:val="right"/>
            </w:pPr>
          </w:p>
          <w:p w14:paraId="2E3A439E" w14:textId="77777777" w:rsidR="00187440" w:rsidRDefault="00187440" w:rsidP="00187440">
            <w:pPr>
              <w:keepNext/>
              <w:keepLines/>
              <w:spacing w:before="60" w:after="60" w:line="240" w:lineRule="auto"/>
              <w:jc w:val="right"/>
            </w:pPr>
            <w:r>
              <w:t xml:space="preserve">462.6 </w:t>
            </w:r>
          </w:p>
          <w:p w14:paraId="0C40D374" w14:textId="77777777" w:rsidR="00187440" w:rsidRDefault="00187440" w:rsidP="00187440">
            <w:pPr>
              <w:keepNext/>
              <w:keepLines/>
              <w:spacing w:before="60" w:after="60" w:line="240" w:lineRule="auto"/>
              <w:jc w:val="right"/>
            </w:pPr>
            <w:r>
              <w:t xml:space="preserve"> 381.7 </w:t>
            </w:r>
          </w:p>
          <w:p w14:paraId="2DFCAE75" w14:textId="77777777" w:rsidR="00187440" w:rsidRDefault="00187440" w:rsidP="00187440">
            <w:pPr>
              <w:keepNext/>
              <w:keepLines/>
              <w:spacing w:before="60" w:after="60" w:line="240" w:lineRule="auto"/>
              <w:jc w:val="right"/>
            </w:pPr>
            <w:r>
              <w:t xml:space="preserve"> 306.9 </w:t>
            </w:r>
          </w:p>
          <w:p w14:paraId="51BD8383" w14:textId="77777777" w:rsidR="00187440" w:rsidRDefault="00187440" w:rsidP="00187440">
            <w:pPr>
              <w:keepNext/>
              <w:keepLines/>
              <w:spacing w:before="60" w:after="60" w:line="240" w:lineRule="auto"/>
              <w:jc w:val="right"/>
            </w:pPr>
            <w:r>
              <w:t xml:space="preserve"> 172.3 </w:t>
            </w:r>
          </w:p>
          <w:p w14:paraId="6E6B1D97" w14:textId="77777777" w:rsidR="00187440" w:rsidRDefault="00187440" w:rsidP="00187440">
            <w:pPr>
              <w:keepNext/>
              <w:keepLines/>
              <w:spacing w:before="60" w:after="60" w:line="240" w:lineRule="auto"/>
              <w:jc w:val="right"/>
            </w:pPr>
            <w:r>
              <w:t xml:space="preserve"> 103.8 </w:t>
            </w:r>
          </w:p>
          <w:p w14:paraId="1E5B245E" w14:textId="77777777" w:rsidR="00187440" w:rsidRDefault="00187440" w:rsidP="00187440">
            <w:pPr>
              <w:keepNext/>
              <w:keepLines/>
              <w:spacing w:before="60" w:after="60" w:line="240" w:lineRule="auto"/>
              <w:jc w:val="right"/>
            </w:pPr>
            <w:r>
              <w:t xml:space="preserve"> 32.3 </w:t>
            </w:r>
          </w:p>
          <w:p w14:paraId="298EDD07" w14:textId="77777777" w:rsidR="00187440" w:rsidRDefault="00187440" w:rsidP="00187440">
            <w:pPr>
              <w:keepNext/>
              <w:keepLines/>
              <w:spacing w:before="60" w:after="60" w:line="240" w:lineRule="auto"/>
              <w:jc w:val="right"/>
            </w:pPr>
            <w:r>
              <w:t xml:space="preserve"> 26.5 </w:t>
            </w:r>
          </w:p>
          <w:p w14:paraId="51914770" w14:textId="68C215D4" w:rsidR="00EB0619" w:rsidRDefault="00187440" w:rsidP="00187440">
            <w:pPr>
              <w:keepNext/>
              <w:keepLines/>
              <w:spacing w:before="60" w:after="60" w:line="240" w:lineRule="auto"/>
              <w:jc w:val="right"/>
            </w:pPr>
            <w:r>
              <w:t xml:space="preserve"> 13.9 </w:t>
            </w:r>
          </w:p>
          <w:p w14:paraId="539A0E1A" w14:textId="77777777" w:rsidR="00187440" w:rsidRPr="00EA499A" w:rsidRDefault="00187440" w:rsidP="00187440">
            <w:pPr>
              <w:keepNext/>
              <w:keepLines/>
              <w:spacing w:before="60" w:after="60" w:line="240" w:lineRule="auto"/>
              <w:jc w:val="right"/>
            </w:pPr>
          </w:p>
          <w:p w14:paraId="4FF026C8" w14:textId="77777777" w:rsidR="00924917" w:rsidRDefault="00924917" w:rsidP="00924917">
            <w:pPr>
              <w:keepNext/>
              <w:keepLines/>
              <w:spacing w:before="60" w:after="60" w:line="240" w:lineRule="auto"/>
              <w:jc w:val="right"/>
            </w:pPr>
            <w:r>
              <w:t xml:space="preserve">124.4 </w:t>
            </w:r>
          </w:p>
          <w:p w14:paraId="4B0CA7C3" w14:textId="77777777" w:rsidR="00924917" w:rsidRDefault="00924917" w:rsidP="00924917">
            <w:pPr>
              <w:keepNext/>
              <w:keepLines/>
              <w:spacing w:before="60" w:after="60" w:line="240" w:lineRule="auto"/>
              <w:jc w:val="right"/>
            </w:pPr>
            <w:r>
              <w:t xml:space="preserve"> 108.9 </w:t>
            </w:r>
          </w:p>
          <w:p w14:paraId="3F8CCD44" w14:textId="77777777" w:rsidR="00924917" w:rsidRDefault="00924917" w:rsidP="00924917">
            <w:pPr>
              <w:keepNext/>
              <w:keepLines/>
              <w:spacing w:before="60" w:after="60" w:line="240" w:lineRule="auto"/>
              <w:jc w:val="right"/>
            </w:pPr>
            <w:r>
              <w:t xml:space="preserve"> 79.7 </w:t>
            </w:r>
          </w:p>
          <w:p w14:paraId="17AB72FC" w14:textId="77777777" w:rsidR="00924917" w:rsidRDefault="00924917" w:rsidP="00924917">
            <w:pPr>
              <w:keepNext/>
              <w:keepLines/>
              <w:spacing w:before="60" w:after="60" w:line="240" w:lineRule="auto"/>
              <w:jc w:val="right"/>
            </w:pPr>
            <w:r>
              <w:t xml:space="preserve"> 34.6 </w:t>
            </w:r>
          </w:p>
          <w:p w14:paraId="2766F9C0" w14:textId="77777777" w:rsidR="00924917" w:rsidRDefault="00924917" w:rsidP="00924917">
            <w:pPr>
              <w:keepNext/>
              <w:keepLines/>
              <w:spacing w:before="60" w:after="60" w:line="240" w:lineRule="auto"/>
              <w:jc w:val="right"/>
            </w:pPr>
            <w:r>
              <w:t xml:space="preserve"> 26.4 </w:t>
            </w:r>
          </w:p>
          <w:p w14:paraId="34880A2D" w14:textId="77777777" w:rsidR="00924917" w:rsidRDefault="00924917" w:rsidP="00924917">
            <w:pPr>
              <w:keepNext/>
              <w:keepLines/>
              <w:spacing w:before="60" w:after="60" w:line="240" w:lineRule="auto"/>
              <w:jc w:val="right"/>
            </w:pPr>
            <w:r>
              <w:t xml:space="preserve"> 8.3 </w:t>
            </w:r>
          </w:p>
          <w:p w14:paraId="61FB2880" w14:textId="77777777" w:rsidR="00924917" w:rsidRDefault="00924917" w:rsidP="00924917">
            <w:pPr>
              <w:keepNext/>
              <w:keepLines/>
              <w:spacing w:before="60" w:after="60" w:line="240" w:lineRule="auto"/>
              <w:jc w:val="right"/>
            </w:pPr>
            <w:r>
              <w:t xml:space="preserve"> 6.3 </w:t>
            </w:r>
          </w:p>
          <w:p w14:paraId="54A812C6" w14:textId="7B4DB3A0" w:rsidR="00EB0619" w:rsidRPr="00EA499A" w:rsidRDefault="00924917" w:rsidP="00924917">
            <w:pPr>
              <w:keepNext/>
              <w:keepLines/>
              <w:spacing w:before="60" w:after="60" w:line="240" w:lineRule="auto"/>
              <w:jc w:val="right"/>
            </w:pPr>
            <w:r>
              <w:t xml:space="preserve"> 46.5 </w:t>
            </w:r>
          </w:p>
        </w:tc>
        <w:tc>
          <w:tcPr>
            <w:tcW w:w="959" w:type="dxa"/>
            <w:tcBorders>
              <w:top w:val="single" w:sz="4" w:space="0" w:color="auto"/>
              <w:bottom w:val="single" w:sz="4" w:space="0" w:color="auto"/>
            </w:tcBorders>
            <w:shd w:val="clear" w:color="auto" w:fill="auto"/>
          </w:tcPr>
          <w:p w14:paraId="45A33E57" w14:textId="77777777" w:rsidR="00EB0619" w:rsidRPr="00EA499A" w:rsidRDefault="00EB0619" w:rsidP="0062091A">
            <w:pPr>
              <w:keepNext/>
              <w:keepLines/>
              <w:spacing w:before="60" w:after="60" w:line="240" w:lineRule="auto"/>
              <w:jc w:val="right"/>
              <w:rPr>
                <w:b/>
              </w:rPr>
            </w:pPr>
          </w:p>
          <w:p w14:paraId="284A86D6" w14:textId="77777777" w:rsidR="00187440" w:rsidRPr="00187440" w:rsidRDefault="00187440" w:rsidP="00187440">
            <w:pPr>
              <w:keepNext/>
              <w:keepLines/>
              <w:spacing w:before="60" w:after="60" w:line="240" w:lineRule="auto"/>
              <w:jc w:val="right"/>
              <w:rPr>
                <w:b/>
                <w:bCs/>
              </w:rPr>
            </w:pPr>
            <w:r w:rsidRPr="00187440">
              <w:rPr>
                <w:b/>
                <w:bCs/>
              </w:rPr>
              <w:t xml:space="preserve">2,221.0 </w:t>
            </w:r>
          </w:p>
          <w:p w14:paraId="4E238653" w14:textId="6890FC2C" w:rsidR="00187440" w:rsidRPr="00187440" w:rsidRDefault="00187440" w:rsidP="00187440">
            <w:pPr>
              <w:keepNext/>
              <w:keepLines/>
              <w:spacing w:before="60" w:after="60" w:line="240" w:lineRule="auto"/>
              <w:jc w:val="right"/>
              <w:rPr>
                <w:b/>
                <w:bCs/>
              </w:rPr>
            </w:pPr>
            <w:r w:rsidRPr="00187440">
              <w:rPr>
                <w:b/>
                <w:bCs/>
              </w:rPr>
              <w:t xml:space="preserve">1,832.7 </w:t>
            </w:r>
          </w:p>
          <w:p w14:paraId="43E4FC0A" w14:textId="1D27017F" w:rsidR="00187440" w:rsidRPr="00187440" w:rsidRDefault="00187440" w:rsidP="00187440">
            <w:pPr>
              <w:keepNext/>
              <w:keepLines/>
              <w:spacing w:before="60" w:after="60" w:line="240" w:lineRule="auto"/>
              <w:jc w:val="right"/>
              <w:rPr>
                <w:b/>
                <w:bCs/>
              </w:rPr>
            </w:pPr>
            <w:r w:rsidRPr="00187440">
              <w:rPr>
                <w:b/>
                <w:bCs/>
              </w:rPr>
              <w:t xml:space="preserve">1,473.6 </w:t>
            </w:r>
          </w:p>
          <w:p w14:paraId="42A5D5F6" w14:textId="77777777" w:rsidR="00187440" w:rsidRPr="00187440" w:rsidRDefault="00187440" w:rsidP="00187440">
            <w:pPr>
              <w:keepNext/>
              <w:keepLines/>
              <w:spacing w:before="60" w:after="60" w:line="240" w:lineRule="auto"/>
              <w:jc w:val="right"/>
              <w:rPr>
                <w:b/>
                <w:bCs/>
              </w:rPr>
            </w:pPr>
            <w:r w:rsidRPr="00187440">
              <w:rPr>
                <w:b/>
                <w:bCs/>
              </w:rPr>
              <w:t xml:space="preserve"> 827.2 </w:t>
            </w:r>
          </w:p>
          <w:p w14:paraId="6F0E1F66" w14:textId="77777777" w:rsidR="00187440" w:rsidRPr="00187440" w:rsidRDefault="00187440" w:rsidP="00187440">
            <w:pPr>
              <w:keepNext/>
              <w:keepLines/>
              <w:spacing w:before="60" w:after="60" w:line="240" w:lineRule="auto"/>
              <w:jc w:val="right"/>
              <w:rPr>
                <w:b/>
                <w:bCs/>
              </w:rPr>
            </w:pPr>
            <w:r w:rsidRPr="00187440">
              <w:rPr>
                <w:b/>
                <w:bCs/>
              </w:rPr>
              <w:t xml:space="preserve"> 498.4 </w:t>
            </w:r>
          </w:p>
          <w:p w14:paraId="0BD76E84" w14:textId="77777777" w:rsidR="00187440" w:rsidRPr="00187440" w:rsidRDefault="00187440" w:rsidP="00187440">
            <w:pPr>
              <w:keepNext/>
              <w:keepLines/>
              <w:spacing w:before="60" w:after="60" w:line="240" w:lineRule="auto"/>
              <w:jc w:val="right"/>
              <w:rPr>
                <w:b/>
                <w:bCs/>
              </w:rPr>
            </w:pPr>
            <w:r w:rsidRPr="00187440">
              <w:rPr>
                <w:b/>
                <w:bCs/>
              </w:rPr>
              <w:t xml:space="preserve"> 155.2 </w:t>
            </w:r>
          </w:p>
          <w:p w14:paraId="62B76524" w14:textId="77777777" w:rsidR="00187440" w:rsidRPr="00187440" w:rsidRDefault="00187440" w:rsidP="00187440">
            <w:pPr>
              <w:keepNext/>
              <w:keepLines/>
              <w:spacing w:before="60" w:after="60" w:line="240" w:lineRule="auto"/>
              <w:jc w:val="right"/>
              <w:rPr>
                <w:b/>
                <w:bCs/>
              </w:rPr>
            </w:pPr>
            <w:r w:rsidRPr="00187440">
              <w:rPr>
                <w:b/>
                <w:bCs/>
              </w:rPr>
              <w:t xml:space="preserve"> 127.1 </w:t>
            </w:r>
          </w:p>
          <w:p w14:paraId="58A60D0D" w14:textId="30AFEFD8" w:rsidR="00EB0619" w:rsidRDefault="00187440" w:rsidP="00187440">
            <w:pPr>
              <w:keepNext/>
              <w:keepLines/>
              <w:spacing w:before="60" w:after="60" w:line="240" w:lineRule="auto"/>
              <w:jc w:val="right"/>
              <w:rPr>
                <w:b/>
                <w:bCs/>
              </w:rPr>
            </w:pPr>
            <w:r w:rsidRPr="00187440">
              <w:rPr>
                <w:b/>
                <w:bCs/>
              </w:rPr>
              <w:t xml:space="preserve"> 66.7 </w:t>
            </w:r>
          </w:p>
          <w:p w14:paraId="1DBDE330" w14:textId="77777777" w:rsidR="00187440" w:rsidRPr="00EA499A" w:rsidRDefault="00187440" w:rsidP="00187440">
            <w:pPr>
              <w:keepNext/>
              <w:keepLines/>
              <w:spacing w:before="60" w:after="60" w:line="240" w:lineRule="auto"/>
              <w:jc w:val="right"/>
              <w:rPr>
                <w:b/>
              </w:rPr>
            </w:pPr>
          </w:p>
          <w:p w14:paraId="7E11010C" w14:textId="77777777" w:rsidR="00924917" w:rsidRPr="00924917" w:rsidRDefault="00924917" w:rsidP="00924917">
            <w:pPr>
              <w:keepNext/>
              <w:keepLines/>
              <w:spacing w:before="60" w:after="60" w:line="240" w:lineRule="auto"/>
              <w:jc w:val="right"/>
              <w:rPr>
                <w:b/>
                <w:bCs/>
              </w:rPr>
            </w:pPr>
            <w:r w:rsidRPr="00924917">
              <w:rPr>
                <w:b/>
                <w:bCs/>
              </w:rPr>
              <w:t xml:space="preserve">597.1 </w:t>
            </w:r>
          </w:p>
          <w:p w14:paraId="6D623313" w14:textId="77777777" w:rsidR="00924917" w:rsidRPr="00924917" w:rsidRDefault="00924917" w:rsidP="00924917">
            <w:pPr>
              <w:keepNext/>
              <w:keepLines/>
              <w:spacing w:before="60" w:after="60" w:line="240" w:lineRule="auto"/>
              <w:jc w:val="right"/>
              <w:rPr>
                <w:b/>
                <w:bCs/>
              </w:rPr>
            </w:pPr>
            <w:r w:rsidRPr="00924917">
              <w:rPr>
                <w:b/>
                <w:bCs/>
              </w:rPr>
              <w:t xml:space="preserve"> 522.9 </w:t>
            </w:r>
          </w:p>
          <w:p w14:paraId="6B4E5AB5" w14:textId="77777777" w:rsidR="00924917" w:rsidRPr="00924917" w:rsidRDefault="00924917" w:rsidP="00924917">
            <w:pPr>
              <w:keepNext/>
              <w:keepLines/>
              <w:spacing w:before="60" w:after="60" w:line="240" w:lineRule="auto"/>
              <w:jc w:val="right"/>
              <w:rPr>
                <w:b/>
                <w:bCs/>
              </w:rPr>
            </w:pPr>
            <w:r w:rsidRPr="00924917">
              <w:rPr>
                <w:b/>
                <w:bCs/>
              </w:rPr>
              <w:t xml:space="preserve"> 382.5 </w:t>
            </w:r>
          </w:p>
          <w:p w14:paraId="37FAC6DE" w14:textId="77777777" w:rsidR="00924917" w:rsidRPr="00924917" w:rsidRDefault="00924917" w:rsidP="00924917">
            <w:pPr>
              <w:keepNext/>
              <w:keepLines/>
              <w:spacing w:before="60" w:after="60" w:line="240" w:lineRule="auto"/>
              <w:jc w:val="right"/>
              <w:rPr>
                <w:b/>
                <w:bCs/>
              </w:rPr>
            </w:pPr>
            <w:r w:rsidRPr="00924917">
              <w:rPr>
                <w:b/>
                <w:bCs/>
              </w:rPr>
              <w:t xml:space="preserve"> 165.9 </w:t>
            </w:r>
          </w:p>
          <w:p w14:paraId="2AAC08E4" w14:textId="77777777" w:rsidR="00924917" w:rsidRPr="00924917" w:rsidRDefault="00924917" w:rsidP="00924917">
            <w:pPr>
              <w:keepNext/>
              <w:keepLines/>
              <w:spacing w:before="60" w:after="60" w:line="240" w:lineRule="auto"/>
              <w:jc w:val="right"/>
              <w:rPr>
                <w:b/>
                <w:bCs/>
              </w:rPr>
            </w:pPr>
            <w:r w:rsidRPr="00924917">
              <w:rPr>
                <w:b/>
                <w:bCs/>
              </w:rPr>
              <w:t xml:space="preserve"> 126.7 </w:t>
            </w:r>
          </w:p>
          <w:p w14:paraId="24DDEF4B" w14:textId="77777777" w:rsidR="00924917" w:rsidRPr="00924917" w:rsidRDefault="00924917" w:rsidP="00924917">
            <w:pPr>
              <w:keepNext/>
              <w:keepLines/>
              <w:spacing w:before="60" w:after="60" w:line="240" w:lineRule="auto"/>
              <w:jc w:val="right"/>
              <w:rPr>
                <w:b/>
                <w:bCs/>
              </w:rPr>
            </w:pPr>
            <w:r w:rsidRPr="00924917">
              <w:rPr>
                <w:b/>
                <w:bCs/>
              </w:rPr>
              <w:t xml:space="preserve"> 40.1 </w:t>
            </w:r>
          </w:p>
          <w:p w14:paraId="7131C944" w14:textId="77777777" w:rsidR="00924917" w:rsidRPr="00924917" w:rsidRDefault="00924917" w:rsidP="00924917">
            <w:pPr>
              <w:keepNext/>
              <w:keepLines/>
              <w:spacing w:before="60" w:after="60" w:line="240" w:lineRule="auto"/>
              <w:jc w:val="right"/>
              <w:rPr>
                <w:b/>
                <w:bCs/>
              </w:rPr>
            </w:pPr>
            <w:r w:rsidRPr="00924917">
              <w:rPr>
                <w:b/>
                <w:bCs/>
              </w:rPr>
              <w:t xml:space="preserve"> 30.3 </w:t>
            </w:r>
          </w:p>
          <w:p w14:paraId="3BC673F2" w14:textId="59C1B1C7" w:rsidR="00EB0619" w:rsidRPr="00EA499A" w:rsidRDefault="00924917" w:rsidP="00924917">
            <w:pPr>
              <w:keepNext/>
              <w:keepLines/>
              <w:spacing w:before="60" w:after="60" w:line="240" w:lineRule="auto"/>
              <w:jc w:val="right"/>
              <w:rPr>
                <w:b/>
              </w:rPr>
            </w:pPr>
            <w:r w:rsidRPr="00924917">
              <w:rPr>
                <w:b/>
                <w:bCs/>
              </w:rPr>
              <w:t xml:space="preserve"> 223.5</w:t>
            </w:r>
          </w:p>
        </w:tc>
      </w:tr>
    </w:tbl>
    <w:p w14:paraId="060C2605" w14:textId="77777777" w:rsidR="00EB0619" w:rsidRPr="00EA499A" w:rsidRDefault="00EB0619" w:rsidP="00EB0619">
      <w:pPr>
        <w:pStyle w:val="Normalnumbered"/>
        <w:keepLines/>
        <w:tabs>
          <w:tab w:val="clear" w:pos="360"/>
          <w:tab w:val="left" w:pos="284"/>
        </w:tabs>
        <w:spacing w:after="0" w:line="180" w:lineRule="exact"/>
        <w:ind w:left="284" w:hanging="284"/>
        <w:jc w:val="left"/>
        <w:rPr>
          <w:rFonts w:ascii="Arial" w:hAnsi="Arial" w:cs="Arial"/>
          <w:color w:val="auto"/>
          <w:sz w:val="16"/>
          <w:szCs w:val="16"/>
        </w:rPr>
      </w:pPr>
      <w:r w:rsidRPr="00EA499A">
        <w:rPr>
          <w:rFonts w:ascii="Arial" w:hAnsi="Arial"/>
          <w:color w:val="auto"/>
          <w:sz w:val="16"/>
          <w:szCs w:val="16"/>
        </w:rPr>
        <w:t>(a)</w:t>
      </w:r>
      <w:r w:rsidRPr="00EA499A">
        <w:rPr>
          <w:rFonts w:ascii="Arial" w:hAnsi="Arial"/>
          <w:color w:val="auto"/>
          <w:sz w:val="16"/>
        </w:rPr>
        <w:tab/>
      </w:r>
      <w:r w:rsidRPr="00EA499A">
        <w:rPr>
          <w:rFonts w:ascii="Arial" w:hAnsi="Arial" w:cs="Arial"/>
          <w:color w:val="auto"/>
          <w:sz w:val="16"/>
          <w:szCs w:val="16"/>
        </w:rPr>
        <w:t xml:space="preserve">Estimated financial contributions are based on 2024-25 Budget estimates and are subject to adjustment in accordance with </w:t>
      </w:r>
      <w:r w:rsidRPr="007A3100">
        <w:rPr>
          <w:rFonts w:ascii="Arial" w:hAnsi="Arial" w:cs="Arial"/>
          <w:color w:val="auto"/>
          <w:sz w:val="16"/>
          <w:szCs w:val="16"/>
        </w:rPr>
        <w:t>Part 5 of</w:t>
      </w:r>
      <w:r w:rsidRPr="00EA499A">
        <w:rPr>
          <w:rFonts w:ascii="Arial" w:hAnsi="Arial" w:cs="Arial"/>
          <w:color w:val="auto"/>
          <w:sz w:val="16"/>
          <w:szCs w:val="16"/>
        </w:rPr>
        <w:t xml:space="preserve"> this Agreement.</w:t>
      </w:r>
    </w:p>
    <w:p w14:paraId="1B1B4976" w14:textId="2F16F5B3" w:rsidR="00EB0619" w:rsidRPr="007A4F52" w:rsidRDefault="00EB0619" w:rsidP="00EB0619">
      <w:pPr>
        <w:pStyle w:val="Normalnumbered"/>
        <w:keepLines/>
        <w:tabs>
          <w:tab w:val="clear" w:pos="360"/>
          <w:tab w:val="left" w:pos="284"/>
        </w:tabs>
        <w:spacing w:after="0" w:line="180" w:lineRule="exact"/>
        <w:ind w:left="284" w:hanging="284"/>
        <w:jc w:val="left"/>
        <w:rPr>
          <w:rFonts w:ascii="Arial" w:hAnsi="Arial"/>
          <w:color w:val="auto"/>
          <w:sz w:val="16"/>
          <w:szCs w:val="16"/>
        </w:rPr>
      </w:pPr>
    </w:p>
    <w:p w14:paraId="0DA94490" w14:textId="3D5BB4F4" w:rsidR="00700192" w:rsidRPr="00C811E9" w:rsidRDefault="00700192" w:rsidP="000955B1">
      <w:pPr>
        <w:pStyle w:val="Normalnumbered"/>
        <w:keepLines/>
        <w:tabs>
          <w:tab w:val="clear" w:pos="360"/>
        </w:tabs>
        <w:spacing w:line="240" w:lineRule="auto"/>
        <w:jc w:val="left"/>
      </w:pPr>
      <w:r w:rsidRPr="00C811E9">
        <w:br w:type="page"/>
      </w:r>
    </w:p>
    <w:p w14:paraId="789F98EF" w14:textId="2E3DBF0E" w:rsidR="00814667" w:rsidRPr="00C811E9" w:rsidRDefault="00814667">
      <w:pPr>
        <w:rPr>
          <w:lang w:val="en-GB"/>
        </w:rPr>
      </w:pPr>
      <w:r w:rsidRPr="00C811E9">
        <w:rPr>
          <w:lang w:val="en-GB"/>
        </w:rPr>
        <w:lastRenderedPageBreak/>
        <w:t xml:space="preserve">The </w:t>
      </w:r>
      <w:r w:rsidRPr="00C811E9">
        <w:rPr>
          <w:sz w:val="24"/>
          <w:szCs w:val="24"/>
        </w:rPr>
        <w:t>Parties</w:t>
      </w:r>
      <w:r w:rsidRPr="00C811E9">
        <w:rPr>
          <w:lang w:val="en-GB"/>
        </w:rPr>
        <w:t xml:space="preserve"> have confirmed their commitment to this </w:t>
      </w:r>
      <w:r w:rsidR="00E54453">
        <w:rPr>
          <w:lang w:val="en-GB"/>
        </w:rPr>
        <w:t>A</w:t>
      </w:r>
      <w:r w:rsidRPr="00C811E9">
        <w:rPr>
          <w:lang w:val="en-GB"/>
        </w:rPr>
        <w:t>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1E20D6" w14:paraId="5D5C590D" w14:textId="77777777">
        <w:trPr>
          <w:cantSplit/>
          <w:jc w:val="center"/>
        </w:trPr>
        <w:tc>
          <w:tcPr>
            <w:tcW w:w="4536" w:type="dxa"/>
          </w:tcPr>
          <w:p w14:paraId="1DBAFC71" w14:textId="77777777" w:rsidR="00814667" w:rsidRPr="000B1041" w:rsidRDefault="00814667">
            <w:pPr>
              <w:pStyle w:val="Signed"/>
            </w:pPr>
            <w:bookmarkStart w:id="12" w:name="_Hlk166496886"/>
            <w:r w:rsidRPr="000B1041">
              <w:rPr>
                <w:rStyle w:val="SignedBold"/>
              </w:rPr>
              <w:t>Signed</w:t>
            </w:r>
            <w:r w:rsidRPr="000B1041">
              <w:t xml:space="preserve"> for and on behalf of the Commonwealth of Australia by</w:t>
            </w:r>
          </w:p>
          <w:p w14:paraId="29733905" w14:textId="77777777" w:rsidR="00814667" w:rsidRPr="000B1041" w:rsidRDefault="00814667">
            <w:pPr>
              <w:pStyle w:val="LineForSignature"/>
            </w:pPr>
            <w:r w:rsidRPr="000B1041">
              <w:tab/>
            </w:r>
          </w:p>
          <w:p w14:paraId="445F309C" w14:textId="0077AECE" w:rsidR="00814667" w:rsidRPr="000B1041" w:rsidRDefault="00814667">
            <w:pPr>
              <w:pStyle w:val="SingleParagraph"/>
              <w:rPr>
                <w:rStyle w:val="Bold"/>
              </w:rPr>
            </w:pPr>
            <w:r w:rsidRPr="000B1041">
              <w:rPr>
                <w:rStyle w:val="Bold"/>
              </w:rPr>
              <w:t xml:space="preserve">The Honourable </w:t>
            </w:r>
            <w:r w:rsidR="006251D1" w:rsidRPr="000B1041">
              <w:rPr>
                <w:rStyle w:val="Bold"/>
              </w:rPr>
              <w:t>Julie Collins</w:t>
            </w:r>
            <w:r w:rsidR="001E2985" w:rsidRPr="000B1041">
              <w:rPr>
                <w:rStyle w:val="Bold"/>
              </w:rPr>
              <w:t xml:space="preserve"> </w:t>
            </w:r>
            <w:r w:rsidRPr="000B1041">
              <w:rPr>
                <w:rStyle w:val="Bold"/>
              </w:rPr>
              <w:t>MP</w:t>
            </w:r>
          </w:p>
          <w:p w14:paraId="12D8A891" w14:textId="0C586FC2" w:rsidR="00814667" w:rsidRPr="000B1041" w:rsidRDefault="006251D1" w:rsidP="006251D1">
            <w:pPr>
              <w:pStyle w:val="Position"/>
              <w:jc w:val="left"/>
              <w:rPr>
                <w:lang w:val="en-GB"/>
              </w:rPr>
            </w:pPr>
            <w:r w:rsidRPr="000B1041">
              <w:rPr>
                <w:lang w:val="en-GB"/>
              </w:rPr>
              <w:t xml:space="preserve">Minister for Housing </w:t>
            </w:r>
            <w:r w:rsidRPr="000B1041">
              <w:rPr>
                <w:lang w:val="en-GB"/>
              </w:rPr>
              <w:br/>
              <w:t>Minister for Homelessness</w:t>
            </w:r>
          </w:p>
          <w:p w14:paraId="1CC778A0" w14:textId="77777777" w:rsidR="00814667" w:rsidRPr="000B1041" w:rsidRDefault="006679C0" w:rsidP="001C45AB">
            <w:pPr>
              <w:pStyle w:val="SingleParagraph"/>
              <w:tabs>
                <w:tab w:val="num" w:pos="1134"/>
              </w:tabs>
              <w:spacing w:after="240"/>
              <w:ind w:left="1134" w:hanging="567"/>
              <w:rPr>
                <w:b/>
                <w:lang w:val="en-GB"/>
              </w:rPr>
            </w:pPr>
            <w:r w:rsidRPr="000B1041">
              <w:rPr>
                <w:lang w:val="en-GB"/>
              </w:rPr>
              <w:t>[Day]  [</w:t>
            </w:r>
            <w:r w:rsidR="001B1CA3" w:rsidRPr="000B1041">
              <w:rPr>
                <w:lang w:val="en-GB"/>
              </w:rPr>
              <w:t>Month</w:t>
            </w:r>
            <w:r w:rsidRPr="000B1041">
              <w:rPr>
                <w:lang w:val="en-GB"/>
              </w:rPr>
              <w:t>]</w:t>
            </w:r>
            <w:r w:rsidR="001B1CA3" w:rsidRPr="000B1041">
              <w:rPr>
                <w:lang w:val="en-GB"/>
              </w:rPr>
              <w:t xml:space="preserve"> </w:t>
            </w:r>
            <w:r w:rsidRPr="000B1041">
              <w:rPr>
                <w:lang w:val="en-GB"/>
              </w:rPr>
              <w:t xml:space="preserve"> [Year]</w:t>
            </w:r>
          </w:p>
        </w:tc>
        <w:tc>
          <w:tcPr>
            <w:tcW w:w="284" w:type="dxa"/>
            <w:tcMar>
              <w:left w:w="0" w:type="dxa"/>
              <w:right w:w="0" w:type="dxa"/>
            </w:tcMar>
          </w:tcPr>
          <w:p w14:paraId="2B6B6393" w14:textId="77777777" w:rsidR="00814667" w:rsidRPr="000B1041" w:rsidRDefault="00814667">
            <w:pPr>
              <w:rPr>
                <w:rFonts w:ascii="Book Antiqua" w:hAnsi="Book Antiqua"/>
                <w:lang w:val="en-GB"/>
              </w:rPr>
            </w:pPr>
          </w:p>
        </w:tc>
        <w:tc>
          <w:tcPr>
            <w:tcW w:w="4536" w:type="dxa"/>
          </w:tcPr>
          <w:p w14:paraId="51D7C2E3" w14:textId="77777777" w:rsidR="00814667" w:rsidRPr="000B1041" w:rsidRDefault="00814667">
            <w:pPr>
              <w:rPr>
                <w:rFonts w:ascii="Book Antiqua" w:hAnsi="Book Antiqua"/>
                <w:lang w:val="en-GB"/>
              </w:rPr>
            </w:pPr>
          </w:p>
        </w:tc>
      </w:tr>
      <w:tr w:rsidR="00814667" w:rsidRPr="001E20D6" w14:paraId="43483211" w14:textId="77777777">
        <w:trPr>
          <w:cantSplit/>
          <w:jc w:val="center"/>
        </w:trPr>
        <w:tc>
          <w:tcPr>
            <w:tcW w:w="4536" w:type="dxa"/>
          </w:tcPr>
          <w:p w14:paraId="3AD138B7" w14:textId="77777777" w:rsidR="00814667" w:rsidRPr="000B1041" w:rsidRDefault="00814667">
            <w:pPr>
              <w:pStyle w:val="SingleParagraph"/>
              <w:rPr>
                <w:rFonts w:ascii="Book Antiqua" w:hAnsi="Book Antiqua"/>
                <w:lang w:val="en-GB"/>
              </w:rPr>
            </w:pPr>
          </w:p>
        </w:tc>
        <w:tc>
          <w:tcPr>
            <w:tcW w:w="284" w:type="dxa"/>
            <w:tcMar>
              <w:left w:w="0" w:type="dxa"/>
              <w:right w:w="0" w:type="dxa"/>
            </w:tcMar>
          </w:tcPr>
          <w:p w14:paraId="07799B07" w14:textId="77777777" w:rsidR="00814667" w:rsidRPr="000B1041" w:rsidRDefault="00814667">
            <w:pPr>
              <w:pStyle w:val="SingleParagraph"/>
              <w:rPr>
                <w:rFonts w:ascii="Book Antiqua" w:hAnsi="Book Antiqua"/>
                <w:lang w:val="en-GB"/>
              </w:rPr>
            </w:pPr>
          </w:p>
        </w:tc>
        <w:tc>
          <w:tcPr>
            <w:tcW w:w="4536" w:type="dxa"/>
          </w:tcPr>
          <w:p w14:paraId="5F3D0726" w14:textId="77777777" w:rsidR="00814667" w:rsidRPr="000B1041" w:rsidRDefault="00814667">
            <w:pPr>
              <w:pStyle w:val="SingleParagraph"/>
              <w:rPr>
                <w:rFonts w:ascii="Book Antiqua" w:hAnsi="Book Antiqua"/>
                <w:lang w:val="en-GB"/>
              </w:rPr>
            </w:pPr>
          </w:p>
        </w:tc>
      </w:tr>
      <w:tr w:rsidR="00814667" w:rsidRPr="001E20D6" w14:paraId="56C37465" w14:textId="77777777">
        <w:trPr>
          <w:cantSplit/>
          <w:jc w:val="center"/>
        </w:trPr>
        <w:tc>
          <w:tcPr>
            <w:tcW w:w="4536" w:type="dxa"/>
          </w:tcPr>
          <w:p w14:paraId="43B59A48" w14:textId="77777777" w:rsidR="00814667" w:rsidRPr="000B1041" w:rsidRDefault="00814667">
            <w:pPr>
              <w:pStyle w:val="Signed"/>
            </w:pPr>
            <w:r w:rsidRPr="000B1041">
              <w:rPr>
                <w:rStyle w:val="SignedBold"/>
              </w:rPr>
              <w:t>Signed</w:t>
            </w:r>
            <w:r w:rsidRPr="000B1041">
              <w:t xml:space="preserve"> for and on behalf of the </w:t>
            </w:r>
            <w:r w:rsidRPr="000B1041">
              <w:br/>
              <w:t>State of New South Wales by</w:t>
            </w:r>
          </w:p>
          <w:p w14:paraId="28EC8969" w14:textId="77777777" w:rsidR="00814667" w:rsidRPr="000B1041" w:rsidRDefault="00814667">
            <w:pPr>
              <w:pStyle w:val="LineForSignature"/>
            </w:pPr>
            <w:r w:rsidRPr="000B1041">
              <w:tab/>
            </w:r>
          </w:p>
          <w:p w14:paraId="15603F0A" w14:textId="4296D222" w:rsidR="00814667" w:rsidRPr="000B1041" w:rsidRDefault="00814667">
            <w:pPr>
              <w:pStyle w:val="SingleParagraph"/>
              <w:rPr>
                <w:rStyle w:val="Bold"/>
              </w:rPr>
            </w:pPr>
            <w:r w:rsidRPr="000B1041">
              <w:rPr>
                <w:rStyle w:val="Bold"/>
              </w:rPr>
              <w:t xml:space="preserve">The Honourable </w:t>
            </w:r>
            <w:r w:rsidR="006251D1" w:rsidRPr="000B1041">
              <w:rPr>
                <w:rStyle w:val="Bold"/>
              </w:rPr>
              <w:t>Rose Jackson</w:t>
            </w:r>
            <w:r w:rsidR="00087D50" w:rsidRPr="000B1041">
              <w:rPr>
                <w:rStyle w:val="Bold"/>
              </w:rPr>
              <w:t xml:space="preserve"> </w:t>
            </w:r>
            <w:r w:rsidRPr="000B1041">
              <w:rPr>
                <w:rStyle w:val="Bold"/>
              </w:rPr>
              <w:t>M</w:t>
            </w:r>
            <w:r w:rsidR="006251D1" w:rsidRPr="000B1041">
              <w:rPr>
                <w:rStyle w:val="Bold"/>
              </w:rPr>
              <w:t>LC</w:t>
            </w:r>
          </w:p>
          <w:p w14:paraId="285F1776" w14:textId="4B2A2757" w:rsidR="00542A8C" w:rsidRPr="000B1041" w:rsidRDefault="006251D1" w:rsidP="006251D1">
            <w:pPr>
              <w:pStyle w:val="Position"/>
              <w:jc w:val="left"/>
              <w:rPr>
                <w:lang w:val="en-GB"/>
              </w:rPr>
            </w:pPr>
            <w:r w:rsidRPr="000B1041">
              <w:rPr>
                <w:lang w:val="en-GB"/>
              </w:rPr>
              <w:t>Minister for Housing</w:t>
            </w:r>
            <w:r w:rsidRPr="000B1041">
              <w:rPr>
                <w:lang w:val="en-GB"/>
              </w:rPr>
              <w:br/>
              <w:t>Minister for Homelessness</w:t>
            </w:r>
          </w:p>
          <w:p w14:paraId="6313BF84" w14:textId="77777777" w:rsidR="00814667" w:rsidRPr="000B1041" w:rsidRDefault="00542A8C">
            <w:pPr>
              <w:pStyle w:val="SingleParagraph"/>
              <w:tabs>
                <w:tab w:val="num" w:pos="1134"/>
              </w:tabs>
              <w:spacing w:after="240"/>
              <w:ind w:left="1134" w:hanging="567"/>
              <w:rPr>
                <w:lang w:val="en-GB"/>
              </w:rPr>
            </w:pPr>
            <w:r w:rsidRPr="000B1041" w:rsidDel="00542A8C">
              <w:rPr>
                <w:lang w:val="en-GB"/>
              </w:rPr>
              <w:t xml:space="preserve"> </w:t>
            </w:r>
            <w:r w:rsidR="006679C0" w:rsidRPr="000B1041">
              <w:rPr>
                <w:lang w:val="en-GB"/>
              </w:rPr>
              <w:t>[Day]  [Month]  [Year]</w:t>
            </w:r>
          </w:p>
        </w:tc>
        <w:tc>
          <w:tcPr>
            <w:tcW w:w="284" w:type="dxa"/>
            <w:tcMar>
              <w:left w:w="0" w:type="dxa"/>
              <w:right w:w="0" w:type="dxa"/>
            </w:tcMar>
          </w:tcPr>
          <w:p w14:paraId="07A706E5" w14:textId="77777777" w:rsidR="00814667" w:rsidRPr="000B1041" w:rsidRDefault="00814667">
            <w:pPr>
              <w:rPr>
                <w:rFonts w:ascii="Book Antiqua" w:hAnsi="Book Antiqua"/>
                <w:lang w:val="en-GB"/>
              </w:rPr>
            </w:pPr>
          </w:p>
        </w:tc>
        <w:tc>
          <w:tcPr>
            <w:tcW w:w="4536" w:type="dxa"/>
          </w:tcPr>
          <w:p w14:paraId="2DC02DCC" w14:textId="77777777" w:rsidR="00814667" w:rsidRPr="000B1041" w:rsidRDefault="00814667">
            <w:pPr>
              <w:pStyle w:val="Signed"/>
            </w:pPr>
            <w:r w:rsidRPr="000B1041">
              <w:rPr>
                <w:rStyle w:val="SignedBold"/>
              </w:rPr>
              <w:t>Signed</w:t>
            </w:r>
            <w:r w:rsidRPr="000B1041">
              <w:t xml:space="preserve"> for and on behalf of the</w:t>
            </w:r>
            <w:r w:rsidRPr="000B1041">
              <w:br/>
              <w:t>State of Victoria by</w:t>
            </w:r>
          </w:p>
          <w:p w14:paraId="40A9C433" w14:textId="77777777" w:rsidR="00814667" w:rsidRPr="000B1041" w:rsidRDefault="00814667">
            <w:pPr>
              <w:pStyle w:val="LineForSignature"/>
            </w:pPr>
            <w:r w:rsidRPr="000B1041">
              <w:tab/>
            </w:r>
          </w:p>
          <w:p w14:paraId="4BD8B13E" w14:textId="7C9533D6" w:rsidR="00814667" w:rsidRPr="000B1041" w:rsidRDefault="00814667">
            <w:pPr>
              <w:pStyle w:val="SingleParagraph"/>
              <w:rPr>
                <w:rStyle w:val="Bold"/>
              </w:rPr>
            </w:pPr>
            <w:r w:rsidRPr="000B1041">
              <w:rPr>
                <w:rStyle w:val="Bold"/>
              </w:rPr>
              <w:t xml:space="preserve">The Honourable </w:t>
            </w:r>
            <w:r w:rsidR="006251D1" w:rsidRPr="000B1041">
              <w:rPr>
                <w:rStyle w:val="Bold"/>
              </w:rPr>
              <w:t>Harriet Shing</w:t>
            </w:r>
            <w:r w:rsidR="00087D50" w:rsidRPr="000B1041">
              <w:rPr>
                <w:rStyle w:val="Bold"/>
              </w:rPr>
              <w:t xml:space="preserve"> </w:t>
            </w:r>
            <w:r w:rsidRPr="000B1041">
              <w:rPr>
                <w:rStyle w:val="Bold"/>
              </w:rPr>
              <w:t>MP</w:t>
            </w:r>
          </w:p>
          <w:p w14:paraId="531473C2" w14:textId="7FC26AF2" w:rsidR="00542A8C" w:rsidRPr="000B1041" w:rsidRDefault="006251D1" w:rsidP="00542A8C">
            <w:pPr>
              <w:pStyle w:val="Position"/>
              <w:rPr>
                <w:lang w:val="en-GB"/>
              </w:rPr>
            </w:pPr>
            <w:r w:rsidRPr="000B1041">
              <w:rPr>
                <w:lang w:val="en-GB"/>
              </w:rPr>
              <w:t>Minister for Housing</w:t>
            </w:r>
            <w:r w:rsidR="00542A8C" w:rsidRPr="000B1041">
              <w:rPr>
                <w:lang w:val="en-GB"/>
              </w:rPr>
              <w:t xml:space="preserve"> </w:t>
            </w:r>
          </w:p>
          <w:p w14:paraId="52A9CA51" w14:textId="77777777" w:rsidR="00814667" w:rsidRPr="000B1041" w:rsidRDefault="00542A8C">
            <w:pPr>
              <w:pStyle w:val="SingleParagraph"/>
              <w:tabs>
                <w:tab w:val="num" w:pos="1134"/>
              </w:tabs>
              <w:spacing w:after="240"/>
              <w:ind w:left="1134" w:hanging="567"/>
              <w:rPr>
                <w:lang w:val="en-GB"/>
              </w:rPr>
            </w:pPr>
            <w:r w:rsidRPr="000B1041" w:rsidDel="00542A8C">
              <w:rPr>
                <w:lang w:val="en-GB"/>
              </w:rPr>
              <w:t xml:space="preserve"> </w:t>
            </w:r>
            <w:r w:rsidR="006679C0" w:rsidRPr="000B1041">
              <w:rPr>
                <w:lang w:val="en-GB"/>
              </w:rPr>
              <w:t>[Day]  [Month]  [Year]</w:t>
            </w:r>
          </w:p>
        </w:tc>
      </w:tr>
      <w:tr w:rsidR="00814667" w:rsidRPr="001E20D6" w14:paraId="48D6AF45" w14:textId="77777777">
        <w:trPr>
          <w:cantSplit/>
          <w:jc w:val="center"/>
        </w:trPr>
        <w:tc>
          <w:tcPr>
            <w:tcW w:w="4536" w:type="dxa"/>
          </w:tcPr>
          <w:p w14:paraId="235520E8" w14:textId="77777777" w:rsidR="00814667" w:rsidRPr="000B1041" w:rsidRDefault="00814667">
            <w:pPr>
              <w:pStyle w:val="SingleParagraph"/>
              <w:rPr>
                <w:rFonts w:ascii="Book Antiqua" w:hAnsi="Book Antiqua"/>
                <w:lang w:val="en-GB"/>
              </w:rPr>
            </w:pPr>
          </w:p>
        </w:tc>
        <w:tc>
          <w:tcPr>
            <w:tcW w:w="284" w:type="dxa"/>
            <w:tcMar>
              <w:left w:w="0" w:type="dxa"/>
              <w:right w:w="0" w:type="dxa"/>
            </w:tcMar>
          </w:tcPr>
          <w:p w14:paraId="13DC326F" w14:textId="77777777" w:rsidR="00814667" w:rsidRPr="000B1041" w:rsidRDefault="00814667">
            <w:pPr>
              <w:pStyle w:val="SingleParagraph"/>
              <w:rPr>
                <w:rFonts w:ascii="Book Antiqua" w:hAnsi="Book Antiqua"/>
                <w:lang w:val="en-GB"/>
              </w:rPr>
            </w:pPr>
          </w:p>
        </w:tc>
        <w:tc>
          <w:tcPr>
            <w:tcW w:w="4536" w:type="dxa"/>
          </w:tcPr>
          <w:p w14:paraId="0187911D" w14:textId="77777777" w:rsidR="00814667" w:rsidRPr="000B1041" w:rsidRDefault="00814667">
            <w:pPr>
              <w:pStyle w:val="SingleParagraph"/>
              <w:rPr>
                <w:rFonts w:ascii="Book Antiqua" w:hAnsi="Book Antiqua"/>
                <w:lang w:val="en-GB"/>
              </w:rPr>
            </w:pPr>
          </w:p>
        </w:tc>
      </w:tr>
      <w:tr w:rsidR="00814667" w:rsidRPr="001E20D6" w14:paraId="12055337" w14:textId="77777777">
        <w:trPr>
          <w:cantSplit/>
          <w:jc w:val="center"/>
        </w:trPr>
        <w:tc>
          <w:tcPr>
            <w:tcW w:w="4536" w:type="dxa"/>
          </w:tcPr>
          <w:p w14:paraId="6F0ECA93" w14:textId="77777777" w:rsidR="00814667" w:rsidRPr="000B1041" w:rsidRDefault="00814667">
            <w:pPr>
              <w:pStyle w:val="Signed"/>
            </w:pPr>
            <w:r w:rsidRPr="000B1041">
              <w:rPr>
                <w:rStyle w:val="SignedBold"/>
              </w:rPr>
              <w:t>Signed</w:t>
            </w:r>
            <w:r w:rsidRPr="000B1041">
              <w:t xml:space="preserve"> for and on behalf of the</w:t>
            </w:r>
            <w:r w:rsidRPr="000B1041">
              <w:br/>
              <w:t>State of Queensland by</w:t>
            </w:r>
          </w:p>
          <w:p w14:paraId="257E4CE9" w14:textId="77777777" w:rsidR="00814667" w:rsidRPr="000B1041" w:rsidRDefault="00814667">
            <w:pPr>
              <w:pStyle w:val="LineForSignature"/>
            </w:pPr>
            <w:r w:rsidRPr="000B1041">
              <w:tab/>
            </w:r>
          </w:p>
          <w:p w14:paraId="79594282" w14:textId="512DEEF5" w:rsidR="00814667" w:rsidRPr="000B1041" w:rsidRDefault="00814667">
            <w:pPr>
              <w:pStyle w:val="SingleParagraph"/>
              <w:rPr>
                <w:b/>
              </w:rPr>
            </w:pPr>
            <w:r w:rsidRPr="000B1041">
              <w:rPr>
                <w:b/>
              </w:rPr>
              <w:t xml:space="preserve">The Honourable </w:t>
            </w:r>
            <w:r w:rsidR="00922133" w:rsidRPr="000B1041">
              <w:rPr>
                <w:b/>
                <w:bCs/>
              </w:rPr>
              <w:t>Meaghan Scanlon</w:t>
            </w:r>
            <w:r w:rsidR="00087D50" w:rsidRPr="000B1041">
              <w:rPr>
                <w:b/>
                <w:bCs/>
              </w:rPr>
              <w:t xml:space="preserve"> </w:t>
            </w:r>
            <w:r w:rsidRPr="000B1041">
              <w:rPr>
                <w:b/>
              </w:rPr>
              <w:t>MP</w:t>
            </w:r>
          </w:p>
          <w:p w14:paraId="70597A72" w14:textId="72E2D141" w:rsidR="00542A8C" w:rsidRPr="000B1041" w:rsidRDefault="00922133" w:rsidP="00542A8C">
            <w:pPr>
              <w:pStyle w:val="Position"/>
              <w:rPr>
                <w:lang w:val="en-GB"/>
              </w:rPr>
            </w:pPr>
            <w:r w:rsidRPr="000B1041">
              <w:rPr>
                <w:lang w:val="en-GB"/>
              </w:rPr>
              <w:t>Minister for Housing, Local Government and Planning</w:t>
            </w:r>
          </w:p>
          <w:p w14:paraId="33BB65F8" w14:textId="77777777" w:rsidR="00814667" w:rsidRPr="000B1041" w:rsidRDefault="00542A8C">
            <w:pPr>
              <w:pStyle w:val="SingleParagraph"/>
              <w:tabs>
                <w:tab w:val="num" w:pos="1134"/>
              </w:tabs>
              <w:spacing w:after="240"/>
              <w:ind w:left="1134" w:hanging="567"/>
              <w:rPr>
                <w:lang w:val="en-GB"/>
              </w:rPr>
            </w:pPr>
            <w:r w:rsidRPr="000B1041" w:rsidDel="00542A8C">
              <w:rPr>
                <w:lang w:val="en-GB"/>
              </w:rPr>
              <w:t xml:space="preserve"> </w:t>
            </w:r>
            <w:r w:rsidR="006679C0" w:rsidRPr="000B1041">
              <w:rPr>
                <w:lang w:val="en-GB"/>
              </w:rPr>
              <w:t>[Day]  [Month]  [Year]</w:t>
            </w:r>
          </w:p>
        </w:tc>
        <w:tc>
          <w:tcPr>
            <w:tcW w:w="284" w:type="dxa"/>
            <w:tcMar>
              <w:left w:w="0" w:type="dxa"/>
              <w:right w:w="0" w:type="dxa"/>
            </w:tcMar>
          </w:tcPr>
          <w:p w14:paraId="3743ACFE" w14:textId="77777777" w:rsidR="00814667" w:rsidRPr="000B1041" w:rsidRDefault="00814667">
            <w:pPr>
              <w:rPr>
                <w:rFonts w:ascii="Book Antiqua" w:hAnsi="Book Antiqua"/>
                <w:lang w:val="en-GB"/>
              </w:rPr>
            </w:pPr>
          </w:p>
        </w:tc>
        <w:tc>
          <w:tcPr>
            <w:tcW w:w="4536" w:type="dxa"/>
          </w:tcPr>
          <w:p w14:paraId="3A505435" w14:textId="77777777" w:rsidR="00814667" w:rsidRPr="000B1041" w:rsidRDefault="00814667">
            <w:pPr>
              <w:pStyle w:val="Signed"/>
            </w:pPr>
            <w:r w:rsidRPr="000B1041">
              <w:rPr>
                <w:rStyle w:val="SignedBold"/>
              </w:rPr>
              <w:t>Signed</w:t>
            </w:r>
            <w:r w:rsidRPr="000B1041">
              <w:t xml:space="preserve"> for and on behalf of the</w:t>
            </w:r>
            <w:r w:rsidRPr="000B1041">
              <w:br/>
              <w:t>State of Western Australia by</w:t>
            </w:r>
          </w:p>
          <w:p w14:paraId="36BB371E" w14:textId="77777777" w:rsidR="00814667" w:rsidRPr="000B1041" w:rsidRDefault="00814667">
            <w:pPr>
              <w:pStyle w:val="LineForSignature"/>
            </w:pPr>
            <w:r w:rsidRPr="000B1041">
              <w:tab/>
            </w:r>
          </w:p>
          <w:p w14:paraId="473E46C6" w14:textId="4D2A2439" w:rsidR="00814667" w:rsidRPr="000B1041" w:rsidRDefault="00814667">
            <w:pPr>
              <w:pStyle w:val="SingleParagraph"/>
              <w:rPr>
                <w:rStyle w:val="Bold"/>
              </w:rPr>
            </w:pPr>
            <w:r w:rsidRPr="000B1041">
              <w:rPr>
                <w:rStyle w:val="Bold"/>
              </w:rPr>
              <w:t xml:space="preserve">The Honourable </w:t>
            </w:r>
            <w:r w:rsidR="00922133" w:rsidRPr="000B1041">
              <w:rPr>
                <w:rStyle w:val="Bold"/>
              </w:rPr>
              <w:t>John Carey</w:t>
            </w:r>
            <w:r w:rsidR="00087D50" w:rsidRPr="000B1041">
              <w:rPr>
                <w:rStyle w:val="Bold"/>
              </w:rPr>
              <w:t xml:space="preserve"> </w:t>
            </w:r>
            <w:r w:rsidR="00126B85" w:rsidRPr="000B1041">
              <w:rPr>
                <w:rStyle w:val="Bold"/>
              </w:rPr>
              <w:t>MLA</w:t>
            </w:r>
          </w:p>
          <w:p w14:paraId="3B2E01B5" w14:textId="4B4E0F1E" w:rsidR="00542A8C" w:rsidRPr="000B1041" w:rsidRDefault="00922133" w:rsidP="00542A8C">
            <w:pPr>
              <w:pStyle w:val="Position"/>
              <w:rPr>
                <w:lang w:val="en-GB"/>
              </w:rPr>
            </w:pPr>
            <w:r w:rsidRPr="000B1041">
              <w:rPr>
                <w:lang w:val="en-GB"/>
              </w:rPr>
              <w:t>Minister for Planning; Lands; Housing; Homelessness</w:t>
            </w:r>
          </w:p>
          <w:p w14:paraId="6F04462E" w14:textId="77777777" w:rsidR="00814667" w:rsidRPr="000B1041" w:rsidRDefault="00542A8C">
            <w:pPr>
              <w:pStyle w:val="SingleParagraph"/>
              <w:tabs>
                <w:tab w:val="num" w:pos="1134"/>
              </w:tabs>
              <w:spacing w:after="240"/>
              <w:ind w:left="1134" w:hanging="567"/>
              <w:rPr>
                <w:lang w:val="en-GB"/>
              </w:rPr>
            </w:pPr>
            <w:r w:rsidRPr="000B1041" w:rsidDel="00542A8C">
              <w:rPr>
                <w:lang w:val="en-GB"/>
              </w:rPr>
              <w:t xml:space="preserve"> </w:t>
            </w:r>
            <w:r w:rsidR="006679C0" w:rsidRPr="000B1041">
              <w:rPr>
                <w:lang w:val="en-GB"/>
              </w:rPr>
              <w:t>[Day]  [Month]  [Year]</w:t>
            </w:r>
          </w:p>
        </w:tc>
      </w:tr>
      <w:tr w:rsidR="00814667" w:rsidRPr="001E20D6" w14:paraId="5B18D36A" w14:textId="77777777">
        <w:trPr>
          <w:cantSplit/>
          <w:jc w:val="center"/>
        </w:trPr>
        <w:tc>
          <w:tcPr>
            <w:tcW w:w="4536" w:type="dxa"/>
          </w:tcPr>
          <w:p w14:paraId="71562C3C" w14:textId="77777777" w:rsidR="00814667" w:rsidRPr="000B1041" w:rsidRDefault="00814667">
            <w:pPr>
              <w:pStyle w:val="SingleParagraph"/>
              <w:rPr>
                <w:rFonts w:ascii="Book Antiqua" w:hAnsi="Book Antiqua"/>
                <w:lang w:val="en-GB"/>
              </w:rPr>
            </w:pPr>
          </w:p>
        </w:tc>
        <w:tc>
          <w:tcPr>
            <w:tcW w:w="284" w:type="dxa"/>
            <w:tcMar>
              <w:left w:w="0" w:type="dxa"/>
              <w:right w:w="0" w:type="dxa"/>
            </w:tcMar>
          </w:tcPr>
          <w:p w14:paraId="11EBF009" w14:textId="77777777" w:rsidR="00814667" w:rsidRPr="000B1041" w:rsidRDefault="00814667">
            <w:pPr>
              <w:pStyle w:val="SingleParagraph"/>
              <w:rPr>
                <w:rFonts w:ascii="Book Antiqua" w:hAnsi="Book Antiqua"/>
                <w:lang w:val="en-GB"/>
              </w:rPr>
            </w:pPr>
          </w:p>
        </w:tc>
        <w:tc>
          <w:tcPr>
            <w:tcW w:w="4536" w:type="dxa"/>
          </w:tcPr>
          <w:p w14:paraId="236454E0" w14:textId="77777777" w:rsidR="00814667" w:rsidRPr="000B1041" w:rsidRDefault="00814667">
            <w:pPr>
              <w:pStyle w:val="SingleParagraph"/>
              <w:rPr>
                <w:rFonts w:ascii="Book Antiqua" w:hAnsi="Book Antiqua"/>
                <w:lang w:val="en-GB"/>
              </w:rPr>
            </w:pPr>
          </w:p>
        </w:tc>
      </w:tr>
      <w:tr w:rsidR="00814667" w:rsidRPr="001E20D6" w14:paraId="22906655" w14:textId="77777777">
        <w:trPr>
          <w:cantSplit/>
          <w:trHeight w:val="143"/>
          <w:jc w:val="center"/>
        </w:trPr>
        <w:tc>
          <w:tcPr>
            <w:tcW w:w="4536" w:type="dxa"/>
          </w:tcPr>
          <w:p w14:paraId="627372A1" w14:textId="77777777" w:rsidR="00814667" w:rsidRPr="000B1041" w:rsidRDefault="00814667">
            <w:pPr>
              <w:pStyle w:val="Signed"/>
            </w:pPr>
            <w:r w:rsidRPr="000B1041">
              <w:rPr>
                <w:rStyle w:val="SignedBold"/>
              </w:rPr>
              <w:t>Signed</w:t>
            </w:r>
            <w:r w:rsidRPr="000B1041">
              <w:t xml:space="preserve"> for and on behalf of the</w:t>
            </w:r>
            <w:r w:rsidRPr="000B1041">
              <w:br/>
              <w:t>State of South Australia by</w:t>
            </w:r>
          </w:p>
          <w:p w14:paraId="020184A0" w14:textId="77777777" w:rsidR="00814667" w:rsidRPr="000B1041" w:rsidRDefault="00814667">
            <w:pPr>
              <w:pStyle w:val="LineForSignature"/>
            </w:pPr>
            <w:r w:rsidRPr="000B1041">
              <w:tab/>
            </w:r>
          </w:p>
          <w:p w14:paraId="0F49A474" w14:textId="0FAFB528" w:rsidR="00814667" w:rsidRPr="000B1041" w:rsidRDefault="00814667">
            <w:pPr>
              <w:pStyle w:val="SingleParagraph"/>
              <w:rPr>
                <w:rStyle w:val="Bold"/>
              </w:rPr>
            </w:pPr>
            <w:r w:rsidRPr="000B1041">
              <w:rPr>
                <w:rStyle w:val="Bold"/>
              </w:rPr>
              <w:t xml:space="preserve">The Honourable </w:t>
            </w:r>
            <w:r w:rsidR="001A121D" w:rsidRPr="000B1041">
              <w:rPr>
                <w:rStyle w:val="Bold"/>
              </w:rPr>
              <w:t>Nick Champion MP</w:t>
            </w:r>
          </w:p>
          <w:p w14:paraId="17369DB5" w14:textId="62C58690" w:rsidR="00542A8C" w:rsidRPr="000B1041" w:rsidRDefault="00922133" w:rsidP="00542A8C">
            <w:pPr>
              <w:pStyle w:val="Position"/>
              <w:rPr>
                <w:lang w:val="en-GB"/>
              </w:rPr>
            </w:pPr>
            <w:r w:rsidRPr="000B1041">
              <w:rPr>
                <w:lang w:val="en-GB"/>
              </w:rPr>
              <w:t xml:space="preserve">Minister for </w:t>
            </w:r>
            <w:r w:rsidR="001A121D" w:rsidRPr="000B1041">
              <w:rPr>
                <w:lang w:val="en-GB"/>
              </w:rPr>
              <w:t>Housing and Urban Development</w:t>
            </w:r>
            <w:r w:rsidR="001810BA" w:rsidRPr="000B1041">
              <w:rPr>
                <w:lang w:val="en-GB"/>
              </w:rPr>
              <w:t>, Minister for Housing Infrastructure, Minister for Planning</w:t>
            </w:r>
          </w:p>
          <w:p w14:paraId="254CEFA3" w14:textId="77777777" w:rsidR="00814667" w:rsidRPr="000B1041" w:rsidRDefault="00542A8C">
            <w:pPr>
              <w:pStyle w:val="SingleParagraph"/>
              <w:tabs>
                <w:tab w:val="num" w:pos="1134"/>
              </w:tabs>
              <w:spacing w:after="240"/>
              <w:ind w:left="1134" w:hanging="567"/>
              <w:rPr>
                <w:lang w:val="en-GB"/>
              </w:rPr>
            </w:pPr>
            <w:r w:rsidRPr="000B1041" w:rsidDel="00542A8C">
              <w:rPr>
                <w:lang w:val="en-GB"/>
              </w:rPr>
              <w:t xml:space="preserve"> </w:t>
            </w:r>
            <w:r w:rsidR="006679C0" w:rsidRPr="000B1041">
              <w:rPr>
                <w:lang w:val="en-GB"/>
              </w:rPr>
              <w:t>[Day]  [Month]  [Year]</w:t>
            </w:r>
          </w:p>
        </w:tc>
        <w:tc>
          <w:tcPr>
            <w:tcW w:w="284" w:type="dxa"/>
            <w:tcMar>
              <w:left w:w="0" w:type="dxa"/>
              <w:right w:w="0" w:type="dxa"/>
            </w:tcMar>
          </w:tcPr>
          <w:p w14:paraId="1392139D" w14:textId="77777777" w:rsidR="00814667" w:rsidRPr="000B1041" w:rsidRDefault="00814667">
            <w:pPr>
              <w:rPr>
                <w:rFonts w:ascii="Book Antiqua" w:hAnsi="Book Antiqua"/>
                <w:lang w:val="en-GB"/>
              </w:rPr>
            </w:pPr>
          </w:p>
        </w:tc>
        <w:tc>
          <w:tcPr>
            <w:tcW w:w="4536" w:type="dxa"/>
          </w:tcPr>
          <w:p w14:paraId="660727E1" w14:textId="77777777" w:rsidR="00814667" w:rsidRPr="000B1041" w:rsidRDefault="00814667">
            <w:pPr>
              <w:pStyle w:val="Signed"/>
            </w:pPr>
            <w:r w:rsidRPr="000B1041">
              <w:rPr>
                <w:rStyle w:val="SignedBold"/>
              </w:rPr>
              <w:t>Signed</w:t>
            </w:r>
            <w:r w:rsidRPr="000B1041">
              <w:t xml:space="preserve"> for and on behalf of the</w:t>
            </w:r>
            <w:r w:rsidRPr="000B1041">
              <w:br/>
              <w:t>State of Tasmania by</w:t>
            </w:r>
          </w:p>
          <w:p w14:paraId="3B91C545" w14:textId="77777777" w:rsidR="00814667" w:rsidRPr="000B1041" w:rsidRDefault="00814667">
            <w:pPr>
              <w:pStyle w:val="LineForSignature"/>
            </w:pPr>
            <w:r w:rsidRPr="000B1041">
              <w:tab/>
            </w:r>
          </w:p>
          <w:p w14:paraId="6249BC6F" w14:textId="6F0C48E8" w:rsidR="00814667" w:rsidRPr="000B1041" w:rsidRDefault="00162BCD">
            <w:pPr>
              <w:pStyle w:val="SingleParagraph"/>
              <w:rPr>
                <w:rStyle w:val="Bold"/>
              </w:rPr>
            </w:pPr>
            <w:r w:rsidRPr="000B1041">
              <w:rPr>
                <w:rStyle w:val="Bold"/>
              </w:rPr>
              <w:t>The Honourable Felix Ellis MP</w:t>
            </w:r>
          </w:p>
          <w:p w14:paraId="41CEDC65" w14:textId="4555CF90" w:rsidR="00542A8C" w:rsidRPr="000B1041" w:rsidRDefault="00922133" w:rsidP="00542A8C">
            <w:pPr>
              <w:pStyle w:val="Position"/>
              <w:rPr>
                <w:lang w:val="en-GB"/>
              </w:rPr>
            </w:pPr>
            <w:r w:rsidRPr="000B1041">
              <w:rPr>
                <w:lang w:val="en-GB"/>
              </w:rPr>
              <w:t xml:space="preserve">Minister for Housing and </w:t>
            </w:r>
            <w:r w:rsidR="00162BCD" w:rsidRPr="000B1041">
              <w:rPr>
                <w:lang w:val="en-GB"/>
              </w:rPr>
              <w:t>Planning</w:t>
            </w:r>
          </w:p>
          <w:p w14:paraId="37E9E203" w14:textId="77777777" w:rsidR="00814667" w:rsidRPr="000B1041" w:rsidRDefault="00542A8C">
            <w:pPr>
              <w:pStyle w:val="SingleParagraph"/>
              <w:tabs>
                <w:tab w:val="num" w:pos="1134"/>
              </w:tabs>
              <w:spacing w:after="240"/>
              <w:ind w:left="1134" w:hanging="567"/>
              <w:rPr>
                <w:lang w:val="en-GB"/>
              </w:rPr>
            </w:pPr>
            <w:r w:rsidRPr="000B1041" w:rsidDel="00542A8C">
              <w:rPr>
                <w:lang w:val="en-GB"/>
              </w:rPr>
              <w:t xml:space="preserve"> </w:t>
            </w:r>
            <w:r w:rsidR="006679C0" w:rsidRPr="000B1041">
              <w:rPr>
                <w:lang w:val="en-GB"/>
              </w:rPr>
              <w:t>[Day]  [Month]  [Year]</w:t>
            </w:r>
          </w:p>
        </w:tc>
      </w:tr>
      <w:tr w:rsidR="00814667" w:rsidRPr="001E20D6" w14:paraId="615B5E0D" w14:textId="77777777">
        <w:trPr>
          <w:cantSplit/>
          <w:jc w:val="center"/>
        </w:trPr>
        <w:tc>
          <w:tcPr>
            <w:tcW w:w="4536" w:type="dxa"/>
          </w:tcPr>
          <w:p w14:paraId="18B28B2C" w14:textId="77777777" w:rsidR="00814667" w:rsidRPr="000B1041" w:rsidRDefault="00814667">
            <w:pPr>
              <w:pStyle w:val="SingleParagraph"/>
              <w:rPr>
                <w:rFonts w:ascii="Book Antiqua" w:hAnsi="Book Antiqua"/>
                <w:lang w:val="en-GB"/>
              </w:rPr>
            </w:pPr>
          </w:p>
        </w:tc>
        <w:tc>
          <w:tcPr>
            <w:tcW w:w="284" w:type="dxa"/>
            <w:tcMar>
              <w:left w:w="0" w:type="dxa"/>
              <w:right w:w="0" w:type="dxa"/>
            </w:tcMar>
          </w:tcPr>
          <w:p w14:paraId="1491C49E" w14:textId="77777777" w:rsidR="00814667" w:rsidRPr="000B1041" w:rsidRDefault="00814667">
            <w:pPr>
              <w:pStyle w:val="SingleParagraph"/>
              <w:rPr>
                <w:rFonts w:ascii="Book Antiqua" w:hAnsi="Book Antiqua"/>
                <w:lang w:val="en-GB"/>
              </w:rPr>
            </w:pPr>
          </w:p>
        </w:tc>
        <w:tc>
          <w:tcPr>
            <w:tcW w:w="4536" w:type="dxa"/>
          </w:tcPr>
          <w:p w14:paraId="3730ACA1" w14:textId="77777777" w:rsidR="00814667" w:rsidRPr="000B1041" w:rsidRDefault="00814667">
            <w:pPr>
              <w:pStyle w:val="SingleParagraph"/>
              <w:rPr>
                <w:rFonts w:ascii="Book Antiqua" w:hAnsi="Book Antiqua"/>
                <w:lang w:val="en-GB"/>
              </w:rPr>
            </w:pPr>
          </w:p>
        </w:tc>
      </w:tr>
      <w:tr w:rsidR="00814667" w:rsidRPr="00C811E9" w14:paraId="4A74839E" w14:textId="77777777">
        <w:trPr>
          <w:cantSplit/>
          <w:jc w:val="center"/>
        </w:trPr>
        <w:tc>
          <w:tcPr>
            <w:tcW w:w="4536" w:type="dxa"/>
          </w:tcPr>
          <w:p w14:paraId="0933F018" w14:textId="77777777" w:rsidR="00814667" w:rsidRPr="000B1041" w:rsidRDefault="00814667">
            <w:pPr>
              <w:pStyle w:val="Signed"/>
            </w:pPr>
            <w:r w:rsidRPr="000B1041">
              <w:rPr>
                <w:rStyle w:val="SignedBold"/>
              </w:rPr>
              <w:lastRenderedPageBreak/>
              <w:t>Signed</w:t>
            </w:r>
            <w:r w:rsidRPr="000B1041">
              <w:rPr>
                <w:i w:val="0"/>
              </w:rPr>
              <w:t xml:space="preserve"> </w:t>
            </w:r>
            <w:r w:rsidR="008148E2" w:rsidRPr="000B1041">
              <w:t xml:space="preserve">for and on behalf of the </w:t>
            </w:r>
            <w:r w:rsidRPr="000B1041">
              <w:t>Australian Capital Territory by</w:t>
            </w:r>
          </w:p>
          <w:p w14:paraId="288E7441" w14:textId="77777777" w:rsidR="00814667" w:rsidRPr="000B1041" w:rsidRDefault="00814667">
            <w:pPr>
              <w:pStyle w:val="LineForSignature"/>
            </w:pPr>
            <w:r w:rsidRPr="000B1041">
              <w:tab/>
            </w:r>
          </w:p>
          <w:p w14:paraId="7C0EA98B" w14:textId="04CE0AA2" w:rsidR="00814667" w:rsidRPr="000B1041" w:rsidRDefault="00922133">
            <w:pPr>
              <w:pStyle w:val="SingleParagraph"/>
              <w:rPr>
                <w:rStyle w:val="Bold"/>
              </w:rPr>
            </w:pPr>
            <w:r w:rsidRPr="000B1041">
              <w:rPr>
                <w:rStyle w:val="Bold"/>
              </w:rPr>
              <w:t>Yvette Berry</w:t>
            </w:r>
            <w:r w:rsidR="00760623" w:rsidRPr="000B1041">
              <w:rPr>
                <w:rStyle w:val="Bold"/>
              </w:rPr>
              <w:t xml:space="preserve"> </w:t>
            </w:r>
            <w:r w:rsidR="00814667" w:rsidRPr="000B1041">
              <w:rPr>
                <w:rStyle w:val="Bold"/>
              </w:rPr>
              <w:t>MLA</w:t>
            </w:r>
          </w:p>
          <w:p w14:paraId="598B21B8" w14:textId="6444DC50" w:rsidR="00542A8C" w:rsidRPr="000B1041" w:rsidRDefault="00922133" w:rsidP="00542A8C">
            <w:pPr>
              <w:pStyle w:val="Position"/>
              <w:rPr>
                <w:lang w:val="en-GB"/>
              </w:rPr>
            </w:pPr>
            <w:r w:rsidRPr="000B1041">
              <w:rPr>
                <w:lang w:val="en-GB"/>
              </w:rPr>
              <w:t>Minister for Housing and Suburban Development</w:t>
            </w:r>
          </w:p>
          <w:p w14:paraId="49998328" w14:textId="77777777" w:rsidR="00814667" w:rsidRPr="000B1041" w:rsidRDefault="00542A8C">
            <w:pPr>
              <w:pStyle w:val="SingleParagraph"/>
              <w:tabs>
                <w:tab w:val="num" w:pos="1134"/>
              </w:tabs>
              <w:spacing w:after="240"/>
              <w:ind w:left="1134" w:hanging="567"/>
              <w:rPr>
                <w:lang w:val="en-GB"/>
              </w:rPr>
            </w:pPr>
            <w:r w:rsidRPr="000B1041" w:rsidDel="00542A8C">
              <w:rPr>
                <w:lang w:val="en-GB"/>
              </w:rPr>
              <w:t xml:space="preserve"> </w:t>
            </w:r>
            <w:r w:rsidR="006679C0" w:rsidRPr="000B1041">
              <w:rPr>
                <w:lang w:val="en-GB"/>
              </w:rPr>
              <w:t>[Day]  [Month]  [Year]</w:t>
            </w:r>
          </w:p>
        </w:tc>
        <w:tc>
          <w:tcPr>
            <w:tcW w:w="284" w:type="dxa"/>
            <w:tcMar>
              <w:left w:w="0" w:type="dxa"/>
              <w:right w:w="0" w:type="dxa"/>
            </w:tcMar>
          </w:tcPr>
          <w:p w14:paraId="21498447" w14:textId="77777777" w:rsidR="00814667" w:rsidRPr="000B1041" w:rsidRDefault="00814667">
            <w:pPr>
              <w:rPr>
                <w:rFonts w:ascii="Book Antiqua" w:hAnsi="Book Antiqua"/>
                <w:lang w:val="en-GB"/>
              </w:rPr>
            </w:pPr>
          </w:p>
        </w:tc>
        <w:tc>
          <w:tcPr>
            <w:tcW w:w="4536" w:type="dxa"/>
          </w:tcPr>
          <w:p w14:paraId="1C645D1B" w14:textId="77777777" w:rsidR="00814667" w:rsidRPr="000B1041" w:rsidRDefault="00814667">
            <w:pPr>
              <w:pStyle w:val="Signed"/>
            </w:pPr>
            <w:r w:rsidRPr="000B1041">
              <w:rPr>
                <w:rStyle w:val="SignedBold"/>
              </w:rPr>
              <w:t>Signed</w:t>
            </w:r>
            <w:r w:rsidRPr="000B1041">
              <w:rPr>
                <w:i w:val="0"/>
              </w:rPr>
              <w:t xml:space="preserve"> </w:t>
            </w:r>
            <w:r w:rsidR="008148E2" w:rsidRPr="000B1041">
              <w:t xml:space="preserve">for and on behalf of the </w:t>
            </w:r>
            <w:r w:rsidRPr="000B1041">
              <w:t>Northern Territory by</w:t>
            </w:r>
          </w:p>
          <w:p w14:paraId="515488F5" w14:textId="77777777" w:rsidR="00814667" w:rsidRPr="000B1041" w:rsidRDefault="00814667">
            <w:pPr>
              <w:pStyle w:val="LineForSignature"/>
            </w:pPr>
            <w:r w:rsidRPr="000B1041">
              <w:tab/>
            </w:r>
          </w:p>
          <w:p w14:paraId="33170907" w14:textId="3DBEA989" w:rsidR="00814667" w:rsidRPr="000B1041" w:rsidRDefault="00814667">
            <w:pPr>
              <w:pStyle w:val="SingleParagraph"/>
              <w:rPr>
                <w:rStyle w:val="Bold"/>
              </w:rPr>
            </w:pPr>
            <w:r w:rsidRPr="000B1041">
              <w:rPr>
                <w:rStyle w:val="Bold"/>
              </w:rPr>
              <w:t xml:space="preserve">The Honourable </w:t>
            </w:r>
            <w:r w:rsidR="00922133" w:rsidRPr="000B1041">
              <w:rPr>
                <w:rStyle w:val="Bold"/>
              </w:rPr>
              <w:t>Ngaree Ah Kit</w:t>
            </w:r>
            <w:r w:rsidR="00087D50" w:rsidRPr="000B1041">
              <w:rPr>
                <w:rStyle w:val="Bold"/>
              </w:rPr>
              <w:t xml:space="preserve"> </w:t>
            </w:r>
            <w:r w:rsidRPr="000B1041">
              <w:rPr>
                <w:rStyle w:val="Bold"/>
              </w:rPr>
              <w:t>MLA</w:t>
            </w:r>
          </w:p>
          <w:p w14:paraId="15C22C36" w14:textId="673F16AB" w:rsidR="00542A8C" w:rsidRPr="000B1041" w:rsidRDefault="00922133" w:rsidP="00542A8C">
            <w:pPr>
              <w:pStyle w:val="Position"/>
              <w:rPr>
                <w:lang w:val="en-GB"/>
              </w:rPr>
            </w:pPr>
            <w:r w:rsidRPr="000B1041">
              <w:rPr>
                <w:lang w:val="en-GB"/>
              </w:rPr>
              <w:t>Minister for Urban Housing</w:t>
            </w:r>
          </w:p>
          <w:p w14:paraId="5526BEDA" w14:textId="77777777" w:rsidR="00814667" w:rsidRPr="000B1041" w:rsidRDefault="00542A8C">
            <w:pPr>
              <w:pStyle w:val="SingleParagraph"/>
              <w:tabs>
                <w:tab w:val="num" w:pos="1134"/>
              </w:tabs>
              <w:spacing w:after="240"/>
              <w:ind w:left="1134" w:hanging="567"/>
              <w:rPr>
                <w:lang w:val="en-GB"/>
              </w:rPr>
            </w:pPr>
            <w:r w:rsidRPr="000B1041" w:rsidDel="00542A8C">
              <w:rPr>
                <w:lang w:val="en-GB"/>
              </w:rPr>
              <w:t xml:space="preserve"> </w:t>
            </w:r>
            <w:r w:rsidR="006679C0" w:rsidRPr="000B1041">
              <w:rPr>
                <w:lang w:val="en-GB"/>
              </w:rPr>
              <w:t>[Day]  [Month]  [Year]</w:t>
            </w:r>
          </w:p>
        </w:tc>
      </w:tr>
      <w:bookmarkEnd w:id="12"/>
    </w:tbl>
    <w:p w14:paraId="72EA16BE" w14:textId="77777777" w:rsidR="008843EE" w:rsidRPr="00C811E9" w:rsidRDefault="008843EE" w:rsidP="0020144E"/>
    <w:p w14:paraId="19772CAC" w14:textId="5E44FEE3" w:rsidR="009E6954" w:rsidRPr="00D45283" w:rsidRDefault="00534B63" w:rsidP="004C65BD">
      <w:pPr>
        <w:pStyle w:val="Heading1"/>
      </w:pPr>
      <w:r w:rsidRPr="00D45283">
        <w:t>A</w:t>
      </w:r>
      <w:r w:rsidR="00113FAB" w:rsidRPr="00D45283">
        <w:t>ppendixes</w:t>
      </w:r>
    </w:p>
    <w:p w14:paraId="5F8472E1" w14:textId="7270CB9C" w:rsidR="00534B63" w:rsidRPr="00A238D8" w:rsidRDefault="00534B63" w:rsidP="00A238D8">
      <w:pPr>
        <w:rPr>
          <w:b/>
          <w:bCs/>
          <w:color w:val="3D4B67"/>
          <w:sz w:val="29"/>
          <w:szCs w:val="29"/>
        </w:rPr>
      </w:pPr>
      <w:r w:rsidRPr="00A238D8">
        <w:rPr>
          <w:b/>
          <w:bCs/>
          <w:color w:val="3D4B67"/>
          <w:sz w:val="29"/>
          <w:szCs w:val="29"/>
        </w:rPr>
        <w:t>A – Glossary of Key Terms</w:t>
      </w:r>
    </w:p>
    <w:p w14:paraId="5F3F8C58" w14:textId="0556860F" w:rsidR="00DB5EF5" w:rsidRPr="00D45283" w:rsidRDefault="00DB5EF5" w:rsidP="004C65BD">
      <w:pPr>
        <w:pStyle w:val="Heading1"/>
      </w:pPr>
      <w:r w:rsidRPr="00D45283">
        <w:t xml:space="preserve">Schedules to the </w:t>
      </w:r>
      <w:r w:rsidR="00A238D8" w:rsidRPr="00D45283">
        <w:t>A</w:t>
      </w:r>
      <w:r w:rsidRPr="00D45283">
        <w:t>greement</w:t>
      </w:r>
    </w:p>
    <w:p w14:paraId="601B6172" w14:textId="790919EA" w:rsidR="003524BB" w:rsidRPr="00A238D8" w:rsidRDefault="009C2901" w:rsidP="00A238D8">
      <w:pPr>
        <w:spacing w:after="160"/>
        <w:rPr>
          <w:b/>
          <w:bCs/>
          <w:color w:val="3D4B67"/>
          <w:sz w:val="29"/>
          <w:szCs w:val="29"/>
        </w:rPr>
      </w:pPr>
      <w:r w:rsidRPr="00A238D8">
        <w:rPr>
          <w:b/>
          <w:bCs/>
          <w:color w:val="3D4B67"/>
          <w:sz w:val="29"/>
          <w:szCs w:val="29"/>
        </w:rPr>
        <w:t>A</w:t>
      </w:r>
      <w:r w:rsidR="00D518FF" w:rsidRPr="00A238D8">
        <w:rPr>
          <w:b/>
          <w:bCs/>
          <w:color w:val="3D4B67"/>
          <w:sz w:val="29"/>
          <w:szCs w:val="29"/>
        </w:rPr>
        <w:t xml:space="preserve"> </w:t>
      </w:r>
      <w:r w:rsidR="00AB2114" w:rsidRPr="00A238D8">
        <w:rPr>
          <w:b/>
          <w:bCs/>
          <w:color w:val="3D4B67"/>
          <w:sz w:val="29"/>
          <w:szCs w:val="29"/>
        </w:rPr>
        <w:t>–</w:t>
      </w:r>
      <w:r w:rsidR="00D518FF" w:rsidRPr="00A238D8">
        <w:rPr>
          <w:b/>
          <w:bCs/>
          <w:color w:val="3D4B67"/>
          <w:sz w:val="29"/>
          <w:szCs w:val="29"/>
        </w:rPr>
        <w:t xml:space="preserve"> </w:t>
      </w:r>
      <w:r w:rsidR="00AB2114" w:rsidRPr="00A238D8">
        <w:rPr>
          <w:b/>
          <w:bCs/>
          <w:color w:val="3D4B67"/>
          <w:sz w:val="29"/>
          <w:szCs w:val="29"/>
        </w:rPr>
        <w:t xml:space="preserve">National </w:t>
      </w:r>
      <w:r w:rsidR="545F6453" w:rsidRPr="00A238D8">
        <w:rPr>
          <w:b/>
          <w:bCs/>
          <w:color w:val="3D4B67"/>
          <w:sz w:val="29"/>
          <w:szCs w:val="29"/>
        </w:rPr>
        <w:t>Outcomes</w:t>
      </w:r>
      <w:r w:rsidR="00DB5EF5" w:rsidRPr="00A238D8">
        <w:rPr>
          <w:b/>
          <w:bCs/>
          <w:color w:val="3D4B67"/>
          <w:sz w:val="29"/>
          <w:szCs w:val="29"/>
        </w:rPr>
        <w:t xml:space="preserve"> </w:t>
      </w:r>
      <w:r w:rsidR="00AB2114" w:rsidRPr="00A238D8">
        <w:rPr>
          <w:b/>
          <w:bCs/>
          <w:color w:val="3D4B67"/>
          <w:sz w:val="29"/>
          <w:szCs w:val="29"/>
        </w:rPr>
        <w:t>F</w:t>
      </w:r>
      <w:r w:rsidR="00DB5EF5" w:rsidRPr="00A238D8">
        <w:rPr>
          <w:b/>
          <w:bCs/>
          <w:color w:val="3D4B67"/>
          <w:sz w:val="29"/>
          <w:szCs w:val="29"/>
        </w:rPr>
        <w:t>ramework</w:t>
      </w:r>
    </w:p>
    <w:p w14:paraId="2701B545" w14:textId="43FFB64F" w:rsidR="00DB5EF5" w:rsidRPr="00A238D8" w:rsidRDefault="009C2901" w:rsidP="00A238D8">
      <w:pPr>
        <w:spacing w:after="160"/>
        <w:rPr>
          <w:b/>
          <w:bCs/>
          <w:color w:val="3D4B67"/>
          <w:sz w:val="29"/>
          <w:szCs w:val="29"/>
        </w:rPr>
      </w:pPr>
      <w:r w:rsidRPr="00A238D8">
        <w:rPr>
          <w:b/>
          <w:bCs/>
          <w:color w:val="3D4B67"/>
          <w:sz w:val="29"/>
          <w:szCs w:val="29"/>
        </w:rPr>
        <w:t>B</w:t>
      </w:r>
      <w:r w:rsidR="00D518FF" w:rsidRPr="00A238D8">
        <w:rPr>
          <w:b/>
          <w:bCs/>
          <w:color w:val="3D4B67"/>
          <w:sz w:val="29"/>
          <w:szCs w:val="29"/>
        </w:rPr>
        <w:t xml:space="preserve"> </w:t>
      </w:r>
      <w:r w:rsidR="00DB5EF5" w:rsidRPr="00A238D8">
        <w:rPr>
          <w:b/>
          <w:bCs/>
          <w:color w:val="3D4B67"/>
          <w:sz w:val="29"/>
          <w:szCs w:val="29"/>
        </w:rPr>
        <w:t>–</w:t>
      </w:r>
      <w:r w:rsidR="00D518FF" w:rsidRPr="00A238D8">
        <w:rPr>
          <w:b/>
          <w:bCs/>
          <w:color w:val="3D4B67"/>
          <w:sz w:val="29"/>
          <w:szCs w:val="29"/>
        </w:rPr>
        <w:t xml:space="preserve"> </w:t>
      </w:r>
      <w:r w:rsidR="000D1832" w:rsidRPr="00A238D8">
        <w:rPr>
          <w:b/>
          <w:bCs/>
          <w:color w:val="3D4B67"/>
          <w:sz w:val="29"/>
          <w:szCs w:val="29"/>
        </w:rPr>
        <w:t>Statement of Assurance</w:t>
      </w:r>
      <w:r w:rsidR="00DB5EF5" w:rsidRPr="00A238D8">
        <w:rPr>
          <w:b/>
          <w:bCs/>
          <w:color w:val="3D4B67"/>
          <w:sz w:val="29"/>
          <w:szCs w:val="29"/>
        </w:rPr>
        <w:t xml:space="preserve"> Reporting </w:t>
      </w:r>
    </w:p>
    <w:p w14:paraId="35ECE98F" w14:textId="39D66843" w:rsidR="00AB2114" w:rsidRDefault="009C2901" w:rsidP="00A238D8">
      <w:pPr>
        <w:spacing w:after="160"/>
        <w:rPr>
          <w:b/>
          <w:szCs w:val="29"/>
        </w:rPr>
      </w:pPr>
      <w:r w:rsidRPr="00A238D8">
        <w:rPr>
          <w:b/>
          <w:bCs/>
          <w:color w:val="3D4B67"/>
          <w:sz w:val="29"/>
          <w:szCs w:val="29"/>
        </w:rPr>
        <w:t>C</w:t>
      </w:r>
      <w:r w:rsidR="00D518FF">
        <w:rPr>
          <w:szCs w:val="29"/>
        </w:rPr>
        <w:t xml:space="preserve"> </w:t>
      </w:r>
      <w:r w:rsidR="00AB2114" w:rsidRPr="00A238D8">
        <w:rPr>
          <w:b/>
          <w:bCs/>
          <w:color w:val="3D4B67"/>
          <w:sz w:val="29"/>
          <w:szCs w:val="29"/>
        </w:rPr>
        <w:t>–</w:t>
      </w:r>
      <w:r w:rsidR="00D518FF">
        <w:rPr>
          <w:szCs w:val="29"/>
        </w:rPr>
        <w:t xml:space="preserve"> </w:t>
      </w:r>
      <w:r w:rsidR="00AB2114" w:rsidRPr="00A238D8">
        <w:rPr>
          <w:b/>
          <w:bCs/>
          <w:color w:val="3D4B67"/>
          <w:sz w:val="29"/>
          <w:szCs w:val="29"/>
        </w:rPr>
        <w:t xml:space="preserve">Data collection and </w:t>
      </w:r>
      <w:r w:rsidR="000C5AF7" w:rsidRPr="00A238D8">
        <w:rPr>
          <w:b/>
          <w:bCs/>
          <w:color w:val="3D4B67"/>
          <w:sz w:val="29"/>
          <w:szCs w:val="29"/>
        </w:rPr>
        <w:t>governance</w:t>
      </w:r>
      <w:r w:rsidR="008D0DF2" w:rsidRPr="00A238D8">
        <w:rPr>
          <w:b/>
          <w:bCs/>
          <w:color w:val="3D4B67"/>
          <w:sz w:val="29"/>
          <w:szCs w:val="29"/>
        </w:rPr>
        <w:t xml:space="preserve"> of data improvements</w:t>
      </w:r>
    </w:p>
    <w:p w14:paraId="32364ABD" w14:textId="4BBB75AD" w:rsidR="00D319F4" w:rsidRDefault="009C2901" w:rsidP="00A238D8">
      <w:pPr>
        <w:spacing w:after="160"/>
        <w:rPr>
          <w:b/>
          <w:szCs w:val="29"/>
        </w:rPr>
      </w:pPr>
      <w:r w:rsidRPr="00A238D8">
        <w:rPr>
          <w:b/>
          <w:bCs/>
          <w:color w:val="3D4B67"/>
          <w:sz w:val="29"/>
          <w:szCs w:val="29"/>
        </w:rPr>
        <w:t>D</w:t>
      </w:r>
      <w:r w:rsidR="00D518FF">
        <w:rPr>
          <w:szCs w:val="29"/>
        </w:rPr>
        <w:t xml:space="preserve"> </w:t>
      </w:r>
      <w:r w:rsidR="00D319F4" w:rsidRPr="00A238D8">
        <w:rPr>
          <w:b/>
          <w:bCs/>
          <w:color w:val="3D4B67"/>
          <w:sz w:val="29"/>
          <w:szCs w:val="29"/>
        </w:rPr>
        <w:t>–</w:t>
      </w:r>
      <w:r w:rsidR="00D518FF">
        <w:rPr>
          <w:szCs w:val="29"/>
        </w:rPr>
        <w:t xml:space="preserve"> </w:t>
      </w:r>
      <w:r w:rsidR="00B15659" w:rsidRPr="00A238D8">
        <w:rPr>
          <w:b/>
          <w:bCs/>
          <w:color w:val="3D4B67"/>
          <w:sz w:val="29"/>
          <w:szCs w:val="29"/>
        </w:rPr>
        <w:t xml:space="preserve">Initial </w:t>
      </w:r>
      <w:r w:rsidR="00D319F4" w:rsidRPr="00A238D8">
        <w:rPr>
          <w:b/>
          <w:bCs/>
          <w:color w:val="3D4B67"/>
          <w:sz w:val="29"/>
          <w:szCs w:val="29"/>
        </w:rPr>
        <w:t xml:space="preserve">Data Improvement </w:t>
      </w:r>
      <w:r w:rsidR="00B15659" w:rsidRPr="00A238D8">
        <w:rPr>
          <w:b/>
          <w:bCs/>
          <w:color w:val="3D4B67"/>
          <w:sz w:val="29"/>
          <w:szCs w:val="29"/>
        </w:rPr>
        <w:t xml:space="preserve">Work </w:t>
      </w:r>
      <w:r w:rsidR="00D319F4" w:rsidRPr="00A238D8">
        <w:rPr>
          <w:b/>
          <w:bCs/>
          <w:color w:val="3D4B67"/>
          <w:sz w:val="29"/>
          <w:szCs w:val="29"/>
        </w:rPr>
        <w:t>Plan</w:t>
      </w:r>
    </w:p>
    <w:p w14:paraId="3622EB1D" w14:textId="089BA9BA" w:rsidR="009346D2" w:rsidRDefault="00D518FF" w:rsidP="00A238D8">
      <w:pPr>
        <w:spacing w:after="160"/>
        <w:rPr>
          <w:b/>
          <w:szCs w:val="29"/>
        </w:rPr>
      </w:pPr>
      <w:r w:rsidRPr="00A238D8">
        <w:rPr>
          <w:b/>
          <w:bCs/>
          <w:color w:val="3D4B67"/>
          <w:sz w:val="29"/>
          <w:szCs w:val="29"/>
        </w:rPr>
        <w:t>E</w:t>
      </w:r>
      <w:r w:rsidRPr="00D518FF">
        <w:rPr>
          <w:szCs w:val="29"/>
        </w:rPr>
        <w:t xml:space="preserve"> – </w:t>
      </w:r>
      <w:r w:rsidR="009346D2" w:rsidRPr="00A238D8">
        <w:rPr>
          <w:b/>
          <w:bCs/>
          <w:color w:val="3D4B67"/>
          <w:sz w:val="29"/>
          <w:szCs w:val="29"/>
        </w:rPr>
        <w:t>Policy responsibilities of the Parties</w:t>
      </w:r>
    </w:p>
    <w:p w14:paraId="6502165B" w14:textId="152E1A32" w:rsidR="00534B63" w:rsidRPr="00AD5B54" w:rsidRDefault="00DB5EF5" w:rsidP="00113FAB">
      <w:pPr>
        <w:pStyle w:val="Heading1"/>
        <w:rPr>
          <w:caps w:val="0"/>
          <w:szCs w:val="32"/>
        </w:rPr>
      </w:pPr>
      <w:r w:rsidRPr="00181A35">
        <w:br w:type="page"/>
      </w:r>
      <w:r w:rsidR="00534B63" w:rsidRPr="00AD5B54">
        <w:rPr>
          <w:szCs w:val="32"/>
        </w:rPr>
        <w:lastRenderedPageBreak/>
        <w:t xml:space="preserve">Appendix </w:t>
      </w:r>
      <w:r w:rsidR="00A238D8">
        <w:rPr>
          <w:szCs w:val="32"/>
        </w:rPr>
        <w:t xml:space="preserve">A </w:t>
      </w:r>
      <w:r w:rsidR="00AB2908" w:rsidRPr="00113FAB">
        <w:rPr>
          <w:bCs w:val="0"/>
          <w:color w:val="auto"/>
          <w:szCs w:val="32"/>
        </w:rPr>
        <w:t>–</w:t>
      </w:r>
      <w:r w:rsidR="00A238D8" w:rsidRPr="00113FAB">
        <w:rPr>
          <w:color w:val="auto"/>
          <w:szCs w:val="32"/>
        </w:rPr>
        <w:t xml:space="preserve"> </w:t>
      </w:r>
      <w:r w:rsidR="00534B63" w:rsidRPr="00AD5B54">
        <w:rPr>
          <w:szCs w:val="32"/>
        </w:rPr>
        <w:t>Glossary of key terms</w:t>
      </w:r>
    </w:p>
    <w:tbl>
      <w:tblPr>
        <w:tblStyle w:val="TableElegant"/>
        <w:tblW w:w="9616" w:type="dxa"/>
        <w:tblLook w:val="04A0" w:firstRow="1" w:lastRow="0" w:firstColumn="1" w:lastColumn="0" w:noHBand="0" w:noVBand="1"/>
      </w:tblPr>
      <w:tblGrid>
        <w:gridCol w:w="2245"/>
        <w:gridCol w:w="7371"/>
      </w:tblGrid>
      <w:tr w:rsidR="007815E6" w14:paraId="6C7F43B7" w14:textId="77777777" w:rsidTr="006F6DB7">
        <w:trPr>
          <w:cnfStyle w:val="100000000000" w:firstRow="1" w:lastRow="0" w:firstColumn="0" w:lastColumn="0" w:oddVBand="0" w:evenVBand="0" w:oddHBand="0" w:evenHBand="0" w:firstRowFirstColumn="0" w:firstRowLastColumn="0" w:lastRowFirstColumn="0" w:lastRowLastColumn="0"/>
        </w:trPr>
        <w:tc>
          <w:tcPr>
            <w:tcW w:w="2245" w:type="dxa"/>
          </w:tcPr>
          <w:p w14:paraId="6546B1C8" w14:textId="1C7FAFE4" w:rsidR="007815E6" w:rsidRPr="007815E6" w:rsidRDefault="007815E6" w:rsidP="007815E6">
            <w:pPr>
              <w:spacing w:after="0" w:line="240" w:lineRule="auto"/>
              <w:jc w:val="left"/>
              <w:rPr>
                <w:bCs/>
                <w:caps w:val="0"/>
                <w:kern w:val="32"/>
                <w:sz w:val="24"/>
                <w:szCs w:val="24"/>
              </w:rPr>
            </w:pPr>
            <w:r w:rsidRPr="007815E6">
              <w:rPr>
                <w:bCs/>
                <w:caps w:val="0"/>
                <w:kern w:val="32"/>
                <w:sz w:val="24"/>
                <w:szCs w:val="24"/>
              </w:rPr>
              <w:t xml:space="preserve">Principles of Genuine </w:t>
            </w:r>
            <w:r w:rsidR="00B23453" w:rsidRPr="007815E6">
              <w:rPr>
                <w:bCs/>
                <w:caps w:val="0"/>
                <w:kern w:val="32"/>
                <w:sz w:val="24"/>
                <w:szCs w:val="24"/>
              </w:rPr>
              <w:t>Partnership</w:t>
            </w:r>
          </w:p>
          <w:p w14:paraId="3167BFED" w14:textId="77777777" w:rsidR="007815E6" w:rsidRDefault="007815E6">
            <w:pPr>
              <w:spacing w:after="0" w:line="240" w:lineRule="auto"/>
              <w:jc w:val="left"/>
              <w:rPr>
                <w:rFonts w:ascii="Consolas" w:hAnsi="Consolas"/>
                <w:caps w:val="0"/>
                <w:kern w:val="32"/>
                <w:sz w:val="32"/>
                <w:szCs w:val="32"/>
              </w:rPr>
            </w:pPr>
          </w:p>
        </w:tc>
        <w:tc>
          <w:tcPr>
            <w:tcW w:w="7371" w:type="dxa"/>
          </w:tcPr>
          <w:p w14:paraId="2042F3AB" w14:textId="5E6519E7" w:rsidR="007815E6" w:rsidRPr="00A27279" w:rsidRDefault="007815E6" w:rsidP="004F3EA2">
            <w:pPr>
              <w:numPr>
                <w:ilvl w:val="0"/>
                <w:numId w:val="29"/>
              </w:numPr>
              <w:spacing w:after="120" w:line="240" w:lineRule="auto"/>
              <w:ind w:left="714" w:hanging="357"/>
              <w:jc w:val="left"/>
              <w:rPr>
                <w:caps w:val="0"/>
                <w:sz w:val="22"/>
                <w:szCs w:val="22"/>
              </w:rPr>
            </w:pPr>
            <w:r w:rsidRPr="00A27279">
              <w:rPr>
                <w:rFonts w:eastAsia="Corbel" w:cs="Corbel"/>
                <w:b/>
                <w:bCs/>
                <w:caps w:val="0"/>
                <w:kern w:val="32"/>
                <w:sz w:val="22"/>
                <w:szCs w:val="22"/>
              </w:rPr>
              <w:t>Shared Decision-Making</w:t>
            </w:r>
            <w:r w:rsidRPr="00A27279">
              <w:rPr>
                <w:rFonts w:eastAsia="Corbel" w:cs="Corbel"/>
                <w:caps w:val="0"/>
                <w:kern w:val="32"/>
                <w:sz w:val="22"/>
                <w:szCs w:val="22"/>
              </w:rPr>
              <w:t xml:space="preserve">: Government and the </w:t>
            </w:r>
            <w:r w:rsidR="006D3C2B" w:rsidRPr="00A27279">
              <w:rPr>
                <w:rFonts w:eastAsia="Corbel" w:cs="Corbel"/>
                <w:caps w:val="0"/>
                <w:kern w:val="32"/>
                <w:sz w:val="22"/>
                <w:szCs w:val="22"/>
              </w:rPr>
              <w:t>Partnership Body engage in meaningful dialogue and decision-making processes where both parties have an equal say in the design and delivery of</w:t>
            </w:r>
            <w:r w:rsidR="00AC395A">
              <w:rPr>
                <w:rFonts w:eastAsia="Corbel" w:cs="Corbel"/>
                <w:caps w:val="0"/>
                <w:kern w:val="32"/>
                <w:sz w:val="22"/>
                <w:szCs w:val="22"/>
              </w:rPr>
              <w:t xml:space="preserve"> </w:t>
            </w:r>
            <w:r w:rsidR="006D3C2B" w:rsidRPr="00A27279">
              <w:rPr>
                <w:rFonts w:eastAsia="Corbel" w:cs="Corbel"/>
                <w:caps w:val="0"/>
                <w:kern w:val="32"/>
                <w:sz w:val="22"/>
                <w:szCs w:val="22"/>
              </w:rPr>
              <w:t>policies and programs</w:t>
            </w:r>
            <w:r w:rsidR="00AC395A">
              <w:rPr>
                <w:rFonts w:eastAsia="Corbel" w:cs="Corbel"/>
                <w:caps w:val="0"/>
                <w:kern w:val="32"/>
                <w:sz w:val="22"/>
                <w:szCs w:val="22"/>
              </w:rPr>
              <w:t xml:space="preserve"> related to this Agreement that</w:t>
            </w:r>
            <w:r w:rsidR="0052393C">
              <w:rPr>
                <w:rFonts w:eastAsia="Corbel" w:cs="Corbel"/>
                <w:caps w:val="0"/>
                <w:kern w:val="32"/>
                <w:sz w:val="22"/>
                <w:szCs w:val="22"/>
              </w:rPr>
              <w:t xml:space="preserve"> </w:t>
            </w:r>
            <w:r w:rsidR="00AC395A">
              <w:rPr>
                <w:rFonts w:eastAsia="Corbel" w:cs="Corbel"/>
                <w:caps w:val="0"/>
                <w:kern w:val="32"/>
                <w:sz w:val="22"/>
                <w:szCs w:val="22"/>
              </w:rPr>
              <w:t>predomina</w:t>
            </w:r>
            <w:r w:rsidR="008B072B">
              <w:rPr>
                <w:rFonts w:eastAsia="Corbel" w:cs="Corbel"/>
                <w:caps w:val="0"/>
                <w:kern w:val="32"/>
                <w:sz w:val="22"/>
                <w:szCs w:val="22"/>
              </w:rPr>
              <w:t>n</w:t>
            </w:r>
            <w:r w:rsidR="00AC395A">
              <w:rPr>
                <w:rFonts w:eastAsia="Corbel" w:cs="Corbel"/>
                <w:caps w:val="0"/>
                <w:kern w:val="32"/>
                <w:sz w:val="22"/>
                <w:szCs w:val="22"/>
              </w:rPr>
              <w:t>tly affect Aboriginal and Torres Strait Islander people</w:t>
            </w:r>
            <w:r w:rsidR="006D3C2B" w:rsidRPr="00A27279">
              <w:rPr>
                <w:rFonts w:eastAsia="Corbel" w:cs="Corbel"/>
                <w:caps w:val="0"/>
                <w:kern w:val="32"/>
                <w:sz w:val="22"/>
                <w:szCs w:val="22"/>
              </w:rPr>
              <w:t>.</w:t>
            </w:r>
          </w:p>
          <w:p w14:paraId="438ABC04" w14:textId="2B839447" w:rsidR="007815E6" w:rsidRPr="00A27279" w:rsidRDefault="007815E6" w:rsidP="004F3EA2">
            <w:pPr>
              <w:numPr>
                <w:ilvl w:val="0"/>
                <w:numId w:val="29"/>
              </w:numPr>
              <w:spacing w:after="120" w:line="240" w:lineRule="auto"/>
              <w:ind w:left="714" w:hanging="357"/>
              <w:jc w:val="left"/>
              <w:rPr>
                <w:caps w:val="0"/>
                <w:sz w:val="22"/>
                <w:szCs w:val="22"/>
              </w:rPr>
            </w:pPr>
            <w:r w:rsidRPr="00A27279">
              <w:rPr>
                <w:rFonts w:eastAsia="Corbel" w:cs="Corbel"/>
                <w:b/>
                <w:bCs/>
                <w:caps w:val="0"/>
                <w:kern w:val="32"/>
                <w:sz w:val="22"/>
                <w:szCs w:val="22"/>
              </w:rPr>
              <w:t>Capacity Building</w:t>
            </w:r>
            <w:r w:rsidRPr="00A27279">
              <w:rPr>
                <w:rFonts w:eastAsia="Corbel" w:cs="Corbel"/>
                <w:caps w:val="0"/>
                <w:kern w:val="32"/>
                <w:sz w:val="22"/>
                <w:szCs w:val="22"/>
              </w:rPr>
              <w:t>: Government supports the capacity-building efforts of the Aboriginal and Torres Strait Islander Housing Sector</w:t>
            </w:r>
            <w:r w:rsidR="006D3C2B" w:rsidRPr="00A27279">
              <w:rPr>
                <w:rFonts w:eastAsia="Corbel" w:cs="Corbel"/>
                <w:caps w:val="0"/>
                <w:kern w:val="32"/>
                <w:sz w:val="22"/>
                <w:szCs w:val="22"/>
              </w:rPr>
              <w:t xml:space="preserve"> to ensure it meets the needs of Aboriginal and Torres Strait Islander people by</w:t>
            </w:r>
            <w:r w:rsidRPr="00A27279">
              <w:rPr>
                <w:rFonts w:eastAsia="Corbel" w:cs="Corbel"/>
                <w:caps w:val="0"/>
                <w:kern w:val="32"/>
                <w:sz w:val="22"/>
                <w:szCs w:val="22"/>
              </w:rPr>
              <w:t xml:space="preserve"> empowering them to be an equal partner in decision-making processes.</w:t>
            </w:r>
          </w:p>
          <w:p w14:paraId="3C5BB793" w14:textId="71DC3F88" w:rsidR="007815E6" w:rsidRPr="00A27279" w:rsidRDefault="007815E6" w:rsidP="004F3EA2">
            <w:pPr>
              <w:numPr>
                <w:ilvl w:val="0"/>
                <w:numId w:val="29"/>
              </w:numPr>
              <w:spacing w:after="120" w:line="240" w:lineRule="auto"/>
              <w:ind w:left="714" w:hanging="357"/>
              <w:jc w:val="left"/>
              <w:rPr>
                <w:caps w:val="0"/>
                <w:sz w:val="22"/>
                <w:szCs w:val="22"/>
              </w:rPr>
            </w:pPr>
            <w:r w:rsidRPr="00A27279">
              <w:rPr>
                <w:rFonts w:eastAsia="Corbel" w:cs="Corbel"/>
                <w:b/>
                <w:bCs/>
                <w:caps w:val="0"/>
                <w:kern w:val="32"/>
                <w:sz w:val="22"/>
                <w:szCs w:val="22"/>
              </w:rPr>
              <w:t>Cultural Competence and Sensitivity</w:t>
            </w:r>
            <w:r w:rsidRPr="00A27279">
              <w:rPr>
                <w:rFonts w:eastAsia="Corbel" w:cs="Corbel"/>
                <w:caps w:val="0"/>
                <w:kern w:val="32"/>
                <w:sz w:val="22"/>
                <w:szCs w:val="22"/>
              </w:rPr>
              <w:t>: Government</w:t>
            </w:r>
            <w:r w:rsidR="006D3C2B" w:rsidRPr="00A27279">
              <w:rPr>
                <w:rFonts w:eastAsia="Corbel" w:cs="Corbel"/>
                <w:caps w:val="0"/>
                <w:kern w:val="32"/>
                <w:sz w:val="22"/>
                <w:szCs w:val="22"/>
              </w:rPr>
              <w:t>s</w:t>
            </w:r>
            <w:r w:rsidRPr="00A27279">
              <w:rPr>
                <w:rFonts w:eastAsia="Corbel" w:cs="Corbel"/>
                <w:caps w:val="0"/>
                <w:kern w:val="32"/>
                <w:sz w:val="22"/>
                <w:szCs w:val="22"/>
              </w:rPr>
              <w:t xml:space="preserve"> </w:t>
            </w:r>
            <w:r w:rsidR="006D3C2B" w:rsidRPr="00A27279">
              <w:rPr>
                <w:rFonts w:eastAsia="Corbel" w:cs="Corbel"/>
                <w:caps w:val="0"/>
                <w:kern w:val="32"/>
                <w:sz w:val="22"/>
                <w:szCs w:val="22"/>
              </w:rPr>
              <w:t>and the Partnership Body</w:t>
            </w:r>
            <w:r w:rsidRPr="00A27279">
              <w:rPr>
                <w:rFonts w:eastAsia="Corbel" w:cs="Corbel"/>
                <w:caps w:val="0"/>
                <w:kern w:val="32"/>
                <w:sz w:val="22"/>
                <w:szCs w:val="22"/>
              </w:rPr>
              <w:t xml:space="preserve"> demonstrate cultural competence and sensitivity in their interactions with Aboriginal and Torres Strait Islander people, understanding and respecting cultural protocols, practices, and values.</w:t>
            </w:r>
          </w:p>
          <w:p w14:paraId="259E5F3E" w14:textId="297E3925" w:rsidR="007815E6" w:rsidRPr="00A27279" w:rsidRDefault="007815E6" w:rsidP="004F3EA2">
            <w:pPr>
              <w:numPr>
                <w:ilvl w:val="0"/>
                <w:numId w:val="29"/>
              </w:numPr>
              <w:spacing w:after="120" w:line="240" w:lineRule="auto"/>
              <w:ind w:left="714" w:hanging="357"/>
              <w:jc w:val="left"/>
              <w:rPr>
                <w:caps w:val="0"/>
                <w:sz w:val="22"/>
                <w:szCs w:val="22"/>
              </w:rPr>
            </w:pPr>
            <w:r w:rsidRPr="00A27279">
              <w:rPr>
                <w:rFonts w:eastAsia="Corbel" w:cs="Corbel"/>
                <w:b/>
                <w:bCs/>
                <w:caps w:val="0"/>
                <w:kern w:val="32"/>
                <w:sz w:val="22"/>
                <w:szCs w:val="22"/>
              </w:rPr>
              <w:t>Long-Term Commitment</w:t>
            </w:r>
            <w:r w:rsidRPr="00A27279">
              <w:rPr>
                <w:rFonts w:eastAsia="Corbel" w:cs="Corbel"/>
                <w:caps w:val="0"/>
                <w:kern w:val="32"/>
                <w:sz w:val="22"/>
                <w:szCs w:val="22"/>
              </w:rPr>
              <w:t xml:space="preserve">: True partnership and co-design require a long-term commitment from both </w:t>
            </w:r>
            <w:r w:rsidR="006D3C2B" w:rsidRPr="00A27279">
              <w:rPr>
                <w:rFonts w:eastAsia="Corbel" w:cs="Corbel"/>
                <w:caps w:val="0"/>
                <w:kern w:val="32"/>
                <w:sz w:val="22"/>
                <w:szCs w:val="22"/>
              </w:rPr>
              <w:t>g</w:t>
            </w:r>
            <w:r w:rsidRPr="00A27279">
              <w:rPr>
                <w:rFonts w:eastAsia="Corbel" w:cs="Corbel"/>
                <w:caps w:val="0"/>
                <w:kern w:val="32"/>
                <w:sz w:val="22"/>
                <w:szCs w:val="22"/>
              </w:rPr>
              <w:t>overnment</w:t>
            </w:r>
            <w:r w:rsidR="006D3C2B" w:rsidRPr="00A27279">
              <w:rPr>
                <w:rFonts w:eastAsia="Corbel" w:cs="Corbel"/>
                <w:caps w:val="0"/>
                <w:kern w:val="32"/>
                <w:sz w:val="22"/>
                <w:szCs w:val="22"/>
              </w:rPr>
              <w:t>s</w:t>
            </w:r>
            <w:r w:rsidRPr="00A27279">
              <w:rPr>
                <w:rFonts w:eastAsia="Corbel" w:cs="Corbel"/>
                <w:caps w:val="0"/>
                <w:kern w:val="32"/>
                <w:sz w:val="22"/>
                <w:szCs w:val="22"/>
              </w:rPr>
              <w:t xml:space="preserve"> and Aboriginal and Torres Strait Islander stakeholders. This involves sustained engagement, investment, and collaboration to address systemic housing and homelessness issues </w:t>
            </w:r>
            <w:r w:rsidR="006D3C2B" w:rsidRPr="00A27279">
              <w:rPr>
                <w:rFonts w:eastAsia="Corbel" w:cs="Corbel"/>
                <w:caps w:val="0"/>
                <w:kern w:val="32"/>
                <w:sz w:val="22"/>
                <w:szCs w:val="22"/>
              </w:rPr>
              <w:t xml:space="preserve">in a culturally sensitive manner </w:t>
            </w:r>
            <w:r w:rsidRPr="00A27279">
              <w:rPr>
                <w:rFonts w:eastAsia="Corbel" w:cs="Corbel"/>
                <w:caps w:val="0"/>
                <w:kern w:val="32"/>
                <w:sz w:val="22"/>
                <w:szCs w:val="22"/>
              </w:rPr>
              <w:t>and achieve meaningful outcomes.</w:t>
            </w:r>
          </w:p>
          <w:p w14:paraId="47B88306" w14:textId="77777777" w:rsidR="007815E6" w:rsidRPr="00A27279" w:rsidRDefault="007815E6" w:rsidP="004F3EA2">
            <w:pPr>
              <w:numPr>
                <w:ilvl w:val="0"/>
                <w:numId w:val="29"/>
              </w:numPr>
              <w:spacing w:after="120" w:line="240" w:lineRule="auto"/>
              <w:ind w:left="714" w:hanging="357"/>
              <w:jc w:val="left"/>
              <w:rPr>
                <w:caps w:val="0"/>
                <w:sz w:val="22"/>
                <w:szCs w:val="22"/>
              </w:rPr>
            </w:pPr>
            <w:r w:rsidRPr="00A27279">
              <w:rPr>
                <w:rFonts w:eastAsia="Corbel" w:cs="Corbel"/>
                <w:b/>
                <w:bCs/>
                <w:caps w:val="0"/>
                <w:kern w:val="32"/>
                <w:sz w:val="22"/>
                <w:szCs w:val="22"/>
              </w:rPr>
              <w:t>Accountability and Evaluation</w:t>
            </w:r>
            <w:r w:rsidRPr="00A27279">
              <w:rPr>
                <w:rFonts w:eastAsia="Corbel" w:cs="Corbel"/>
                <w:caps w:val="0"/>
                <w:kern w:val="32"/>
                <w:sz w:val="22"/>
                <w:szCs w:val="22"/>
              </w:rPr>
              <w:t>: Both parties agree on mechanisms for accountability and evaluation to ensure that agreed-upon initiatives are effectively implemented and deliver positive outcomes for Aboriginal and Torres Strait Islander communities. This may involve regular reviews, reporting mechanisms, and feedback loops.</w:t>
            </w:r>
          </w:p>
          <w:p w14:paraId="7AD577E5" w14:textId="77777777" w:rsidR="007815E6" w:rsidRPr="00A27279" w:rsidRDefault="007815E6" w:rsidP="004F3EA2">
            <w:pPr>
              <w:numPr>
                <w:ilvl w:val="0"/>
                <w:numId w:val="29"/>
              </w:numPr>
              <w:spacing w:after="120" w:line="240" w:lineRule="auto"/>
              <w:ind w:left="714" w:hanging="357"/>
              <w:jc w:val="left"/>
              <w:rPr>
                <w:caps w:val="0"/>
                <w:sz w:val="22"/>
                <w:szCs w:val="22"/>
              </w:rPr>
            </w:pPr>
            <w:r w:rsidRPr="00A27279">
              <w:rPr>
                <w:rFonts w:eastAsia="Corbel" w:cs="Corbel"/>
                <w:b/>
                <w:bCs/>
                <w:caps w:val="0"/>
                <w:kern w:val="32"/>
                <w:sz w:val="22"/>
                <w:szCs w:val="22"/>
              </w:rPr>
              <w:t>Holistic Approach</w:t>
            </w:r>
            <w:r w:rsidRPr="00A27279">
              <w:rPr>
                <w:rFonts w:eastAsia="Corbel" w:cs="Corbel"/>
                <w:caps w:val="0"/>
                <w:kern w:val="32"/>
                <w:sz w:val="22"/>
                <w:szCs w:val="22"/>
              </w:rPr>
              <w:t>: Partnership and co-design efforts should take a holistic approach, addressing the interconnected social, economic, cultural, and environmental factors that impact Aboriginal and Torres Strait Islander communities' well-being and prosperity.</w:t>
            </w:r>
          </w:p>
          <w:p w14:paraId="743AA4B0" w14:textId="35DD0EE5" w:rsidR="007815E6" w:rsidRPr="00A27279" w:rsidRDefault="007815E6" w:rsidP="004F3EA2">
            <w:pPr>
              <w:numPr>
                <w:ilvl w:val="0"/>
                <w:numId w:val="29"/>
              </w:numPr>
              <w:spacing w:after="120" w:line="240" w:lineRule="auto"/>
              <w:ind w:left="714" w:hanging="357"/>
              <w:jc w:val="left"/>
              <w:rPr>
                <w:rFonts w:ascii="Consolas" w:hAnsi="Consolas"/>
                <w:caps w:val="0"/>
                <w:sz w:val="22"/>
                <w:szCs w:val="22"/>
              </w:rPr>
            </w:pPr>
            <w:r w:rsidRPr="00A27279">
              <w:rPr>
                <w:rFonts w:eastAsia="Corbel" w:cs="Corbel"/>
                <w:b/>
                <w:bCs/>
                <w:caps w:val="0"/>
                <w:kern w:val="32"/>
                <w:sz w:val="22"/>
                <w:szCs w:val="22"/>
              </w:rPr>
              <w:t>Reconciliation and Healing</w:t>
            </w:r>
            <w:r w:rsidRPr="00A27279">
              <w:rPr>
                <w:rFonts w:eastAsia="Corbel" w:cs="Corbel"/>
                <w:caps w:val="0"/>
                <w:kern w:val="32"/>
                <w:sz w:val="22"/>
                <w:szCs w:val="22"/>
              </w:rPr>
              <w:t xml:space="preserve">: True partnership involves a commitment to reconciliation, healing, and </w:t>
            </w:r>
            <w:r w:rsidR="00C8661B" w:rsidRPr="00A27279">
              <w:rPr>
                <w:rFonts w:eastAsia="Corbel" w:cs="Corbel"/>
                <w:caps w:val="0"/>
                <w:kern w:val="32"/>
                <w:sz w:val="22"/>
                <w:szCs w:val="22"/>
              </w:rPr>
              <w:t>truth telling.</w:t>
            </w:r>
          </w:p>
        </w:tc>
      </w:tr>
      <w:tr w:rsidR="000A33A1" w14:paraId="1DA74345" w14:textId="77777777" w:rsidTr="006F6DB7">
        <w:tc>
          <w:tcPr>
            <w:tcW w:w="2245" w:type="dxa"/>
          </w:tcPr>
          <w:p w14:paraId="3B2A4C3E" w14:textId="391508D6" w:rsidR="000A33A1" w:rsidRPr="000A33A1" w:rsidRDefault="000A33A1">
            <w:pPr>
              <w:spacing w:after="0" w:line="240" w:lineRule="auto"/>
              <w:jc w:val="left"/>
              <w:rPr>
                <w:rFonts w:ascii="Consolas" w:hAnsi="Consolas"/>
                <w:kern w:val="32"/>
                <w:sz w:val="32"/>
                <w:szCs w:val="32"/>
              </w:rPr>
            </w:pPr>
            <w:r w:rsidRPr="000A33A1">
              <w:rPr>
                <w:bCs/>
                <w:kern w:val="32"/>
                <w:sz w:val="24"/>
                <w:szCs w:val="24"/>
              </w:rPr>
              <w:t>General Funding</w:t>
            </w:r>
          </w:p>
        </w:tc>
        <w:tc>
          <w:tcPr>
            <w:tcW w:w="7371" w:type="dxa"/>
          </w:tcPr>
          <w:p w14:paraId="60BBBF50" w14:textId="1311EAC6" w:rsidR="000A33A1" w:rsidRPr="001A7C6A" w:rsidRDefault="000A33A1" w:rsidP="00F81EC6">
            <w:pPr>
              <w:spacing w:after="0" w:line="240" w:lineRule="auto"/>
              <w:jc w:val="left"/>
              <w:rPr>
                <w:iCs/>
                <w:kern w:val="32"/>
                <w:sz w:val="22"/>
                <w:szCs w:val="32"/>
              </w:rPr>
            </w:pPr>
            <w:r w:rsidRPr="001A7C6A">
              <w:rPr>
                <w:iCs/>
                <w:kern w:val="32"/>
                <w:sz w:val="22"/>
                <w:szCs w:val="32"/>
              </w:rPr>
              <w:t>For the purposes of this Agreement, a Commonwealth financial contribution to a State</w:t>
            </w:r>
            <w:r w:rsidR="00F81EC6">
              <w:rPr>
                <w:iCs/>
                <w:kern w:val="32"/>
                <w:sz w:val="22"/>
                <w:szCs w:val="32"/>
              </w:rPr>
              <w:t xml:space="preserve"> </w:t>
            </w:r>
            <w:r w:rsidRPr="00F81EC6">
              <w:rPr>
                <w:iCs/>
                <w:kern w:val="32"/>
                <w:sz w:val="22"/>
                <w:szCs w:val="32"/>
              </w:rPr>
              <w:t>other than that which is designated specified homelessness funding for the purposes of subsection 15C(7) of the FFR Act</w:t>
            </w:r>
            <w:r w:rsidR="00F81EC6">
              <w:rPr>
                <w:iCs/>
                <w:kern w:val="32"/>
                <w:sz w:val="22"/>
                <w:szCs w:val="32"/>
              </w:rPr>
              <w:t>.</w:t>
            </w:r>
          </w:p>
        </w:tc>
      </w:tr>
      <w:tr w:rsidR="00F00230" w14:paraId="57A05672" w14:textId="77777777" w:rsidTr="006F6DB7">
        <w:tc>
          <w:tcPr>
            <w:tcW w:w="2245" w:type="dxa"/>
          </w:tcPr>
          <w:p w14:paraId="385AD0E0" w14:textId="02587A15" w:rsidR="00F00230" w:rsidRPr="00F00230" w:rsidRDefault="00F00230">
            <w:pPr>
              <w:spacing w:after="0" w:line="240" w:lineRule="auto"/>
              <w:jc w:val="left"/>
              <w:rPr>
                <w:bCs/>
                <w:caps/>
                <w:kern w:val="32"/>
                <w:sz w:val="24"/>
                <w:szCs w:val="24"/>
              </w:rPr>
            </w:pPr>
            <w:r>
              <w:rPr>
                <w:bCs/>
                <w:kern w:val="32"/>
                <w:sz w:val="24"/>
                <w:szCs w:val="24"/>
              </w:rPr>
              <w:t>Social Housing</w:t>
            </w:r>
          </w:p>
        </w:tc>
        <w:tc>
          <w:tcPr>
            <w:tcW w:w="7371" w:type="dxa"/>
          </w:tcPr>
          <w:p w14:paraId="0F0BED6E" w14:textId="0F3FA805" w:rsidR="00F00230" w:rsidRPr="00F00230" w:rsidRDefault="00F00230">
            <w:pPr>
              <w:spacing w:after="0" w:line="240" w:lineRule="auto"/>
              <w:jc w:val="left"/>
              <w:rPr>
                <w:bCs/>
                <w:caps/>
                <w:kern w:val="32"/>
                <w:sz w:val="24"/>
                <w:szCs w:val="24"/>
              </w:rPr>
            </w:pPr>
            <w:r>
              <w:rPr>
                <w:iCs/>
                <w:kern w:val="32"/>
                <w:sz w:val="22"/>
                <w:szCs w:val="32"/>
              </w:rPr>
              <w:t xml:space="preserve">Social housing is subsidised rental housing provided by not-for-profit, non-government or government organisations. </w:t>
            </w:r>
            <w:r w:rsidRPr="00F00230">
              <w:rPr>
                <w:iCs/>
                <w:kern w:val="32"/>
                <w:sz w:val="22"/>
                <w:szCs w:val="32"/>
              </w:rPr>
              <w:t>Programs in scop</w:t>
            </w:r>
            <w:r>
              <w:rPr>
                <w:iCs/>
                <w:kern w:val="32"/>
                <w:sz w:val="22"/>
                <w:szCs w:val="32"/>
              </w:rPr>
              <w:t>e include public housing, State Owned and Managed Indigenous Housing (SOMIH), community housing and Indigenous community housing. Programs out-of-scope include affordable housing, home purchase assistance, specialist homelessness services and crisis accommodation programs.</w:t>
            </w:r>
          </w:p>
        </w:tc>
      </w:tr>
      <w:tr w:rsidR="00F00230" w14:paraId="5551603D" w14:textId="77777777" w:rsidTr="006F6DB7">
        <w:tc>
          <w:tcPr>
            <w:tcW w:w="2245" w:type="dxa"/>
          </w:tcPr>
          <w:p w14:paraId="05F5F262" w14:textId="50EE7CF2" w:rsidR="00F00230" w:rsidRDefault="00F00230">
            <w:pPr>
              <w:spacing w:after="0" w:line="240" w:lineRule="auto"/>
              <w:jc w:val="left"/>
              <w:rPr>
                <w:bCs/>
                <w:kern w:val="32"/>
                <w:sz w:val="24"/>
                <w:szCs w:val="24"/>
              </w:rPr>
            </w:pPr>
            <w:r>
              <w:rPr>
                <w:bCs/>
                <w:kern w:val="32"/>
                <w:sz w:val="24"/>
                <w:szCs w:val="24"/>
              </w:rPr>
              <w:t>Homelessness services</w:t>
            </w:r>
          </w:p>
        </w:tc>
        <w:tc>
          <w:tcPr>
            <w:tcW w:w="7371" w:type="dxa"/>
          </w:tcPr>
          <w:p w14:paraId="476052B2" w14:textId="31686753" w:rsidR="00F00230" w:rsidRDefault="00F00230">
            <w:pPr>
              <w:spacing w:after="0" w:line="240" w:lineRule="auto"/>
              <w:jc w:val="left"/>
              <w:rPr>
                <w:iCs/>
                <w:kern w:val="32"/>
                <w:sz w:val="22"/>
                <w:szCs w:val="32"/>
              </w:rPr>
            </w:pPr>
            <w:r w:rsidRPr="00F00230">
              <w:rPr>
                <w:iCs/>
                <w:kern w:val="32"/>
                <w:sz w:val="22"/>
                <w:szCs w:val="32"/>
              </w:rPr>
              <w:t>Government and non</w:t>
            </w:r>
            <w:r w:rsidRPr="00F00230">
              <w:rPr>
                <w:rFonts w:ascii="Cambria Math" w:hAnsi="Cambria Math" w:cs="Cambria Math"/>
                <w:iCs/>
                <w:kern w:val="32"/>
                <w:sz w:val="22"/>
                <w:szCs w:val="32"/>
              </w:rPr>
              <w:t>‑</w:t>
            </w:r>
            <w:r w:rsidRPr="00F00230">
              <w:rPr>
                <w:iCs/>
                <w:kern w:val="32"/>
                <w:sz w:val="22"/>
                <w:szCs w:val="32"/>
              </w:rPr>
              <w:t xml:space="preserve">government specialist homelessness services deliver a range of services to </w:t>
            </w:r>
            <w:r w:rsidR="0088483C">
              <w:rPr>
                <w:iCs/>
                <w:kern w:val="32"/>
                <w:sz w:val="22"/>
                <w:szCs w:val="32"/>
              </w:rPr>
              <w:t>people who are homeless or at risk of homelessness</w:t>
            </w:r>
            <w:r w:rsidR="0088483C" w:rsidRPr="00F00230">
              <w:rPr>
                <w:iCs/>
                <w:kern w:val="32"/>
                <w:sz w:val="22"/>
                <w:szCs w:val="32"/>
              </w:rPr>
              <w:t xml:space="preserve"> </w:t>
            </w:r>
            <w:r w:rsidRPr="00F00230">
              <w:rPr>
                <w:rFonts w:cs="Corbel"/>
                <w:iCs/>
                <w:kern w:val="32"/>
                <w:sz w:val="22"/>
                <w:szCs w:val="32"/>
              </w:rPr>
              <w:t>–</w:t>
            </w:r>
            <w:r w:rsidRPr="00F00230">
              <w:rPr>
                <w:iCs/>
                <w:kern w:val="32"/>
                <w:sz w:val="22"/>
                <w:szCs w:val="32"/>
              </w:rPr>
              <w:t xml:space="preserve"> including supported accommodation, counselling, advocacy, links to housing, health, education and employment services, outreach support, brokerage and meals services, and financial and employment assistance.</w:t>
            </w:r>
            <w:r>
              <w:rPr>
                <w:iCs/>
                <w:kern w:val="32"/>
                <w:sz w:val="22"/>
                <w:szCs w:val="32"/>
              </w:rPr>
              <w:t xml:space="preserve"> The focus of the Agreement is on specialist homelessness services. </w:t>
            </w:r>
          </w:p>
        </w:tc>
      </w:tr>
    </w:tbl>
    <w:p w14:paraId="6178C4D5" w14:textId="77777777" w:rsidR="003B201B" w:rsidRDefault="003B201B" w:rsidP="003B201B">
      <w:pPr>
        <w:spacing w:after="0" w:line="276" w:lineRule="auto"/>
        <w:rPr>
          <w:rFonts w:cs="Corbel"/>
          <w:bCs/>
          <w:color w:val="000000" w:themeColor="text1"/>
          <w:szCs w:val="23"/>
        </w:rPr>
        <w:sectPr w:rsidR="003B201B" w:rsidSect="00F42F0F">
          <w:footerReference w:type="default" r:id="rId7"/>
          <w:type w:val="oddPage"/>
          <w:pgSz w:w="11906" w:h="16838"/>
          <w:pgMar w:top="1440" w:right="1440" w:bottom="1440" w:left="1440" w:header="708" w:footer="708" w:gutter="0"/>
          <w:cols w:space="720"/>
        </w:sectPr>
      </w:pPr>
    </w:p>
    <w:p w14:paraId="56396492" w14:textId="1B5E4547" w:rsidR="00113FAB" w:rsidRDefault="00B85874" w:rsidP="00113FAB">
      <w:pPr>
        <w:pStyle w:val="Heading1"/>
        <w:rPr>
          <w:szCs w:val="32"/>
        </w:rPr>
      </w:pPr>
      <w:r w:rsidRPr="00113FAB">
        <w:rPr>
          <w:szCs w:val="32"/>
        </w:rPr>
        <w:lastRenderedPageBreak/>
        <w:t xml:space="preserve">SCHEDULE </w:t>
      </w:r>
      <w:r w:rsidR="00AD5B54" w:rsidRPr="00113FAB">
        <w:rPr>
          <w:szCs w:val="32"/>
        </w:rPr>
        <w:t>A</w:t>
      </w:r>
      <w:r w:rsidR="00113FAB" w:rsidRPr="00113FAB">
        <w:rPr>
          <w:szCs w:val="32"/>
        </w:rPr>
        <w:t xml:space="preserve"> –</w:t>
      </w:r>
      <w:r w:rsidR="00113FAB">
        <w:rPr>
          <w:szCs w:val="32"/>
        </w:rPr>
        <w:t xml:space="preserve"> </w:t>
      </w:r>
      <w:r w:rsidR="000C3A36" w:rsidRPr="00113FAB">
        <w:rPr>
          <w:szCs w:val="32"/>
        </w:rPr>
        <w:t xml:space="preserve">National </w:t>
      </w:r>
      <w:r w:rsidR="545F6453" w:rsidRPr="00113FAB">
        <w:rPr>
          <w:szCs w:val="32"/>
        </w:rPr>
        <w:t>Outcomes</w:t>
      </w:r>
      <w:r w:rsidR="3AC8F757" w:rsidRPr="00113FAB">
        <w:rPr>
          <w:szCs w:val="32"/>
        </w:rPr>
        <w:t xml:space="preserve"> </w:t>
      </w:r>
      <w:r w:rsidR="000C3A36" w:rsidRPr="00113FAB">
        <w:rPr>
          <w:szCs w:val="32"/>
        </w:rPr>
        <w:t>F</w:t>
      </w:r>
      <w:r w:rsidR="00783539" w:rsidRPr="00113FAB">
        <w:rPr>
          <w:szCs w:val="32"/>
        </w:rPr>
        <w:t>ramework</w:t>
      </w:r>
    </w:p>
    <w:p w14:paraId="30CC16C2" w14:textId="7732472C" w:rsidR="004631EC" w:rsidRPr="00113FAB" w:rsidRDefault="00057610" w:rsidP="00113FAB">
      <w:pPr>
        <w:pStyle w:val="Heading2"/>
        <w:rPr>
          <w:rFonts w:ascii="Consolas" w:hAnsi="Consolas"/>
          <w:b w:val="0"/>
          <w:caps/>
          <w:color w:val="auto"/>
          <w:kern w:val="32"/>
          <w:sz w:val="32"/>
          <w:szCs w:val="32"/>
        </w:rPr>
      </w:pPr>
      <w:r w:rsidRPr="00113FAB">
        <w:rPr>
          <w:rFonts w:ascii="Consolas" w:hAnsi="Consolas"/>
          <w:b w:val="0"/>
          <w:caps/>
          <w:color w:val="auto"/>
          <w:kern w:val="32"/>
          <w:sz w:val="32"/>
          <w:szCs w:val="32"/>
        </w:rPr>
        <w:t>Social Housing</w:t>
      </w:r>
    </w:p>
    <w:p w14:paraId="074A4F27" w14:textId="2EC3B8C7" w:rsidR="006B264D" w:rsidRDefault="0001007A" w:rsidP="0001007A">
      <w:r w:rsidRPr="0001007A">
        <w:rPr>
          <w:b/>
          <w:bCs/>
        </w:rPr>
        <w:t>*</w:t>
      </w:r>
      <w:r>
        <w:rPr>
          <w:b/>
          <w:bCs/>
        </w:rPr>
        <w:t xml:space="preserve"> </w:t>
      </w:r>
      <w:r w:rsidR="006B264D" w:rsidRPr="0001007A">
        <w:rPr>
          <w:b/>
          <w:bCs/>
        </w:rPr>
        <w:t xml:space="preserve">Compulsory </w:t>
      </w:r>
      <w:r w:rsidR="00091CC5" w:rsidRPr="0001007A">
        <w:rPr>
          <w:b/>
          <w:bCs/>
        </w:rPr>
        <w:t>measures</w:t>
      </w:r>
      <w:r w:rsidR="006B264D">
        <w:t>. They must be included in states</w:t>
      </w:r>
      <w:r w:rsidR="00D52626">
        <w:t>’</w:t>
      </w:r>
      <w:r w:rsidR="006B264D">
        <w:t xml:space="preserve"> reporting.</w:t>
      </w:r>
    </w:p>
    <w:p w14:paraId="6A5C8DCE" w14:textId="31D448C3" w:rsidR="0067545D" w:rsidRPr="006B264D" w:rsidRDefault="0067545D" w:rsidP="006B264D">
      <w:bookmarkStart w:id="13" w:name="_Hlk162883232"/>
      <w:r>
        <w:t>All social housing measures will be disaggregated by program type: public housing, SOMIH, community housing and Indigenous community housing.</w:t>
      </w:r>
    </w:p>
    <w:bookmarkEnd w:id="13"/>
    <w:tbl>
      <w:tblPr>
        <w:tblW w:w="13041"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0"/>
        <w:gridCol w:w="2410"/>
        <w:gridCol w:w="2409"/>
        <w:gridCol w:w="3119"/>
        <w:gridCol w:w="2693"/>
      </w:tblGrid>
      <w:tr w:rsidR="00057610" w:rsidRPr="003524BB" w14:paraId="1988D504" w14:textId="77777777" w:rsidTr="00057610">
        <w:trPr>
          <w:trHeight w:val="1125"/>
        </w:trPr>
        <w:tc>
          <w:tcPr>
            <w:tcW w:w="2410" w:type="dxa"/>
            <w:tcBorders>
              <w:top w:val="single" w:sz="6" w:space="0" w:color="auto"/>
              <w:left w:val="single" w:sz="6" w:space="0" w:color="auto"/>
              <w:bottom w:val="single" w:sz="6" w:space="0" w:color="auto"/>
              <w:right w:val="single" w:sz="6" w:space="0" w:color="auto"/>
            </w:tcBorders>
          </w:tcPr>
          <w:p w14:paraId="06939F60" w14:textId="77777777" w:rsidR="00057610" w:rsidRDefault="00057610" w:rsidP="00057610">
            <w:pPr>
              <w:spacing w:after="0" w:line="240" w:lineRule="auto"/>
              <w:jc w:val="center"/>
              <w:textAlignment w:val="baseline"/>
              <w:rPr>
                <w:rFonts w:cs="Arial"/>
                <w:b/>
                <w:color w:val="3D4B67"/>
                <w:sz w:val="29"/>
                <w:szCs w:val="29"/>
              </w:rPr>
            </w:pPr>
          </w:p>
          <w:p w14:paraId="3AE59D34" w14:textId="4960185E" w:rsidR="00057610" w:rsidRPr="1111D8F2" w:rsidRDefault="00057610" w:rsidP="00057610">
            <w:pPr>
              <w:spacing w:after="0" w:line="240" w:lineRule="auto"/>
              <w:jc w:val="center"/>
              <w:textAlignment w:val="baseline"/>
              <w:rPr>
                <w:rFonts w:cs="Arial"/>
                <w:b/>
                <w:color w:val="3D4B67"/>
                <w:sz w:val="29"/>
                <w:szCs w:val="29"/>
              </w:rPr>
            </w:pPr>
            <w:r>
              <w:rPr>
                <w:rFonts w:cs="Arial"/>
                <w:b/>
                <w:color w:val="3D4B67"/>
                <w:sz w:val="29"/>
                <w:szCs w:val="29"/>
              </w:rPr>
              <w:t>Objective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F8BDA0" w14:textId="77B4FA42" w:rsidR="00057610" w:rsidRPr="00F40C51" w:rsidRDefault="00057610" w:rsidP="00057610">
            <w:pPr>
              <w:spacing w:after="0" w:line="240" w:lineRule="auto"/>
              <w:jc w:val="center"/>
              <w:textAlignment w:val="baseline"/>
              <w:rPr>
                <w:rFonts w:cs="Arial"/>
                <w:b/>
                <w:color w:val="3D4B67"/>
                <w:sz w:val="29"/>
                <w:szCs w:val="29"/>
              </w:rPr>
            </w:pPr>
            <w:r w:rsidRPr="1111D8F2">
              <w:rPr>
                <w:rFonts w:cs="Arial"/>
                <w:b/>
                <w:color w:val="3D4B67"/>
                <w:sz w:val="29"/>
                <w:szCs w:val="29"/>
              </w:rPr>
              <w:t>Outcomes</w:t>
            </w:r>
          </w:p>
        </w:tc>
        <w:tc>
          <w:tcPr>
            <w:tcW w:w="2409"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68F7745" w14:textId="416DE6E7" w:rsidR="00057610" w:rsidRPr="00F40C51" w:rsidRDefault="00595282" w:rsidP="00057610">
            <w:pPr>
              <w:spacing w:after="0" w:line="240" w:lineRule="auto"/>
              <w:jc w:val="center"/>
              <w:textAlignment w:val="baseline"/>
              <w:rPr>
                <w:rFonts w:cs="Arial"/>
                <w:b/>
                <w:color w:val="3D4B67"/>
                <w:sz w:val="29"/>
                <w:szCs w:val="29"/>
              </w:rPr>
            </w:pPr>
            <w:r w:rsidRPr="1111D8F2">
              <w:rPr>
                <w:rFonts w:cs="Arial"/>
                <w:b/>
                <w:color w:val="3D4B67"/>
                <w:sz w:val="29"/>
                <w:szCs w:val="29"/>
              </w:rPr>
              <w:t xml:space="preserve">Indicators </w:t>
            </w:r>
          </w:p>
        </w:tc>
        <w:tc>
          <w:tcPr>
            <w:tcW w:w="3119"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8DF6B3B" w14:textId="303FF99F" w:rsidR="00057610" w:rsidRPr="006C4278" w:rsidRDefault="00595282" w:rsidP="00057610">
            <w:pPr>
              <w:spacing w:after="0" w:line="240" w:lineRule="auto"/>
              <w:jc w:val="center"/>
              <w:textAlignment w:val="baseline"/>
              <w:rPr>
                <w:rFonts w:cs="Arial"/>
                <w:b/>
                <w:color w:val="3D4B67"/>
                <w:sz w:val="29"/>
                <w:szCs w:val="29"/>
              </w:rPr>
            </w:pPr>
            <w:r w:rsidRPr="006C4278">
              <w:rPr>
                <w:rFonts w:cs="Arial"/>
                <w:b/>
                <w:color w:val="3D4B67"/>
                <w:sz w:val="29"/>
                <w:szCs w:val="29"/>
              </w:rPr>
              <w:t>Measures</w:t>
            </w:r>
          </w:p>
        </w:tc>
        <w:tc>
          <w:tcPr>
            <w:tcW w:w="2693"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E21961D" w14:textId="59A1BBFC" w:rsidR="00057610" w:rsidRPr="006C4278" w:rsidRDefault="00057610" w:rsidP="00057610">
            <w:pPr>
              <w:spacing w:after="0" w:line="240" w:lineRule="auto"/>
              <w:jc w:val="center"/>
              <w:textAlignment w:val="baseline"/>
              <w:rPr>
                <w:rFonts w:cs="Arial"/>
                <w:b/>
                <w:color w:val="3D4B67"/>
                <w:sz w:val="29"/>
                <w:szCs w:val="29"/>
              </w:rPr>
            </w:pPr>
            <w:r w:rsidRPr="006C4278">
              <w:rPr>
                <w:rFonts w:cs="Arial"/>
                <w:b/>
                <w:color w:val="3D4B67"/>
                <w:sz w:val="29"/>
                <w:szCs w:val="29"/>
              </w:rPr>
              <w:t>Possible Data Source</w:t>
            </w:r>
          </w:p>
        </w:tc>
      </w:tr>
      <w:tr w:rsidR="00057610" w:rsidRPr="003524BB" w14:paraId="2EF4687B" w14:textId="77777777" w:rsidTr="00057610">
        <w:trPr>
          <w:trHeight w:val="1125"/>
        </w:trPr>
        <w:tc>
          <w:tcPr>
            <w:tcW w:w="2410" w:type="dxa"/>
            <w:vMerge w:val="restart"/>
            <w:tcBorders>
              <w:top w:val="outset" w:sz="6" w:space="0" w:color="auto"/>
              <w:left w:val="single" w:sz="6" w:space="0" w:color="auto"/>
              <w:right w:val="single" w:sz="6" w:space="0" w:color="auto"/>
            </w:tcBorders>
          </w:tcPr>
          <w:p w14:paraId="67562CE5" w14:textId="00E37226" w:rsidR="00057610" w:rsidRPr="007C210A" w:rsidRDefault="00057610" w:rsidP="007B03AC">
            <w:pPr>
              <w:spacing w:after="0" w:line="240" w:lineRule="auto"/>
              <w:jc w:val="left"/>
              <w:textAlignment w:val="baseline"/>
              <w:rPr>
                <w:rFonts w:asciiTheme="minorHAnsi" w:hAnsiTheme="minorHAnsi" w:cstheme="minorHAnsi"/>
                <w:color w:val="auto"/>
                <w:sz w:val="22"/>
                <w:szCs w:val="22"/>
              </w:rPr>
            </w:pPr>
            <w:r w:rsidRPr="007C210A">
              <w:rPr>
                <w:rFonts w:asciiTheme="minorHAnsi" w:hAnsiTheme="minorHAnsi" w:cstheme="minorHAnsi"/>
                <w:color w:val="auto"/>
                <w:sz w:val="22"/>
                <w:szCs w:val="22"/>
              </w:rPr>
              <w:t>To support people who are experiencing, or at risk of, long-term homelessness or are otherwise unable to sustain housing in the private rental market to obtain and sustain social housing </w:t>
            </w:r>
          </w:p>
        </w:tc>
        <w:tc>
          <w:tcPr>
            <w:tcW w:w="2410" w:type="dxa"/>
            <w:vMerge w:val="restart"/>
            <w:tcBorders>
              <w:top w:val="outset" w:sz="6" w:space="0" w:color="auto"/>
              <w:left w:val="single" w:sz="6" w:space="0" w:color="auto"/>
              <w:bottom w:val="nil"/>
              <w:right w:val="single" w:sz="6" w:space="0" w:color="auto"/>
            </w:tcBorders>
            <w:shd w:val="clear" w:color="auto" w:fill="auto"/>
            <w:hideMark/>
          </w:tcPr>
          <w:p w14:paraId="3160C54F" w14:textId="72D65567" w:rsidR="00057610" w:rsidRPr="007C210A" w:rsidRDefault="00057610" w:rsidP="007B03AC">
            <w:pPr>
              <w:spacing w:after="0" w:line="240" w:lineRule="auto"/>
              <w:jc w:val="left"/>
              <w:textAlignment w:val="baseline"/>
              <w:rPr>
                <w:rFonts w:asciiTheme="minorHAnsi" w:hAnsiTheme="minorHAnsi" w:cstheme="minorHAnsi"/>
                <w:color w:val="auto"/>
                <w:sz w:val="24"/>
                <w:szCs w:val="24"/>
              </w:rPr>
            </w:pPr>
            <w:r w:rsidRPr="007C210A">
              <w:rPr>
                <w:rFonts w:asciiTheme="minorHAnsi" w:hAnsiTheme="minorHAnsi" w:cstheme="minorHAnsi"/>
                <w:color w:val="auto"/>
                <w:sz w:val="22"/>
                <w:szCs w:val="22"/>
              </w:rPr>
              <w:t>People in need of social housing are able to obtain a tenancy </w:t>
            </w:r>
          </w:p>
          <w:p w14:paraId="687E2CC8" w14:textId="77777777" w:rsidR="00057610" w:rsidRPr="007C210A" w:rsidRDefault="00057610" w:rsidP="007B03AC">
            <w:pPr>
              <w:spacing w:after="0" w:line="240" w:lineRule="auto"/>
              <w:jc w:val="left"/>
              <w:textAlignment w:val="baseline"/>
              <w:rPr>
                <w:rFonts w:asciiTheme="minorHAnsi" w:hAnsiTheme="minorHAnsi" w:cstheme="minorHAnsi"/>
                <w:color w:val="auto"/>
                <w:sz w:val="24"/>
                <w:szCs w:val="24"/>
              </w:rPr>
            </w:pPr>
            <w:r w:rsidRPr="007C210A">
              <w:rPr>
                <w:rFonts w:asciiTheme="minorHAnsi" w:hAnsiTheme="minorHAnsi" w:cstheme="minorHAnsi"/>
                <w:color w:val="auto"/>
                <w:sz w:val="22"/>
                <w:szCs w:val="22"/>
              </w:rPr>
              <w:t> </w:t>
            </w:r>
          </w:p>
          <w:p w14:paraId="4B88E0A1" w14:textId="77777777" w:rsidR="00057610" w:rsidRPr="007C210A" w:rsidRDefault="00057610" w:rsidP="007B03AC">
            <w:pPr>
              <w:spacing w:after="0" w:line="240" w:lineRule="auto"/>
              <w:jc w:val="left"/>
              <w:textAlignment w:val="baseline"/>
              <w:rPr>
                <w:rFonts w:asciiTheme="minorHAnsi" w:hAnsiTheme="minorHAnsi" w:cstheme="minorHAnsi"/>
                <w:color w:val="auto"/>
                <w:sz w:val="24"/>
                <w:szCs w:val="24"/>
              </w:rPr>
            </w:pPr>
            <w:r w:rsidRPr="007C210A">
              <w:rPr>
                <w:rFonts w:asciiTheme="minorHAnsi" w:hAnsiTheme="minorHAnsi" w:cstheme="minorHAnsi"/>
                <w:color w:val="auto"/>
                <w:sz w:val="22"/>
                <w:szCs w:val="22"/>
              </w:rPr>
              <w:t> </w:t>
            </w:r>
          </w:p>
        </w:tc>
        <w:tc>
          <w:tcPr>
            <w:tcW w:w="2409" w:type="dxa"/>
            <w:tcBorders>
              <w:top w:val="outset" w:sz="6" w:space="0" w:color="auto"/>
              <w:left w:val="outset" w:sz="6" w:space="0" w:color="auto"/>
              <w:bottom w:val="single" w:sz="6" w:space="0" w:color="auto"/>
              <w:right w:val="single" w:sz="6" w:space="0" w:color="auto"/>
            </w:tcBorders>
            <w:shd w:val="clear" w:color="auto" w:fill="auto"/>
            <w:hideMark/>
          </w:tcPr>
          <w:p w14:paraId="5D1E5083" w14:textId="214FEDE2" w:rsidR="00057610" w:rsidRPr="007C210A" w:rsidRDefault="00595282" w:rsidP="007B03AC">
            <w:pPr>
              <w:spacing w:after="0" w:line="240" w:lineRule="auto"/>
              <w:jc w:val="left"/>
              <w:textAlignment w:val="baseline"/>
              <w:rPr>
                <w:rFonts w:asciiTheme="minorHAnsi" w:hAnsiTheme="minorHAnsi" w:cstheme="minorHAnsi"/>
                <w:color w:val="auto"/>
                <w:sz w:val="24"/>
                <w:szCs w:val="24"/>
              </w:rPr>
            </w:pPr>
            <w:r>
              <w:rPr>
                <w:rFonts w:asciiTheme="minorHAnsi" w:hAnsiTheme="minorHAnsi" w:cstheme="minorHAnsi"/>
                <w:color w:val="auto"/>
                <w:sz w:val="22"/>
                <w:szCs w:val="22"/>
              </w:rPr>
              <w:t>Stock of social housing dwellings</w:t>
            </w:r>
          </w:p>
          <w:p w14:paraId="6F038B20" w14:textId="77777777" w:rsidR="00057610" w:rsidRPr="007C210A" w:rsidRDefault="00057610" w:rsidP="007B03AC">
            <w:pPr>
              <w:spacing w:after="0" w:line="240" w:lineRule="auto"/>
              <w:jc w:val="left"/>
              <w:textAlignment w:val="baseline"/>
              <w:rPr>
                <w:rFonts w:asciiTheme="minorHAnsi" w:hAnsiTheme="minorHAnsi" w:cstheme="minorHAnsi"/>
                <w:color w:val="auto"/>
                <w:sz w:val="24"/>
                <w:szCs w:val="24"/>
              </w:rPr>
            </w:pPr>
            <w:r w:rsidRPr="007C210A">
              <w:rPr>
                <w:rFonts w:asciiTheme="minorHAnsi" w:hAnsiTheme="minorHAnsi" w:cstheme="minorHAnsi"/>
                <w:color w:val="auto"/>
                <w:sz w:val="22"/>
                <w:szCs w:val="22"/>
              </w:rPr>
              <w:t> </w:t>
            </w:r>
          </w:p>
        </w:tc>
        <w:tc>
          <w:tcPr>
            <w:tcW w:w="3119" w:type="dxa"/>
            <w:tcBorders>
              <w:top w:val="outset" w:sz="6" w:space="0" w:color="auto"/>
              <w:left w:val="outset" w:sz="6" w:space="0" w:color="auto"/>
              <w:bottom w:val="single" w:sz="6" w:space="0" w:color="auto"/>
              <w:right w:val="single" w:sz="6" w:space="0" w:color="auto"/>
            </w:tcBorders>
            <w:shd w:val="clear" w:color="auto" w:fill="auto"/>
            <w:hideMark/>
          </w:tcPr>
          <w:p w14:paraId="716CBAC8" w14:textId="51A08AA1" w:rsidR="00595282" w:rsidRPr="006C4278" w:rsidRDefault="00057610" w:rsidP="00595282">
            <w:pPr>
              <w:spacing w:after="0" w:line="240" w:lineRule="auto"/>
              <w:jc w:val="left"/>
              <w:textAlignment w:val="baseline"/>
              <w:rPr>
                <w:rFonts w:asciiTheme="minorHAnsi" w:hAnsiTheme="minorHAnsi" w:cstheme="minorHAnsi"/>
                <w:b/>
                <w:bCs/>
                <w:color w:val="auto"/>
                <w:sz w:val="22"/>
                <w:szCs w:val="22"/>
              </w:rPr>
            </w:pPr>
            <w:r w:rsidRPr="00ED3D2C">
              <w:rPr>
                <w:rFonts w:asciiTheme="minorHAnsi" w:hAnsiTheme="minorHAnsi" w:cstheme="minorHAnsi"/>
                <w:b/>
                <w:bCs/>
                <w:color w:val="auto"/>
                <w:sz w:val="22"/>
                <w:szCs w:val="22"/>
              </w:rPr>
              <w:t xml:space="preserve">Number of social housing </w:t>
            </w:r>
            <w:r w:rsidR="00B23453" w:rsidRPr="00ED3D2C">
              <w:rPr>
                <w:rFonts w:asciiTheme="minorHAnsi" w:hAnsiTheme="minorHAnsi" w:cstheme="minorHAnsi"/>
                <w:b/>
                <w:bCs/>
                <w:color w:val="auto"/>
                <w:sz w:val="22"/>
                <w:szCs w:val="22"/>
              </w:rPr>
              <w:t>dwellings</w:t>
            </w:r>
            <w:r w:rsidR="00595282" w:rsidRPr="00ED3D2C">
              <w:rPr>
                <w:rFonts w:asciiTheme="minorHAnsi" w:hAnsiTheme="minorHAnsi" w:cstheme="minorHAnsi"/>
                <w:b/>
                <w:bCs/>
                <w:color w:val="auto"/>
                <w:sz w:val="22"/>
                <w:szCs w:val="22"/>
              </w:rPr>
              <w:t xml:space="preserve"> at 30 June</w:t>
            </w:r>
            <w:r w:rsidR="006C4278" w:rsidRPr="00ED3D2C">
              <w:rPr>
                <w:rFonts w:asciiTheme="minorHAnsi" w:hAnsiTheme="minorHAnsi" w:cstheme="minorHAnsi"/>
                <w:b/>
                <w:bCs/>
                <w:color w:val="auto"/>
                <w:sz w:val="22"/>
                <w:szCs w:val="22"/>
              </w:rPr>
              <w:t>*</w:t>
            </w:r>
          </w:p>
          <w:p w14:paraId="75FD4D26" w14:textId="73467C78" w:rsidR="00057610" w:rsidRPr="006C4278" w:rsidRDefault="00057610" w:rsidP="007B03AC">
            <w:pPr>
              <w:spacing w:after="0" w:line="240" w:lineRule="auto"/>
              <w:jc w:val="left"/>
              <w:textAlignment w:val="baseline"/>
              <w:rPr>
                <w:rFonts w:asciiTheme="minorHAnsi" w:hAnsiTheme="minorHAnsi" w:cstheme="minorHAnsi"/>
                <w:color w:val="auto"/>
                <w:sz w:val="24"/>
                <w:szCs w:val="24"/>
              </w:rPr>
            </w:pPr>
          </w:p>
          <w:p w14:paraId="47E65489" w14:textId="16F32552" w:rsidR="00057610" w:rsidRPr="006C4278" w:rsidRDefault="00595282" w:rsidP="00595282">
            <w:pPr>
              <w:spacing w:after="0" w:line="240" w:lineRule="auto"/>
              <w:jc w:val="left"/>
              <w:textAlignment w:val="baseline"/>
              <w:rPr>
                <w:rFonts w:asciiTheme="minorHAnsi" w:hAnsiTheme="minorHAnsi" w:cstheme="minorHAnsi"/>
                <w:b/>
                <w:bCs/>
                <w:color w:val="auto"/>
                <w:sz w:val="22"/>
                <w:szCs w:val="22"/>
              </w:rPr>
            </w:pPr>
            <w:r w:rsidRPr="006C4278">
              <w:rPr>
                <w:rFonts w:asciiTheme="minorHAnsi" w:hAnsiTheme="minorHAnsi" w:cstheme="minorHAnsi"/>
                <w:b/>
                <w:bCs/>
                <w:color w:val="auto"/>
                <w:sz w:val="22"/>
                <w:szCs w:val="22"/>
              </w:rPr>
              <w:t>Change in the number of social housing dwellings from previous year</w:t>
            </w:r>
            <w:r w:rsidR="006C4278" w:rsidRPr="006C4278">
              <w:rPr>
                <w:rFonts w:asciiTheme="minorHAnsi" w:hAnsiTheme="minorHAnsi" w:cstheme="minorHAnsi"/>
                <w:b/>
                <w:bCs/>
                <w:color w:val="auto"/>
                <w:sz w:val="22"/>
                <w:szCs w:val="22"/>
              </w:rPr>
              <w:t>*</w:t>
            </w:r>
          </w:p>
          <w:p w14:paraId="661EBBAD" w14:textId="2CABAF2F" w:rsidR="00595282" w:rsidRPr="006C4278" w:rsidRDefault="00595282" w:rsidP="00595282">
            <w:pPr>
              <w:spacing w:after="0" w:line="240" w:lineRule="auto"/>
              <w:jc w:val="left"/>
              <w:textAlignment w:val="baseline"/>
              <w:rPr>
                <w:rFonts w:asciiTheme="minorHAnsi" w:hAnsiTheme="minorHAnsi" w:cstheme="minorHAnsi"/>
                <w:color w:val="auto"/>
                <w:sz w:val="24"/>
                <w:szCs w:val="24"/>
              </w:rPr>
            </w:pP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14:paraId="759AC3F2" w14:textId="77777777" w:rsidR="00ED3D2C" w:rsidRPr="00ED3D2C" w:rsidRDefault="00ED3D2C" w:rsidP="00ED3D2C">
            <w:pPr>
              <w:spacing w:after="0" w:line="240" w:lineRule="auto"/>
              <w:jc w:val="left"/>
              <w:textAlignment w:val="baseline"/>
              <w:rPr>
                <w:rFonts w:asciiTheme="minorHAnsi" w:hAnsiTheme="minorHAnsi" w:cstheme="minorHAnsi"/>
                <w:color w:val="auto"/>
                <w:sz w:val="22"/>
                <w:szCs w:val="22"/>
              </w:rPr>
            </w:pPr>
            <w:r w:rsidRPr="00ED3D2C">
              <w:rPr>
                <w:rFonts w:asciiTheme="minorHAnsi" w:hAnsiTheme="minorHAnsi" w:cstheme="minorHAnsi"/>
                <w:color w:val="auto"/>
                <w:sz w:val="22"/>
                <w:szCs w:val="22"/>
              </w:rPr>
              <w:t xml:space="preserve">RoGS Table 18A.3 </w:t>
            </w:r>
          </w:p>
          <w:p w14:paraId="4D5C0F34" w14:textId="77777777" w:rsidR="00ED3D2C" w:rsidRPr="00ED3D2C" w:rsidRDefault="00ED3D2C" w:rsidP="00ED3D2C">
            <w:pPr>
              <w:spacing w:after="0" w:line="240" w:lineRule="auto"/>
              <w:jc w:val="left"/>
              <w:textAlignment w:val="baseline"/>
              <w:rPr>
                <w:rFonts w:asciiTheme="minorHAnsi" w:hAnsiTheme="minorHAnsi" w:cstheme="minorHAnsi"/>
                <w:color w:val="auto"/>
                <w:sz w:val="22"/>
                <w:szCs w:val="22"/>
              </w:rPr>
            </w:pPr>
          </w:p>
          <w:p w14:paraId="37F36029" w14:textId="5FC01422" w:rsidR="00ED3D2C" w:rsidRPr="00ED3D2C" w:rsidRDefault="00ED3D2C" w:rsidP="00ED3D2C">
            <w:pPr>
              <w:spacing w:after="0" w:line="240" w:lineRule="auto"/>
              <w:jc w:val="left"/>
              <w:textAlignment w:val="baseline"/>
              <w:rPr>
                <w:rFonts w:asciiTheme="minorHAnsi" w:hAnsiTheme="minorHAnsi" w:cstheme="minorHAnsi"/>
                <w:color w:val="auto"/>
                <w:sz w:val="22"/>
                <w:szCs w:val="22"/>
              </w:rPr>
            </w:pPr>
            <w:r w:rsidRPr="00ED3D2C">
              <w:rPr>
                <w:rFonts w:asciiTheme="minorHAnsi" w:hAnsiTheme="minorHAnsi" w:cstheme="minorHAnsi"/>
                <w:color w:val="auto"/>
                <w:sz w:val="22"/>
                <w:szCs w:val="22"/>
              </w:rPr>
              <w:t>Housing Assistance in Australia, AIHW, Table DWELLINGS.2</w:t>
            </w:r>
          </w:p>
          <w:p w14:paraId="4D7038EB" w14:textId="77777777" w:rsidR="00057610" w:rsidRPr="006C4278" w:rsidRDefault="00057610" w:rsidP="007B03AC">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 </w:t>
            </w:r>
          </w:p>
          <w:p w14:paraId="654470A0" w14:textId="77777777" w:rsidR="00057610" w:rsidRPr="006C4278" w:rsidRDefault="00057610" w:rsidP="007B03AC">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 </w:t>
            </w:r>
          </w:p>
        </w:tc>
      </w:tr>
      <w:tr w:rsidR="00057610" w:rsidRPr="003524BB" w14:paraId="1254450A" w14:textId="77777777" w:rsidTr="00057610">
        <w:trPr>
          <w:trHeight w:val="1410"/>
        </w:trPr>
        <w:tc>
          <w:tcPr>
            <w:tcW w:w="2410" w:type="dxa"/>
            <w:vMerge/>
            <w:tcBorders>
              <w:left w:val="single" w:sz="6" w:space="0" w:color="auto"/>
              <w:right w:val="single" w:sz="6" w:space="0" w:color="auto"/>
            </w:tcBorders>
          </w:tcPr>
          <w:p w14:paraId="326F0ECB" w14:textId="77777777" w:rsidR="00057610" w:rsidRPr="007C210A" w:rsidRDefault="00057610" w:rsidP="007B03AC">
            <w:pPr>
              <w:spacing w:after="0" w:line="240" w:lineRule="auto"/>
              <w:jc w:val="left"/>
              <w:rPr>
                <w:rFonts w:asciiTheme="minorHAnsi" w:hAnsiTheme="minorHAnsi" w:cstheme="minorHAnsi"/>
                <w:color w:val="auto"/>
                <w:sz w:val="24"/>
                <w:szCs w:val="24"/>
              </w:rPr>
            </w:pPr>
          </w:p>
        </w:tc>
        <w:tc>
          <w:tcPr>
            <w:tcW w:w="2410" w:type="dxa"/>
            <w:vMerge/>
            <w:tcBorders>
              <w:top w:val="outset" w:sz="6" w:space="0" w:color="auto"/>
              <w:left w:val="single" w:sz="6" w:space="0" w:color="auto"/>
              <w:bottom w:val="nil"/>
              <w:right w:val="single" w:sz="6" w:space="0" w:color="auto"/>
            </w:tcBorders>
            <w:shd w:val="clear" w:color="auto" w:fill="auto"/>
            <w:vAlign w:val="center"/>
            <w:hideMark/>
          </w:tcPr>
          <w:p w14:paraId="0CBCF974" w14:textId="7394E701" w:rsidR="00057610" w:rsidRPr="007C210A" w:rsidRDefault="00057610" w:rsidP="007B03AC">
            <w:pPr>
              <w:spacing w:after="0" w:line="240" w:lineRule="auto"/>
              <w:jc w:val="left"/>
              <w:rPr>
                <w:rFonts w:asciiTheme="minorHAnsi" w:hAnsiTheme="minorHAnsi" w:cstheme="minorHAnsi"/>
                <w:color w:val="auto"/>
                <w:sz w:val="24"/>
                <w:szCs w:val="24"/>
              </w:rPr>
            </w:pPr>
          </w:p>
        </w:tc>
        <w:tc>
          <w:tcPr>
            <w:tcW w:w="2409" w:type="dxa"/>
            <w:tcBorders>
              <w:top w:val="outset" w:sz="6" w:space="0" w:color="auto"/>
              <w:left w:val="outset" w:sz="6" w:space="0" w:color="auto"/>
              <w:bottom w:val="single" w:sz="6" w:space="0" w:color="auto"/>
              <w:right w:val="single" w:sz="6" w:space="0" w:color="auto"/>
            </w:tcBorders>
            <w:shd w:val="clear" w:color="auto" w:fill="auto"/>
            <w:hideMark/>
          </w:tcPr>
          <w:p w14:paraId="48BA7DBA" w14:textId="1F0453D6" w:rsidR="00057610" w:rsidRPr="007C210A" w:rsidRDefault="00595282" w:rsidP="007B03AC">
            <w:pPr>
              <w:spacing w:after="0" w:line="240" w:lineRule="auto"/>
              <w:jc w:val="left"/>
              <w:textAlignment w:val="baseline"/>
              <w:rPr>
                <w:rFonts w:asciiTheme="minorHAnsi" w:hAnsiTheme="minorHAnsi" w:cstheme="minorHAnsi"/>
                <w:color w:val="auto"/>
                <w:sz w:val="24"/>
                <w:szCs w:val="24"/>
              </w:rPr>
            </w:pPr>
            <w:r>
              <w:rPr>
                <w:rFonts w:asciiTheme="minorHAnsi" w:hAnsiTheme="minorHAnsi" w:cstheme="minorHAnsi"/>
                <w:color w:val="auto"/>
                <w:sz w:val="22"/>
                <w:szCs w:val="22"/>
              </w:rPr>
              <w:t>Efficient use of social housing stock</w:t>
            </w:r>
          </w:p>
          <w:p w14:paraId="35763751" w14:textId="77777777" w:rsidR="00057610" w:rsidRPr="007C210A" w:rsidRDefault="00057610" w:rsidP="007B03AC">
            <w:pPr>
              <w:spacing w:after="0" w:line="240" w:lineRule="auto"/>
              <w:jc w:val="left"/>
              <w:textAlignment w:val="baseline"/>
              <w:rPr>
                <w:rFonts w:asciiTheme="minorHAnsi" w:hAnsiTheme="minorHAnsi" w:cstheme="minorHAnsi"/>
                <w:color w:val="auto"/>
                <w:sz w:val="24"/>
                <w:szCs w:val="24"/>
              </w:rPr>
            </w:pPr>
            <w:r w:rsidRPr="007C210A">
              <w:rPr>
                <w:rFonts w:asciiTheme="minorHAnsi" w:hAnsiTheme="minorHAnsi" w:cstheme="minorHAnsi"/>
                <w:color w:val="auto"/>
                <w:sz w:val="22"/>
                <w:szCs w:val="22"/>
              </w:rPr>
              <w:t> </w:t>
            </w:r>
          </w:p>
        </w:tc>
        <w:tc>
          <w:tcPr>
            <w:tcW w:w="3119" w:type="dxa"/>
            <w:tcBorders>
              <w:top w:val="outset" w:sz="6" w:space="0" w:color="auto"/>
              <w:left w:val="outset" w:sz="6" w:space="0" w:color="auto"/>
              <w:bottom w:val="single" w:sz="6" w:space="0" w:color="auto"/>
              <w:right w:val="single" w:sz="6" w:space="0" w:color="auto"/>
            </w:tcBorders>
            <w:shd w:val="clear" w:color="auto" w:fill="auto"/>
            <w:hideMark/>
          </w:tcPr>
          <w:p w14:paraId="10D2B6FC" w14:textId="2A752D33" w:rsidR="00057610" w:rsidRPr="006C4278" w:rsidRDefault="00057610" w:rsidP="007B03AC">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 xml:space="preserve">Proportion of </w:t>
            </w:r>
            <w:r w:rsidR="00FC27A8" w:rsidRPr="006C4278">
              <w:rPr>
                <w:rFonts w:asciiTheme="minorHAnsi" w:hAnsiTheme="minorHAnsi" w:cstheme="minorHAnsi"/>
                <w:color w:val="auto"/>
                <w:sz w:val="22"/>
                <w:szCs w:val="22"/>
              </w:rPr>
              <w:t xml:space="preserve">underutilised social housing </w:t>
            </w:r>
            <w:r w:rsidRPr="006C4278">
              <w:rPr>
                <w:rFonts w:asciiTheme="minorHAnsi" w:hAnsiTheme="minorHAnsi" w:cstheme="minorHAnsi"/>
                <w:color w:val="auto"/>
                <w:sz w:val="22"/>
                <w:szCs w:val="22"/>
              </w:rPr>
              <w:t xml:space="preserve">households </w:t>
            </w:r>
          </w:p>
          <w:p w14:paraId="7EC2897B" w14:textId="77777777" w:rsidR="00057610" w:rsidRPr="006C4278" w:rsidRDefault="00057610" w:rsidP="007B03AC">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14:paraId="1E23D3EC" w14:textId="77777777" w:rsidR="00057610" w:rsidRPr="006C4278" w:rsidRDefault="00057610" w:rsidP="007B03AC">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Housing Assistance in Australia, AIHW, Table SUITABILITY.1 </w:t>
            </w:r>
          </w:p>
          <w:p w14:paraId="5F85D3C8" w14:textId="77777777" w:rsidR="00057610" w:rsidRPr="006C4278" w:rsidRDefault="00057610" w:rsidP="007B03AC">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RoGS Table 18A.37 </w:t>
            </w:r>
          </w:p>
          <w:p w14:paraId="2C1A91B3" w14:textId="77777777" w:rsidR="00057610" w:rsidRPr="006C4278" w:rsidRDefault="00057610" w:rsidP="007B03AC">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 </w:t>
            </w:r>
          </w:p>
        </w:tc>
      </w:tr>
      <w:tr w:rsidR="00057610" w:rsidRPr="003524BB" w14:paraId="4DDB1AD5" w14:textId="77777777" w:rsidTr="00FB7572">
        <w:trPr>
          <w:trHeight w:val="808"/>
        </w:trPr>
        <w:tc>
          <w:tcPr>
            <w:tcW w:w="2410" w:type="dxa"/>
            <w:vMerge/>
            <w:tcBorders>
              <w:left w:val="single" w:sz="6" w:space="0" w:color="auto"/>
              <w:right w:val="single" w:sz="6" w:space="0" w:color="auto"/>
            </w:tcBorders>
          </w:tcPr>
          <w:p w14:paraId="210C7CE8" w14:textId="77777777" w:rsidR="00057610" w:rsidRPr="007C210A" w:rsidRDefault="00057610" w:rsidP="007B03AC">
            <w:pPr>
              <w:spacing w:after="0" w:line="240" w:lineRule="auto"/>
              <w:jc w:val="left"/>
              <w:textAlignment w:val="baseline"/>
              <w:rPr>
                <w:rFonts w:asciiTheme="minorHAnsi" w:hAnsiTheme="minorHAnsi" w:cstheme="minorHAnsi"/>
                <w:color w:val="auto"/>
                <w:sz w:val="22"/>
                <w:szCs w:val="22"/>
              </w:rPr>
            </w:pPr>
          </w:p>
        </w:tc>
        <w:tc>
          <w:tcPr>
            <w:tcW w:w="2410" w:type="dxa"/>
            <w:tcBorders>
              <w:top w:val="nil"/>
              <w:left w:val="single" w:sz="6" w:space="0" w:color="auto"/>
              <w:bottom w:val="single" w:sz="4" w:space="0" w:color="auto"/>
              <w:right w:val="single" w:sz="6" w:space="0" w:color="auto"/>
            </w:tcBorders>
            <w:shd w:val="clear" w:color="auto" w:fill="auto"/>
            <w:hideMark/>
          </w:tcPr>
          <w:p w14:paraId="45E94F46" w14:textId="411A17B6" w:rsidR="00057610" w:rsidRPr="007C210A" w:rsidRDefault="00057610" w:rsidP="007B03AC">
            <w:pPr>
              <w:spacing w:after="0" w:line="240" w:lineRule="auto"/>
              <w:jc w:val="left"/>
              <w:textAlignment w:val="baseline"/>
              <w:rPr>
                <w:rFonts w:asciiTheme="minorHAnsi" w:hAnsiTheme="minorHAnsi" w:cstheme="minorHAnsi"/>
                <w:color w:val="auto"/>
                <w:sz w:val="24"/>
                <w:szCs w:val="24"/>
              </w:rPr>
            </w:pPr>
            <w:r w:rsidRPr="007C210A">
              <w:rPr>
                <w:rFonts w:asciiTheme="minorHAnsi" w:hAnsiTheme="minorHAnsi" w:cstheme="minorHAnsi"/>
                <w:color w:val="auto"/>
                <w:sz w:val="22"/>
                <w:szCs w:val="22"/>
              </w:rPr>
              <w:t> </w:t>
            </w:r>
          </w:p>
        </w:tc>
        <w:tc>
          <w:tcPr>
            <w:tcW w:w="2409" w:type="dxa"/>
            <w:tcBorders>
              <w:top w:val="outset" w:sz="6" w:space="0" w:color="auto"/>
              <w:left w:val="outset" w:sz="6" w:space="0" w:color="auto"/>
              <w:bottom w:val="single" w:sz="6" w:space="0" w:color="auto"/>
              <w:right w:val="single" w:sz="6" w:space="0" w:color="auto"/>
            </w:tcBorders>
            <w:shd w:val="clear" w:color="auto" w:fill="auto"/>
            <w:hideMark/>
          </w:tcPr>
          <w:p w14:paraId="22930494" w14:textId="0DA8D054" w:rsidR="00057610" w:rsidRPr="007C210A" w:rsidRDefault="00595282" w:rsidP="005440C9">
            <w:pPr>
              <w:spacing w:after="0" w:line="240" w:lineRule="auto"/>
              <w:jc w:val="left"/>
              <w:textAlignment w:val="baseline"/>
              <w:rPr>
                <w:rFonts w:asciiTheme="minorHAnsi" w:hAnsiTheme="minorHAnsi" w:cstheme="minorHAnsi"/>
                <w:color w:val="auto"/>
                <w:sz w:val="24"/>
                <w:szCs w:val="24"/>
              </w:rPr>
            </w:pPr>
            <w:r>
              <w:rPr>
                <w:rFonts w:asciiTheme="minorHAnsi" w:hAnsiTheme="minorHAnsi" w:cstheme="minorHAnsi"/>
                <w:color w:val="auto"/>
                <w:sz w:val="22"/>
                <w:szCs w:val="22"/>
              </w:rPr>
              <w:t xml:space="preserve">Priority access to </w:t>
            </w:r>
            <w:r w:rsidR="00C262A7">
              <w:rPr>
                <w:rFonts w:asciiTheme="minorHAnsi" w:hAnsiTheme="minorHAnsi" w:cstheme="minorHAnsi"/>
                <w:color w:val="auto"/>
                <w:sz w:val="22"/>
                <w:szCs w:val="22"/>
              </w:rPr>
              <w:t>those in greatest need</w:t>
            </w:r>
          </w:p>
        </w:tc>
        <w:tc>
          <w:tcPr>
            <w:tcW w:w="3119" w:type="dxa"/>
            <w:tcBorders>
              <w:top w:val="outset" w:sz="6" w:space="0" w:color="auto"/>
              <w:left w:val="outset" w:sz="6" w:space="0" w:color="auto"/>
              <w:bottom w:val="single" w:sz="6" w:space="0" w:color="auto"/>
              <w:right w:val="single" w:sz="6" w:space="0" w:color="auto"/>
            </w:tcBorders>
            <w:shd w:val="clear" w:color="auto" w:fill="auto"/>
            <w:hideMark/>
          </w:tcPr>
          <w:p w14:paraId="00C1CFEA" w14:textId="41AA579F" w:rsidR="0098602D" w:rsidRPr="006C4278" w:rsidRDefault="005440C9" w:rsidP="0098602D">
            <w:pPr>
              <w:spacing w:after="0" w:line="240" w:lineRule="auto"/>
              <w:jc w:val="left"/>
              <w:textAlignment w:val="baseline"/>
              <w:rPr>
                <w:rFonts w:asciiTheme="minorHAnsi" w:hAnsiTheme="minorHAnsi" w:cstheme="minorHAnsi"/>
                <w:color w:val="auto"/>
                <w:sz w:val="22"/>
                <w:szCs w:val="22"/>
              </w:rPr>
            </w:pPr>
            <w:r w:rsidRPr="006C4278">
              <w:rPr>
                <w:rFonts w:asciiTheme="minorHAnsi" w:hAnsiTheme="minorHAnsi" w:cstheme="minorHAnsi"/>
                <w:color w:val="auto"/>
                <w:sz w:val="22"/>
                <w:szCs w:val="22"/>
              </w:rPr>
              <w:t>Percentage of greatest need allocations as a proportion of all new allocations</w:t>
            </w:r>
          </w:p>
          <w:p w14:paraId="7D235490" w14:textId="2651E311" w:rsidR="00057610" w:rsidRPr="006C4278" w:rsidRDefault="00057610" w:rsidP="007B03AC">
            <w:pPr>
              <w:spacing w:after="0" w:line="240" w:lineRule="auto"/>
              <w:jc w:val="left"/>
              <w:textAlignment w:val="baseline"/>
              <w:rPr>
                <w:rFonts w:asciiTheme="minorHAnsi" w:hAnsiTheme="minorHAnsi" w:cstheme="minorHAnsi"/>
                <w:color w:val="auto"/>
                <w:sz w:val="24"/>
                <w:szCs w:val="24"/>
              </w:rPr>
            </w:pP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14:paraId="4F701E5C" w14:textId="77777777" w:rsidR="00057610" w:rsidRPr="006C4278" w:rsidRDefault="00057610" w:rsidP="007B03AC">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RoGS Table 18A.16-18 </w:t>
            </w:r>
          </w:p>
          <w:p w14:paraId="1B49879D" w14:textId="77777777" w:rsidR="00057610" w:rsidRPr="006C4278" w:rsidRDefault="00057610" w:rsidP="007B03AC">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 </w:t>
            </w:r>
          </w:p>
        </w:tc>
      </w:tr>
      <w:tr w:rsidR="00057610" w:rsidRPr="003524BB" w14:paraId="1244A138" w14:textId="77777777" w:rsidTr="00FB7572">
        <w:trPr>
          <w:cantSplit/>
        </w:trPr>
        <w:tc>
          <w:tcPr>
            <w:tcW w:w="2410" w:type="dxa"/>
            <w:vMerge/>
            <w:tcBorders>
              <w:left w:val="single" w:sz="6" w:space="0" w:color="auto"/>
              <w:right w:val="single" w:sz="6" w:space="0" w:color="auto"/>
            </w:tcBorders>
          </w:tcPr>
          <w:p w14:paraId="1E76032F" w14:textId="77777777" w:rsidR="00057610" w:rsidRPr="007C210A" w:rsidRDefault="00057610" w:rsidP="007B03AC">
            <w:pPr>
              <w:spacing w:after="0" w:line="240" w:lineRule="auto"/>
              <w:jc w:val="left"/>
              <w:textAlignment w:val="baseline"/>
              <w:rPr>
                <w:rFonts w:asciiTheme="minorHAnsi" w:hAnsiTheme="minorHAnsi" w:cstheme="minorHAnsi"/>
                <w:color w:val="auto"/>
                <w:sz w:val="22"/>
                <w:szCs w:val="22"/>
              </w:rPr>
            </w:pPr>
          </w:p>
        </w:tc>
        <w:tc>
          <w:tcPr>
            <w:tcW w:w="2410" w:type="dxa"/>
            <w:tcBorders>
              <w:top w:val="single" w:sz="4" w:space="0" w:color="auto"/>
              <w:left w:val="single" w:sz="6" w:space="0" w:color="auto"/>
              <w:bottom w:val="nil"/>
              <w:right w:val="single" w:sz="6" w:space="0" w:color="auto"/>
            </w:tcBorders>
            <w:shd w:val="clear" w:color="auto" w:fill="auto"/>
            <w:hideMark/>
          </w:tcPr>
          <w:p w14:paraId="4AD7AFE2" w14:textId="652A2FBB" w:rsidR="00057610" w:rsidRPr="007C210A" w:rsidRDefault="00057610" w:rsidP="007B03AC">
            <w:pPr>
              <w:spacing w:after="0" w:line="240" w:lineRule="auto"/>
              <w:jc w:val="left"/>
              <w:textAlignment w:val="baseline"/>
              <w:rPr>
                <w:rFonts w:asciiTheme="minorHAnsi" w:hAnsiTheme="minorHAnsi" w:cstheme="minorHAnsi"/>
                <w:color w:val="auto"/>
                <w:sz w:val="24"/>
                <w:szCs w:val="24"/>
              </w:rPr>
            </w:pPr>
            <w:r w:rsidRPr="007C210A">
              <w:rPr>
                <w:rFonts w:asciiTheme="minorHAnsi" w:hAnsiTheme="minorHAnsi" w:cstheme="minorHAnsi"/>
                <w:color w:val="auto"/>
                <w:sz w:val="22"/>
                <w:szCs w:val="22"/>
              </w:rPr>
              <w:t>People in social housing live in quality homes appropriate to their needs </w:t>
            </w:r>
          </w:p>
        </w:tc>
        <w:tc>
          <w:tcPr>
            <w:tcW w:w="2409" w:type="dxa"/>
            <w:tcBorders>
              <w:top w:val="outset" w:sz="6" w:space="0" w:color="auto"/>
              <w:left w:val="outset" w:sz="6" w:space="0" w:color="auto"/>
              <w:bottom w:val="single" w:sz="6" w:space="0" w:color="auto"/>
              <w:right w:val="single" w:sz="6" w:space="0" w:color="auto"/>
            </w:tcBorders>
            <w:shd w:val="clear" w:color="auto" w:fill="auto"/>
            <w:hideMark/>
          </w:tcPr>
          <w:p w14:paraId="4F835D86" w14:textId="48881337" w:rsidR="00057610" w:rsidRPr="007C210A" w:rsidRDefault="00595282" w:rsidP="007B03AC">
            <w:pPr>
              <w:spacing w:after="0" w:line="240" w:lineRule="auto"/>
              <w:jc w:val="left"/>
              <w:textAlignment w:val="baseline"/>
              <w:rPr>
                <w:rFonts w:asciiTheme="minorHAnsi" w:hAnsiTheme="minorHAnsi" w:cstheme="minorHAnsi"/>
                <w:color w:val="auto"/>
                <w:sz w:val="24"/>
                <w:szCs w:val="24"/>
              </w:rPr>
            </w:pPr>
            <w:r>
              <w:rPr>
                <w:rFonts w:asciiTheme="minorHAnsi" w:hAnsiTheme="minorHAnsi" w:cstheme="minorHAnsi"/>
                <w:color w:val="auto"/>
                <w:sz w:val="22"/>
                <w:szCs w:val="22"/>
              </w:rPr>
              <w:t>Match of dwelling to household size</w:t>
            </w:r>
            <w:r w:rsidR="00057610" w:rsidRPr="007C210A">
              <w:rPr>
                <w:rFonts w:asciiTheme="minorHAnsi" w:hAnsiTheme="minorHAnsi" w:cstheme="minorHAnsi"/>
                <w:color w:val="auto"/>
                <w:sz w:val="22"/>
                <w:szCs w:val="22"/>
              </w:rPr>
              <w:t> </w:t>
            </w:r>
          </w:p>
        </w:tc>
        <w:tc>
          <w:tcPr>
            <w:tcW w:w="3119" w:type="dxa"/>
            <w:tcBorders>
              <w:top w:val="outset" w:sz="6" w:space="0" w:color="auto"/>
              <w:left w:val="outset" w:sz="6" w:space="0" w:color="auto"/>
              <w:bottom w:val="single" w:sz="6" w:space="0" w:color="auto"/>
              <w:right w:val="single" w:sz="6" w:space="0" w:color="auto"/>
            </w:tcBorders>
            <w:shd w:val="clear" w:color="auto" w:fill="auto"/>
            <w:hideMark/>
          </w:tcPr>
          <w:p w14:paraId="0228C66D" w14:textId="08EB84AC" w:rsidR="0067545D" w:rsidRPr="00ED3D2C" w:rsidRDefault="0067545D" w:rsidP="0067545D">
            <w:pPr>
              <w:spacing w:after="0" w:line="240" w:lineRule="auto"/>
              <w:jc w:val="left"/>
              <w:textAlignment w:val="baseline"/>
              <w:rPr>
                <w:rFonts w:asciiTheme="minorHAnsi" w:hAnsiTheme="minorHAnsi" w:cstheme="minorHAnsi"/>
                <w:b/>
                <w:bCs/>
                <w:color w:val="auto"/>
                <w:sz w:val="22"/>
                <w:szCs w:val="22"/>
              </w:rPr>
            </w:pPr>
            <w:r w:rsidRPr="00ED3D2C">
              <w:rPr>
                <w:rFonts w:asciiTheme="minorHAnsi" w:hAnsiTheme="minorHAnsi" w:cstheme="minorHAnsi"/>
                <w:b/>
                <w:bCs/>
                <w:color w:val="auto"/>
                <w:sz w:val="22"/>
                <w:szCs w:val="22"/>
              </w:rPr>
              <w:t>Proportion of overcrowded households</w:t>
            </w:r>
            <w:r w:rsidR="006C4278" w:rsidRPr="00ED3D2C">
              <w:rPr>
                <w:rFonts w:asciiTheme="minorHAnsi" w:hAnsiTheme="minorHAnsi" w:cstheme="minorHAnsi"/>
                <w:b/>
                <w:bCs/>
                <w:color w:val="auto"/>
                <w:sz w:val="22"/>
                <w:szCs w:val="22"/>
              </w:rPr>
              <w:t>*</w:t>
            </w:r>
          </w:p>
          <w:p w14:paraId="7150E2C4" w14:textId="77777777" w:rsidR="0067545D" w:rsidRPr="00ED3D2C" w:rsidRDefault="0067545D" w:rsidP="0067545D">
            <w:pPr>
              <w:spacing w:after="0" w:line="240" w:lineRule="auto"/>
              <w:jc w:val="left"/>
              <w:textAlignment w:val="baseline"/>
              <w:rPr>
                <w:rFonts w:asciiTheme="minorHAnsi" w:hAnsiTheme="minorHAnsi" w:cstheme="minorHAnsi"/>
                <w:b/>
                <w:bCs/>
                <w:color w:val="auto"/>
                <w:sz w:val="22"/>
                <w:szCs w:val="22"/>
              </w:rPr>
            </w:pPr>
          </w:p>
          <w:p w14:paraId="5724A04A" w14:textId="5ECEE358" w:rsidR="00057610" w:rsidRPr="006C4278" w:rsidRDefault="00057610" w:rsidP="007B03AC">
            <w:pPr>
              <w:spacing w:after="0" w:line="240" w:lineRule="auto"/>
              <w:jc w:val="left"/>
              <w:textAlignment w:val="baseline"/>
              <w:rPr>
                <w:rFonts w:asciiTheme="minorHAnsi" w:hAnsiTheme="minorHAnsi" w:cstheme="minorHAnsi"/>
                <w:color w:val="auto"/>
                <w:sz w:val="24"/>
                <w:szCs w:val="24"/>
              </w:rPr>
            </w:pP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14:paraId="4A8A2B82" w14:textId="77777777" w:rsidR="0067545D" w:rsidRPr="006C4278" w:rsidRDefault="0067545D" w:rsidP="0067545D">
            <w:pPr>
              <w:spacing w:after="0" w:line="240" w:lineRule="auto"/>
              <w:jc w:val="left"/>
              <w:textAlignment w:val="baseline"/>
              <w:rPr>
                <w:rFonts w:asciiTheme="minorHAnsi" w:hAnsiTheme="minorHAnsi" w:cstheme="minorHAnsi"/>
                <w:color w:val="auto"/>
                <w:sz w:val="22"/>
                <w:szCs w:val="22"/>
              </w:rPr>
            </w:pPr>
            <w:r w:rsidRPr="00ED3D2C">
              <w:rPr>
                <w:rFonts w:asciiTheme="minorHAnsi" w:hAnsiTheme="minorHAnsi" w:cstheme="minorHAnsi"/>
                <w:color w:val="auto"/>
                <w:sz w:val="22"/>
                <w:szCs w:val="22"/>
              </w:rPr>
              <w:t>RoGS Table 18A.30-33</w:t>
            </w:r>
            <w:r w:rsidRPr="006C4278">
              <w:rPr>
                <w:rFonts w:asciiTheme="minorHAnsi" w:hAnsiTheme="minorHAnsi" w:cstheme="minorHAnsi"/>
                <w:color w:val="auto"/>
                <w:sz w:val="22"/>
                <w:szCs w:val="22"/>
              </w:rPr>
              <w:t> </w:t>
            </w:r>
          </w:p>
          <w:p w14:paraId="31B405E6" w14:textId="77777777" w:rsidR="0067545D" w:rsidRPr="00ED3D2C" w:rsidRDefault="0067545D" w:rsidP="0067545D">
            <w:pPr>
              <w:spacing w:after="0" w:line="240" w:lineRule="auto"/>
              <w:jc w:val="left"/>
              <w:textAlignment w:val="baseline"/>
              <w:rPr>
                <w:rFonts w:asciiTheme="minorHAnsi" w:hAnsiTheme="minorHAnsi" w:cstheme="minorHAnsi"/>
                <w:color w:val="auto"/>
                <w:sz w:val="22"/>
                <w:szCs w:val="22"/>
              </w:rPr>
            </w:pPr>
          </w:p>
          <w:p w14:paraId="62532311" w14:textId="77777777" w:rsidR="0067545D" w:rsidRPr="00ED3D2C" w:rsidRDefault="0067545D" w:rsidP="0067545D">
            <w:pPr>
              <w:spacing w:after="0" w:line="240" w:lineRule="auto"/>
              <w:jc w:val="left"/>
              <w:textAlignment w:val="baseline"/>
              <w:rPr>
                <w:rFonts w:asciiTheme="minorHAnsi" w:hAnsiTheme="minorHAnsi" w:cstheme="minorHAnsi"/>
                <w:color w:val="auto"/>
                <w:sz w:val="22"/>
                <w:szCs w:val="22"/>
              </w:rPr>
            </w:pPr>
            <w:r w:rsidRPr="00ED3D2C">
              <w:rPr>
                <w:rFonts w:asciiTheme="minorHAnsi" w:hAnsiTheme="minorHAnsi" w:cstheme="minorHAnsi"/>
                <w:color w:val="auto"/>
                <w:sz w:val="22"/>
                <w:szCs w:val="22"/>
              </w:rPr>
              <w:t>Housing Assistance in Australia, AIHW, Table SUITABILITY.1</w:t>
            </w:r>
            <w:r w:rsidRPr="006C4278">
              <w:rPr>
                <w:rFonts w:asciiTheme="minorHAnsi" w:hAnsiTheme="minorHAnsi" w:cstheme="minorHAnsi"/>
                <w:color w:val="auto"/>
                <w:sz w:val="22"/>
                <w:szCs w:val="22"/>
              </w:rPr>
              <w:t> </w:t>
            </w:r>
          </w:p>
          <w:p w14:paraId="019360D3" w14:textId="77109572" w:rsidR="00057610" w:rsidRPr="00ED3D2C" w:rsidRDefault="00057610" w:rsidP="007B03AC">
            <w:pPr>
              <w:spacing w:after="0" w:line="240" w:lineRule="auto"/>
              <w:jc w:val="left"/>
              <w:textAlignment w:val="baseline"/>
              <w:rPr>
                <w:rFonts w:asciiTheme="minorHAnsi" w:hAnsiTheme="minorHAnsi" w:cstheme="minorHAnsi"/>
                <w:color w:val="auto"/>
                <w:sz w:val="22"/>
                <w:szCs w:val="22"/>
              </w:rPr>
            </w:pPr>
            <w:r w:rsidRPr="006C4278">
              <w:rPr>
                <w:rFonts w:asciiTheme="minorHAnsi" w:hAnsiTheme="minorHAnsi" w:cstheme="minorHAnsi"/>
                <w:color w:val="auto"/>
                <w:sz w:val="22"/>
                <w:szCs w:val="22"/>
              </w:rPr>
              <w:t> </w:t>
            </w:r>
          </w:p>
        </w:tc>
      </w:tr>
      <w:tr w:rsidR="00595282" w:rsidRPr="003524BB" w14:paraId="75C78541" w14:textId="77777777" w:rsidTr="001550C3">
        <w:tc>
          <w:tcPr>
            <w:tcW w:w="2410" w:type="dxa"/>
            <w:vMerge/>
            <w:tcBorders>
              <w:left w:val="single" w:sz="6" w:space="0" w:color="auto"/>
              <w:right w:val="single" w:sz="6" w:space="0" w:color="auto"/>
            </w:tcBorders>
          </w:tcPr>
          <w:p w14:paraId="2E7E7DD3" w14:textId="77777777" w:rsidR="00595282" w:rsidRPr="007C210A" w:rsidRDefault="00595282" w:rsidP="007B03AC">
            <w:pPr>
              <w:spacing w:after="0" w:line="240" w:lineRule="auto"/>
              <w:jc w:val="left"/>
              <w:textAlignment w:val="baseline"/>
              <w:rPr>
                <w:rFonts w:asciiTheme="minorHAnsi" w:hAnsiTheme="minorHAnsi" w:cstheme="minorHAnsi"/>
                <w:color w:val="auto"/>
                <w:sz w:val="22"/>
                <w:szCs w:val="22"/>
              </w:rPr>
            </w:pPr>
          </w:p>
        </w:tc>
        <w:tc>
          <w:tcPr>
            <w:tcW w:w="2410" w:type="dxa"/>
            <w:tcBorders>
              <w:top w:val="nil"/>
              <w:left w:val="single" w:sz="6" w:space="0" w:color="auto"/>
              <w:bottom w:val="nil"/>
              <w:right w:val="single" w:sz="6" w:space="0" w:color="auto"/>
            </w:tcBorders>
            <w:shd w:val="clear" w:color="auto" w:fill="auto"/>
          </w:tcPr>
          <w:p w14:paraId="45ADCDEF" w14:textId="77777777" w:rsidR="00595282" w:rsidRPr="007C210A" w:rsidRDefault="00595282" w:rsidP="007B03AC">
            <w:pPr>
              <w:spacing w:after="0" w:line="240" w:lineRule="auto"/>
              <w:jc w:val="left"/>
              <w:textAlignment w:val="baseline"/>
              <w:rPr>
                <w:rFonts w:asciiTheme="minorHAnsi" w:hAnsiTheme="minorHAnsi" w:cstheme="minorHAnsi"/>
                <w:color w:val="auto"/>
                <w:sz w:val="22"/>
                <w:szCs w:val="22"/>
              </w:rPr>
            </w:pPr>
          </w:p>
        </w:tc>
        <w:tc>
          <w:tcPr>
            <w:tcW w:w="2409" w:type="dxa"/>
            <w:tcBorders>
              <w:top w:val="outset" w:sz="6" w:space="0" w:color="auto"/>
              <w:left w:val="outset" w:sz="6" w:space="0" w:color="auto"/>
              <w:bottom w:val="single" w:sz="6" w:space="0" w:color="auto"/>
              <w:right w:val="single" w:sz="6" w:space="0" w:color="auto"/>
            </w:tcBorders>
            <w:shd w:val="clear" w:color="auto" w:fill="auto"/>
          </w:tcPr>
          <w:p w14:paraId="37C23233" w14:textId="5A06198E" w:rsidR="00595282" w:rsidRPr="007C210A" w:rsidRDefault="00595282" w:rsidP="007B03AC">
            <w:pPr>
              <w:spacing w:after="0" w:line="240" w:lineRule="auto"/>
              <w:jc w:val="left"/>
              <w:textAlignment w:val="baseline"/>
              <w:rPr>
                <w:rFonts w:asciiTheme="minorHAnsi" w:hAnsiTheme="minorHAnsi" w:cstheme="minorHAnsi"/>
                <w:color w:val="auto"/>
                <w:sz w:val="22"/>
                <w:szCs w:val="22"/>
              </w:rPr>
            </w:pPr>
            <w:r>
              <w:rPr>
                <w:rFonts w:asciiTheme="minorHAnsi" w:hAnsiTheme="minorHAnsi" w:cstheme="minorHAnsi"/>
                <w:color w:val="auto"/>
                <w:sz w:val="22"/>
                <w:szCs w:val="22"/>
              </w:rPr>
              <w:t>Dwelling condition</w:t>
            </w:r>
          </w:p>
        </w:tc>
        <w:tc>
          <w:tcPr>
            <w:tcW w:w="3119" w:type="dxa"/>
            <w:tcBorders>
              <w:top w:val="outset" w:sz="6" w:space="0" w:color="auto"/>
              <w:left w:val="outset" w:sz="6" w:space="0" w:color="auto"/>
              <w:bottom w:val="single" w:sz="6" w:space="0" w:color="auto"/>
              <w:right w:val="single" w:sz="6" w:space="0" w:color="auto"/>
            </w:tcBorders>
            <w:shd w:val="clear" w:color="auto" w:fill="auto"/>
          </w:tcPr>
          <w:p w14:paraId="41F48CCC" w14:textId="517DF9D6" w:rsidR="0067545D" w:rsidRPr="006C4278" w:rsidRDefault="0067545D" w:rsidP="0067545D">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Number of upgrades to social housing dwellings (capital expenditure only) </w:t>
            </w:r>
          </w:p>
          <w:p w14:paraId="5DCA422D" w14:textId="77777777" w:rsidR="0067545D" w:rsidRPr="006C4278" w:rsidRDefault="0067545D" w:rsidP="0067545D">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 </w:t>
            </w:r>
          </w:p>
          <w:p w14:paraId="3359B0E9" w14:textId="4E4D71B5" w:rsidR="0067545D" w:rsidRPr="00ED3D2C" w:rsidRDefault="0067545D" w:rsidP="0067545D">
            <w:pPr>
              <w:spacing w:after="0" w:line="240" w:lineRule="auto"/>
              <w:jc w:val="left"/>
              <w:textAlignment w:val="baseline"/>
              <w:rPr>
                <w:rFonts w:asciiTheme="minorHAnsi" w:hAnsiTheme="minorHAnsi" w:cstheme="minorHAnsi"/>
                <w:b/>
                <w:bCs/>
                <w:color w:val="auto"/>
                <w:sz w:val="22"/>
                <w:szCs w:val="22"/>
              </w:rPr>
            </w:pPr>
            <w:r w:rsidRPr="00ED3D2C">
              <w:rPr>
                <w:rFonts w:asciiTheme="minorHAnsi" w:hAnsiTheme="minorHAnsi" w:cstheme="minorHAnsi"/>
                <w:b/>
                <w:bCs/>
                <w:color w:val="auto"/>
                <w:sz w:val="22"/>
                <w:szCs w:val="22"/>
              </w:rPr>
              <w:t>Proportion of households with at least four working facilities and not more than two major structural problems</w:t>
            </w:r>
            <w:r w:rsidR="006C4278" w:rsidRPr="00ED3D2C">
              <w:rPr>
                <w:rFonts w:asciiTheme="minorHAnsi" w:hAnsiTheme="minorHAnsi" w:cstheme="minorHAnsi"/>
                <w:b/>
                <w:bCs/>
                <w:color w:val="auto"/>
                <w:sz w:val="22"/>
                <w:szCs w:val="22"/>
              </w:rPr>
              <w:t>*</w:t>
            </w:r>
          </w:p>
          <w:p w14:paraId="66AB5BBB" w14:textId="77777777" w:rsidR="0067545D" w:rsidRPr="006C4278" w:rsidRDefault="0067545D" w:rsidP="0067545D">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 </w:t>
            </w:r>
          </w:p>
          <w:p w14:paraId="56EB09AC" w14:textId="37378430" w:rsidR="0067545D" w:rsidRPr="006C4278" w:rsidRDefault="0067545D" w:rsidP="0067545D">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Proportion of tenants satisfied or very satisfied with day-to-day maintenance services provided by their housing organisation </w:t>
            </w:r>
          </w:p>
          <w:p w14:paraId="300CA957" w14:textId="11DEE52D" w:rsidR="00595282" w:rsidRPr="006C4278" w:rsidRDefault="0067545D" w:rsidP="0067545D">
            <w:pPr>
              <w:spacing w:after="0" w:line="240" w:lineRule="auto"/>
              <w:jc w:val="left"/>
              <w:textAlignment w:val="baseline"/>
              <w:rPr>
                <w:rFonts w:asciiTheme="minorHAnsi" w:hAnsiTheme="minorHAnsi" w:cstheme="minorHAnsi"/>
                <w:color w:val="auto"/>
                <w:sz w:val="22"/>
                <w:szCs w:val="22"/>
              </w:rPr>
            </w:pPr>
            <w:r w:rsidRPr="006C4278">
              <w:rPr>
                <w:rFonts w:asciiTheme="minorHAnsi" w:hAnsiTheme="minorHAnsi" w:cstheme="minorHAnsi"/>
                <w:color w:val="auto"/>
                <w:sz w:val="22"/>
                <w:szCs w:val="22"/>
              </w:rPr>
              <w:t> </w:t>
            </w:r>
          </w:p>
        </w:tc>
        <w:tc>
          <w:tcPr>
            <w:tcW w:w="2693" w:type="dxa"/>
            <w:tcBorders>
              <w:top w:val="outset" w:sz="6" w:space="0" w:color="auto"/>
              <w:left w:val="outset" w:sz="6" w:space="0" w:color="auto"/>
              <w:bottom w:val="single" w:sz="6" w:space="0" w:color="auto"/>
              <w:right w:val="single" w:sz="6" w:space="0" w:color="auto"/>
            </w:tcBorders>
            <w:shd w:val="clear" w:color="auto" w:fill="auto"/>
          </w:tcPr>
          <w:p w14:paraId="3B71E615" w14:textId="77777777" w:rsidR="0067545D" w:rsidRPr="00ED3D2C" w:rsidRDefault="0067545D" w:rsidP="0067545D">
            <w:pPr>
              <w:spacing w:after="0" w:line="240" w:lineRule="auto"/>
              <w:jc w:val="left"/>
              <w:textAlignment w:val="baseline"/>
              <w:rPr>
                <w:rFonts w:asciiTheme="minorHAnsi" w:hAnsiTheme="minorHAnsi" w:cstheme="minorHAnsi"/>
                <w:color w:val="auto"/>
                <w:sz w:val="22"/>
                <w:szCs w:val="22"/>
              </w:rPr>
            </w:pPr>
            <w:r w:rsidRPr="006C4278">
              <w:rPr>
                <w:rFonts w:asciiTheme="minorHAnsi" w:hAnsiTheme="minorHAnsi" w:cstheme="minorHAnsi"/>
                <w:color w:val="auto"/>
                <w:sz w:val="22"/>
                <w:szCs w:val="22"/>
              </w:rPr>
              <w:t>Not currently publicly available </w:t>
            </w:r>
          </w:p>
          <w:p w14:paraId="1B948275" w14:textId="77777777" w:rsidR="0067545D" w:rsidRPr="00ED3D2C" w:rsidRDefault="0067545D" w:rsidP="0067545D">
            <w:pPr>
              <w:spacing w:after="0" w:line="240" w:lineRule="auto"/>
              <w:jc w:val="left"/>
              <w:textAlignment w:val="baseline"/>
              <w:rPr>
                <w:rFonts w:asciiTheme="minorHAnsi" w:hAnsiTheme="minorHAnsi" w:cstheme="minorHAnsi"/>
                <w:color w:val="auto"/>
                <w:sz w:val="22"/>
                <w:szCs w:val="22"/>
              </w:rPr>
            </w:pPr>
            <w:r w:rsidRPr="006C4278">
              <w:rPr>
                <w:rFonts w:asciiTheme="minorHAnsi" w:hAnsiTheme="minorHAnsi" w:cstheme="minorHAnsi"/>
                <w:color w:val="auto"/>
                <w:sz w:val="22"/>
                <w:szCs w:val="22"/>
              </w:rPr>
              <w:t> </w:t>
            </w:r>
          </w:p>
          <w:p w14:paraId="2B5D7947" w14:textId="77777777" w:rsidR="0067545D" w:rsidRPr="00ED3D2C" w:rsidRDefault="0067545D" w:rsidP="0067545D">
            <w:pPr>
              <w:spacing w:after="0" w:line="240" w:lineRule="auto"/>
              <w:jc w:val="left"/>
              <w:textAlignment w:val="baseline"/>
              <w:rPr>
                <w:rFonts w:asciiTheme="minorHAnsi" w:hAnsiTheme="minorHAnsi" w:cstheme="minorHAnsi"/>
                <w:color w:val="auto"/>
                <w:sz w:val="22"/>
                <w:szCs w:val="22"/>
              </w:rPr>
            </w:pPr>
            <w:r w:rsidRPr="006C4278">
              <w:rPr>
                <w:rFonts w:asciiTheme="minorHAnsi" w:hAnsiTheme="minorHAnsi" w:cstheme="minorHAnsi"/>
                <w:color w:val="auto"/>
                <w:sz w:val="22"/>
                <w:szCs w:val="22"/>
              </w:rPr>
              <w:t> </w:t>
            </w:r>
          </w:p>
          <w:p w14:paraId="3C026A2A" w14:textId="77777777" w:rsidR="0067545D" w:rsidRPr="00ED3D2C" w:rsidRDefault="0067545D" w:rsidP="0067545D">
            <w:pPr>
              <w:spacing w:after="0" w:line="240" w:lineRule="auto"/>
              <w:jc w:val="left"/>
              <w:textAlignment w:val="baseline"/>
              <w:rPr>
                <w:rFonts w:asciiTheme="minorHAnsi" w:hAnsiTheme="minorHAnsi" w:cstheme="minorHAnsi"/>
                <w:color w:val="auto"/>
                <w:sz w:val="22"/>
                <w:szCs w:val="22"/>
              </w:rPr>
            </w:pPr>
            <w:r w:rsidRPr="00ED3D2C">
              <w:rPr>
                <w:rFonts w:asciiTheme="minorHAnsi" w:hAnsiTheme="minorHAnsi" w:cstheme="minorHAnsi"/>
                <w:color w:val="auto"/>
                <w:sz w:val="22"/>
                <w:szCs w:val="22"/>
              </w:rPr>
              <w:t>RoGS Table 18A.41-44</w:t>
            </w:r>
            <w:r w:rsidRPr="006C4278">
              <w:rPr>
                <w:rFonts w:asciiTheme="minorHAnsi" w:hAnsiTheme="minorHAnsi" w:cstheme="minorHAnsi"/>
                <w:color w:val="auto"/>
                <w:sz w:val="22"/>
                <w:szCs w:val="22"/>
              </w:rPr>
              <w:t> </w:t>
            </w:r>
          </w:p>
          <w:p w14:paraId="43AFB123" w14:textId="77777777" w:rsidR="0067545D" w:rsidRPr="00ED3D2C" w:rsidRDefault="0067545D" w:rsidP="0067545D">
            <w:pPr>
              <w:spacing w:after="0" w:line="240" w:lineRule="auto"/>
              <w:jc w:val="left"/>
              <w:textAlignment w:val="baseline"/>
              <w:rPr>
                <w:rFonts w:asciiTheme="minorHAnsi" w:hAnsiTheme="minorHAnsi" w:cstheme="minorHAnsi"/>
                <w:color w:val="auto"/>
                <w:sz w:val="22"/>
                <w:szCs w:val="22"/>
              </w:rPr>
            </w:pPr>
            <w:r w:rsidRPr="006C4278">
              <w:rPr>
                <w:rFonts w:asciiTheme="minorHAnsi" w:hAnsiTheme="minorHAnsi" w:cstheme="minorHAnsi"/>
                <w:color w:val="auto"/>
                <w:sz w:val="22"/>
                <w:szCs w:val="22"/>
              </w:rPr>
              <w:t> </w:t>
            </w:r>
          </w:p>
          <w:p w14:paraId="462B6A6D" w14:textId="77777777" w:rsidR="0067545D" w:rsidRPr="00ED3D2C" w:rsidRDefault="0067545D" w:rsidP="0067545D">
            <w:pPr>
              <w:spacing w:after="0" w:line="240" w:lineRule="auto"/>
              <w:jc w:val="left"/>
              <w:textAlignment w:val="baseline"/>
              <w:rPr>
                <w:rFonts w:asciiTheme="minorHAnsi" w:hAnsiTheme="minorHAnsi" w:cstheme="minorHAnsi"/>
                <w:color w:val="auto"/>
                <w:sz w:val="22"/>
                <w:szCs w:val="22"/>
              </w:rPr>
            </w:pPr>
            <w:r w:rsidRPr="006C4278">
              <w:rPr>
                <w:rFonts w:asciiTheme="minorHAnsi" w:hAnsiTheme="minorHAnsi" w:cstheme="minorHAnsi"/>
                <w:color w:val="auto"/>
                <w:sz w:val="22"/>
                <w:szCs w:val="22"/>
              </w:rPr>
              <w:t> </w:t>
            </w:r>
          </w:p>
          <w:p w14:paraId="0A9EA1DB" w14:textId="77777777" w:rsidR="0067545D" w:rsidRPr="00ED3D2C" w:rsidRDefault="0067545D" w:rsidP="0067545D">
            <w:pPr>
              <w:spacing w:after="0" w:line="240" w:lineRule="auto"/>
              <w:jc w:val="left"/>
              <w:textAlignment w:val="baseline"/>
              <w:rPr>
                <w:rFonts w:asciiTheme="minorHAnsi" w:hAnsiTheme="minorHAnsi" w:cstheme="minorHAnsi"/>
                <w:color w:val="auto"/>
                <w:sz w:val="22"/>
                <w:szCs w:val="22"/>
              </w:rPr>
            </w:pPr>
            <w:r w:rsidRPr="006C4278">
              <w:rPr>
                <w:rFonts w:asciiTheme="minorHAnsi" w:hAnsiTheme="minorHAnsi" w:cstheme="minorHAnsi"/>
                <w:color w:val="auto"/>
                <w:sz w:val="22"/>
                <w:szCs w:val="22"/>
              </w:rPr>
              <w:t> </w:t>
            </w:r>
          </w:p>
          <w:p w14:paraId="02B40243" w14:textId="77777777" w:rsidR="0067545D" w:rsidRPr="006C4278" w:rsidRDefault="0067545D" w:rsidP="0067545D">
            <w:pPr>
              <w:spacing w:after="0" w:line="240" w:lineRule="auto"/>
              <w:jc w:val="left"/>
              <w:textAlignment w:val="baseline"/>
              <w:rPr>
                <w:rFonts w:asciiTheme="minorHAnsi" w:hAnsiTheme="minorHAnsi" w:cstheme="minorHAnsi"/>
                <w:color w:val="auto"/>
                <w:sz w:val="22"/>
                <w:szCs w:val="22"/>
              </w:rPr>
            </w:pPr>
          </w:p>
          <w:p w14:paraId="5735089D" w14:textId="77777777" w:rsidR="0067545D" w:rsidRPr="00ED3D2C" w:rsidRDefault="0067545D" w:rsidP="0067545D">
            <w:pPr>
              <w:spacing w:after="0" w:line="240" w:lineRule="auto"/>
              <w:jc w:val="left"/>
              <w:textAlignment w:val="baseline"/>
              <w:rPr>
                <w:rFonts w:asciiTheme="minorHAnsi" w:hAnsiTheme="minorHAnsi" w:cstheme="minorHAnsi"/>
                <w:color w:val="auto"/>
                <w:sz w:val="22"/>
                <w:szCs w:val="22"/>
              </w:rPr>
            </w:pPr>
            <w:r w:rsidRPr="006C4278">
              <w:rPr>
                <w:rFonts w:asciiTheme="minorHAnsi" w:hAnsiTheme="minorHAnsi" w:cstheme="minorHAnsi"/>
                <w:color w:val="auto"/>
                <w:sz w:val="22"/>
                <w:szCs w:val="22"/>
              </w:rPr>
              <w:t>National Social Housing Survey (NSHS), AIHW, Table S5.1 </w:t>
            </w:r>
          </w:p>
          <w:p w14:paraId="70C94E23" w14:textId="77777777" w:rsidR="00595282" w:rsidRPr="006C4278" w:rsidRDefault="00595282" w:rsidP="007B03AC">
            <w:pPr>
              <w:spacing w:after="0" w:line="240" w:lineRule="auto"/>
              <w:jc w:val="left"/>
              <w:textAlignment w:val="baseline"/>
              <w:rPr>
                <w:rFonts w:asciiTheme="minorHAnsi" w:hAnsiTheme="minorHAnsi" w:cstheme="minorHAnsi"/>
                <w:color w:val="auto"/>
                <w:sz w:val="22"/>
                <w:szCs w:val="22"/>
              </w:rPr>
            </w:pPr>
          </w:p>
        </w:tc>
      </w:tr>
      <w:tr w:rsidR="00057610" w:rsidRPr="003524BB" w14:paraId="026BF460" w14:textId="77777777" w:rsidTr="00057610">
        <w:tc>
          <w:tcPr>
            <w:tcW w:w="2410" w:type="dxa"/>
            <w:vMerge/>
            <w:tcBorders>
              <w:left w:val="single" w:sz="6" w:space="0" w:color="auto"/>
              <w:bottom w:val="single" w:sz="6" w:space="0" w:color="auto"/>
              <w:right w:val="single" w:sz="6" w:space="0" w:color="auto"/>
            </w:tcBorders>
          </w:tcPr>
          <w:p w14:paraId="6AA56A27" w14:textId="77777777" w:rsidR="00057610" w:rsidRPr="007C210A" w:rsidRDefault="00057610" w:rsidP="007B03AC">
            <w:pPr>
              <w:spacing w:after="0" w:line="240" w:lineRule="auto"/>
              <w:jc w:val="left"/>
              <w:textAlignment w:val="baseline"/>
              <w:rPr>
                <w:rFonts w:asciiTheme="minorHAnsi" w:hAnsiTheme="minorHAnsi" w:cstheme="minorHAnsi"/>
                <w:color w:val="auto"/>
                <w:sz w:val="22"/>
                <w:szCs w:val="22"/>
              </w:rPr>
            </w:pPr>
          </w:p>
        </w:tc>
        <w:tc>
          <w:tcPr>
            <w:tcW w:w="2410" w:type="dxa"/>
            <w:tcBorders>
              <w:top w:val="nil"/>
              <w:left w:val="single" w:sz="6" w:space="0" w:color="auto"/>
              <w:bottom w:val="single" w:sz="6" w:space="0" w:color="auto"/>
              <w:right w:val="single" w:sz="6" w:space="0" w:color="auto"/>
            </w:tcBorders>
            <w:shd w:val="clear" w:color="auto" w:fill="auto"/>
            <w:hideMark/>
          </w:tcPr>
          <w:p w14:paraId="391ECB77" w14:textId="47A045DF" w:rsidR="00057610" w:rsidRPr="007C210A" w:rsidRDefault="00057610" w:rsidP="007B03AC">
            <w:pPr>
              <w:spacing w:after="0" w:line="240" w:lineRule="auto"/>
              <w:jc w:val="left"/>
              <w:textAlignment w:val="baseline"/>
              <w:rPr>
                <w:rFonts w:asciiTheme="minorHAnsi" w:hAnsiTheme="minorHAnsi" w:cstheme="minorHAnsi"/>
                <w:color w:val="auto"/>
                <w:sz w:val="24"/>
                <w:szCs w:val="24"/>
              </w:rPr>
            </w:pPr>
            <w:r w:rsidRPr="007C210A">
              <w:rPr>
                <w:rFonts w:asciiTheme="minorHAnsi" w:hAnsiTheme="minorHAnsi" w:cstheme="minorHAnsi"/>
                <w:color w:val="auto"/>
                <w:sz w:val="22"/>
                <w:szCs w:val="22"/>
              </w:rPr>
              <w:t> </w:t>
            </w:r>
          </w:p>
        </w:tc>
        <w:tc>
          <w:tcPr>
            <w:tcW w:w="2409" w:type="dxa"/>
            <w:tcBorders>
              <w:top w:val="outset" w:sz="6" w:space="0" w:color="auto"/>
              <w:left w:val="outset" w:sz="6" w:space="0" w:color="auto"/>
              <w:bottom w:val="single" w:sz="6" w:space="0" w:color="auto"/>
              <w:right w:val="single" w:sz="6" w:space="0" w:color="auto"/>
            </w:tcBorders>
            <w:shd w:val="clear" w:color="auto" w:fill="auto"/>
            <w:hideMark/>
          </w:tcPr>
          <w:p w14:paraId="6D70596D" w14:textId="19998223" w:rsidR="00057610" w:rsidRPr="007C210A" w:rsidRDefault="00595282" w:rsidP="007B03AC">
            <w:pPr>
              <w:spacing w:after="0" w:line="240" w:lineRule="auto"/>
              <w:jc w:val="left"/>
              <w:textAlignment w:val="baseline"/>
              <w:rPr>
                <w:rFonts w:asciiTheme="minorHAnsi" w:hAnsiTheme="minorHAnsi" w:cstheme="minorHAnsi"/>
                <w:color w:val="auto"/>
                <w:sz w:val="24"/>
                <w:szCs w:val="24"/>
              </w:rPr>
            </w:pPr>
            <w:r>
              <w:rPr>
                <w:rFonts w:asciiTheme="minorHAnsi" w:hAnsiTheme="minorHAnsi" w:cstheme="minorHAnsi"/>
                <w:color w:val="auto"/>
                <w:sz w:val="22"/>
                <w:szCs w:val="22"/>
              </w:rPr>
              <w:t>Customer satisfaction</w:t>
            </w:r>
          </w:p>
          <w:p w14:paraId="0A238DCE" w14:textId="77777777" w:rsidR="00057610" w:rsidRPr="007C210A" w:rsidRDefault="00057610" w:rsidP="007B03AC">
            <w:pPr>
              <w:spacing w:after="0" w:line="240" w:lineRule="auto"/>
              <w:jc w:val="left"/>
              <w:textAlignment w:val="baseline"/>
              <w:rPr>
                <w:rFonts w:asciiTheme="minorHAnsi" w:hAnsiTheme="minorHAnsi" w:cstheme="minorHAnsi"/>
                <w:color w:val="auto"/>
                <w:sz w:val="24"/>
                <w:szCs w:val="24"/>
              </w:rPr>
            </w:pPr>
            <w:r w:rsidRPr="007C210A">
              <w:rPr>
                <w:rFonts w:asciiTheme="minorHAnsi" w:hAnsiTheme="minorHAnsi" w:cstheme="minorHAnsi"/>
                <w:color w:val="auto"/>
                <w:sz w:val="22"/>
                <w:szCs w:val="22"/>
              </w:rPr>
              <w:t> </w:t>
            </w:r>
          </w:p>
        </w:tc>
        <w:tc>
          <w:tcPr>
            <w:tcW w:w="3119" w:type="dxa"/>
            <w:tcBorders>
              <w:top w:val="outset" w:sz="6" w:space="0" w:color="auto"/>
              <w:left w:val="outset" w:sz="6" w:space="0" w:color="auto"/>
              <w:bottom w:val="single" w:sz="6" w:space="0" w:color="auto"/>
              <w:right w:val="single" w:sz="6" w:space="0" w:color="auto"/>
            </w:tcBorders>
            <w:shd w:val="clear" w:color="auto" w:fill="auto"/>
            <w:hideMark/>
          </w:tcPr>
          <w:p w14:paraId="08BE2215" w14:textId="2DA230E5" w:rsidR="0067545D" w:rsidRPr="006C4278" w:rsidRDefault="0067545D" w:rsidP="0067545D">
            <w:pPr>
              <w:spacing w:after="0" w:line="240" w:lineRule="auto"/>
              <w:jc w:val="left"/>
              <w:textAlignment w:val="baseline"/>
              <w:rPr>
                <w:rFonts w:asciiTheme="minorHAnsi" w:hAnsiTheme="minorHAnsi" w:cstheme="minorHAnsi"/>
                <w:color w:val="auto"/>
                <w:sz w:val="22"/>
                <w:szCs w:val="22"/>
              </w:rPr>
            </w:pPr>
            <w:r w:rsidRPr="006C4278">
              <w:rPr>
                <w:rFonts w:asciiTheme="minorHAnsi" w:hAnsiTheme="minorHAnsi" w:cstheme="minorHAnsi"/>
                <w:color w:val="auto"/>
                <w:sz w:val="22"/>
                <w:szCs w:val="22"/>
              </w:rPr>
              <w:t>Proportion of tenants</w:t>
            </w:r>
            <w:r w:rsidR="00057610" w:rsidRPr="006C4278">
              <w:rPr>
                <w:rFonts w:asciiTheme="minorHAnsi" w:hAnsiTheme="minorHAnsi" w:cstheme="minorHAnsi"/>
                <w:color w:val="auto"/>
                <w:sz w:val="22"/>
                <w:szCs w:val="22"/>
              </w:rPr>
              <w:t xml:space="preserve"> satisf</w:t>
            </w:r>
            <w:r w:rsidRPr="006C4278">
              <w:rPr>
                <w:rFonts w:asciiTheme="minorHAnsi" w:hAnsiTheme="minorHAnsi" w:cstheme="minorHAnsi"/>
                <w:color w:val="auto"/>
                <w:sz w:val="22"/>
                <w:szCs w:val="22"/>
              </w:rPr>
              <w:t>ied or very satisfied</w:t>
            </w:r>
            <w:r w:rsidR="00057610" w:rsidRPr="006C4278">
              <w:rPr>
                <w:rFonts w:asciiTheme="minorHAnsi" w:hAnsiTheme="minorHAnsi" w:cstheme="minorHAnsi"/>
                <w:color w:val="auto"/>
                <w:sz w:val="22"/>
                <w:szCs w:val="22"/>
              </w:rPr>
              <w:t xml:space="preserve"> with</w:t>
            </w:r>
            <w:r w:rsidRPr="006C4278">
              <w:rPr>
                <w:rFonts w:asciiTheme="minorHAnsi" w:hAnsiTheme="minorHAnsi" w:cstheme="minorHAnsi"/>
                <w:color w:val="auto"/>
                <w:sz w:val="22"/>
                <w:szCs w:val="22"/>
              </w:rPr>
              <w:t xml:space="preserve"> overall service</w:t>
            </w:r>
            <w:r w:rsidR="00113772" w:rsidRPr="006C4278">
              <w:rPr>
                <w:rFonts w:asciiTheme="minorHAnsi" w:hAnsiTheme="minorHAnsi" w:cstheme="minorHAnsi"/>
                <w:color w:val="auto"/>
                <w:sz w:val="22"/>
                <w:szCs w:val="22"/>
              </w:rPr>
              <w:t>s</w:t>
            </w:r>
            <w:r w:rsidRPr="006C4278">
              <w:rPr>
                <w:rFonts w:asciiTheme="minorHAnsi" w:hAnsiTheme="minorHAnsi" w:cstheme="minorHAnsi"/>
                <w:color w:val="auto"/>
                <w:sz w:val="22"/>
                <w:szCs w:val="22"/>
              </w:rPr>
              <w:t xml:space="preserve"> provided</w:t>
            </w:r>
            <w:r w:rsidR="00113772" w:rsidRPr="006C4278">
              <w:rPr>
                <w:rFonts w:asciiTheme="minorHAnsi" w:hAnsiTheme="minorHAnsi" w:cstheme="minorHAnsi"/>
                <w:color w:val="auto"/>
                <w:sz w:val="22"/>
                <w:szCs w:val="22"/>
              </w:rPr>
              <w:t xml:space="preserve"> by the housing organisation</w:t>
            </w:r>
          </w:p>
          <w:p w14:paraId="5C6FED25" w14:textId="1D8815EF" w:rsidR="00057610" w:rsidRPr="006C4278" w:rsidRDefault="00057610" w:rsidP="0067545D">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14:paraId="50ADB779" w14:textId="77777777" w:rsidR="006B74D9" w:rsidRPr="006C4278" w:rsidRDefault="00057610" w:rsidP="007B03AC">
            <w:pPr>
              <w:spacing w:after="0" w:line="240" w:lineRule="auto"/>
              <w:jc w:val="left"/>
              <w:textAlignment w:val="baseline"/>
              <w:rPr>
                <w:rFonts w:asciiTheme="minorHAnsi" w:hAnsiTheme="minorHAnsi" w:cstheme="minorHAnsi"/>
                <w:color w:val="auto"/>
                <w:sz w:val="22"/>
                <w:szCs w:val="22"/>
              </w:rPr>
            </w:pPr>
            <w:r w:rsidRPr="006C4278">
              <w:rPr>
                <w:rFonts w:asciiTheme="minorHAnsi" w:hAnsiTheme="minorHAnsi" w:cstheme="minorHAnsi"/>
                <w:color w:val="auto"/>
                <w:sz w:val="22"/>
                <w:szCs w:val="22"/>
              </w:rPr>
              <w:t>National Social Housing </w:t>
            </w:r>
          </w:p>
          <w:p w14:paraId="4CE97B22" w14:textId="347A3E1D" w:rsidR="00057610" w:rsidRPr="006C4278" w:rsidRDefault="00057610" w:rsidP="007B03AC">
            <w:pPr>
              <w:spacing w:after="0" w:line="240" w:lineRule="auto"/>
              <w:jc w:val="left"/>
              <w:textAlignment w:val="baseline"/>
              <w:rPr>
                <w:rFonts w:asciiTheme="minorHAnsi" w:hAnsiTheme="minorHAnsi" w:cstheme="minorHAnsi"/>
                <w:color w:val="auto"/>
                <w:sz w:val="24"/>
                <w:szCs w:val="24"/>
              </w:rPr>
            </w:pPr>
            <w:r w:rsidRPr="006C4278">
              <w:rPr>
                <w:rFonts w:asciiTheme="minorHAnsi" w:hAnsiTheme="minorHAnsi" w:cstheme="minorHAnsi"/>
                <w:color w:val="auto"/>
                <w:sz w:val="22"/>
                <w:szCs w:val="22"/>
              </w:rPr>
              <w:t>Surv</w:t>
            </w:r>
            <w:r w:rsidR="006B74D9" w:rsidRPr="006C4278">
              <w:rPr>
                <w:rFonts w:asciiTheme="minorHAnsi" w:hAnsiTheme="minorHAnsi" w:cstheme="minorHAnsi"/>
                <w:color w:val="auto"/>
                <w:sz w:val="22"/>
                <w:szCs w:val="22"/>
              </w:rPr>
              <w:t>e</w:t>
            </w:r>
            <w:r w:rsidRPr="006C4278">
              <w:rPr>
                <w:rFonts w:asciiTheme="minorHAnsi" w:hAnsiTheme="minorHAnsi" w:cstheme="minorHAnsi"/>
                <w:color w:val="auto"/>
                <w:sz w:val="22"/>
                <w:szCs w:val="22"/>
              </w:rPr>
              <w:t>y (NSHS), AIHW, Table S1.1 </w:t>
            </w:r>
          </w:p>
          <w:p w14:paraId="33AC3990" w14:textId="77777777" w:rsidR="00057610" w:rsidRPr="006C4278" w:rsidRDefault="00057610" w:rsidP="007B03AC">
            <w:pPr>
              <w:spacing w:after="0" w:line="240" w:lineRule="auto"/>
              <w:jc w:val="left"/>
              <w:textAlignment w:val="baseline"/>
              <w:rPr>
                <w:rFonts w:asciiTheme="minorHAnsi" w:hAnsiTheme="minorHAnsi" w:cstheme="minorHAnsi"/>
                <w:color w:val="auto"/>
                <w:sz w:val="22"/>
                <w:szCs w:val="22"/>
              </w:rPr>
            </w:pPr>
            <w:r w:rsidRPr="006C4278">
              <w:rPr>
                <w:rFonts w:asciiTheme="minorHAnsi" w:hAnsiTheme="minorHAnsi" w:cstheme="minorHAnsi"/>
                <w:color w:val="auto"/>
                <w:sz w:val="22"/>
                <w:szCs w:val="22"/>
              </w:rPr>
              <w:t>RoGS Table 18A.45-47 </w:t>
            </w:r>
          </w:p>
          <w:p w14:paraId="3425A743" w14:textId="77777777" w:rsidR="006B74D9" w:rsidRPr="006C4278" w:rsidRDefault="006B74D9" w:rsidP="007B03AC">
            <w:pPr>
              <w:spacing w:after="0" w:line="240" w:lineRule="auto"/>
              <w:jc w:val="left"/>
              <w:textAlignment w:val="baseline"/>
              <w:rPr>
                <w:rFonts w:asciiTheme="minorHAnsi" w:hAnsiTheme="minorHAnsi" w:cstheme="minorHAnsi"/>
                <w:color w:val="auto"/>
                <w:sz w:val="24"/>
                <w:szCs w:val="24"/>
              </w:rPr>
            </w:pPr>
          </w:p>
        </w:tc>
      </w:tr>
    </w:tbl>
    <w:p w14:paraId="2C37CA7E" w14:textId="66A03C2A" w:rsidR="00AD5B54" w:rsidRDefault="00AD5B54" w:rsidP="00057610">
      <w:pPr>
        <w:spacing w:after="0" w:line="240" w:lineRule="auto"/>
        <w:textAlignment w:val="baseline"/>
      </w:pPr>
    </w:p>
    <w:p w14:paraId="2C3116B6" w14:textId="77777777" w:rsidR="00AD5B54" w:rsidRDefault="00AD5B54">
      <w:pPr>
        <w:spacing w:after="0" w:line="240" w:lineRule="auto"/>
        <w:jc w:val="left"/>
      </w:pPr>
      <w:r>
        <w:br w:type="page"/>
      </w:r>
    </w:p>
    <w:p w14:paraId="5F9BB5A9" w14:textId="5EE15C71" w:rsidR="00057610" w:rsidRPr="00113FAB" w:rsidRDefault="00057610" w:rsidP="00113FAB">
      <w:pPr>
        <w:pStyle w:val="Heading2"/>
        <w:rPr>
          <w:szCs w:val="32"/>
        </w:rPr>
      </w:pPr>
      <w:r w:rsidRPr="00113FAB">
        <w:rPr>
          <w:rFonts w:ascii="Consolas" w:hAnsi="Consolas"/>
          <w:b w:val="0"/>
          <w:caps/>
          <w:color w:val="auto"/>
          <w:kern w:val="32"/>
          <w:sz w:val="32"/>
          <w:szCs w:val="32"/>
        </w:rPr>
        <w:lastRenderedPageBreak/>
        <w:t>Homelessness</w:t>
      </w:r>
    </w:p>
    <w:p w14:paraId="232BFFC9" w14:textId="77777777" w:rsidR="006C4278" w:rsidRDefault="006C4278" w:rsidP="006C4278">
      <w:r w:rsidRPr="0001007A">
        <w:rPr>
          <w:b/>
          <w:bCs/>
        </w:rPr>
        <w:t>*</w:t>
      </w:r>
      <w:r>
        <w:rPr>
          <w:b/>
          <w:bCs/>
        </w:rPr>
        <w:t xml:space="preserve"> </w:t>
      </w:r>
      <w:r w:rsidRPr="0001007A">
        <w:rPr>
          <w:b/>
          <w:bCs/>
        </w:rPr>
        <w:t>Compulsory measures</w:t>
      </w:r>
      <w:r>
        <w:t>. They must be included in states’ reporting.</w:t>
      </w:r>
    </w:p>
    <w:p w14:paraId="736009FA" w14:textId="58C81751" w:rsidR="00B84553" w:rsidRPr="003524BB" w:rsidRDefault="00B84553" w:rsidP="00B84553">
      <w:pPr>
        <w:spacing w:after="0" w:line="240" w:lineRule="auto"/>
        <w:jc w:val="left"/>
        <w:textAlignment w:val="baseline"/>
        <w:rPr>
          <w:rFonts w:ascii="Segoe UI" w:hAnsi="Segoe UI" w:cs="Segoe UI"/>
          <w:color w:val="auto"/>
          <w:sz w:val="18"/>
          <w:szCs w:val="1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0"/>
        <w:gridCol w:w="2663"/>
        <w:gridCol w:w="2660"/>
        <w:gridCol w:w="3446"/>
        <w:gridCol w:w="2975"/>
      </w:tblGrid>
      <w:tr w:rsidR="00057610" w:rsidRPr="003524BB" w14:paraId="1CD65FA0" w14:textId="77777777" w:rsidTr="00FB7572">
        <w:trPr>
          <w:trHeight w:val="555"/>
        </w:trPr>
        <w:tc>
          <w:tcPr>
            <w:tcW w:w="965" w:type="pct"/>
            <w:tcBorders>
              <w:top w:val="single" w:sz="6" w:space="0" w:color="auto"/>
              <w:left w:val="outset" w:sz="6" w:space="0" w:color="auto"/>
              <w:bottom w:val="single" w:sz="6" w:space="0" w:color="auto"/>
              <w:right w:val="single" w:sz="6" w:space="0" w:color="auto"/>
            </w:tcBorders>
            <w:vAlign w:val="center"/>
          </w:tcPr>
          <w:p w14:paraId="5B024EE8" w14:textId="6D619960" w:rsidR="00057610" w:rsidRPr="1111D8F2" w:rsidRDefault="00821826" w:rsidP="00821826">
            <w:pPr>
              <w:spacing w:after="0" w:line="240" w:lineRule="auto"/>
              <w:jc w:val="center"/>
              <w:textAlignment w:val="baseline"/>
              <w:rPr>
                <w:rFonts w:cs="Arial"/>
                <w:b/>
                <w:color w:val="3D4B67"/>
                <w:sz w:val="29"/>
                <w:szCs w:val="29"/>
              </w:rPr>
            </w:pPr>
            <w:r>
              <w:rPr>
                <w:rFonts w:cs="Arial"/>
                <w:b/>
                <w:color w:val="3D4B67"/>
                <w:sz w:val="29"/>
                <w:szCs w:val="29"/>
              </w:rPr>
              <w:t>Objective</w:t>
            </w:r>
          </w:p>
        </w:tc>
        <w:tc>
          <w:tcPr>
            <w:tcW w:w="915" w:type="pct"/>
            <w:tcBorders>
              <w:top w:val="single" w:sz="6" w:space="0" w:color="auto"/>
              <w:left w:val="outset" w:sz="6" w:space="0" w:color="auto"/>
              <w:bottom w:val="single" w:sz="6" w:space="0" w:color="auto"/>
              <w:right w:val="single" w:sz="6" w:space="0" w:color="auto"/>
            </w:tcBorders>
            <w:shd w:val="clear" w:color="auto" w:fill="auto"/>
            <w:vAlign w:val="center"/>
            <w:hideMark/>
          </w:tcPr>
          <w:p w14:paraId="0F99D41D" w14:textId="0F2F12C1" w:rsidR="00057610" w:rsidRPr="00F40C51" w:rsidRDefault="00057610" w:rsidP="00057610">
            <w:pPr>
              <w:spacing w:after="0" w:line="240" w:lineRule="auto"/>
              <w:jc w:val="center"/>
              <w:textAlignment w:val="baseline"/>
              <w:rPr>
                <w:rFonts w:cs="Arial"/>
                <w:b/>
                <w:color w:val="3D4B67"/>
                <w:sz w:val="29"/>
                <w:szCs w:val="29"/>
              </w:rPr>
            </w:pPr>
            <w:r w:rsidRPr="1111D8F2">
              <w:rPr>
                <w:rFonts w:cs="Arial"/>
                <w:b/>
                <w:color w:val="3D4B67"/>
                <w:sz w:val="29"/>
                <w:szCs w:val="29"/>
              </w:rPr>
              <w:t>Outcomes</w:t>
            </w:r>
          </w:p>
        </w:tc>
        <w:tc>
          <w:tcPr>
            <w:tcW w:w="914" w:type="pct"/>
            <w:tcBorders>
              <w:top w:val="single" w:sz="6" w:space="0" w:color="auto"/>
              <w:left w:val="outset" w:sz="6" w:space="0" w:color="auto"/>
              <w:bottom w:val="single" w:sz="6" w:space="0" w:color="auto"/>
              <w:right w:val="single" w:sz="6" w:space="0" w:color="auto"/>
            </w:tcBorders>
            <w:shd w:val="clear" w:color="auto" w:fill="auto"/>
            <w:vAlign w:val="center"/>
            <w:hideMark/>
          </w:tcPr>
          <w:p w14:paraId="1B6B146F" w14:textId="027602E4" w:rsidR="00057610" w:rsidRPr="00F40C51" w:rsidRDefault="00D14D45" w:rsidP="00057610">
            <w:pPr>
              <w:spacing w:after="0" w:line="240" w:lineRule="auto"/>
              <w:jc w:val="center"/>
              <w:textAlignment w:val="baseline"/>
              <w:rPr>
                <w:rFonts w:cs="Arial"/>
                <w:b/>
                <w:color w:val="3D4B67"/>
                <w:sz w:val="29"/>
                <w:szCs w:val="29"/>
              </w:rPr>
            </w:pPr>
            <w:r w:rsidRPr="1111D8F2">
              <w:rPr>
                <w:rFonts w:cs="Arial"/>
                <w:b/>
                <w:color w:val="3D4B67"/>
                <w:sz w:val="29"/>
                <w:szCs w:val="29"/>
              </w:rPr>
              <w:t xml:space="preserve">Indicators </w:t>
            </w:r>
          </w:p>
        </w:tc>
        <w:tc>
          <w:tcPr>
            <w:tcW w:w="1184" w:type="pct"/>
            <w:tcBorders>
              <w:top w:val="single" w:sz="6" w:space="0" w:color="auto"/>
              <w:left w:val="outset" w:sz="6" w:space="0" w:color="auto"/>
              <w:bottom w:val="single" w:sz="6" w:space="0" w:color="auto"/>
              <w:right w:val="single" w:sz="6" w:space="0" w:color="auto"/>
            </w:tcBorders>
            <w:shd w:val="clear" w:color="auto" w:fill="auto"/>
            <w:vAlign w:val="center"/>
            <w:hideMark/>
          </w:tcPr>
          <w:p w14:paraId="75FBAD21" w14:textId="04599935" w:rsidR="00057610" w:rsidRPr="00F40C51" w:rsidRDefault="00D14D45" w:rsidP="00057610">
            <w:pPr>
              <w:spacing w:after="0" w:line="240" w:lineRule="auto"/>
              <w:jc w:val="center"/>
              <w:textAlignment w:val="baseline"/>
              <w:rPr>
                <w:rFonts w:cs="Arial"/>
                <w:b/>
                <w:color w:val="3D4B67"/>
                <w:sz w:val="29"/>
                <w:szCs w:val="29"/>
              </w:rPr>
            </w:pPr>
            <w:r w:rsidRPr="1111D8F2">
              <w:rPr>
                <w:rFonts w:cs="Arial"/>
                <w:b/>
                <w:color w:val="3D4B67"/>
                <w:sz w:val="29"/>
                <w:szCs w:val="29"/>
              </w:rPr>
              <w:t>Measures</w:t>
            </w:r>
          </w:p>
        </w:tc>
        <w:tc>
          <w:tcPr>
            <w:tcW w:w="1022" w:type="pct"/>
            <w:tcBorders>
              <w:top w:val="single" w:sz="6" w:space="0" w:color="auto"/>
              <w:left w:val="outset" w:sz="6" w:space="0" w:color="auto"/>
              <w:bottom w:val="single" w:sz="6" w:space="0" w:color="auto"/>
              <w:right w:val="single" w:sz="6" w:space="0" w:color="auto"/>
            </w:tcBorders>
            <w:shd w:val="clear" w:color="auto" w:fill="auto"/>
            <w:vAlign w:val="center"/>
            <w:hideMark/>
          </w:tcPr>
          <w:p w14:paraId="532DBDC7" w14:textId="29B8BB16" w:rsidR="00057610" w:rsidRPr="00D66638" w:rsidRDefault="00057610" w:rsidP="00D14D45">
            <w:pPr>
              <w:spacing w:after="0" w:line="240" w:lineRule="auto"/>
              <w:jc w:val="center"/>
              <w:textAlignment w:val="baseline"/>
              <w:rPr>
                <w:rFonts w:cs="Arial"/>
                <w:b/>
                <w:color w:val="3D4B67"/>
                <w:sz w:val="29"/>
                <w:szCs w:val="29"/>
              </w:rPr>
            </w:pPr>
            <w:r w:rsidRPr="00D66638">
              <w:rPr>
                <w:rFonts w:cs="Arial"/>
                <w:b/>
                <w:color w:val="3D4B67"/>
                <w:sz w:val="29"/>
                <w:szCs w:val="29"/>
              </w:rPr>
              <w:t>Possible Data Source</w:t>
            </w:r>
          </w:p>
        </w:tc>
      </w:tr>
      <w:tr w:rsidR="00D66638" w:rsidRPr="003524BB" w14:paraId="6099A2E9" w14:textId="77777777" w:rsidTr="00F80BBB">
        <w:trPr>
          <w:trHeight w:val="1875"/>
        </w:trPr>
        <w:tc>
          <w:tcPr>
            <w:tcW w:w="965" w:type="pct"/>
            <w:tcBorders>
              <w:top w:val="outset" w:sz="6" w:space="0" w:color="auto"/>
              <w:left w:val="outset" w:sz="6" w:space="0" w:color="auto"/>
              <w:right w:val="single" w:sz="6" w:space="0" w:color="auto"/>
            </w:tcBorders>
          </w:tcPr>
          <w:p w14:paraId="45EC9D12" w14:textId="5D62B180" w:rsidR="00D66638" w:rsidRPr="007C210A" w:rsidRDefault="00D66638" w:rsidP="007B03AC">
            <w:pPr>
              <w:spacing w:after="0" w:line="240" w:lineRule="auto"/>
              <w:jc w:val="left"/>
              <w:textAlignment w:val="baseline"/>
              <w:rPr>
                <w:rFonts w:asciiTheme="minorHAnsi" w:hAnsiTheme="minorHAnsi" w:cstheme="minorHAnsi"/>
                <w:color w:val="auto"/>
                <w:sz w:val="22"/>
                <w:szCs w:val="22"/>
              </w:rPr>
            </w:pPr>
            <w:r w:rsidRPr="007C210A">
              <w:rPr>
                <w:rFonts w:asciiTheme="minorHAnsi" w:hAnsiTheme="minorHAnsi" w:cstheme="minorHAnsi"/>
                <w:color w:val="auto"/>
                <w:sz w:val="22"/>
                <w:szCs w:val="22"/>
              </w:rPr>
              <w:t>Effective support services contribute to preventing and reducing</w:t>
            </w:r>
            <w:r>
              <w:rPr>
                <w:rFonts w:asciiTheme="minorHAnsi" w:hAnsiTheme="minorHAnsi" w:cstheme="minorHAnsi"/>
                <w:color w:val="auto"/>
                <w:sz w:val="22"/>
                <w:szCs w:val="22"/>
              </w:rPr>
              <w:t xml:space="preserve"> </w:t>
            </w:r>
            <w:r w:rsidRPr="007C210A">
              <w:rPr>
                <w:rFonts w:asciiTheme="minorHAnsi" w:hAnsiTheme="minorHAnsi" w:cstheme="minorHAnsi"/>
                <w:color w:val="auto"/>
                <w:sz w:val="22"/>
                <w:szCs w:val="22"/>
              </w:rPr>
              <w:t>homelessness</w:t>
            </w:r>
          </w:p>
        </w:tc>
        <w:tc>
          <w:tcPr>
            <w:tcW w:w="915" w:type="pct"/>
            <w:vMerge w:val="restart"/>
            <w:tcBorders>
              <w:top w:val="outset" w:sz="6" w:space="0" w:color="auto"/>
              <w:left w:val="outset" w:sz="6" w:space="0" w:color="auto"/>
              <w:right w:val="single" w:sz="6" w:space="0" w:color="auto"/>
            </w:tcBorders>
            <w:shd w:val="clear" w:color="auto" w:fill="auto"/>
            <w:hideMark/>
          </w:tcPr>
          <w:p w14:paraId="671F38EA" w14:textId="7B68F2FA" w:rsidR="00D66638" w:rsidRPr="007C210A" w:rsidRDefault="00D66638" w:rsidP="00D66638">
            <w:pPr>
              <w:spacing w:after="0" w:line="240" w:lineRule="auto"/>
              <w:jc w:val="left"/>
              <w:textAlignment w:val="baseline"/>
              <w:rPr>
                <w:rFonts w:asciiTheme="minorHAnsi" w:hAnsiTheme="minorHAnsi" w:cstheme="minorHAnsi"/>
                <w:color w:val="auto"/>
                <w:sz w:val="22"/>
                <w:szCs w:val="22"/>
              </w:rPr>
            </w:pPr>
            <w:r w:rsidRPr="007C210A">
              <w:rPr>
                <w:rFonts w:asciiTheme="minorHAnsi" w:hAnsiTheme="minorHAnsi" w:cstheme="minorHAnsi"/>
                <w:color w:val="auto"/>
                <w:sz w:val="22"/>
                <w:szCs w:val="22"/>
              </w:rPr>
              <w:t>People at risk of or experiencing homelessness receive effective support</w:t>
            </w:r>
          </w:p>
        </w:tc>
        <w:tc>
          <w:tcPr>
            <w:tcW w:w="914" w:type="pct"/>
            <w:tcBorders>
              <w:top w:val="outset" w:sz="6" w:space="0" w:color="auto"/>
              <w:left w:val="outset" w:sz="6" w:space="0" w:color="auto"/>
              <w:bottom w:val="nil"/>
              <w:right w:val="single" w:sz="6" w:space="0" w:color="auto"/>
            </w:tcBorders>
            <w:shd w:val="clear" w:color="auto" w:fill="auto"/>
            <w:hideMark/>
          </w:tcPr>
          <w:p w14:paraId="33D76743" w14:textId="0B223F46" w:rsidR="00D66638" w:rsidRPr="007C210A" w:rsidRDefault="00D66638" w:rsidP="007B03AC">
            <w:pPr>
              <w:spacing w:after="0" w:line="240" w:lineRule="auto"/>
              <w:jc w:val="left"/>
              <w:textAlignment w:val="baseline"/>
              <w:rPr>
                <w:rFonts w:asciiTheme="minorHAnsi" w:hAnsiTheme="minorHAnsi" w:cstheme="minorHAnsi"/>
                <w:color w:val="auto"/>
                <w:sz w:val="22"/>
                <w:szCs w:val="22"/>
              </w:rPr>
            </w:pPr>
            <w:r>
              <w:rPr>
                <w:rFonts w:asciiTheme="minorHAnsi" w:hAnsiTheme="minorHAnsi" w:cstheme="minorHAnsi"/>
                <w:color w:val="auto"/>
                <w:sz w:val="22"/>
                <w:szCs w:val="22"/>
              </w:rPr>
              <w:t>Unmet demand for homelessness services</w:t>
            </w:r>
          </w:p>
        </w:tc>
        <w:tc>
          <w:tcPr>
            <w:tcW w:w="1184" w:type="pct"/>
            <w:tcBorders>
              <w:top w:val="outset" w:sz="6" w:space="0" w:color="auto"/>
              <w:left w:val="outset" w:sz="6" w:space="0" w:color="auto"/>
              <w:bottom w:val="single" w:sz="6" w:space="0" w:color="auto"/>
              <w:right w:val="single" w:sz="6" w:space="0" w:color="auto"/>
            </w:tcBorders>
            <w:shd w:val="clear" w:color="auto" w:fill="auto"/>
            <w:hideMark/>
          </w:tcPr>
          <w:p w14:paraId="69A151A6" w14:textId="0C100194" w:rsidR="00D66638" w:rsidRPr="006C4278" w:rsidRDefault="00D66638" w:rsidP="007B03AC">
            <w:pPr>
              <w:spacing w:after="0" w:line="240" w:lineRule="auto"/>
              <w:jc w:val="left"/>
              <w:textAlignment w:val="baseline"/>
              <w:rPr>
                <w:rFonts w:asciiTheme="minorHAnsi" w:hAnsiTheme="minorHAnsi" w:cstheme="minorHAnsi"/>
                <w:b/>
                <w:bCs/>
                <w:color w:val="auto"/>
                <w:sz w:val="22"/>
                <w:szCs w:val="22"/>
              </w:rPr>
            </w:pPr>
            <w:r w:rsidRPr="006C4278">
              <w:rPr>
                <w:rFonts w:asciiTheme="minorHAnsi" w:hAnsiTheme="minorHAnsi" w:cstheme="minorHAnsi"/>
                <w:b/>
                <w:bCs/>
                <w:color w:val="auto"/>
                <w:sz w:val="22"/>
                <w:szCs w:val="22"/>
              </w:rPr>
              <w:t>Number of unassisted requests for services, split by accommodation and other services</w:t>
            </w:r>
            <w:r w:rsidR="006C4278" w:rsidRPr="006C4278">
              <w:rPr>
                <w:rFonts w:asciiTheme="minorHAnsi" w:hAnsiTheme="minorHAnsi" w:cstheme="minorHAnsi"/>
                <w:b/>
                <w:bCs/>
                <w:color w:val="auto"/>
                <w:sz w:val="22"/>
                <w:szCs w:val="22"/>
              </w:rPr>
              <w:t>*</w:t>
            </w:r>
          </w:p>
          <w:p w14:paraId="43F00E57" w14:textId="790257FA" w:rsidR="00D66638" w:rsidRPr="006C4278" w:rsidRDefault="00D66638" w:rsidP="007B03AC">
            <w:pPr>
              <w:spacing w:after="0" w:line="240" w:lineRule="auto"/>
              <w:jc w:val="left"/>
              <w:textAlignment w:val="baseline"/>
              <w:rPr>
                <w:rFonts w:asciiTheme="minorHAnsi" w:hAnsiTheme="minorHAnsi" w:cstheme="minorHAnsi"/>
                <w:b/>
                <w:bCs/>
                <w:color w:val="auto"/>
                <w:sz w:val="22"/>
                <w:szCs w:val="22"/>
              </w:rPr>
            </w:pPr>
          </w:p>
          <w:p w14:paraId="4ED77E49" w14:textId="5D192F8E" w:rsidR="00D66638" w:rsidRPr="007C210A" w:rsidRDefault="00D66638" w:rsidP="00D66638">
            <w:pPr>
              <w:spacing w:after="0" w:line="240" w:lineRule="auto"/>
              <w:jc w:val="left"/>
              <w:textAlignment w:val="baseline"/>
              <w:rPr>
                <w:rFonts w:asciiTheme="minorHAnsi" w:hAnsiTheme="minorHAnsi" w:cstheme="minorHAnsi"/>
                <w:color w:val="auto"/>
                <w:sz w:val="22"/>
                <w:szCs w:val="22"/>
              </w:rPr>
            </w:pPr>
            <w:r w:rsidRPr="006C4278">
              <w:rPr>
                <w:rFonts w:asciiTheme="minorHAnsi" w:hAnsiTheme="minorHAnsi" w:cstheme="minorHAnsi"/>
                <w:b/>
                <w:bCs/>
                <w:color w:val="auto"/>
                <w:sz w:val="22"/>
                <w:szCs w:val="22"/>
              </w:rPr>
              <w:t>Number and proportion of clients with an identified need for services who were not provided or referred to those services, split by accommodation and other services</w:t>
            </w:r>
            <w:r w:rsidR="006C4278" w:rsidRPr="006C4278">
              <w:rPr>
                <w:rFonts w:asciiTheme="minorHAnsi" w:hAnsiTheme="minorHAnsi" w:cstheme="minorHAnsi"/>
                <w:b/>
                <w:bCs/>
                <w:color w:val="auto"/>
                <w:sz w:val="22"/>
                <w:szCs w:val="22"/>
              </w:rPr>
              <w:t>*</w:t>
            </w:r>
          </w:p>
        </w:tc>
        <w:tc>
          <w:tcPr>
            <w:tcW w:w="1022" w:type="pct"/>
            <w:tcBorders>
              <w:top w:val="outset" w:sz="6" w:space="0" w:color="auto"/>
              <w:left w:val="outset" w:sz="6" w:space="0" w:color="auto"/>
              <w:bottom w:val="single" w:sz="6" w:space="0" w:color="auto"/>
              <w:right w:val="single" w:sz="6" w:space="0" w:color="auto"/>
            </w:tcBorders>
            <w:shd w:val="clear" w:color="auto" w:fill="auto"/>
            <w:hideMark/>
          </w:tcPr>
          <w:p w14:paraId="3C148951" w14:textId="77777777" w:rsidR="00D66638" w:rsidRPr="00D66638" w:rsidRDefault="00D66638" w:rsidP="007B03AC">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Specialist Homelessness Services Collection (SHSC), AIHW, Table UNASSISTED.2 </w:t>
            </w:r>
          </w:p>
          <w:p w14:paraId="604FC384" w14:textId="16E70C49" w:rsidR="00D66638" w:rsidRPr="00D66638" w:rsidRDefault="00D66638" w:rsidP="007B03AC">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RoGS 19A.8</w:t>
            </w:r>
          </w:p>
          <w:p w14:paraId="292A7A6A" w14:textId="6BB13AD6" w:rsidR="00D66638" w:rsidRPr="00D66638" w:rsidRDefault="00D66638" w:rsidP="007B03AC">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Specialist Homelessness Services Collection (SHSC), AIHW, Table CLIENTS.24</w:t>
            </w:r>
          </w:p>
          <w:p w14:paraId="69AB02DC" w14:textId="26AF5D73" w:rsidR="00D66638" w:rsidRPr="00D66638" w:rsidRDefault="00D66638" w:rsidP="00D66638">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RoGS, Table 19A.7</w:t>
            </w:r>
          </w:p>
        </w:tc>
      </w:tr>
      <w:tr w:rsidR="00D66638" w:rsidRPr="003524BB" w14:paraId="45F7E38E" w14:textId="77777777" w:rsidTr="00F80BBB">
        <w:tc>
          <w:tcPr>
            <w:tcW w:w="965" w:type="pct"/>
            <w:tcBorders>
              <w:left w:val="outset" w:sz="6" w:space="0" w:color="auto"/>
              <w:right w:val="single" w:sz="6" w:space="0" w:color="auto"/>
            </w:tcBorders>
          </w:tcPr>
          <w:p w14:paraId="23CC6DB4" w14:textId="77777777" w:rsidR="00D66638" w:rsidRPr="007C210A" w:rsidRDefault="00D66638" w:rsidP="007B03AC">
            <w:pPr>
              <w:spacing w:after="0" w:line="240" w:lineRule="auto"/>
              <w:jc w:val="left"/>
              <w:textAlignment w:val="baseline"/>
              <w:rPr>
                <w:rFonts w:asciiTheme="minorHAnsi" w:hAnsiTheme="minorHAnsi" w:cstheme="minorHAnsi"/>
                <w:color w:val="auto"/>
                <w:sz w:val="22"/>
                <w:szCs w:val="22"/>
              </w:rPr>
            </w:pPr>
          </w:p>
        </w:tc>
        <w:tc>
          <w:tcPr>
            <w:tcW w:w="915" w:type="pct"/>
            <w:vMerge/>
            <w:tcBorders>
              <w:left w:val="outset" w:sz="6" w:space="0" w:color="auto"/>
              <w:right w:val="single" w:sz="6" w:space="0" w:color="auto"/>
            </w:tcBorders>
            <w:shd w:val="clear" w:color="auto" w:fill="auto"/>
            <w:hideMark/>
          </w:tcPr>
          <w:p w14:paraId="010BC18E" w14:textId="264818CC" w:rsidR="00D66638" w:rsidRPr="007C210A" w:rsidRDefault="00D66638" w:rsidP="007B03AC">
            <w:pPr>
              <w:spacing w:after="0" w:line="240" w:lineRule="auto"/>
              <w:jc w:val="left"/>
              <w:textAlignment w:val="baseline"/>
              <w:rPr>
                <w:rFonts w:asciiTheme="minorHAnsi" w:hAnsiTheme="minorHAnsi" w:cstheme="minorHAnsi"/>
                <w:color w:val="auto"/>
                <w:sz w:val="22"/>
                <w:szCs w:val="22"/>
              </w:rPr>
            </w:pPr>
          </w:p>
        </w:tc>
        <w:tc>
          <w:tcPr>
            <w:tcW w:w="914" w:type="pct"/>
            <w:tcBorders>
              <w:top w:val="outset" w:sz="6" w:space="0" w:color="auto"/>
              <w:left w:val="outset" w:sz="6" w:space="0" w:color="auto"/>
              <w:bottom w:val="single" w:sz="6" w:space="0" w:color="auto"/>
              <w:right w:val="single" w:sz="6" w:space="0" w:color="auto"/>
            </w:tcBorders>
            <w:shd w:val="clear" w:color="auto" w:fill="auto"/>
            <w:hideMark/>
          </w:tcPr>
          <w:p w14:paraId="7F331D10" w14:textId="1FE0355E" w:rsidR="00D66638" w:rsidRPr="007C210A" w:rsidRDefault="00D66638" w:rsidP="00D66638">
            <w:pPr>
              <w:spacing w:after="0" w:line="240" w:lineRule="auto"/>
              <w:jc w:val="left"/>
              <w:textAlignment w:val="baseline"/>
              <w:rPr>
                <w:rFonts w:asciiTheme="minorHAnsi" w:hAnsiTheme="minorHAnsi" w:cstheme="minorHAnsi"/>
                <w:color w:val="auto"/>
                <w:sz w:val="22"/>
                <w:szCs w:val="22"/>
              </w:rPr>
            </w:pPr>
            <w:r>
              <w:rPr>
                <w:rFonts w:asciiTheme="minorHAnsi" w:hAnsiTheme="minorHAnsi" w:cstheme="minorHAnsi"/>
                <w:color w:val="auto"/>
                <w:sz w:val="22"/>
                <w:szCs w:val="22"/>
              </w:rPr>
              <w:t>Supported requests for services</w:t>
            </w:r>
          </w:p>
        </w:tc>
        <w:tc>
          <w:tcPr>
            <w:tcW w:w="1184" w:type="pct"/>
            <w:tcBorders>
              <w:top w:val="outset" w:sz="6" w:space="0" w:color="auto"/>
              <w:left w:val="outset" w:sz="6" w:space="0" w:color="auto"/>
              <w:bottom w:val="single" w:sz="6" w:space="0" w:color="auto"/>
              <w:right w:val="single" w:sz="6" w:space="0" w:color="auto"/>
            </w:tcBorders>
            <w:shd w:val="clear" w:color="auto" w:fill="auto"/>
            <w:hideMark/>
          </w:tcPr>
          <w:p w14:paraId="66EEDE61" w14:textId="0A407858" w:rsidR="00D66638" w:rsidRPr="007C210A" w:rsidRDefault="00D66638" w:rsidP="007B03AC">
            <w:pPr>
              <w:spacing w:after="0" w:line="240" w:lineRule="auto"/>
              <w:jc w:val="left"/>
              <w:textAlignment w:val="baseline"/>
              <w:rPr>
                <w:rFonts w:asciiTheme="minorHAnsi" w:hAnsiTheme="minorHAnsi" w:cstheme="minorHAnsi"/>
                <w:color w:val="auto"/>
                <w:sz w:val="22"/>
                <w:szCs w:val="22"/>
              </w:rPr>
            </w:pPr>
            <w:r w:rsidRPr="007C210A">
              <w:rPr>
                <w:rFonts w:asciiTheme="minorHAnsi" w:hAnsiTheme="minorHAnsi" w:cstheme="minorHAnsi"/>
                <w:color w:val="auto"/>
                <w:sz w:val="22"/>
                <w:szCs w:val="22"/>
              </w:rPr>
              <w:t>Number and proportion of clients who were homeless at the first presentation who are in stable housing at the end of support</w:t>
            </w:r>
          </w:p>
          <w:p w14:paraId="74B88572" w14:textId="66556C28" w:rsidR="00D66638" w:rsidRDefault="00D66638" w:rsidP="007B03AC">
            <w:pPr>
              <w:spacing w:after="0" w:line="240" w:lineRule="auto"/>
              <w:jc w:val="left"/>
              <w:textAlignment w:val="baseline"/>
              <w:rPr>
                <w:rFonts w:asciiTheme="minorHAnsi" w:hAnsiTheme="minorHAnsi" w:cstheme="minorHAnsi"/>
                <w:color w:val="auto"/>
                <w:sz w:val="22"/>
                <w:szCs w:val="22"/>
              </w:rPr>
            </w:pPr>
          </w:p>
          <w:p w14:paraId="74D61AE8" w14:textId="2A423B8B" w:rsidR="00D66638" w:rsidRPr="006C4278" w:rsidRDefault="00D66638" w:rsidP="00D66638">
            <w:pPr>
              <w:spacing w:after="0" w:line="240" w:lineRule="auto"/>
              <w:jc w:val="left"/>
              <w:textAlignment w:val="baseline"/>
              <w:rPr>
                <w:rFonts w:asciiTheme="minorHAnsi" w:hAnsiTheme="minorHAnsi" w:cstheme="minorHAnsi"/>
                <w:b/>
                <w:bCs/>
                <w:color w:val="auto"/>
                <w:sz w:val="22"/>
                <w:szCs w:val="22"/>
              </w:rPr>
            </w:pPr>
            <w:r w:rsidRPr="006C4278">
              <w:rPr>
                <w:rFonts w:asciiTheme="minorHAnsi" w:hAnsiTheme="minorHAnsi" w:cstheme="minorHAnsi"/>
                <w:b/>
                <w:bCs/>
                <w:color w:val="auto"/>
                <w:sz w:val="22"/>
                <w:szCs w:val="22"/>
              </w:rPr>
              <w:t>Number and proportion of clients at risk of homelessness who receive assistance and avoid homelessness</w:t>
            </w:r>
            <w:r w:rsidR="006C4278" w:rsidRPr="006C4278">
              <w:rPr>
                <w:rFonts w:asciiTheme="minorHAnsi" w:hAnsiTheme="minorHAnsi" w:cstheme="minorHAnsi"/>
                <w:b/>
                <w:bCs/>
                <w:color w:val="auto"/>
                <w:sz w:val="22"/>
                <w:szCs w:val="22"/>
              </w:rPr>
              <w:t>*</w:t>
            </w:r>
          </w:p>
        </w:tc>
        <w:tc>
          <w:tcPr>
            <w:tcW w:w="1022" w:type="pct"/>
            <w:tcBorders>
              <w:top w:val="outset" w:sz="6" w:space="0" w:color="auto"/>
              <w:left w:val="outset" w:sz="6" w:space="0" w:color="auto"/>
              <w:bottom w:val="single" w:sz="6" w:space="0" w:color="auto"/>
              <w:right w:val="single" w:sz="6" w:space="0" w:color="auto"/>
            </w:tcBorders>
            <w:shd w:val="clear" w:color="auto" w:fill="auto"/>
            <w:hideMark/>
          </w:tcPr>
          <w:p w14:paraId="447B46F8" w14:textId="30A0DCF8" w:rsidR="00D66638" w:rsidRPr="00D66638" w:rsidRDefault="00D66638" w:rsidP="007B03AC">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SHSC, AIHW, table CLIENTS.31</w:t>
            </w:r>
          </w:p>
          <w:p w14:paraId="6A20512D" w14:textId="77777777" w:rsidR="00D66638" w:rsidRPr="00D66638" w:rsidRDefault="00D66638" w:rsidP="007B03AC">
            <w:pPr>
              <w:spacing w:after="0" w:line="240" w:lineRule="auto"/>
              <w:jc w:val="left"/>
              <w:textAlignment w:val="baseline"/>
              <w:rPr>
                <w:rFonts w:asciiTheme="minorHAnsi" w:hAnsiTheme="minorHAnsi" w:cstheme="minorHAnsi"/>
                <w:color w:val="auto"/>
                <w:sz w:val="22"/>
                <w:szCs w:val="22"/>
              </w:rPr>
            </w:pPr>
          </w:p>
          <w:p w14:paraId="7A251AA1" w14:textId="77777777" w:rsidR="00D66638" w:rsidRPr="00D66638" w:rsidRDefault="00D66638" w:rsidP="007B03AC">
            <w:pPr>
              <w:spacing w:after="0" w:line="240" w:lineRule="auto"/>
              <w:jc w:val="left"/>
              <w:textAlignment w:val="baseline"/>
              <w:rPr>
                <w:rFonts w:asciiTheme="minorHAnsi" w:hAnsiTheme="minorHAnsi" w:cstheme="minorHAnsi"/>
                <w:color w:val="auto"/>
                <w:sz w:val="22"/>
                <w:szCs w:val="22"/>
              </w:rPr>
            </w:pPr>
          </w:p>
          <w:p w14:paraId="6A24F9D2" w14:textId="77777777" w:rsidR="00D66638" w:rsidRPr="00D66638" w:rsidRDefault="00D66638" w:rsidP="007B03AC">
            <w:pPr>
              <w:spacing w:after="0" w:line="240" w:lineRule="auto"/>
              <w:jc w:val="left"/>
              <w:textAlignment w:val="baseline"/>
              <w:rPr>
                <w:rFonts w:asciiTheme="minorHAnsi" w:hAnsiTheme="minorHAnsi" w:cstheme="minorHAnsi"/>
                <w:color w:val="auto"/>
                <w:sz w:val="22"/>
                <w:szCs w:val="22"/>
              </w:rPr>
            </w:pPr>
          </w:p>
          <w:p w14:paraId="42D48369" w14:textId="77777777" w:rsidR="00D66638" w:rsidRPr="00D66638" w:rsidRDefault="00D66638" w:rsidP="007B03AC">
            <w:pPr>
              <w:spacing w:after="0" w:line="240" w:lineRule="auto"/>
              <w:jc w:val="left"/>
              <w:textAlignment w:val="baseline"/>
              <w:rPr>
                <w:rFonts w:asciiTheme="minorHAnsi" w:hAnsiTheme="minorHAnsi" w:cstheme="minorHAnsi"/>
                <w:color w:val="auto"/>
                <w:sz w:val="22"/>
                <w:szCs w:val="22"/>
              </w:rPr>
            </w:pPr>
          </w:p>
          <w:p w14:paraId="7C7B8C18" w14:textId="77777777" w:rsidR="00D66638" w:rsidRPr="00D66638" w:rsidRDefault="00D66638" w:rsidP="00D14D45">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NHHA Indicator (i)</w:t>
            </w:r>
          </w:p>
          <w:p w14:paraId="54D33728" w14:textId="2B7C970B" w:rsidR="00D66638" w:rsidRPr="00D66638" w:rsidRDefault="00D66638" w:rsidP="00D14D45">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SHSC, AIHW, Table I_CLIENT_1</w:t>
            </w:r>
          </w:p>
        </w:tc>
      </w:tr>
      <w:tr w:rsidR="00D66638" w:rsidRPr="003524BB" w14:paraId="063A7039" w14:textId="77777777" w:rsidTr="00F80BBB">
        <w:trPr>
          <w:trHeight w:val="60"/>
        </w:trPr>
        <w:tc>
          <w:tcPr>
            <w:tcW w:w="965" w:type="pct"/>
            <w:tcBorders>
              <w:left w:val="outset" w:sz="6" w:space="0" w:color="auto"/>
              <w:right w:val="single" w:sz="6" w:space="0" w:color="auto"/>
            </w:tcBorders>
          </w:tcPr>
          <w:p w14:paraId="48EC6312" w14:textId="77777777" w:rsidR="00D66638" w:rsidRPr="007C210A" w:rsidRDefault="00D66638" w:rsidP="007B03AC">
            <w:pPr>
              <w:spacing w:after="0" w:line="240" w:lineRule="auto"/>
              <w:jc w:val="left"/>
              <w:textAlignment w:val="baseline"/>
              <w:rPr>
                <w:rFonts w:asciiTheme="minorHAnsi" w:hAnsiTheme="minorHAnsi" w:cstheme="minorHAnsi"/>
                <w:color w:val="auto"/>
                <w:sz w:val="22"/>
                <w:szCs w:val="22"/>
              </w:rPr>
            </w:pPr>
          </w:p>
        </w:tc>
        <w:tc>
          <w:tcPr>
            <w:tcW w:w="915" w:type="pct"/>
            <w:vMerge/>
            <w:tcBorders>
              <w:left w:val="outset" w:sz="6" w:space="0" w:color="auto"/>
              <w:right w:val="single" w:sz="6" w:space="0" w:color="auto"/>
            </w:tcBorders>
            <w:shd w:val="clear" w:color="auto" w:fill="auto"/>
            <w:hideMark/>
          </w:tcPr>
          <w:p w14:paraId="14A7D682" w14:textId="1A974582" w:rsidR="00D66638" w:rsidRPr="007C210A" w:rsidRDefault="00D66638" w:rsidP="007B03AC">
            <w:pPr>
              <w:spacing w:after="0" w:line="240" w:lineRule="auto"/>
              <w:jc w:val="left"/>
              <w:textAlignment w:val="baseline"/>
              <w:rPr>
                <w:rFonts w:asciiTheme="minorHAnsi" w:hAnsiTheme="minorHAnsi" w:cstheme="minorHAnsi"/>
                <w:color w:val="auto"/>
                <w:sz w:val="22"/>
                <w:szCs w:val="22"/>
              </w:rPr>
            </w:pPr>
          </w:p>
        </w:tc>
        <w:tc>
          <w:tcPr>
            <w:tcW w:w="914" w:type="pct"/>
            <w:tcBorders>
              <w:top w:val="outset" w:sz="6" w:space="0" w:color="auto"/>
              <w:left w:val="outset" w:sz="6" w:space="0" w:color="auto"/>
              <w:bottom w:val="single" w:sz="6" w:space="0" w:color="auto"/>
              <w:right w:val="single" w:sz="6" w:space="0" w:color="auto"/>
            </w:tcBorders>
            <w:shd w:val="clear" w:color="auto" w:fill="auto"/>
            <w:hideMark/>
          </w:tcPr>
          <w:p w14:paraId="08183F91" w14:textId="00FC7B04" w:rsidR="00D66638" w:rsidRPr="007C210A" w:rsidRDefault="00D66638" w:rsidP="00D66638">
            <w:pPr>
              <w:spacing w:after="0" w:line="240" w:lineRule="auto"/>
              <w:jc w:val="left"/>
              <w:textAlignment w:val="baseline"/>
              <w:rPr>
                <w:rFonts w:asciiTheme="minorHAnsi" w:hAnsiTheme="minorHAnsi" w:cstheme="minorHAnsi"/>
                <w:color w:val="auto"/>
                <w:sz w:val="22"/>
                <w:szCs w:val="22"/>
              </w:rPr>
            </w:pPr>
            <w:r>
              <w:rPr>
                <w:rFonts w:asciiTheme="minorHAnsi" w:hAnsiTheme="minorHAnsi" w:cstheme="minorHAnsi"/>
                <w:color w:val="auto"/>
                <w:sz w:val="22"/>
                <w:szCs w:val="22"/>
              </w:rPr>
              <w:t>Satisfaction with homelessness services</w:t>
            </w:r>
          </w:p>
        </w:tc>
        <w:tc>
          <w:tcPr>
            <w:tcW w:w="1184" w:type="pct"/>
            <w:tcBorders>
              <w:top w:val="outset" w:sz="6" w:space="0" w:color="auto"/>
              <w:left w:val="outset" w:sz="6" w:space="0" w:color="auto"/>
              <w:bottom w:val="single" w:sz="6" w:space="0" w:color="auto"/>
              <w:right w:val="single" w:sz="6" w:space="0" w:color="auto"/>
            </w:tcBorders>
            <w:shd w:val="clear" w:color="auto" w:fill="auto"/>
            <w:hideMark/>
          </w:tcPr>
          <w:p w14:paraId="254B47DD" w14:textId="42BC572C" w:rsidR="00D66638" w:rsidRPr="007C210A" w:rsidRDefault="00D66638" w:rsidP="007B03AC">
            <w:pPr>
              <w:spacing w:after="0" w:line="240" w:lineRule="auto"/>
              <w:jc w:val="left"/>
              <w:textAlignment w:val="baseline"/>
              <w:rPr>
                <w:rFonts w:asciiTheme="minorHAnsi" w:hAnsiTheme="minorHAnsi" w:cstheme="minorHAnsi"/>
                <w:color w:val="auto"/>
                <w:sz w:val="22"/>
                <w:szCs w:val="22"/>
              </w:rPr>
            </w:pPr>
            <w:r w:rsidRPr="007C210A">
              <w:rPr>
                <w:rFonts w:asciiTheme="minorHAnsi" w:hAnsiTheme="minorHAnsi" w:cstheme="minorHAnsi"/>
                <w:color w:val="auto"/>
                <w:sz w:val="22"/>
                <w:szCs w:val="22"/>
              </w:rPr>
              <w:t>Number and proportion of clients who are satisfied with the service they receive from homelessness service providers</w:t>
            </w:r>
          </w:p>
        </w:tc>
        <w:tc>
          <w:tcPr>
            <w:tcW w:w="1022" w:type="pct"/>
            <w:tcBorders>
              <w:top w:val="outset" w:sz="6" w:space="0" w:color="auto"/>
              <w:left w:val="outset" w:sz="6" w:space="0" w:color="auto"/>
              <w:bottom w:val="single" w:sz="6" w:space="0" w:color="auto"/>
              <w:right w:val="single" w:sz="6" w:space="0" w:color="auto"/>
            </w:tcBorders>
            <w:shd w:val="clear" w:color="auto" w:fill="auto"/>
            <w:hideMark/>
          </w:tcPr>
          <w:p w14:paraId="5410A6E0" w14:textId="61F286EB" w:rsidR="00D66638" w:rsidRPr="00D66638" w:rsidRDefault="00D66638" w:rsidP="007B03AC">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Data currently unavailable</w:t>
            </w:r>
            <w:r>
              <w:rPr>
                <w:rFonts w:asciiTheme="minorHAnsi" w:hAnsiTheme="minorHAnsi" w:cstheme="minorHAnsi"/>
                <w:color w:val="auto"/>
                <w:sz w:val="22"/>
                <w:szCs w:val="22"/>
              </w:rPr>
              <w:t xml:space="preserve"> for this </w:t>
            </w:r>
            <w:r w:rsidRPr="00D66638">
              <w:rPr>
                <w:rFonts w:asciiTheme="minorHAnsi" w:hAnsiTheme="minorHAnsi" w:cstheme="minorHAnsi"/>
                <w:color w:val="auto"/>
                <w:sz w:val="22"/>
                <w:szCs w:val="22"/>
              </w:rPr>
              <w:t>measure</w:t>
            </w:r>
          </w:p>
          <w:p w14:paraId="1DDEC50E" w14:textId="77777777" w:rsidR="00D66638" w:rsidRPr="00D66638" w:rsidRDefault="00D66638" w:rsidP="007B03AC">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 </w:t>
            </w:r>
          </w:p>
        </w:tc>
      </w:tr>
      <w:tr w:rsidR="00D66638" w:rsidRPr="003524BB" w14:paraId="042E406C" w14:textId="77777777" w:rsidTr="00F80BBB">
        <w:trPr>
          <w:cantSplit/>
          <w:trHeight w:val="60"/>
        </w:trPr>
        <w:tc>
          <w:tcPr>
            <w:tcW w:w="965" w:type="pct"/>
            <w:tcBorders>
              <w:left w:val="outset" w:sz="6" w:space="0" w:color="auto"/>
              <w:right w:val="single" w:sz="6" w:space="0" w:color="auto"/>
            </w:tcBorders>
          </w:tcPr>
          <w:p w14:paraId="61D1372D" w14:textId="77777777" w:rsidR="00D66638" w:rsidRPr="007C210A" w:rsidRDefault="00D66638" w:rsidP="00395DF0">
            <w:pPr>
              <w:spacing w:after="0" w:line="240" w:lineRule="auto"/>
              <w:jc w:val="left"/>
              <w:textAlignment w:val="baseline"/>
              <w:rPr>
                <w:rFonts w:asciiTheme="minorHAnsi" w:hAnsiTheme="minorHAnsi" w:cstheme="minorHAnsi"/>
                <w:color w:val="auto"/>
                <w:sz w:val="22"/>
                <w:szCs w:val="22"/>
              </w:rPr>
            </w:pPr>
          </w:p>
        </w:tc>
        <w:tc>
          <w:tcPr>
            <w:tcW w:w="915" w:type="pct"/>
            <w:vMerge/>
            <w:tcBorders>
              <w:left w:val="outset" w:sz="6" w:space="0" w:color="auto"/>
              <w:bottom w:val="outset" w:sz="6" w:space="0" w:color="auto"/>
              <w:right w:val="single" w:sz="6" w:space="0" w:color="auto"/>
            </w:tcBorders>
            <w:shd w:val="clear" w:color="auto" w:fill="auto"/>
          </w:tcPr>
          <w:p w14:paraId="323EB0B6" w14:textId="7107EE4A" w:rsidR="00D66638" w:rsidRPr="007C210A" w:rsidRDefault="00D66638" w:rsidP="00395DF0">
            <w:pPr>
              <w:spacing w:after="0" w:line="240" w:lineRule="auto"/>
              <w:jc w:val="left"/>
              <w:textAlignment w:val="baseline"/>
              <w:rPr>
                <w:rFonts w:asciiTheme="minorHAnsi" w:hAnsiTheme="minorHAnsi" w:cstheme="minorHAnsi"/>
                <w:color w:val="auto"/>
                <w:sz w:val="22"/>
                <w:szCs w:val="22"/>
              </w:rPr>
            </w:pPr>
          </w:p>
        </w:tc>
        <w:tc>
          <w:tcPr>
            <w:tcW w:w="914" w:type="pct"/>
            <w:tcBorders>
              <w:top w:val="outset" w:sz="6" w:space="0" w:color="auto"/>
              <w:left w:val="outset" w:sz="6" w:space="0" w:color="auto"/>
              <w:bottom w:val="single" w:sz="6" w:space="0" w:color="auto"/>
              <w:right w:val="single" w:sz="6" w:space="0" w:color="auto"/>
            </w:tcBorders>
            <w:shd w:val="clear" w:color="auto" w:fill="auto"/>
          </w:tcPr>
          <w:p w14:paraId="2A0DF728" w14:textId="5EB23CD5" w:rsidR="00D66638" w:rsidRPr="007C210A" w:rsidRDefault="00D66638" w:rsidP="00395DF0">
            <w:pPr>
              <w:spacing w:after="0" w:line="240" w:lineRule="auto"/>
              <w:jc w:val="left"/>
              <w:textAlignment w:val="baseline"/>
              <w:rPr>
                <w:rFonts w:asciiTheme="minorHAnsi" w:hAnsiTheme="minorHAnsi" w:cstheme="minorHAnsi"/>
                <w:color w:val="auto"/>
                <w:sz w:val="22"/>
                <w:szCs w:val="22"/>
              </w:rPr>
            </w:pPr>
            <w:r>
              <w:rPr>
                <w:rFonts w:asciiTheme="minorHAnsi" w:hAnsiTheme="minorHAnsi" w:cstheme="minorHAnsi"/>
                <w:color w:val="auto"/>
                <w:sz w:val="22"/>
                <w:szCs w:val="22"/>
              </w:rPr>
              <w:t>Rental stress</w:t>
            </w:r>
          </w:p>
        </w:tc>
        <w:tc>
          <w:tcPr>
            <w:tcW w:w="1184" w:type="pct"/>
            <w:tcBorders>
              <w:top w:val="outset" w:sz="6" w:space="0" w:color="auto"/>
              <w:left w:val="outset" w:sz="6" w:space="0" w:color="auto"/>
              <w:bottom w:val="single" w:sz="6" w:space="0" w:color="auto"/>
              <w:right w:val="single" w:sz="6" w:space="0" w:color="auto"/>
            </w:tcBorders>
            <w:shd w:val="clear" w:color="auto" w:fill="auto"/>
          </w:tcPr>
          <w:p w14:paraId="74CF867B" w14:textId="42D5B295" w:rsidR="00D66638" w:rsidRPr="007C210A" w:rsidRDefault="00D66638" w:rsidP="00D66638">
            <w:pPr>
              <w:spacing w:after="0" w:line="240" w:lineRule="auto"/>
              <w:jc w:val="left"/>
              <w:textAlignment w:val="baseline"/>
              <w:rPr>
                <w:rFonts w:asciiTheme="minorHAnsi" w:hAnsiTheme="minorHAnsi" w:cstheme="minorHAnsi"/>
                <w:color w:val="auto"/>
                <w:sz w:val="22"/>
                <w:szCs w:val="22"/>
              </w:rPr>
            </w:pPr>
            <w:r w:rsidRPr="007C210A">
              <w:rPr>
                <w:rFonts w:asciiTheme="minorHAnsi" w:hAnsiTheme="minorHAnsi" w:cstheme="minorHAnsi"/>
                <w:color w:val="auto"/>
                <w:sz w:val="22"/>
                <w:szCs w:val="22"/>
              </w:rPr>
              <w:t>Proportion of</w:t>
            </w:r>
            <w:r>
              <w:rPr>
                <w:rFonts w:asciiTheme="minorHAnsi" w:hAnsiTheme="minorHAnsi" w:cstheme="minorHAnsi"/>
                <w:color w:val="auto"/>
                <w:sz w:val="22"/>
                <w:szCs w:val="22"/>
              </w:rPr>
              <w:t xml:space="preserve"> renting</w:t>
            </w:r>
            <w:r w:rsidRPr="007C210A">
              <w:rPr>
                <w:rFonts w:asciiTheme="minorHAnsi" w:hAnsiTheme="minorHAnsi" w:cstheme="minorHAnsi"/>
                <w:color w:val="auto"/>
                <w:sz w:val="22"/>
                <w:szCs w:val="22"/>
              </w:rPr>
              <w:t xml:space="preserve"> households in the bottom two income quintiles paying more than 30% of</w:t>
            </w:r>
            <w:r>
              <w:rPr>
                <w:rFonts w:asciiTheme="minorHAnsi" w:hAnsiTheme="minorHAnsi" w:cstheme="minorHAnsi"/>
                <w:color w:val="auto"/>
                <w:sz w:val="22"/>
                <w:szCs w:val="22"/>
              </w:rPr>
              <w:t xml:space="preserve"> </w:t>
            </w:r>
            <w:r w:rsidRPr="007C210A">
              <w:rPr>
                <w:rFonts w:asciiTheme="minorHAnsi" w:hAnsiTheme="minorHAnsi" w:cstheme="minorHAnsi"/>
                <w:color w:val="auto"/>
                <w:sz w:val="22"/>
                <w:szCs w:val="22"/>
              </w:rPr>
              <w:t>income on rent</w:t>
            </w:r>
          </w:p>
        </w:tc>
        <w:tc>
          <w:tcPr>
            <w:tcW w:w="1022" w:type="pct"/>
            <w:tcBorders>
              <w:top w:val="outset" w:sz="6" w:space="0" w:color="auto"/>
              <w:left w:val="outset" w:sz="6" w:space="0" w:color="auto"/>
              <w:bottom w:val="single" w:sz="6" w:space="0" w:color="auto"/>
              <w:right w:val="single" w:sz="6" w:space="0" w:color="auto"/>
            </w:tcBorders>
            <w:shd w:val="clear" w:color="auto" w:fill="auto"/>
          </w:tcPr>
          <w:p w14:paraId="5FE91E45" w14:textId="77777777" w:rsidR="00D66638" w:rsidRPr="00D66638" w:rsidRDefault="00D66638" w:rsidP="00395DF0">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RoGS Table GA.2</w:t>
            </w:r>
          </w:p>
          <w:p w14:paraId="58670B6D" w14:textId="302EDA69" w:rsidR="00D66638" w:rsidRPr="00D66638" w:rsidRDefault="00D66638" w:rsidP="00395DF0">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Survey of Income and Housing, ABS</w:t>
            </w:r>
          </w:p>
        </w:tc>
      </w:tr>
      <w:tr w:rsidR="00445354" w:rsidRPr="003524BB" w14:paraId="0225665F" w14:textId="77777777" w:rsidTr="00FB7572">
        <w:trPr>
          <w:trHeight w:val="105"/>
        </w:trPr>
        <w:tc>
          <w:tcPr>
            <w:tcW w:w="965" w:type="pct"/>
            <w:tcBorders>
              <w:left w:val="outset" w:sz="6" w:space="0" w:color="auto"/>
              <w:bottom w:val="nil"/>
              <w:right w:val="single" w:sz="6" w:space="0" w:color="auto"/>
            </w:tcBorders>
          </w:tcPr>
          <w:p w14:paraId="4127BB6D" w14:textId="77777777" w:rsidR="00445354" w:rsidRPr="007C210A" w:rsidRDefault="00445354" w:rsidP="00395DF0">
            <w:pPr>
              <w:spacing w:after="0" w:line="240" w:lineRule="auto"/>
              <w:jc w:val="left"/>
              <w:textAlignment w:val="baseline"/>
              <w:rPr>
                <w:rFonts w:asciiTheme="minorHAnsi" w:hAnsiTheme="minorHAnsi" w:cstheme="minorHAnsi"/>
                <w:color w:val="auto"/>
                <w:sz w:val="22"/>
                <w:szCs w:val="22"/>
              </w:rPr>
            </w:pPr>
          </w:p>
        </w:tc>
        <w:tc>
          <w:tcPr>
            <w:tcW w:w="915" w:type="pct"/>
            <w:tcBorders>
              <w:top w:val="outset" w:sz="6" w:space="0" w:color="auto"/>
              <w:left w:val="outset" w:sz="6" w:space="0" w:color="auto"/>
              <w:bottom w:val="nil"/>
              <w:right w:val="single" w:sz="6" w:space="0" w:color="auto"/>
            </w:tcBorders>
            <w:shd w:val="clear" w:color="auto" w:fill="auto"/>
            <w:hideMark/>
          </w:tcPr>
          <w:p w14:paraId="0AEFEEC9" w14:textId="16E4FBA1" w:rsidR="00445354" w:rsidRPr="007C210A" w:rsidRDefault="00445354" w:rsidP="00395DF0">
            <w:pPr>
              <w:spacing w:after="0" w:line="240" w:lineRule="auto"/>
              <w:jc w:val="left"/>
              <w:textAlignment w:val="baseline"/>
              <w:rPr>
                <w:rFonts w:asciiTheme="minorHAnsi" w:hAnsiTheme="minorHAnsi" w:cstheme="minorHAnsi"/>
                <w:color w:val="auto"/>
                <w:sz w:val="22"/>
                <w:szCs w:val="22"/>
              </w:rPr>
            </w:pPr>
            <w:r w:rsidRPr="007C210A">
              <w:rPr>
                <w:rFonts w:asciiTheme="minorHAnsi" w:hAnsiTheme="minorHAnsi" w:cstheme="minorHAnsi"/>
                <w:color w:val="auto"/>
                <w:sz w:val="22"/>
                <w:szCs w:val="22"/>
              </w:rPr>
              <w:t>People rarely experience or enter into homelessness and when they do it is brief and non-recurring</w:t>
            </w:r>
          </w:p>
        </w:tc>
        <w:tc>
          <w:tcPr>
            <w:tcW w:w="914" w:type="pct"/>
            <w:tcBorders>
              <w:top w:val="outset" w:sz="6" w:space="0" w:color="auto"/>
              <w:left w:val="outset" w:sz="6" w:space="0" w:color="auto"/>
              <w:bottom w:val="single" w:sz="6" w:space="0" w:color="auto"/>
              <w:right w:val="single" w:sz="6" w:space="0" w:color="auto"/>
            </w:tcBorders>
            <w:shd w:val="clear" w:color="auto" w:fill="auto"/>
            <w:hideMark/>
          </w:tcPr>
          <w:p w14:paraId="31A851B6" w14:textId="40DDCB96" w:rsidR="00445354" w:rsidRPr="007C210A" w:rsidRDefault="00445354" w:rsidP="00395DF0">
            <w:pPr>
              <w:spacing w:after="0" w:line="240" w:lineRule="auto"/>
              <w:jc w:val="left"/>
              <w:textAlignment w:val="baseline"/>
              <w:rPr>
                <w:rFonts w:asciiTheme="minorHAnsi" w:hAnsiTheme="minorHAnsi" w:cstheme="minorHAnsi"/>
                <w:color w:val="auto"/>
                <w:sz w:val="22"/>
                <w:szCs w:val="22"/>
              </w:rPr>
            </w:pPr>
            <w:r>
              <w:rPr>
                <w:rFonts w:asciiTheme="minorHAnsi" w:hAnsiTheme="minorHAnsi" w:cstheme="minorHAnsi"/>
                <w:color w:val="auto"/>
                <w:sz w:val="22"/>
                <w:szCs w:val="22"/>
              </w:rPr>
              <w:t>Return to homelessness</w:t>
            </w:r>
          </w:p>
        </w:tc>
        <w:tc>
          <w:tcPr>
            <w:tcW w:w="1184" w:type="pct"/>
            <w:tcBorders>
              <w:top w:val="outset" w:sz="6" w:space="0" w:color="auto"/>
              <w:left w:val="outset" w:sz="6" w:space="0" w:color="auto"/>
              <w:bottom w:val="single" w:sz="6" w:space="0" w:color="auto"/>
              <w:right w:val="single" w:sz="6" w:space="0" w:color="auto"/>
            </w:tcBorders>
            <w:shd w:val="clear" w:color="auto" w:fill="auto"/>
            <w:hideMark/>
          </w:tcPr>
          <w:p w14:paraId="1E111C25" w14:textId="49F31EFC" w:rsidR="00445354" w:rsidRPr="006C4278" w:rsidRDefault="00445354" w:rsidP="00D66638">
            <w:pPr>
              <w:spacing w:after="0" w:line="240" w:lineRule="auto"/>
              <w:jc w:val="left"/>
              <w:textAlignment w:val="baseline"/>
              <w:rPr>
                <w:rFonts w:asciiTheme="minorHAnsi" w:hAnsiTheme="minorHAnsi" w:cstheme="minorHAnsi"/>
                <w:b/>
                <w:bCs/>
                <w:color w:val="auto"/>
                <w:sz w:val="22"/>
                <w:szCs w:val="22"/>
              </w:rPr>
            </w:pPr>
            <w:r w:rsidRPr="006C4278">
              <w:rPr>
                <w:rFonts w:asciiTheme="minorHAnsi" w:hAnsiTheme="minorHAnsi" w:cstheme="minorHAnsi"/>
                <w:b/>
                <w:bCs/>
                <w:color w:val="auto"/>
                <w:sz w:val="22"/>
                <w:szCs w:val="22"/>
              </w:rPr>
              <w:t>Number and proportion of clients</w:t>
            </w:r>
            <w:r w:rsidR="00D66638" w:rsidRPr="006C4278">
              <w:rPr>
                <w:rFonts w:asciiTheme="minorHAnsi" w:hAnsiTheme="minorHAnsi" w:cstheme="minorHAnsi"/>
                <w:b/>
                <w:bCs/>
                <w:color w:val="auto"/>
                <w:sz w:val="22"/>
                <w:szCs w:val="22"/>
              </w:rPr>
              <w:t xml:space="preserve"> </w:t>
            </w:r>
            <w:r w:rsidRPr="006C4278">
              <w:rPr>
                <w:rFonts w:asciiTheme="minorHAnsi" w:hAnsiTheme="minorHAnsi" w:cstheme="minorHAnsi"/>
                <w:b/>
                <w:bCs/>
                <w:color w:val="auto"/>
                <w:sz w:val="22"/>
                <w:szCs w:val="22"/>
              </w:rPr>
              <w:t>who</w:t>
            </w:r>
            <w:r w:rsidR="00D66638" w:rsidRPr="006C4278">
              <w:rPr>
                <w:rFonts w:asciiTheme="minorHAnsi" w:hAnsiTheme="minorHAnsi" w:cstheme="minorHAnsi"/>
                <w:b/>
                <w:bCs/>
                <w:color w:val="auto"/>
                <w:sz w:val="22"/>
                <w:szCs w:val="22"/>
              </w:rPr>
              <w:t xml:space="preserve"> </w:t>
            </w:r>
            <w:r w:rsidRPr="006C4278">
              <w:rPr>
                <w:rFonts w:asciiTheme="minorHAnsi" w:hAnsiTheme="minorHAnsi" w:cstheme="minorHAnsi"/>
                <w:b/>
                <w:bCs/>
                <w:color w:val="auto"/>
                <w:sz w:val="22"/>
                <w:szCs w:val="22"/>
              </w:rPr>
              <w:t>return to homelessness</w:t>
            </w:r>
            <w:r w:rsidR="00D66638" w:rsidRPr="006C4278">
              <w:rPr>
                <w:rFonts w:asciiTheme="minorHAnsi" w:hAnsiTheme="minorHAnsi" w:cstheme="minorHAnsi"/>
                <w:b/>
                <w:bCs/>
                <w:color w:val="auto"/>
                <w:sz w:val="22"/>
                <w:szCs w:val="22"/>
              </w:rPr>
              <w:t xml:space="preserve"> </w:t>
            </w:r>
            <w:r w:rsidRPr="006C4278">
              <w:rPr>
                <w:rFonts w:asciiTheme="minorHAnsi" w:hAnsiTheme="minorHAnsi" w:cstheme="minorHAnsi"/>
                <w:b/>
                <w:bCs/>
                <w:color w:val="auto"/>
                <w:sz w:val="22"/>
                <w:szCs w:val="22"/>
              </w:rPr>
              <w:t>after achieving housing</w:t>
            </w:r>
            <w:r w:rsidR="006C4278" w:rsidRPr="006C4278">
              <w:rPr>
                <w:rFonts w:asciiTheme="minorHAnsi" w:hAnsiTheme="minorHAnsi" w:cstheme="minorHAnsi"/>
                <w:b/>
                <w:bCs/>
                <w:color w:val="auto"/>
                <w:sz w:val="22"/>
                <w:szCs w:val="22"/>
              </w:rPr>
              <w:t>*</w:t>
            </w:r>
          </w:p>
        </w:tc>
        <w:tc>
          <w:tcPr>
            <w:tcW w:w="1022" w:type="pct"/>
            <w:tcBorders>
              <w:top w:val="outset" w:sz="6" w:space="0" w:color="auto"/>
              <w:left w:val="outset" w:sz="6" w:space="0" w:color="auto"/>
              <w:bottom w:val="single" w:sz="6" w:space="0" w:color="auto"/>
              <w:right w:val="single" w:sz="6" w:space="0" w:color="auto"/>
            </w:tcBorders>
            <w:shd w:val="clear" w:color="auto" w:fill="auto"/>
            <w:hideMark/>
          </w:tcPr>
          <w:p w14:paraId="105CF64B" w14:textId="77777777" w:rsidR="00445354" w:rsidRPr="00D66638" w:rsidRDefault="00445354" w:rsidP="00395DF0">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NHHA Indicator (h)</w:t>
            </w:r>
          </w:p>
          <w:p w14:paraId="11716706" w14:textId="24B9F420" w:rsidR="00445354" w:rsidRPr="00D66638" w:rsidRDefault="00445354" w:rsidP="00395DF0">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SHSC, AIHW, Table H_RETURN</w:t>
            </w:r>
          </w:p>
          <w:p w14:paraId="468A11C5" w14:textId="0C28E820" w:rsidR="00445354" w:rsidRPr="00D66638" w:rsidRDefault="00445354" w:rsidP="00395DF0">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RoGS 19A.38 (includes disaggregation for Aboriginal and Torres Strait Islander people)</w:t>
            </w:r>
          </w:p>
          <w:p w14:paraId="411C9FA5" w14:textId="043E4EF8" w:rsidR="00445354" w:rsidRPr="00D66638" w:rsidRDefault="00445354" w:rsidP="00D66638">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This</w:t>
            </w:r>
            <w:r w:rsidR="00D66638">
              <w:rPr>
                <w:rFonts w:asciiTheme="minorHAnsi" w:hAnsiTheme="minorHAnsi" w:cstheme="minorHAnsi"/>
                <w:color w:val="auto"/>
                <w:sz w:val="22"/>
                <w:szCs w:val="22"/>
              </w:rPr>
              <w:t xml:space="preserve"> </w:t>
            </w:r>
            <w:r w:rsidRPr="00D66638">
              <w:rPr>
                <w:rFonts w:asciiTheme="minorHAnsi" w:hAnsiTheme="minorHAnsi" w:cstheme="minorHAnsi"/>
                <w:color w:val="auto"/>
                <w:sz w:val="22"/>
                <w:szCs w:val="22"/>
              </w:rPr>
              <w:t>is</w:t>
            </w:r>
            <w:r w:rsidR="00D66638">
              <w:rPr>
                <w:rFonts w:asciiTheme="minorHAnsi" w:hAnsiTheme="minorHAnsi" w:cstheme="minorHAnsi"/>
                <w:color w:val="auto"/>
                <w:sz w:val="22"/>
                <w:szCs w:val="22"/>
              </w:rPr>
              <w:t xml:space="preserve"> </w:t>
            </w:r>
            <w:r w:rsidRPr="00D66638">
              <w:rPr>
                <w:rFonts w:asciiTheme="minorHAnsi" w:hAnsiTheme="minorHAnsi" w:cstheme="minorHAnsi"/>
                <w:color w:val="auto"/>
                <w:sz w:val="22"/>
                <w:szCs w:val="22"/>
              </w:rPr>
              <w:t>currently</w:t>
            </w:r>
            <w:r w:rsidR="00D66638">
              <w:rPr>
                <w:rFonts w:asciiTheme="minorHAnsi" w:hAnsiTheme="minorHAnsi" w:cstheme="minorHAnsi"/>
                <w:color w:val="auto"/>
                <w:sz w:val="22"/>
                <w:szCs w:val="22"/>
              </w:rPr>
              <w:t xml:space="preserve"> </w:t>
            </w:r>
            <w:r w:rsidRPr="00D66638">
              <w:rPr>
                <w:rFonts w:asciiTheme="minorHAnsi" w:hAnsiTheme="minorHAnsi" w:cstheme="minorHAnsi"/>
                <w:color w:val="auto"/>
                <w:sz w:val="22"/>
                <w:szCs w:val="22"/>
              </w:rPr>
              <w:t>measured over 24-months</w:t>
            </w:r>
          </w:p>
        </w:tc>
      </w:tr>
      <w:tr w:rsidR="00395DF0" w:rsidRPr="003524BB" w14:paraId="09BE7B4F" w14:textId="77777777" w:rsidTr="00FB7572">
        <w:trPr>
          <w:trHeight w:val="105"/>
        </w:trPr>
        <w:tc>
          <w:tcPr>
            <w:tcW w:w="965" w:type="pct"/>
            <w:tcBorders>
              <w:top w:val="nil"/>
              <w:left w:val="outset" w:sz="6" w:space="0" w:color="auto"/>
              <w:bottom w:val="nil"/>
              <w:right w:val="single" w:sz="6" w:space="0" w:color="auto"/>
            </w:tcBorders>
          </w:tcPr>
          <w:p w14:paraId="30CB3962" w14:textId="77777777" w:rsidR="00395DF0" w:rsidRPr="007C210A" w:rsidRDefault="00395DF0" w:rsidP="00395DF0">
            <w:pPr>
              <w:spacing w:after="0" w:line="240" w:lineRule="auto"/>
              <w:jc w:val="left"/>
              <w:textAlignment w:val="baseline"/>
              <w:rPr>
                <w:rFonts w:asciiTheme="minorHAnsi" w:hAnsiTheme="minorHAnsi" w:cstheme="minorHAnsi"/>
                <w:color w:val="auto"/>
                <w:sz w:val="22"/>
                <w:szCs w:val="22"/>
              </w:rPr>
            </w:pPr>
          </w:p>
        </w:tc>
        <w:tc>
          <w:tcPr>
            <w:tcW w:w="915" w:type="pct"/>
            <w:tcBorders>
              <w:top w:val="nil"/>
              <w:left w:val="outset" w:sz="6" w:space="0" w:color="auto"/>
              <w:bottom w:val="nil"/>
              <w:right w:val="single" w:sz="6" w:space="0" w:color="auto"/>
            </w:tcBorders>
            <w:shd w:val="clear" w:color="auto" w:fill="auto"/>
          </w:tcPr>
          <w:p w14:paraId="7F653D8A" w14:textId="77777777" w:rsidR="00395DF0" w:rsidRPr="007C210A" w:rsidRDefault="00395DF0" w:rsidP="00395DF0">
            <w:pPr>
              <w:spacing w:after="0" w:line="240" w:lineRule="auto"/>
              <w:jc w:val="left"/>
              <w:textAlignment w:val="baseline"/>
              <w:rPr>
                <w:rFonts w:asciiTheme="minorHAnsi" w:hAnsiTheme="minorHAnsi" w:cstheme="minorHAnsi"/>
                <w:color w:val="auto"/>
                <w:sz w:val="22"/>
                <w:szCs w:val="22"/>
              </w:rPr>
            </w:pPr>
          </w:p>
        </w:tc>
        <w:tc>
          <w:tcPr>
            <w:tcW w:w="914" w:type="pct"/>
            <w:vMerge w:val="restart"/>
            <w:tcBorders>
              <w:left w:val="outset" w:sz="6" w:space="0" w:color="auto"/>
              <w:right w:val="single" w:sz="6" w:space="0" w:color="auto"/>
            </w:tcBorders>
            <w:shd w:val="clear" w:color="auto" w:fill="auto"/>
          </w:tcPr>
          <w:p w14:paraId="69F6C846" w14:textId="1AA6A315" w:rsidR="00395DF0" w:rsidRPr="007C210A" w:rsidRDefault="00D14D45" w:rsidP="00395DF0">
            <w:pPr>
              <w:spacing w:after="0" w:line="240" w:lineRule="auto"/>
              <w:jc w:val="left"/>
              <w:textAlignment w:val="baseline"/>
              <w:rPr>
                <w:rFonts w:asciiTheme="minorHAnsi" w:hAnsiTheme="minorHAnsi" w:cstheme="minorHAnsi"/>
                <w:color w:val="auto"/>
                <w:sz w:val="22"/>
                <w:szCs w:val="22"/>
              </w:rPr>
            </w:pPr>
            <w:r>
              <w:rPr>
                <w:rFonts w:asciiTheme="minorHAnsi" w:hAnsiTheme="minorHAnsi" w:cstheme="minorHAnsi"/>
                <w:color w:val="auto"/>
                <w:sz w:val="22"/>
                <w:szCs w:val="22"/>
              </w:rPr>
              <w:t>Prevalence of homelessness</w:t>
            </w:r>
          </w:p>
        </w:tc>
        <w:tc>
          <w:tcPr>
            <w:tcW w:w="1184" w:type="pct"/>
            <w:tcBorders>
              <w:top w:val="outset" w:sz="6" w:space="0" w:color="auto"/>
              <w:left w:val="outset" w:sz="6" w:space="0" w:color="auto"/>
              <w:bottom w:val="single" w:sz="6" w:space="0" w:color="auto"/>
              <w:right w:val="single" w:sz="6" w:space="0" w:color="auto"/>
            </w:tcBorders>
            <w:shd w:val="clear" w:color="auto" w:fill="auto"/>
          </w:tcPr>
          <w:p w14:paraId="3B6E0A0F" w14:textId="1E293218" w:rsidR="00395DF0" w:rsidRPr="007C210A" w:rsidRDefault="00395DF0" w:rsidP="00D66638">
            <w:pPr>
              <w:spacing w:after="0" w:line="240" w:lineRule="auto"/>
              <w:jc w:val="left"/>
              <w:textAlignment w:val="baseline"/>
              <w:rPr>
                <w:rFonts w:asciiTheme="minorHAnsi" w:hAnsiTheme="minorHAnsi" w:cstheme="minorHAnsi"/>
                <w:color w:val="auto"/>
                <w:sz w:val="22"/>
                <w:szCs w:val="22"/>
              </w:rPr>
            </w:pPr>
            <w:r w:rsidRPr="007C210A">
              <w:rPr>
                <w:rFonts w:asciiTheme="minorHAnsi" w:hAnsiTheme="minorHAnsi" w:cstheme="minorHAnsi"/>
                <w:color w:val="auto"/>
                <w:sz w:val="22"/>
                <w:szCs w:val="22"/>
              </w:rPr>
              <w:t xml:space="preserve">Number of people experiencing homelessness who </w:t>
            </w:r>
            <w:r w:rsidR="00FB323D">
              <w:rPr>
                <w:rFonts w:asciiTheme="minorHAnsi" w:hAnsiTheme="minorHAnsi" w:cstheme="minorHAnsi"/>
                <w:color w:val="auto"/>
                <w:sz w:val="22"/>
                <w:szCs w:val="22"/>
              </w:rPr>
              <w:t>present to</w:t>
            </w:r>
            <w:r w:rsidRPr="007C210A">
              <w:rPr>
                <w:rFonts w:asciiTheme="minorHAnsi" w:hAnsiTheme="minorHAnsi" w:cstheme="minorHAnsi"/>
                <w:color w:val="auto"/>
                <w:sz w:val="22"/>
                <w:szCs w:val="22"/>
              </w:rPr>
              <w:t xml:space="preserve"> homelessness</w:t>
            </w:r>
            <w:r w:rsidR="00D66638">
              <w:rPr>
                <w:rFonts w:asciiTheme="minorHAnsi" w:hAnsiTheme="minorHAnsi" w:cstheme="minorHAnsi"/>
                <w:color w:val="auto"/>
                <w:sz w:val="22"/>
                <w:szCs w:val="22"/>
              </w:rPr>
              <w:t xml:space="preserve"> </w:t>
            </w:r>
            <w:r w:rsidRPr="007C210A">
              <w:rPr>
                <w:rFonts w:asciiTheme="minorHAnsi" w:hAnsiTheme="minorHAnsi" w:cstheme="minorHAnsi"/>
                <w:color w:val="auto"/>
                <w:sz w:val="22"/>
                <w:szCs w:val="22"/>
              </w:rPr>
              <w:t>services</w:t>
            </w:r>
          </w:p>
        </w:tc>
        <w:tc>
          <w:tcPr>
            <w:tcW w:w="1022" w:type="pct"/>
            <w:tcBorders>
              <w:top w:val="outset" w:sz="6" w:space="0" w:color="auto"/>
              <w:left w:val="outset" w:sz="6" w:space="0" w:color="auto"/>
              <w:bottom w:val="single" w:sz="6" w:space="0" w:color="auto"/>
              <w:right w:val="single" w:sz="6" w:space="0" w:color="auto"/>
            </w:tcBorders>
            <w:shd w:val="clear" w:color="auto" w:fill="auto"/>
          </w:tcPr>
          <w:p w14:paraId="0784B91E" w14:textId="32A366AF" w:rsidR="00395DF0" w:rsidRPr="00D66638" w:rsidRDefault="00395DF0" w:rsidP="00D66638">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SHSC, AIHW, CLIENTS.11</w:t>
            </w:r>
          </w:p>
        </w:tc>
      </w:tr>
      <w:tr w:rsidR="00395DF0" w:rsidRPr="003524BB" w14:paraId="38A1EBBC" w14:textId="77777777" w:rsidTr="00FB7572">
        <w:trPr>
          <w:trHeight w:val="105"/>
        </w:trPr>
        <w:tc>
          <w:tcPr>
            <w:tcW w:w="965" w:type="pct"/>
            <w:tcBorders>
              <w:top w:val="nil"/>
              <w:left w:val="outset" w:sz="6" w:space="0" w:color="auto"/>
              <w:bottom w:val="single" w:sz="4" w:space="0" w:color="auto"/>
              <w:right w:val="single" w:sz="6" w:space="0" w:color="auto"/>
            </w:tcBorders>
          </w:tcPr>
          <w:p w14:paraId="4EA74CBF" w14:textId="77777777" w:rsidR="00395DF0" w:rsidRPr="007C210A" w:rsidRDefault="00395DF0" w:rsidP="00395DF0">
            <w:pPr>
              <w:spacing w:after="0" w:line="240" w:lineRule="auto"/>
              <w:jc w:val="left"/>
              <w:textAlignment w:val="baseline"/>
              <w:rPr>
                <w:rFonts w:asciiTheme="minorHAnsi" w:hAnsiTheme="minorHAnsi" w:cstheme="minorHAnsi"/>
                <w:color w:val="auto"/>
                <w:sz w:val="22"/>
                <w:szCs w:val="22"/>
              </w:rPr>
            </w:pPr>
          </w:p>
        </w:tc>
        <w:tc>
          <w:tcPr>
            <w:tcW w:w="915" w:type="pct"/>
            <w:tcBorders>
              <w:top w:val="nil"/>
              <w:left w:val="outset" w:sz="6" w:space="0" w:color="auto"/>
              <w:bottom w:val="single" w:sz="4" w:space="0" w:color="auto"/>
              <w:right w:val="single" w:sz="6" w:space="0" w:color="auto"/>
            </w:tcBorders>
            <w:shd w:val="clear" w:color="auto" w:fill="auto"/>
          </w:tcPr>
          <w:p w14:paraId="03381E72" w14:textId="77777777" w:rsidR="00395DF0" w:rsidRPr="007C210A" w:rsidRDefault="00395DF0" w:rsidP="00395DF0">
            <w:pPr>
              <w:spacing w:after="0" w:line="240" w:lineRule="auto"/>
              <w:jc w:val="left"/>
              <w:textAlignment w:val="baseline"/>
              <w:rPr>
                <w:rFonts w:asciiTheme="minorHAnsi" w:hAnsiTheme="minorHAnsi" w:cstheme="minorHAnsi"/>
                <w:color w:val="auto"/>
                <w:sz w:val="22"/>
                <w:szCs w:val="22"/>
              </w:rPr>
            </w:pPr>
          </w:p>
        </w:tc>
        <w:tc>
          <w:tcPr>
            <w:tcW w:w="914" w:type="pct"/>
            <w:vMerge/>
            <w:tcBorders>
              <w:left w:val="outset" w:sz="6" w:space="0" w:color="auto"/>
              <w:right w:val="single" w:sz="6" w:space="0" w:color="auto"/>
            </w:tcBorders>
            <w:shd w:val="clear" w:color="auto" w:fill="auto"/>
          </w:tcPr>
          <w:p w14:paraId="1AF4B3D6" w14:textId="77777777" w:rsidR="00395DF0" w:rsidRPr="007C210A" w:rsidRDefault="00395DF0" w:rsidP="00395DF0">
            <w:pPr>
              <w:spacing w:after="0" w:line="240" w:lineRule="auto"/>
              <w:jc w:val="left"/>
              <w:textAlignment w:val="baseline"/>
              <w:rPr>
                <w:rFonts w:asciiTheme="minorHAnsi" w:hAnsiTheme="minorHAnsi" w:cstheme="minorHAnsi"/>
                <w:color w:val="auto"/>
                <w:sz w:val="22"/>
                <w:szCs w:val="22"/>
              </w:rPr>
            </w:pPr>
          </w:p>
        </w:tc>
        <w:tc>
          <w:tcPr>
            <w:tcW w:w="1184" w:type="pct"/>
            <w:tcBorders>
              <w:top w:val="outset" w:sz="6" w:space="0" w:color="auto"/>
              <w:left w:val="outset" w:sz="6" w:space="0" w:color="auto"/>
              <w:bottom w:val="outset" w:sz="6" w:space="0" w:color="auto"/>
              <w:right w:val="single" w:sz="6" w:space="0" w:color="auto"/>
            </w:tcBorders>
            <w:shd w:val="clear" w:color="auto" w:fill="auto"/>
          </w:tcPr>
          <w:p w14:paraId="38A3E9F8" w14:textId="1490857A" w:rsidR="00395DF0" w:rsidRPr="007C210A" w:rsidRDefault="00395DF0" w:rsidP="00D66638">
            <w:pPr>
              <w:spacing w:after="0" w:line="240" w:lineRule="auto"/>
              <w:jc w:val="left"/>
              <w:textAlignment w:val="baseline"/>
              <w:rPr>
                <w:rFonts w:asciiTheme="minorHAnsi" w:hAnsiTheme="minorHAnsi" w:cstheme="minorHAnsi"/>
                <w:color w:val="auto"/>
                <w:sz w:val="22"/>
                <w:szCs w:val="22"/>
              </w:rPr>
            </w:pPr>
            <w:r w:rsidRPr="007C210A">
              <w:rPr>
                <w:rFonts w:asciiTheme="minorHAnsi" w:hAnsiTheme="minorHAnsi" w:cstheme="minorHAnsi"/>
                <w:color w:val="auto"/>
                <w:sz w:val="22"/>
                <w:szCs w:val="22"/>
              </w:rPr>
              <w:t>Number of people experiencing homelessness per 10,000 people in the population</w:t>
            </w:r>
          </w:p>
        </w:tc>
        <w:tc>
          <w:tcPr>
            <w:tcW w:w="1022" w:type="pct"/>
            <w:tcBorders>
              <w:top w:val="outset" w:sz="6" w:space="0" w:color="auto"/>
              <w:left w:val="outset" w:sz="6" w:space="0" w:color="auto"/>
              <w:bottom w:val="outset" w:sz="6" w:space="0" w:color="auto"/>
              <w:right w:val="single" w:sz="6" w:space="0" w:color="auto"/>
            </w:tcBorders>
            <w:shd w:val="clear" w:color="auto" w:fill="auto"/>
          </w:tcPr>
          <w:p w14:paraId="26B92850" w14:textId="41A71473" w:rsidR="00395DF0" w:rsidRPr="00D66638" w:rsidRDefault="00395DF0" w:rsidP="00395DF0">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Census of Population and Housing, ABS (5-yearly)</w:t>
            </w:r>
          </w:p>
          <w:p w14:paraId="284C45A7" w14:textId="41C8678E" w:rsidR="00395DF0" w:rsidRPr="00D66638" w:rsidRDefault="00395DF0" w:rsidP="00395DF0">
            <w:pPr>
              <w:spacing w:after="0" w:line="240" w:lineRule="auto"/>
              <w:jc w:val="left"/>
              <w:textAlignment w:val="baseline"/>
              <w:rPr>
                <w:rFonts w:asciiTheme="minorHAnsi" w:hAnsiTheme="minorHAnsi" w:cstheme="minorHAnsi"/>
                <w:color w:val="auto"/>
                <w:sz w:val="22"/>
                <w:szCs w:val="22"/>
              </w:rPr>
            </w:pPr>
            <w:r w:rsidRPr="00D66638">
              <w:rPr>
                <w:rFonts w:asciiTheme="minorHAnsi" w:hAnsiTheme="minorHAnsi" w:cstheme="minorHAnsi"/>
                <w:color w:val="auto"/>
                <w:sz w:val="22"/>
                <w:szCs w:val="22"/>
              </w:rPr>
              <w:t>RoGS Table 19A.2</w:t>
            </w:r>
          </w:p>
          <w:p w14:paraId="035395AE" w14:textId="5EBA36AB" w:rsidR="00395DF0" w:rsidRPr="00D66638" w:rsidRDefault="00395DF0" w:rsidP="00395DF0">
            <w:pPr>
              <w:spacing w:after="0" w:line="240" w:lineRule="auto"/>
              <w:jc w:val="left"/>
              <w:textAlignment w:val="baseline"/>
              <w:rPr>
                <w:rFonts w:asciiTheme="minorHAnsi" w:hAnsiTheme="minorHAnsi" w:cstheme="minorHAnsi"/>
                <w:color w:val="auto"/>
                <w:sz w:val="22"/>
                <w:szCs w:val="22"/>
              </w:rPr>
            </w:pPr>
          </w:p>
        </w:tc>
      </w:tr>
    </w:tbl>
    <w:p w14:paraId="3B093F48" w14:textId="77777777" w:rsidR="00667E28" w:rsidRDefault="00667E28">
      <w:pPr>
        <w:pStyle w:val="Heading1"/>
        <w:sectPr w:rsidR="00667E28" w:rsidSect="00F42F0F">
          <w:footerReference w:type="default" r:id="rId8"/>
          <w:headerReference w:type="first" r:id="rId9"/>
          <w:footerReference w:type="first" r:id="rId10"/>
          <w:pgSz w:w="16838" w:h="11906" w:orient="landscape" w:code="9"/>
          <w:pgMar w:top="1134" w:right="1134" w:bottom="1134" w:left="1134" w:header="709" w:footer="709" w:gutter="0"/>
          <w:pgNumType w:chapStyle="9"/>
          <w:cols w:space="708"/>
          <w:titlePg/>
          <w:docGrid w:linePitch="360"/>
        </w:sectPr>
      </w:pPr>
    </w:p>
    <w:p w14:paraId="0C28AC63" w14:textId="53D428A3" w:rsidR="000D1832" w:rsidRPr="00113FAB" w:rsidRDefault="00E5760F" w:rsidP="00113FAB">
      <w:pPr>
        <w:pStyle w:val="Heading1"/>
        <w:rPr>
          <w:szCs w:val="32"/>
        </w:rPr>
      </w:pPr>
      <w:r w:rsidRPr="00113FAB">
        <w:rPr>
          <w:szCs w:val="32"/>
        </w:rPr>
        <w:lastRenderedPageBreak/>
        <w:t xml:space="preserve">SCHEDULE </w:t>
      </w:r>
      <w:r w:rsidR="001644D0" w:rsidRPr="00113FAB">
        <w:rPr>
          <w:szCs w:val="32"/>
        </w:rPr>
        <w:t>B</w:t>
      </w:r>
      <w:r w:rsidR="00113FAB" w:rsidRPr="00113FAB">
        <w:rPr>
          <w:szCs w:val="32"/>
        </w:rPr>
        <w:t xml:space="preserve"> – </w:t>
      </w:r>
      <w:r w:rsidR="000C3A36" w:rsidRPr="004631EC">
        <w:rPr>
          <w:szCs w:val="32"/>
        </w:rPr>
        <w:t xml:space="preserve">Statement of Assurance </w:t>
      </w:r>
      <w:r w:rsidR="00DB5EF5" w:rsidRPr="004631EC">
        <w:rPr>
          <w:szCs w:val="32"/>
        </w:rPr>
        <w:t xml:space="preserve">Reporting </w:t>
      </w:r>
    </w:p>
    <w:p w14:paraId="6F0A9A60" w14:textId="5FFCFF14" w:rsidR="000D1832" w:rsidRPr="00C811E9" w:rsidRDefault="00D513B0" w:rsidP="004F3EA2">
      <w:pPr>
        <w:pStyle w:val="Normalnumbered"/>
        <w:numPr>
          <w:ilvl w:val="0"/>
          <w:numId w:val="28"/>
        </w:numPr>
        <w:spacing w:line="240" w:lineRule="auto"/>
        <w:jc w:val="left"/>
      </w:pPr>
      <w:r>
        <w:t>S</w:t>
      </w:r>
      <w:r w:rsidR="000D1832">
        <w:t>tatement</w:t>
      </w:r>
      <w:r w:rsidR="002A6258">
        <w:t>s</w:t>
      </w:r>
      <w:r w:rsidR="000D1832">
        <w:t xml:space="preserve"> of assurance </w:t>
      </w:r>
      <w:r w:rsidR="002A6258">
        <w:t xml:space="preserve">for a financial year will </w:t>
      </w:r>
      <w:r w:rsidR="000D1832">
        <w:t>include</w:t>
      </w:r>
      <w:r w:rsidR="006941A6" w:rsidRPr="006941A6">
        <w:t xml:space="preserve"> </w:t>
      </w:r>
      <w:r w:rsidR="006941A6">
        <w:t>evidence that</w:t>
      </w:r>
      <w:r w:rsidR="006941A6" w:rsidRPr="006941A6">
        <w:t xml:space="preserve"> </w:t>
      </w:r>
      <w:r w:rsidR="006941A6">
        <w:t>the State</w:t>
      </w:r>
      <w:r w:rsidR="000D1832">
        <w:t>:</w:t>
      </w:r>
    </w:p>
    <w:p w14:paraId="5139CC0C" w14:textId="7FFB4517" w:rsidR="006941A6" w:rsidRDefault="006941A6" w:rsidP="004F3EA2">
      <w:pPr>
        <w:pStyle w:val="Normalnumbered"/>
        <w:numPr>
          <w:ilvl w:val="1"/>
          <w:numId w:val="28"/>
        </w:numPr>
        <w:spacing w:line="240" w:lineRule="auto"/>
        <w:jc w:val="left"/>
      </w:pPr>
      <w:r>
        <w:t xml:space="preserve">has a publicly available housing and homelessness strategy as set out in </w:t>
      </w:r>
      <w:r w:rsidR="00527D58">
        <w:t>sub-c</w:t>
      </w:r>
      <w:r>
        <w:t xml:space="preserve">lause </w:t>
      </w:r>
      <w:r w:rsidR="00B76FD6">
        <w:t>18</w:t>
      </w:r>
      <w:r w:rsidR="00527D58" w:rsidRPr="00B76FD6">
        <w:rPr>
          <w:color w:val="auto"/>
        </w:rPr>
        <w:t>(a)</w:t>
      </w:r>
    </w:p>
    <w:p w14:paraId="06EAEF5E" w14:textId="76962E21" w:rsidR="006941A6" w:rsidRPr="006F64FD" w:rsidRDefault="000D1832" w:rsidP="004F3EA2">
      <w:pPr>
        <w:pStyle w:val="Normalnumbered"/>
        <w:numPr>
          <w:ilvl w:val="1"/>
          <w:numId w:val="28"/>
        </w:numPr>
        <w:spacing w:line="240" w:lineRule="auto"/>
        <w:jc w:val="left"/>
      </w:pPr>
      <w:r>
        <w:t xml:space="preserve">has satisfied the requirements </w:t>
      </w:r>
      <w:r w:rsidR="006941A6">
        <w:t xml:space="preserve">of this Agreement to allocate specified homelessness funding to the homelessness services </w:t>
      </w:r>
      <w:r w:rsidR="006941A6" w:rsidRPr="006F64FD">
        <w:t>sector (</w:t>
      </w:r>
      <w:r w:rsidR="00E16E8A">
        <w:t>c</w:t>
      </w:r>
      <w:r w:rsidRPr="006F64FD">
        <w:t xml:space="preserve">lause </w:t>
      </w:r>
      <w:r w:rsidR="00E16E8A">
        <w:t>62</w:t>
      </w:r>
      <w:r w:rsidR="006941A6" w:rsidRPr="006F64FD">
        <w:t>) and matched that funding with its own funds</w:t>
      </w:r>
    </w:p>
    <w:p w14:paraId="04D145CC" w14:textId="01DB8590" w:rsidR="000D1832" w:rsidRPr="006F64FD" w:rsidRDefault="006941A6" w:rsidP="004F3EA2">
      <w:pPr>
        <w:pStyle w:val="Normalnumbered"/>
        <w:numPr>
          <w:ilvl w:val="1"/>
          <w:numId w:val="28"/>
        </w:numPr>
        <w:spacing w:line="240" w:lineRule="auto"/>
        <w:jc w:val="left"/>
      </w:pPr>
      <w:r w:rsidRPr="006F64FD">
        <w:t xml:space="preserve">has satisfied the requirement of this Agreement to spend General Funding on initiatives as specified in clause </w:t>
      </w:r>
      <w:r w:rsidR="004C537A" w:rsidRPr="006F64FD">
        <w:t>6</w:t>
      </w:r>
      <w:r w:rsidR="00066E22">
        <w:t>1</w:t>
      </w:r>
    </w:p>
    <w:p w14:paraId="6B6F4C64" w14:textId="31634825" w:rsidR="000D1832" w:rsidRDefault="006941A6" w:rsidP="004F3EA2">
      <w:pPr>
        <w:pStyle w:val="Normalnumbered"/>
        <w:numPr>
          <w:ilvl w:val="1"/>
          <w:numId w:val="28"/>
        </w:numPr>
        <w:spacing w:line="240" w:lineRule="auto"/>
        <w:jc w:val="left"/>
      </w:pPr>
      <w:r>
        <w:t xml:space="preserve">has </w:t>
      </w:r>
      <w:r w:rsidR="000D1832" w:rsidRPr="00C811E9">
        <w:t>u</w:t>
      </w:r>
      <w:r w:rsidR="000D1832" w:rsidRPr="004F7688">
        <w:t>pda</w:t>
      </w:r>
      <w:r w:rsidR="000D1832" w:rsidRPr="00C811E9">
        <w:t xml:space="preserve">ted </w:t>
      </w:r>
      <w:r w:rsidR="00D95651">
        <w:t>data for</w:t>
      </w:r>
      <w:r w:rsidR="000D1832" w:rsidRPr="004F7688">
        <w:t xml:space="preserve"> </w:t>
      </w:r>
      <w:r w:rsidR="005412DC" w:rsidRPr="004F7688">
        <w:t xml:space="preserve">National </w:t>
      </w:r>
      <w:r w:rsidR="000D1832" w:rsidRPr="004F7688">
        <w:t>Outcomes Framework</w:t>
      </w:r>
      <w:r w:rsidR="00D95651">
        <w:t xml:space="preserve"> measures</w:t>
      </w:r>
      <w:r w:rsidR="00091A19" w:rsidRPr="004F7688">
        <w:t xml:space="preserve"> (</w:t>
      </w:r>
      <w:r w:rsidR="000D1832" w:rsidRPr="004F7688">
        <w:t xml:space="preserve">Schedule </w:t>
      </w:r>
      <w:r w:rsidR="00091A19" w:rsidRPr="004F7688">
        <w:t>A)</w:t>
      </w:r>
      <w:r w:rsidR="000D1832" w:rsidRPr="004F7688">
        <w:t xml:space="preserve"> and State specific </w:t>
      </w:r>
      <w:r w:rsidR="00091CC5">
        <w:t>measure</w:t>
      </w:r>
      <w:r w:rsidR="000D1832" w:rsidRPr="004F7688">
        <w:t xml:space="preserve">s agreed in bilateral </w:t>
      </w:r>
      <w:r w:rsidR="001C3908" w:rsidRPr="004F7688">
        <w:t>schedules</w:t>
      </w:r>
      <w:r w:rsidR="000D1832" w:rsidRPr="004F7688">
        <w:t xml:space="preserve">. States </w:t>
      </w:r>
      <w:r w:rsidR="001C5BBD" w:rsidRPr="004F7688">
        <w:t>can</w:t>
      </w:r>
      <w:r w:rsidR="000D1832" w:rsidRPr="004F7688">
        <w:t xml:space="preserve"> provide additional</w:t>
      </w:r>
      <w:r w:rsidR="000D1832">
        <w:t xml:space="preserve"> information</w:t>
      </w:r>
      <w:r w:rsidR="000D1832" w:rsidRPr="00C811E9">
        <w:t xml:space="preserve"> to give context to their results.</w:t>
      </w:r>
    </w:p>
    <w:p w14:paraId="72C44C8D" w14:textId="34264F77" w:rsidR="00AB2114" w:rsidRDefault="00AB2114" w:rsidP="004F3EA2">
      <w:pPr>
        <w:pStyle w:val="Normalnumbered"/>
        <w:numPr>
          <w:ilvl w:val="0"/>
          <w:numId w:val="28"/>
        </w:numPr>
        <w:spacing w:line="240" w:lineRule="auto"/>
        <w:jc w:val="left"/>
      </w:pPr>
      <w:r>
        <w:t xml:space="preserve">Statements for a financial year are required by 31 </w:t>
      </w:r>
      <w:r w:rsidR="00B63479">
        <w:t xml:space="preserve">December </w:t>
      </w:r>
      <w:r>
        <w:t xml:space="preserve">of the following financial year, or a later date as agreed by the Commonwealth and the relevant State. </w:t>
      </w:r>
    </w:p>
    <w:p w14:paraId="3C1DF7C9" w14:textId="581CD37C" w:rsidR="000D1832" w:rsidRPr="00FA7C5E" w:rsidRDefault="00E52263" w:rsidP="004F3EA2">
      <w:pPr>
        <w:pStyle w:val="Normalnumbered"/>
        <w:numPr>
          <w:ilvl w:val="0"/>
          <w:numId w:val="28"/>
        </w:numPr>
        <w:spacing w:line="240" w:lineRule="auto"/>
        <w:jc w:val="left"/>
      </w:pPr>
      <w:r>
        <w:t xml:space="preserve">A template has been developed to support </w:t>
      </w:r>
      <w:r w:rsidR="00A809B0">
        <w:t xml:space="preserve">quality and </w:t>
      </w:r>
      <w:r>
        <w:t>consistent reporting</w:t>
      </w:r>
      <w:r w:rsidR="00E16E8A">
        <w:t xml:space="preserve"> (</w:t>
      </w:r>
      <w:r w:rsidR="00FA7C5E">
        <w:t>Table B1</w:t>
      </w:r>
      <w:r w:rsidR="00E16E8A">
        <w:t>)</w:t>
      </w:r>
      <w:r w:rsidR="00FA7C5E">
        <w:t>. In addition to the main statement of assurance at Table B1, there will be a dedicated</w:t>
      </w:r>
      <w:r w:rsidR="00FA7C5E" w:rsidRPr="00FA7C5E">
        <w:t xml:space="preserve"> Aboriginal and Torres Strait Islander</w:t>
      </w:r>
      <w:r w:rsidR="00FB7572">
        <w:t xml:space="preserve"> Statement of Assurance</w:t>
      </w:r>
      <w:r w:rsidR="00FA7C5E" w:rsidRPr="00FA7C5E">
        <w:t xml:space="preserve"> </w:t>
      </w:r>
      <w:r>
        <w:t>template</w:t>
      </w:r>
      <w:r w:rsidR="00FA7C5E">
        <w:t>, as set out in Table B2</w:t>
      </w:r>
      <w:r w:rsidR="00FA7C5E" w:rsidRPr="00FA7C5E">
        <w:t>.</w:t>
      </w:r>
    </w:p>
    <w:p w14:paraId="437902E5" w14:textId="77777777" w:rsidR="00FA7C5E" w:rsidRPr="00FA7C5E" w:rsidRDefault="00FA7C5E" w:rsidP="00FA7C5E"/>
    <w:p w14:paraId="6F0277F6" w14:textId="77777777" w:rsidR="00B03B50" w:rsidRDefault="00B03B50" w:rsidP="00FA7C5E">
      <w:pPr>
        <w:sectPr w:rsidR="00B03B50" w:rsidSect="00F42F0F">
          <w:pgSz w:w="11906" w:h="16838" w:code="9"/>
          <w:pgMar w:top="1134" w:right="1134" w:bottom="1134" w:left="1134" w:header="709" w:footer="709" w:gutter="0"/>
          <w:pgNumType w:chapStyle="9"/>
          <w:cols w:space="708"/>
          <w:titlePg/>
          <w:docGrid w:linePitch="360"/>
        </w:sectPr>
      </w:pPr>
    </w:p>
    <w:p w14:paraId="38AED9DF" w14:textId="6BBA0AA5" w:rsidR="00E41267" w:rsidRDefault="00E41267" w:rsidP="00E41267">
      <w:pPr>
        <w:spacing w:after="0" w:line="240" w:lineRule="auto"/>
        <w:rPr>
          <w:b/>
          <w:bCs/>
        </w:rPr>
      </w:pPr>
      <w:r w:rsidRPr="00354A6D">
        <w:rPr>
          <w:b/>
          <w:bCs/>
        </w:rPr>
        <w:lastRenderedPageBreak/>
        <w:t>Table B</w:t>
      </w:r>
      <w:r w:rsidR="00E16E8A">
        <w:rPr>
          <w:b/>
          <w:bCs/>
        </w:rPr>
        <w:t>1</w:t>
      </w:r>
      <w:r w:rsidRPr="00354A6D">
        <w:rPr>
          <w:b/>
          <w:bCs/>
        </w:rPr>
        <w:t xml:space="preserve"> –</w:t>
      </w:r>
      <w:r w:rsidR="00CA7337">
        <w:rPr>
          <w:b/>
          <w:bCs/>
        </w:rPr>
        <w:t xml:space="preserve"> </w:t>
      </w:r>
      <w:r w:rsidRPr="00354A6D">
        <w:rPr>
          <w:b/>
          <w:bCs/>
        </w:rPr>
        <w:t>Statement of Assurance Template</w:t>
      </w:r>
    </w:p>
    <w:p w14:paraId="745E5464" w14:textId="77777777" w:rsidR="00B03B50" w:rsidRDefault="00B03B50" w:rsidP="00FA7C5E"/>
    <w:tbl>
      <w:tblPr>
        <w:tblW w:w="11903" w:type="dxa"/>
        <w:tblLook w:val="04A0" w:firstRow="1" w:lastRow="0" w:firstColumn="1" w:lastColumn="0" w:noHBand="0" w:noVBand="1"/>
      </w:tblPr>
      <w:tblGrid>
        <w:gridCol w:w="1475"/>
        <w:gridCol w:w="1405"/>
        <w:gridCol w:w="1530"/>
        <w:gridCol w:w="3212"/>
        <w:gridCol w:w="1975"/>
        <w:gridCol w:w="2306"/>
      </w:tblGrid>
      <w:tr w:rsidR="00E41267" w:rsidRPr="00BC364F" w14:paraId="61CD5EA3" w14:textId="77777777" w:rsidTr="00FB7F0E">
        <w:trPr>
          <w:trHeight w:val="420"/>
        </w:trPr>
        <w:tc>
          <w:tcPr>
            <w:tcW w:w="4410" w:type="dxa"/>
            <w:gridSpan w:val="3"/>
            <w:tcBorders>
              <w:top w:val="nil"/>
              <w:left w:val="nil"/>
              <w:bottom w:val="nil"/>
              <w:right w:val="nil"/>
            </w:tcBorders>
            <w:shd w:val="clear" w:color="auto" w:fill="auto"/>
            <w:noWrap/>
            <w:vAlign w:val="bottom"/>
            <w:hideMark/>
          </w:tcPr>
          <w:p w14:paraId="5DD97DA0" w14:textId="77777777" w:rsidR="00E41267" w:rsidRPr="00BC364F" w:rsidRDefault="00E41267" w:rsidP="00FB7F0E">
            <w:pPr>
              <w:spacing w:after="0" w:line="240" w:lineRule="auto"/>
              <w:rPr>
                <w:rFonts w:ascii="Calibri" w:hAnsi="Calibri" w:cs="Calibri"/>
                <w:b/>
                <w:bCs/>
                <w:sz w:val="32"/>
                <w:szCs w:val="32"/>
              </w:rPr>
            </w:pPr>
            <w:r w:rsidRPr="00BC364F">
              <w:rPr>
                <w:rFonts w:ascii="Calibri" w:hAnsi="Calibri" w:cs="Calibri"/>
                <w:b/>
                <w:bCs/>
                <w:sz w:val="32"/>
                <w:szCs w:val="32"/>
              </w:rPr>
              <w:t>Statement of Assurance</w:t>
            </w:r>
          </w:p>
        </w:tc>
        <w:tc>
          <w:tcPr>
            <w:tcW w:w="3212" w:type="dxa"/>
            <w:tcBorders>
              <w:top w:val="nil"/>
              <w:left w:val="nil"/>
              <w:bottom w:val="nil"/>
              <w:right w:val="nil"/>
            </w:tcBorders>
          </w:tcPr>
          <w:p w14:paraId="7BB5528A" w14:textId="77777777" w:rsidR="00E41267" w:rsidRPr="00BC364F" w:rsidRDefault="00E41267" w:rsidP="00FB7F0E">
            <w:pPr>
              <w:spacing w:after="0" w:line="240" w:lineRule="auto"/>
              <w:rPr>
                <w:rFonts w:ascii="Times New Roman" w:hAnsi="Times New Roman"/>
                <w:sz w:val="20"/>
              </w:rPr>
            </w:pPr>
          </w:p>
        </w:tc>
        <w:tc>
          <w:tcPr>
            <w:tcW w:w="1975" w:type="dxa"/>
            <w:tcBorders>
              <w:top w:val="nil"/>
              <w:left w:val="nil"/>
              <w:bottom w:val="nil"/>
              <w:right w:val="nil"/>
            </w:tcBorders>
            <w:shd w:val="clear" w:color="auto" w:fill="auto"/>
            <w:noWrap/>
            <w:vAlign w:val="bottom"/>
            <w:hideMark/>
          </w:tcPr>
          <w:p w14:paraId="762C7C27" w14:textId="77777777" w:rsidR="00E41267" w:rsidRPr="00BC364F" w:rsidRDefault="00E41267" w:rsidP="00FB7F0E">
            <w:pPr>
              <w:spacing w:after="0" w:line="240" w:lineRule="auto"/>
              <w:rPr>
                <w:rFonts w:ascii="Times New Roman" w:hAnsi="Times New Roman"/>
                <w:sz w:val="20"/>
              </w:rPr>
            </w:pPr>
          </w:p>
        </w:tc>
        <w:tc>
          <w:tcPr>
            <w:tcW w:w="2306" w:type="dxa"/>
            <w:tcBorders>
              <w:top w:val="nil"/>
              <w:left w:val="nil"/>
              <w:bottom w:val="nil"/>
              <w:right w:val="nil"/>
            </w:tcBorders>
            <w:shd w:val="clear" w:color="auto" w:fill="auto"/>
            <w:noWrap/>
            <w:vAlign w:val="bottom"/>
            <w:hideMark/>
          </w:tcPr>
          <w:p w14:paraId="23A3E678" w14:textId="77777777" w:rsidR="00E41267" w:rsidRPr="00BC364F" w:rsidRDefault="00E41267" w:rsidP="00FB7F0E">
            <w:pPr>
              <w:spacing w:after="0" w:line="240" w:lineRule="auto"/>
              <w:rPr>
                <w:rFonts w:ascii="Times New Roman" w:hAnsi="Times New Roman"/>
                <w:sz w:val="20"/>
              </w:rPr>
            </w:pPr>
          </w:p>
        </w:tc>
      </w:tr>
      <w:tr w:rsidR="00E41267" w:rsidRPr="00BC364F" w14:paraId="7126E433" w14:textId="77777777" w:rsidTr="00FB7F0E">
        <w:trPr>
          <w:trHeight w:val="285"/>
        </w:trPr>
        <w:tc>
          <w:tcPr>
            <w:tcW w:w="1475" w:type="dxa"/>
            <w:tcBorders>
              <w:top w:val="nil"/>
              <w:left w:val="nil"/>
              <w:bottom w:val="nil"/>
              <w:right w:val="nil"/>
            </w:tcBorders>
            <w:shd w:val="clear" w:color="auto" w:fill="auto"/>
            <w:noWrap/>
            <w:vAlign w:val="bottom"/>
            <w:hideMark/>
          </w:tcPr>
          <w:p w14:paraId="1EB47346" w14:textId="77777777" w:rsidR="00E41267" w:rsidRPr="00BC364F" w:rsidRDefault="00E41267" w:rsidP="00FB7F0E">
            <w:pPr>
              <w:spacing w:after="0" w:line="240" w:lineRule="auto"/>
              <w:rPr>
                <w:rFonts w:ascii="Calibri" w:hAnsi="Calibri" w:cs="Calibri"/>
              </w:rPr>
            </w:pPr>
            <w:r w:rsidRPr="00BC364F">
              <w:rPr>
                <w:rFonts w:ascii="Calibri" w:hAnsi="Calibri" w:cs="Calibri"/>
              </w:rPr>
              <w:t>[jurisdiction]</w:t>
            </w:r>
          </w:p>
        </w:tc>
        <w:tc>
          <w:tcPr>
            <w:tcW w:w="2935" w:type="dxa"/>
            <w:gridSpan w:val="2"/>
            <w:tcBorders>
              <w:top w:val="nil"/>
              <w:left w:val="nil"/>
              <w:bottom w:val="nil"/>
              <w:right w:val="nil"/>
            </w:tcBorders>
            <w:shd w:val="clear" w:color="auto" w:fill="auto"/>
            <w:noWrap/>
            <w:vAlign w:val="bottom"/>
            <w:hideMark/>
          </w:tcPr>
          <w:p w14:paraId="0BB71907" w14:textId="77777777" w:rsidR="00E41267" w:rsidRPr="00BC364F" w:rsidRDefault="00E41267" w:rsidP="00FB7F0E">
            <w:pPr>
              <w:spacing w:after="0" w:line="240" w:lineRule="auto"/>
              <w:rPr>
                <w:rFonts w:ascii="Calibri" w:hAnsi="Calibri" w:cs="Calibri"/>
              </w:rPr>
            </w:pPr>
          </w:p>
        </w:tc>
        <w:tc>
          <w:tcPr>
            <w:tcW w:w="3212" w:type="dxa"/>
            <w:tcBorders>
              <w:top w:val="nil"/>
              <w:left w:val="nil"/>
              <w:bottom w:val="nil"/>
              <w:right w:val="nil"/>
            </w:tcBorders>
          </w:tcPr>
          <w:p w14:paraId="0A47D7CB" w14:textId="77777777" w:rsidR="00E41267" w:rsidRPr="00BC364F" w:rsidRDefault="00E41267" w:rsidP="00FB7F0E">
            <w:pPr>
              <w:spacing w:after="0" w:line="240" w:lineRule="auto"/>
              <w:rPr>
                <w:rFonts w:ascii="Times New Roman" w:hAnsi="Times New Roman"/>
                <w:sz w:val="20"/>
              </w:rPr>
            </w:pPr>
          </w:p>
        </w:tc>
        <w:tc>
          <w:tcPr>
            <w:tcW w:w="1975" w:type="dxa"/>
            <w:tcBorders>
              <w:top w:val="nil"/>
              <w:left w:val="nil"/>
              <w:bottom w:val="nil"/>
              <w:right w:val="nil"/>
            </w:tcBorders>
            <w:shd w:val="clear" w:color="auto" w:fill="auto"/>
            <w:noWrap/>
            <w:vAlign w:val="bottom"/>
            <w:hideMark/>
          </w:tcPr>
          <w:p w14:paraId="012E4DB5" w14:textId="77777777" w:rsidR="00E41267" w:rsidRPr="00BC364F" w:rsidRDefault="00E41267" w:rsidP="00FB7F0E">
            <w:pPr>
              <w:spacing w:after="0" w:line="240" w:lineRule="auto"/>
              <w:rPr>
                <w:rFonts w:ascii="Times New Roman" w:hAnsi="Times New Roman"/>
                <w:sz w:val="20"/>
              </w:rPr>
            </w:pPr>
          </w:p>
        </w:tc>
        <w:tc>
          <w:tcPr>
            <w:tcW w:w="2306" w:type="dxa"/>
            <w:tcBorders>
              <w:top w:val="nil"/>
              <w:left w:val="nil"/>
              <w:bottom w:val="nil"/>
              <w:right w:val="nil"/>
            </w:tcBorders>
            <w:shd w:val="clear" w:color="auto" w:fill="auto"/>
            <w:noWrap/>
            <w:vAlign w:val="bottom"/>
            <w:hideMark/>
          </w:tcPr>
          <w:p w14:paraId="6867CCC1" w14:textId="77777777" w:rsidR="00E41267" w:rsidRPr="00BC364F" w:rsidRDefault="00E41267" w:rsidP="00FB7F0E">
            <w:pPr>
              <w:spacing w:after="0" w:line="240" w:lineRule="auto"/>
              <w:rPr>
                <w:rFonts w:ascii="Times New Roman" w:hAnsi="Times New Roman"/>
                <w:sz w:val="20"/>
              </w:rPr>
            </w:pPr>
          </w:p>
        </w:tc>
      </w:tr>
      <w:tr w:rsidR="00E41267" w:rsidRPr="00BC364F" w14:paraId="5F73020A" w14:textId="77777777" w:rsidTr="00FB7F0E">
        <w:trPr>
          <w:trHeight w:val="285"/>
        </w:trPr>
        <w:tc>
          <w:tcPr>
            <w:tcW w:w="1475" w:type="dxa"/>
            <w:tcBorders>
              <w:top w:val="nil"/>
              <w:left w:val="nil"/>
              <w:right w:val="nil"/>
            </w:tcBorders>
            <w:shd w:val="clear" w:color="auto" w:fill="auto"/>
            <w:noWrap/>
            <w:vAlign w:val="bottom"/>
            <w:hideMark/>
          </w:tcPr>
          <w:p w14:paraId="7C0D66E5" w14:textId="77777777" w:rsidR="00E41267" w:rsidRPr="00BC364F" w:rsidRDefault="00E41267" w:rsidP="00FB7F0E">
            <w:pPr>
              <w:spacing w:after="0" w:line="240" w:lineRule="auto"/>
              <w:rPr>
                <w:rFonts w:ascii="Calibri" w:hAnsi="Calibri" w:cs="Calibri"/>
              </w:rPr>
            </w:pPr>
            <w:r w:rsidRPr="00BC364F">
              <w:rPr>
                <w:rFonts w:ascii="Calibri" w:hAnsi="Calibri" w:cs="Calibri"/>
              </w:rPr>
              <w:t>[year]</w:t>
            </w:r>
          </w:p>
        </w:tc>
        <w:tc>
          <w:tcPr>
            <w:tcW w:w="2935" w:type="dxa"/>
            <w:gridSpan w:val="2"/>
            <w:tcBorders>
              <w:top w:val="nil"/>
              <w:left w:val="nil"/>
              <w:right w:val="nil"/>
            </w:tcBorders>
            <w:shd w:val="clear" w:color="auto" w:fill="auto"/>
            <w:noWrap/>
            <w:vAlign w:val="bottom"/>
            <w:hideMark/>
          </w:tcPr>
          <w:p w14:paraId="29314E76" w14:textId="77777777" w:rsidR="00E41267" w:rsidRPr="00BC364F" w:rsidRDefault="00E41267" w:rsidP="00FB7F0E">
            <w:pPr>
              <w:spacing w:after="0" w:line="240" w:lineRule="auto"/>
              <w:rPr>
                <w:rFonts w:ascii="Calibri" w:hAnsi="Calibri" w:cs="Calibri"/>
              </w:rPr>
            </w:pPr>
          </w:p>
        </w:tc>
        <w:tc>
          <w:tcPr>
            <w:tcW w:w="3212" w:type="dxa"/>
            <w:tcBorders>
              <w:top w:val="nil"/>
              <w:left w:val="nil"/>
              <w:right w:val="nil"/>
            </w:tcBorders>
          </w:tcPr>
          <w:p w14:paraId="639BD4AA" w14:textId="77777777" w:rsidR="00E41267" w:rsidRPr="00BC364F" w:rsidRDefault="00E41267" w:rsidP="00FB7F0E">
            <w:pPr>
              <w:spacing w:after="0" w:line="240" w:lineRule="auto"/>
              <w:rPr>
                <w:rFonts w:ascii="Times New Roman" w:hAnsi="Times New Roman"/>
                <w:sz w:val="20"/>
              </w:rPr>
            </w:pPr>
          </w:p>
        </w:tc>
        <w:tc>
          <w:tcPr>
            <w:tcW w:w="1975" w:type="dxa"/>
            <w:tcBorders>
              <w:top w:val="nil"/>
              <w:left w:val="nil"/>
              <w:right w:val="nil"/>
            </w:tcBorders>
            <w:shd w:val="clear" w:color="auto" w:fill="auto"/>
            <w:noWrap/>
            <w:vAlign w:val="bottom"/>
            <w:hideMark/>
          </w:tcPr>
          <w:p w14:paraId="6C3A68C1" w14:textId="77777777" w:rsidR="00E41267" w:rsidRPr="00BC364F" w:rsidRDefault="00E41267" w:rsidP="00FB7F0E">
            <w:pPr>
              <w:spacing w:after="0" w:line="240" w:lineRule="auto"/>
              <w:rPr>
                <w:rFonts w:ascii="Times New Roman" w:hAnsi="Times New Roman"/>
                <w:sz w:val="20"/>
              </w:rPr>
            </w:pPr>
          </w:p>
        </w:tc>
        <w:tc>
          <w:tcPr>
            <w:tcW w:w="2306" w:type="dxa"/>
            <w:tcBorders>
              <w:top w:val="nil"/>
              <w:left w:val="nil"/>
              <w:right w:val="nil"/>
            </w:tcBorders>
            <w:shd w:val="clear" w:color="auto" w:fill="auto"/>
            <w:noWrap/>
            <w:vAlign w:val="bottom"/>
            <w:hideMark/>
          </w:tcPr>
          <w:p w14:paraId="17D19CA4" w14:textId="77777777" w:rsidR="00E41267" w:rsidRPr="00BC364F" w:rsidRDefault="00E41267" w:rsidP="00FB7F0E">
            <w:pPr>
              <w:spacing w:after="0" w:line="240" w:lineRule="auto"/>
              <w:rPr>
                <w:rFonts w:ascii="Times New Roman" w:hAnsi="Times New Roman"/>
                <w:sz w:val="20"/>
              </w:rPr>
            </w:pPr>
          </w:p>
        </w:tc>
      </w:tr>
      <w:tr w:rsidR="00E41267" w:rsidRPr="00BC364F" w14:paraId="55AA5B5B" w14:textId="77777777" w:rsidTr="00FB7F0E">
        <w:trPr>
          <w:trHeight w:val="285"/>
        </w:trPr>
        <w:tc>
          <w:tcPr>
            <w:tcW w:w="11903" w:type="dxa"/>
            <w:gridSpan w:val="6"/>
            <w:tcBorders>
              <w:top w:val="nil"/>
              <w:left w:val="nil"/>
              <w:right w:val="nil"/>
            </w:tcBorders>
            <w:shd w:val="clear" w:color="auto" w:fill="auto"/>
            <w:noWrap/>
            <w:vAlign w:val="bottom"/>
          </w:tcPr>
          <w:p w14:paraId="5A2217E4" w14:textId="0539616A" w:rsidR="00E41267" w:rsidRDefault="00E41267" w:rsidP="00FB7F0E">
            <w:pPr>
              <w:spacing w:after="0" w:line="240" w:lineRule="auto"/>
              <w:rPr>
                <w:rFonts w:ascii="Calibri" w:hAnsi="Calibri" w:cs="Calibri"/>
              </w:rPr>
            </w:pPr>
            <w:r>
              <w:rPr>
                <w:rFonts w:ascii="Calibri" w:hAnsi="Calibri" w:cs="Calibri"/>
              </w:rPr>
              <w:t>Statement of Assurance (</w:t>
            </w:r>
            <w:r w:rsidRPr="005646F3">
              <w:rPr>
                <w:rFonts w:ascii="Calibri" w:hAnsi="Calibri" w:cs="Calibri"/>
              </w:rPr>
              <w:t>SoA</w:t>
            </w:r>
            <w:r>
              <w:rPr>
                <w:rFonts w:ascii="Calibri" w:hAnsi="Calibri" w:cs="Calibri"/>
              </w:rPr>
              <w:t>)</w:t>
            </w:r>
            <w:r w:rsidRPr="005646F3">
              <w:rPr>
                <w:rFonts w:ascii="Calibri" w:hAnsi="Calibri" w:cs="Calibri"/>
              </w:rPr>
              <w:t xml:space="preserve"> reporting provides accountability and transparency about public spending associated with the Agreement (clause </w:t>
            </w:r>
            <w:r w:rsidR="00634E3F">
              <w:rPr>
                <w:rFonts w:ascii="Calibri" w:hAnsi="Calibri" w:cs="Calibri"/>
              </w:rPr>
              <w:t>50</w:t>
            </w:r>
            <w:r>
              <w:rPr>
                <w:rFonts w:ascii="Calibri" w:hAnsi="Calibri" w:cs="Calibri"/>
              </w:rPr>
              <w:t>)</w:t>
            </w:r>
            <w:r w:rsidRPr="005646F3">
              <w:rPr>
                <w:rFonts w:ascii="Calibri" w:hAnsi="Calibri" w:cs="Calibri"/>
              </w:rPr>
              <w:t>.</w:t>
            </w:r>
            <w:r>
              <w:rPr>
                <w:rFonts w:ascii="Calibri" w:hAnsi="Calibri" w:cs="Calibri"/>
              </w:rPr>
              <w:t xml:space="preserve"> </w:t>
            </w:r>
            <w:r w:rsidRPr="005646F3">
              <w:rPr>
                <w:rFonts w:ascii="Calibri" w:hAnsi="Calibri" w:cs="Calibri"/>
              </w:rPr>
              <w:t>Schedule B of the Agreement sets out the requirements for the SoAs. This template formalises and specifies the reporting requirements.</w:t>
            </w:r>
          </w:p>
          <w:p w14:paraId="68FB72FF" w14:textId="77777777" w:rsidR="00E41267" w:rsidRPr="008E41A4" w:rsidRDefault="00E41267" w:rsidP="00FB7F0E">
            <w:pPr>
              <w:spacing w:after="0" w:line="240" w:lineRule="auto"/>
              <w:rPr>
                <w:rFonts w:ascii="Calibri" w:hAnsi="Calibri" w:cs="Calibri"/>
              </w:rPr>
            </w:pPr>
          </w:p>
          <w:p w14:paraId="1177936E" w14:textId="77777777" w:rsidR="00E41267" w:rsidRPr="008E41A4" w:rsidRDefault="00E41267" w:rsidP="00FB7F0E">
            <w:pPr>
              <w:spacing w:after="0" w:line="240" w:lineRule="auto"/>
              <w:rPr>
                <w:rFonts w:ascii="Calibri" w:hAnsi="Calibri" w:cs="Calibri"/>
                <w:b/>
                <w:bCs/>
              </w:rPr>
            </w:pPr>
            <w:r w:rsidRPr="008E41A4">
              <w:rPr>
                <w:rFonts w:ascii="Calibri" w:hAnsi="Calibri" w:cs="Calibri"/>
                <w:b/>
                <w:bCs/>
              </w:rPr>
              <w:t>Counting rules</w:t>
            </w:r>
          </w:p>
          <w:p w14:paraId="335FA0EE" w14:textId="0459586E" w:rsidR="00E41267" w:rsidRDefault="00E41267" w:rsidP="00FB7F0E">
            <w:pPr>
              <w:spacing w:after="0" w:line="240" w:lineRule="auto"/>
              <w:rPr>
                <w:rFonts w:ascii="Calibri" w:hAnsi="Calibri" w:cs="Calibri"/>
              </w:rPr>
            </w:pPr>
            <w:r w:rsidRPr="008E41A4">
              <w:rPr>
                <w:rFonts w:ascii="Calibri" w:hAnsi="Calibri" w:cs="Calibri"/>
              </w:rPr>
              <w:t xml:space="preserve">Counting </w:t>
            </w:r>
            <w:r w:rsidRPr="0032412E">
              <w:rPr>
                <w:rFonts w:ascii="Calibri" w:hAnsi="Calibri" w:cs="Calibri"/>
              </w:rPr>
              <w:t>methodologies</w:t>
            </w:r>
            <w:r w:rsidRPr="008E41A4">
              <w:rPr>
                <w:rFonts w:ascii="Calibri" w:hAnsi="Calibri" w:cs="Calibri"/>
              </w:rPr>
              <w:t xml:space="preserve"> should be consistent with the Report on Government Servi</w:t>
            </w:r>
            <w:r w:rsidR="00634E3F">
              <w:rPr>
                <w:rFonts w:ascii="Calibri" w:hAnsi="Calibri" w:cs="Calibri"/>
              </w:rPr>
              <w:t>c</w:t>
            </w:r>
            <w:r w:rsidRPr="008E41A4">
              <w:rPr>
                <w:rFonts w:ascii="Calibri" w:hAnsi="Calibri" w:cs="Calibri"/>
              </w:rPr>
              <w:t>es (RoGS)</w:t>
            </w:r>
            <w:r w:rsidR="00035F60">
              <w:rPr>
                <w:rFonts w:ascii="Calibri" w:hAnsi="Calibri" w:cs="Calibri"/>
              </w:rPr>
              <w:t xml:space="preserve"> counting rules</w:t>
            </w:r>
            <w:r w:rsidRPr="008E41A4">
              <w:rPr>
                <w:rFonts w:ascii="Calibri" w:hAnsi="Calibri" w:cs="Calibri"/>
              </w:rPr>
              <w:t xml:space="preserve"> for </w:t>
            </w:r>
            <w:r>
              <w:rPr>
                <w:rFonts w:ascii="Calibri" w:hAnsi="Calibri" w:cs="Calibri"/>
              </w:rPr>
              <w:t xml:space="preserve">social </w:t>
            </w:r>
            <w:r w:rsidRPr="008E41A4">
              <w:rPr>
                <w:rFonts w:ascii="Calibri" w:hAnsi="Calibri" w:cs="Calibri"/>
              </w:rPr>
              <w:t>housing and homelessness</w:t>
            </w:r>
            <w:r w:rsidR="009A259E">
              <w:rPr>
                <w:rFonts w:ascii="Calibri" w:hAnsi="Calibri" w:cs="Calibri"/>
              </w:rPr>
              <w:t xml:space="preserve"> services</w:t>
            </w:r>
            <w:r w:rsidRPr="008E41A4">
              <w:rPr>
                <w:rFonts w:ascii="Calibri" w:hAnsi="Calibri" w:cs="Calibri"/>
              </w:rPr>
              <w:t xml:space="preserve">. </w:t>
            </w:r>
          </w:p>
          <w:p w14:paraId="2CDDD7BE" w14:textId="0F1DE4E0" w:rsidR="00E41267" w:rsidRPr="008E41A4" w:rsidRDefault="00E41267" w:rsidP="00FB7F0E">
            <w:pPr>
              <w:spacing w:after="0" w:line="240" w:lineRule="auto"/>
              <w:rPr>
                <w:rFonts w:ascii="Calibri" w:hAnsi="Calibri" w:cs="Calibri"/>
              </w:rPr>
            </w:pPr>
          </w:p>
        </w:tc>
      </w:tr>
      <w:tr w:rsidR="00E41267" w:rsidRPr="00BC364F" w14:paraId="62DBA6D5" w14:textId="77777777" w:rsidTr="00FB7F0E">
        <w:trPr>
          <w:gridAfter w:val="3"/>
          <w:wAfter w:w="7493" w:type="dxa"/>
          <w:trHeight w:val="285"/>
        </w:trPr>
        <w:tc>
          <w:tcPr>
            <w:tcW w:w="2880" w:type="dxa"/>
            <w:gridSpan w:val="2"/>
            <w:tcBorders>
              <w:left w:val="nil"/>
              <w:bottom w:val="nil"/>
              <w:right w:val="nil"/>
            </w:tcBorders>
          </w:tcPr>
          <w:p w14:paraId="037F88E8" w14:textId="77777777" w:rsidR="00E41267" w:rsidRPr="008E41A4" w:rsidRDefault="00E41267" w:rsidP="00FB7F0E">
            <w:pPr>
              <w:spacing w:after="0"/>
              <w:rPr>
                <w:rFonts w:ascii="Calibri" w:hAnsi="Calibri" w:cs="Calibri"/>
              </w:rPr>
            </w:pPr>
          </w:p>
        </w:tc>
        <w:tc>
          <w:tcPr>
            <w:tcW w:w="1530" w:type="dxa"/>
            <w:tcBorders>
              <w:left w:val="nil"/>
              <w:bottom w:val="nil"/>
              <w:right w:val="nil"/>
            </w:tcBorders>
          </w:tcPr>
          <w:p w14:paraId="4EB3CD66" w14:textId="77777777" w:rsidR="00E41267" w:rsidRDefault="00E41267" w:rsidP="00FB7F0E">
            <w:pPr>
              <w:spacing w:after="0"/>
              <w:rPr>
                <w:rFonts w:ascii="Calibri" w:hAnsi="Calibri" w:cs="Calibri"/>
              </w:rPr>
            </w:pPr>
          </w:p>
        </w:tc>
      </w:tr>
    </w:tbl>
    <w:p w14:paraId="1F9C1EFC" w14:textId="77777777" w:rsidR="00E41267" w:rsidRDefault="00E41267" w:rsidP="00E41267">
      <w:r>
        <w:br w:type="page"/>
      </w:r>
    </w:p>
    <w:tbl>
      <w:tblPr>
        <w:tblW w:w="5000" w:type="pct"/>
        <w:tblLook w:val="04A0" w:firstRow="1" w:lastRow="0" w:firstColumn="1" w:lastColumn="0" w:noHBand="0" w:noVBand="1"/>
      </w:tblPr>
      <w:tblGrid>
        <w:gridCol w:w="3634"/>
        <w:gridCol w:w="2190"/>
        <w:gridCol w:w="2970"/>
        <w:gridCol w:w="1648"/>
        <w:gridCol w:w="3394"/>
        <w:gridCol w:w="734"/>
      </w:tblGrid>
      <w:tr w:rsidR="00E41267" w:rsidRPr="003C58FA" w14:paraId="7186ECAD" w14:textId="77777777" w:rsidTr="00C67B59">
        <w:trPr>
          <w:gridAfter w:val="3"/>
          <w:wAfter w:w="2373" w:type="pct"/>
          <w:trHeight w:val="285"/>
        </w:trPr>
        <w:tc>
          <w:tcPr>
            <w:tcW w:w="2627" w:type="pct"/>
            <w:gridSpan w:val="3"/>
            <w:tcBorders>
              <w:top w:val="nil"/>
              <w:left w:val="nil"/>
              <w:bottom w:val="nil"/>
            </w:tcBorders>
            <w:shd w:val="clear" w:color="auto" w:fill="auto"/>
            <w:noWrap/>
            <w:vAlign w:val="bottom"/>
            <w:hideMark/>
          </w:tcPr>
          <w:p w14:paraId="435D68B6" w14:textId="77777777" w:rsidR="00E41267" w:rsidRPr="003C58FA" w:rsidRDefault="00E41267" w:rsidP="00FB7F0E">
            <w:pPr>
              <w:spacing w:after="0" w:line="240" w:lineRule="auto"/>
              <w:rPr>
                <w:rFonts w:ascii="Calibri" w:hAnsi="Calibri" w:cs="Calibri"/>
                <w:b/>
                <w:bCs/>
              </w:rPr>
            </w:pPr>
            <w:r w:rsidRPr="003C58FA">
              <w:rPr>
                <w:rFonts w:ascii="Calibri" w:hAnsi="Calibri" w:cs="Calibri"/>
                <w:b/>
                <w:bCs/>
              </w:rPr>
              <w:lastRenderedPageBreak/>
              <w:t>Table 1</w:t>
            </w:r>
            <w:r>
              <w:rPr>
                <w:rFonts w:ascii="Calibri" w:hAnsi="Calibri" w:cs="Calibri"/>
                <w:b/>
                <w:bCs/>
              </w:rPr>
              <w:t>A</w:t>
            </w:r>
            <w:r w:rsidRPr="003C58FA">
              <w:rPr>
                <w:rFonts w:ascii="Calibri" w:hAnsi="Calibri" w:cs="Calibri"/>
                <w:b/>
                <w:bCs/>
              </w:rPr>
              <w:t xml:space="preserve"> </w:t>
            </w:r>
            <w:r>
              <w:rPr>
                <w:rFonts w:ascii="Calibri" w:hAnsi="Calibri" w:cs="Calibri"/>
                <w:b/>
                <w:bCs/>
              </w:rPr>
              <w:t xml:space="preserve">– </w:t>
            </w:r>
            <w:r w:rsidRPr="003C58FA">
              <w:rPr>
                <w:rFonts w:ascii="Calibri" w:hAnsi="Calibri" w:cs="Calibri"/>
                <w:b/>
                <w:bCs/>
              </w:rPr>
              <w:t>Funding</w:t>
            </w:r>
          </w:p>
        </w:tc>
      </w:tr>
      <w:tr w:rsidR="00E41267" w:rsidRPr="00BC364F" w14:paraId="17C6AADC" w14:textId="77777777" w:rsidTr="00C67B59">
        <w:trPr>
          <w:gridAfter w:val="1"/>
          <w:wAfter w:w="382" w:type="pct"/>
          <w:trHeight w:val="285"/>
        </w:trPr>
        <w:tc>
          <w:tcPr>
            <w:tcW w:w="1219" w:type="pct"/>
            <w:tcBorders>
              <w:top w:val="nil"/>
              <w:left w:val="nil"/>
              <w:bottom w:val="single" w:sz="4" w:space="0" w:color="auto"/>
              <w:right w:val="nil"/>
            </w:tcBorders>
            <w:shd w:val="clear" w:color="auto" w:fill="auto"/>
            <w:noWrap/>
            <w:vAlign w:val="bottom"/>
            <w:hideMark/>
          </w:tcPr>
          <w:p w14:paraId="60328B87" w14:textId="77777777" w:rsidR="00E41267" w:rsidRPr="00BC364F" w:rsidRDefault="00E41267" w:rsidP="00FB7F0E">
            <w:pPr>
              <w:spacing w:after="0" w:line="240" w:lineRule="auto"/>
              <w:rPr>
                <w:rFonts w:ascii="Calibri" w:hAnsi="Calibri" w:cs="Calibri"/>
              </w:rPr>
            </w:pPr>
          </w:p>
        </w:tc>
        <w:tc>
          <w:tcPr>
            <w:tcW w:w="1408" w:type="pct"/>
            <w:gridSpan w:val="2"/>
            <w:tcBorders>
              <w:top w:val="nil"/>
              <w:left w:val="nil"/>
              <w:bottom w:val="single" w:sz="4" w:space="0" w:color="auto"/>
              <w:right w:val="nil"/>
            </w:tcBorders>
          </w:tcPr>
          <w:p w14:paraId="0E1F9C6D" w14:textId="77777777" w:rsidR="00E41267" w:rsidRPr="00BC364F" w:rsidRDefault="00E41267" w:rsidP="00FB7F0E">
            <w:pPr>
              <w:spacing w:after="0" w:line="240" w:lineRule="auto"/>
              <w:rPr>
                <w:rFonts w:ascii="Calibri" w:hAnsi="Calibri" w:cs="Calibri"/>
              </w:rPr>
            </w:pPr>
          </w:p>
        </w:tc>
        <w:tc>
          <w:tcPr>
            <w:tcW w:w="1991" w:type="pct"/>
            <w:gridSpan w:val="2"/>
            <w:tcBorders>
              <w:top w:val="nil"/>
              <w:left w:val="nil"/>
              <w:bottom w:val="single" w:sz="4" w:space="0" w:color="auto"/>
              <w:right w:val="nil"/>
            </w:tcBorders>
          </w:tcPr>
          <w:p w14:paraId="6DC0C807" w14:textId="77777777" w:rsidR="00E41267" w:rsidRPr="00BC364F" w:rsidRDefault="00E41267" w:rsidP="00FB7F0E">
            <w:pPr>
              <w:spacing w:after="0" w:line="240" w:lineRule="auto"/>
              <w:rPr>
                <w:rFonts w:ascii="Calibri" w:hAnsi="Calibri" w:cs="Calibri"/>
              </w:rPr>
            </w:pPr>
          </w:p>
        </w:tc>
      </w:tr>
      <w:tr w:rsidR="00E41267" w:rsidRPr="00BC364F" w14:paraId="57C8C56B" w14:textId="77777777" w:rsidTr="00C67B59">
        <w:trPr>
          <w:trHeight w:val="285"/>
        </w:trPr>
        <w:tc>
          <w:tcPr>
            <w:tcW w:w="1954" w:type="pct"/>
            <w:gridSpan w:val="2"/>
            <w:tcBorders>
              <w:top w:val="single" w:sz="4" w:space="0" w:color="auto"/>
              <w:left w:val="single" w:sz="4" w:space="0" w:color="auto"/>
              <w:right w:val="single" w:sz="4" w:space="0" w:color="auto"/>
            </w:tcBorders>
            <w:shd w:val="clear" w:color="auto" w:fill="auto"/>
            <w:noWrap/>
            <w:hideMark/>
          </w:tcPr>
          <w:p w14:paraId="3B956635" w14:textId="77777777" w:rsidR="00E41267" w:rsidRPr="003C58FA" w:rsidRDefault="00E41267" w:rsidP="00C67B59">
            <w:pPr>
              <w:spacing w:after="0" w:line="240" w:lineRule="auto"/>
              <w:jc w:val="left"/>
              <w:rPr>
                <w:rFonts w:asciiTheme="minorHAnsi" w:hAnsiTheme="minorHAnsi" w:cstheme="minorHAnsi"/>
                <w:sz w:val="20"/>
              </w:rPr>
            </w:pPr>
          </w:p>
        </w:tc>
        <w:tc>
          <w:tcPr>
            <w:tcW w:w="673" w:type="pct"/>
            <w:tcBorders>
              <w:top w:val="single" w:sz="4" w:space="0" w:color="auto"/>
              <w:left w:val="single" w:sz="4" w:space="0" w:color="auto"/>
              <w:bottom w:val="single" w:sz="4" w:space="0" w:color="auto"/>
              <w:right w:val="single" w:sz="4" w:space="0" w:color="auto"/>
            </w:tcBorders>
            <w:shd w:val="clear" w:color="auto" w:fill="auto"/>
            <w:noWrap/>
            <w:hideMark/>
          </w:tcPr>
          <w:p w14:paraId="6D7EC024" w14:textId="08E22AC3" w:rsidR="00E41267" w:rsidRPr="003C58FA" w:rsidRDefault="00E41267" w:rsidP="00C67B59">
            <w:pPr>
              <w:spacing w:after="0" w:line="240" w:lineRule="auto"/>
              <w:jc w:val="center"/>
              <w:rPr>
                <w:rFonts w:asciiTheme="minorHAnsi" w:hAnsiTheme="minorHAnsi" w:cstheme="minorHAnsi"/>
                <w:b/>
                <w:bCs/>
              </w:rPr>
            </w:pPr>
            <w:r>
              <w:rPr>
                <w:rFonts w:asciiTheme="minorHAnsi" w:hAnsiTheme="minorHAnsi" w:cstheme="minorHAnsi"/>
                <w:b/>
                <w:bCs/>
              </w:rPr>
              <w:t>Funding estimated</w:t>
            </w:r>
            <w:r w:rsidR="0050478F">
              <w:rPr>
                <w:rFonts w:asciiTheme="minorHAnsi" w:hAnsiTheme="minorHAnsi" w:cstheme="minorHAnsi"/>
                <w:b/>
                <w:bCs/>
              </w:rPr>
              <w:t xml:space="preserve"> </w:t>
            </w:r>
            <w:r>
              <w:rPr>
                <w:rFonts w:asciiTheme="minorHAnsi" w:hAnsiTheme="minorHAnsi" w:cstheme="minorHAnsi"/>
                <w:b/>
                <w:bCs/>
              </w:rPr>
              <w:t>in</w:t>
            </w:r>
            <w:r w:rsidR="004C2F1C">
              <w:rPr>
                <w:rFonts w:asciiTheme="minorHAnsi" w:hAnsiTheme="minorHAnsi" w:cstheme="minorHAnsi"/>
                <w:b/>
                <w:bCs/>
              </w:rPr>
              <w:t xml:space="preserve"> NASHH</w:t>
            </w:r>
          </w:p>
        </w:tc>
        <w:tc>
          <w:tcPr>
            <w:tcW w:w="696" w:type="pct"/>
            <w:tcBorders>
              <w:top w:val="single" w:sz="4" w:space="0" w:color="auto"/>
              <w:left w:val="single" w:sz="4" w:space="0" w:color="auto"/>
              <w:bottom w:val="single" w:sz="4" w:space="0" w:color="auto"/>
              <w:right w:val="single" w:sz="4" w:space="0" w:color="auto"/>
            </w:tcBorders>
          </w:tcPr>
          <w:p w14:paraId="329E0A75" w14:textId="77777777" w:rsidR="00E41267" w:rsidRDefault="00E41267" w:rsidP="00C67B59">
            <w:pPr>
              <w:spacing w:after="0" w:line="240" w:lineRule="auto"/>
              <w:jc w:val="center"/>
              <w:rPr>
                <w:rFonts w:asciiTheme="minorHAnsi" w:hAnsiTheme="minorHAnsi" w:cstheme="minorHAnsi"/>
                <w:b/>
                <w:bCs/>
              </w:rPr>
            </w:pPr>
            <w:r>
              <w:rPr>
                <w:rFonts w:asciiTheme="minorHAnsi" w:hAnsiTheme="minorHAnsi" w:cstheme="minorHAnsi"/>
                <w:b/>
                <w:bCs/>
              </w:rPr>
              <w:t>Actual funding received</w:t>
            </w:r>
          </w:p>
        </w:tc>
        <w:tc>
          <w:tcPr>
            <w:tcW w:w="1677" w:type="pct"/>
            <w:gridSpan w:val="2"/>
            <w:vMerge w:val="restart"/>
            <w:tcBorders>
              <w:top w:val="single" w:sz="4" w:space="0" w:color="auto"/>
              <w:left w:val="single" w:sz="4" w:space="0" w:color="auto"/>
              <w:right w:val="single" w:sz="4" w:space="0" w:color="auto"/>
            </w:tcBorders>
          </w:tcPr>
          <w:p w14:paraId="7403FB33" w14:textId="678F35F5" w:rsidR="00E41267" w:rsidRPr="003C58FA" w:rsidRDefault="00E41267" w:rsidP="00C67B59">
            <w:pPr>
              <w:spacing w:after="0" w:line="240" w:lineRule="auto"/>
              <w:jc w:val="center"/>
              <w:rPr>
                <w:rFonts w:asciiTheme="minorHAnsi" w:hAnsiTheme="minorHAnsi" w:cstheme="minorHAnsi"/>
                <w:b/>
                <w:bCs/>
              </w:rPr>
            </w:pPr>
            <w:r>
              <w:rPr>
                <w:rFonts w:asciiTheme="minorHAnsi" w:hAnsiTheme="minorHAnsi" w:cstheme="minorHAnsi"/>
                <w:b/>
                <w:bCs/>
              </w:rPr>
              <w:t xml:space="preserve">Additional context e.g. key changes/reasons for variation between </w:t>
            </w:r>
            <w:r w:rsidR="00350505">
              <w:rPr>
                <w:rFonts w:asciiTheme="minorHAnsi" w:hAnsiTheme="minorHAnsi" w:cstheme="minorHAnsi"/>
                <w:b/>
                <w:bCs/>
              </w:rPr>
              <w:t>estimated and actual funding</w:t>
            </w:r>
          </w:p>
        </w:tc>
      </w:tr>
      <w:tr w:rsidR="00E41267" w:rsidRPr="00BC364F" w14:paraId="7D9361FE" w14:textId="77777777" w:rsidTr="00C67B59">
        <w:trPr>
          <w:trHeight w:val="285"/>
        </w:trPr>
        <w:tc>
          <w:tcPr>
            <w:tcW w:w="1954" w:type="pct"/>
            <w:gridSpan w:val="2"/>
            <w:tcBorders>
              <w:left w:val="single" w:sz="4" w:space="0" w:color="auto"/>
              <w:right w:val="single" w:sz="4" w:space="0" w:color="auto"/>
            </w:tcBorders>
            <w:shd w:val="clear" w:color="auto" w:fill="auto"/>
            <w:noWrap/>
            <w:hideMark/>
          </w:tcPr>
          <w:p w14:paraId="4C4A774E" w14:textId="77777777" w:rsidR="00E41267" w:rsidRPr="003C58FA" w:rsidRDefault="00E41267" w:rsidP="00C67B59">
            <w:pPr>
              <w:spacing w:after="0" w:line="240" w:lineRule="auto"/>
              <w:jc w:val="left"/>
              <w:rPr>
                <w:rFonts w:asciiTheme="minorHAnsi" w:hAnsiTheme="minorHAnsi" w:cstheme="minorHAnsi"/>
                <w:sz w:val="20"/>
              </w:rPr>
            </w:pPr>
          </w:p>
        </w:tc>
        <w:tc>
          <w:tcPr>
            <w:tcW w:w="673" w:type="pct"/>
            <w:tcBorders>
              <w:top w:val="single" w:sz="4" w:space="0" w:color="auto"/>
              <w:left w:val="single" w:sz="4" w:space="0" w:color="auto"/>
              <w:bottom w:val="single" w:sz="4" w:space="0" w:color="auto"/>
              <w:right w:val="single" w:sz="4" w:space="0" w:color="auto"/>
            </w:tcBorders>
            <w:shd w:val="clear" w:color="auto" w:fill="auto"/>
            <w:noWrap/>
            <w:hideMark/>
          </w:tcPr>
          <w:p w14:paraId="5FCFD894" w14:textId="6CD3C700" w:rsidR="00E41267" w:rsidRPr="003C58FA" w:rsidRDefault="00E41267" w:rsidP="00C67B59">
            <w:pPr>
              <w:spacing w:after="0" w:line="240" w:lineRule="auto"/>
              <w:jc w:val="center"/>
              <w:rPr>
                <w:rFonts w:asciiTheme="minorHAnsi" w:hAnsiTheme="minorHAnsi" w:cstheme="minorHAnsi"/>
                <w:b/>
                <w:bCs/>
              </w:rPr>
            </w:pPr>
            <w:r w:rsidRPr="003C58FA">
              <w:rPr>
                <w:rFonts w:asciiTheme="minorHAnsi" w:hAnsiTheme="minorHAnsi" w:cstheme="minorHAnsi"/>
                <w:b/>
                <w:bCs/>
              </w:rPr>
              <w:t>202</w:t>
            </w:r>
            <w:r w:rsidR="00350505">
              <w:rPr>
                <w:rFonts w:asciiTheme="minorHAnsi" w:hAnsiTheme="minorHAnsi" w:cstheme="minorHAnsi"/>
                <w:b/>
                <w:bCs/>
              </w:rPr>
              <w:t>4</w:t>
            </w:r>
            <w:r w:rsidRPr="003C58FA">
              <w:rPr>
                <w:rFonts w:asciiTheme="minorHAnsi" w:hAnsiTheme="minorHAnsi" w:cstheme="minorHAnsi"/>
                <w:b/>
                <w:bCs/>
              </w:rPr>
              <w:t>-2</w:t>
            </w:r>
            <w:r w:rsidR="00350505">
              <w:rPr>
                <w:rFonts w:asciiTheme="minorHAnsi" w:hAnsiTheme="minorHAnsi" w:cstheme="minorHAnsi"/>
                <w:b/>
                <w:bCs/>
              </w:rPr>
              <w:t>5</w:t>
            </w:r>
          </w:p>
        </w:tc>
        <w:tc>
          <w:tcPr>
            <w:tcW w:w="696" w:type="pct"/>
            <w:tcBorders>
              <w:top w:val="single" w:sz="4" w:space="0" w:color="auto"/>
              <w:left w:val="single" w:sz="4" w:space="0" w:color="auto"/>
              <w:bottom w:val="single" w:sz="4" w:space="0" w:color="auto"/>
              <w:right w:val="single" w:sz="4" w:space="0" w:color="auto"/>
            </w:tcBorders>
          </w:tcPr>
          <w:p w14:paraId="43B49F86" w14:textId="4A96D28F" w:rsidR="00E41267" w:rsidRPr="003C58FA" w:rsidRDefault="00E41267" w:rsidP="00C67B59">
            <w:pPr>
              <w:spacing w:after="0" w:line="240" w:lineRule="auto"/>
              <w:jc w:val="center"/>
              <w:rPr>
                <w:rFonts w:asciiTheme="minorHAnsi" w:hAnsiTheme="minorHAnsi" w:cstheme="minorHAnsi"/>
                <w:b/>
                <w:bCs/>
              </w:rPr>
            </w:pPr>
            <w:r>
              <w:rPr>
                <w:rFonts w:asciiTheme="minorHAnsi" w:hAnsiTheme="minorHAnsi" w:cstheme="minorHAnsi"/>
                <w:b/>
                <w:bCs/>
              </w:rPr>
              <w:t>202</w:t>
            </w:r>
            <w:r w:rsidR="00350505">
              <w:rPr>
                <w:rFonts w:asciiTheme="minorHAnsi" w:hAnsiTheme="minorHAnsi" w:cstheme="minorHAnsi"/>
                <w:b/>
                <w:bCs/>
              </w:rPr>
              <w:t>4</w:t>
            </w:r>
            <w:r>
              <w:rPr>
                <w:rFonts w:asciiTheme="minorHAnsi" w:hAnsiTheme="minorHAnsi" w:cstheme="minorHAnsi"/>
                <w:b/>
                <w:bCs/>
              </w:rPr>
              <w:t>-2</w:t>
            </w:r>
            <w:r w:rsidR="00350505">
              <w:rPr>
                <w:rFonts w:asciiTheme="minorHAnsi" w:hAnsiTheme="minorHAnsi" w:cstheme="minorHAnsi"/>
                <w:b/>
                <w:bCs/>
              </w:rPr>
              <w:t>5</w:t>
            </w:r>
          </w:p>
        </w:tc>
        <w:tc>
          <w:tcPr>
            <w:tcW w:w="1677" w:type="pct"/>
            <w:gridSpan w:val="2"/>
            <w:vMerge/>
            <w:tcBorders>
              <w:left w:val="single" w:sz="4" w:space="0" w:color="auto"/>
              <w:right w:val="single" w:sz="4" w:space="0" w:color="auto"/>
            </w:tcBorders>
          </w:tcPr>
          <w:p w14:paraId="0358B7E4" w14:textId="77777777" w:rsidR="00E41267" w:rsidRPr="003C58FA" w:rsidRDefault="00E41267" w:rsidP="00C67B59">
            <w:pPr>
              <w:spacing w:after="0" w:line="240" w:lineRule="auto"/>
              <w:jc w:val="center"/>
              <w:rPr>
                <w:rFonts w:asciiTheme="minorHAnsi" w:hAnsiTheme="minorHAnsi" w:cstheme="minorHAnsi"/>
                <w:b/>
                <w:bCs/>
              </w:rPr>
            </w:pPr>
          </w:p>
        </w:tc>
      </w:tr>
      <w:tr w:rsidR="00E41267" w:rsidRPr="00BC364F" w14:paraId="2A4DDBC5" w14:textId="77777777" w:rsidTr="00C67B59">
        <w:trPr>
          <w:trHeight w:val="315"/>
        </w:trPr>
        <w:tc>
          <w:tcPr>
            <w:tcW w:w="1954" w:type="pct"/>
            <w:gridSpan w:val="2"/>
            <w:tcBorders>
              <w:left w:val="single" w:sz="4" w:space="0" w:color="auto"/>
              <w:bottom w:val="single" w:sz="4" w:space="0" w:color="auto"/>
              <w:right w:val="single" w:sz="4" w:space="0" w:color="auto"/>
            </w:tcBorders>
            <w:shd w:val="clear" w:color="auto" w:fill="auto"/>
            <w:noWrap/>
            <w:hideMark/>
          </w:tcPr>
          <w:p w14:paraId="1A234802" w14:textId="77777777" w:rsidR="00E41267" w:rsidRPr="003C58FA" w:rsidRDefault="00E41267" w:rsidP="00C67B59">
            <w:pPr>
              <w:spacing w:after="0" w:line="240" w:lineRule="auto"/>
              <w:jc w:val="left"/>
              <w:rPr>
                <w:rFonts w:asciiTheme="minorHAnsi" w:hAnsiTheme="minorHAnsi" w:cstheme="minorHAnsi"/>
                <w:b/>
                <w:bCs/>
                <w:i/>
                <w:iCs/>
                <w:sz w:val="24"/>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auto"/>
            <w:noWrap/>
            <w:hideMark/>
          </w:tcPr>
          <w:p w14:paraId="568E3C95" w14:textId="77777777" w:rsidR="00E41267" w:rsidRPr="003C58FA" w:rsidRDefault="00E41267" w:rsidP="00C67B59">
            <w:pPr>
              <w:spacing w:after="0" w:line="240" w:lineRule="auto"/>
              <w:jc w:val="center"/>
              <w:rPr>
                <w:rFonts w:asciiTheme="minorHAnsi" w:hAnsiTheme="minorHAnsi" w:cstheme="minorHAnsi"/>
                <w:b/>
                <w:bCs/>
              </w:rPr>
            </w:pPr>
            <w:r w:rsidRPr="003C58FA">
              <w:rPr>
                <w:rFonts w:asciiTheme="minorHAnsi" w:hAnsiTheme="minorHAnsi" w:cstheme="minorHAnsi"/>
                <w:b/>
                <w:bCs/>
              </w:rPr>
              <w:t>$m</w:t>
            </w:r>
          </w:p>
        </w:tc>
        <w:tc>
          <w:tcPr>
            <w:tcW w:w="696" w:type="pct"/>
            <w:tcBorders>
              <w:top w:val="single" w:sz="4" w:space="0" w:color="auto"/>
              <w:left w:val="single" w:sz="4" w:space="0" w:color="auto"/>
              <w:bottom w:val="single" w:sz="4" w:space="0" w:color="auto"/>
              <w:right w:val="single" w:sz="4" w:space="0" w:color="auto"/>
            </w:tcBorders>
          </w:tcPr>
          <w:p w14:paraId="29B70163" w14:textId="77777777" w:rsidR="00E41267" w:rsidRPr="003C58FA" w:rsidRDefault="00E41267" w:rsidP="00C67B59">
            <w:pPr>
              <w:spacing w:after="0" w:line="240" w:lineRule="auto"/>
              <w:jc w:val="center"/>
              <w:rPr>
                <w:rFonts w:asciiTheme="minorHAnsi" w:hAnsiTheme="minorHAnsi" w:cstheme="minorHAnsi"/>
                <w:b/>
                <w:bCs/>
              </w:rPr>
            </w:pPr>
            <w:r w:rsidRPr="003C58FA">
              <w:rPr>
                <w:rFonts w:asciiTheme="minorHAnsi" w:hAnsiTheme="minorHAnsi" w:cstheme="minorHAnsi"/>
                <w:b/>
                <w:bCs/>
              </w:rPr>
              <w:t>$m</w:t>
            </w:r>
          </w:p>
        </w:tc>
        <w:tc>
          <w:tcPr>
            <w:tcW w:w="1677" w:type="pct"/>
            <w:gridSpan w:val="2"/>
            <w:vMerge/>
            <w:tcBorders>
              <w:left w:val="single" w:sz="4" w:space="0" w:color="auto"/>
              <w:bottom w:val="single" w:sz="4" w:space="0" w:color="auto"/>
              <w:right w:val="single" w:sz="4" w:space="0" w:color="auto"/>
            </w:tcBorders>
          </w:tcPr>
          <w:p w14:paraId="6CBD03F6" w14:textId="77777777" w:rsidR="00E41267" w:rsidRPr="003C58FA" w:rsidRDefault="00E41267" w:rsidP="00C67B59">
            <w:pPr>
              <w:spacing w:after="0" w:line="240" w:lineRule="auto"/>
              <w:jc w:val="center"/>
              <w:rPr>
                <w:rFonts w:asciiTheme="minorHAnsi" w:hAnsiTheme="minorHAnsi" w:cstheme="minorHAnsi"/>
                <w:b/>
                <w:bCs/>
              </w:rPr>
            </w:pPr>
          </w:p>
        </w:tc>
      </w:tr>
      <w:tr w:rsidR="00E41267" w:rsidRPr="00BC364F" w14:paraId="78261622" w14:textId="77777777" w:rsidTr="00C67B59">
        <w:trPr>
          <w:trHeight w:val="357"/>
        </w:trPr>
        <w:tc>
          <w:tcPr>
            <w:tcW w:w="1954" w:type="pct"/>
            <w:gridSpan w:val="2"/>
            <w:tcBorders>
              <w:top w:val="single" w:sz="4" w:space="0" w:color="auto"/>
              <w:left w:val="single" w:sz="4" w:space="0" w:color="auto"/>
              <w:bottom w:val="single" w:sz="4" w:space="0" w:color="auto"/>
            </w:tcBorders>
            <w:shd w:val="clear" w:color="auto" w:fill="D9D9D9" w:themeFill="background1" w:themeFillShade="D9"/>
            <w:noWrap/>
          </w:tcPr>
          <w:p w14:paraId="07F4E186" w14:textId="77777777" w:rsidR="00E41267" w:rsidRPr="00B86267" w:rsidRDefault="00E41267" w:rsidP="00C67B59">
            <w:pPr>
              <w:spacing w:after="0" w:line="240" w:lineRule="auto"/>
              <w:jc w:val="left"/>
              <w:rPr>
                <w:rFonts w:asciiTheme="minorHAnsi" w:hAnsiTheme="minorHAnsi" w:cstheme="minorHAnsi"/>
                <w:b/>
                <w:bCs/>
                <w:i/>
                <w:iCs/>
              </w:rPr>
            </w:pPr>
            <w:r w:rsidRPr="00B86267">
              <w:rPr>
                <w:rFonts w:asciiTheme="minorHAnsi" w:hAnsiTheme="minorHAnsi" w:cstheme="minorHAnsi"/>
                <w:b/>
                <w:bCs/>
                <w:i/>
                <w:iCs/>
              </w:rPr>
              <w:t>Funding</w:t>
            </w:r>
          </w:p>
        </w:tc>
        <w:tc>
          <w:tcPr>
            <w:tcW w:w="673" w:type="pct"/>
            <w:tcBorders>
              <w:top w:val="single" w:sz="4" w:space="0" w:color="auto"/>
              <w:bottom w:val="single" w:sz="4" w:space="0" w:color="auto"/>
            </w:tcBorders>
            <w:shd w:val="clear" w:color="auto" w:fill="D9D9D9" w:themeFill="background1" w:themeFillShade="D9"/>
            <w:noWrap/>
            <w:vAlign w:val="center"/>
          </w:tcPr>
          <w:p w14:paraId="587C73B2" w14:textId="77777777" w:rsidR="00E41267" w:rsidRPr="003C58FA" w:rsidRDefault="00E41267" w:rsidP="00C67B59">
            <w:pPr>
              <w:spacing w:after="0" w:line="240" w:lineRule="auto"/>
              <w:jc w:val="center"/>
              <w:rPr>
                <w:rFonts w:asciiTheme="minorHAnsi" w:hAnsiTheme="minorHAnsi" w:cstheme="minorHAnsi"/>
                <w:b/>
                <w:bCs/>
              </w:rPr>
            </w:pPr>
          </w:p>
        </w:tc>
        <w:tc>
          <w:tcPr>
            <w:tcW w:w="696" w:type="pct"/>
            <w:tcBorders>
              <w:top w:val="single" w:sz="4" w:space="0" w:color="auto"/>
              <w:bottom w:val="single" w:sz="4" w:space="0" w:color="auto"/>
            </w:tcBorders>
            <w:shd w:val="clear" w:color="auto" w:fill="D9D9D9" w:themeFill="background1" w:themeFillShade="D9"/>
            <w:vAlign w:val="center"/>
          </w:tcPr>
          <w:p w14:paraId="396F5F56" w14:textId="77777777" w:rsidR="00E41267" w:rsidRPr="003C58FA" w:rsidRDefault="00E41267" w:rsidP="00C67B59">
            <w:pPr>
              <w:spacing w:after="0" w:line="240" w:lineRule="auto"/>
              <w:jc w:val="center"/>
              <w:rPr>
                <w:rFonts w:asciiTheme="minorHAnsi" w:hAnsiTheme="minorHAnsi" w:cstheme="minorHAnsi"/>
                <w:b/>
                <w:bCs/>
              </w:rPr>
            </w:pPr>
          </w:p>
        </w:tc>
        <w:tc>
          <w:tcPr>
            <w:tcW w:w="1677" w:type="pct"/>
            <w:gridSpan w:val="2"/>
            <w:tcBorders>
              <w:top w:val="single" w:sz="4" w:space="0" w:color="auto"/>
              <w:bottom w:val="single" w:sz="4" w:space="0" w:color="auto"/>
              <w:right w:val="single" w:sz="4" w:space="0" w:color="auto"/>
            </w:tcBorders>
            <w:shd w:val="clear" w:color="auto" w:fill="D9D9D9" w:themeFill="background1" w:themeFillShade="D9"/>
            <w:vAlign w:val="center"/>
          </w:tcPr>
          <w:p w14:paraId="00A940C2" w14:textId="77777777" w:rsidR="00E41267" w:rsidRPr="003C58FA" w:rsidRDefault="00E41267" w:rsidP="00C67B59">
            <w:pPr>
              <w:spacing w:after="0" w:line="240" w:lineRule="auto"/>
              <w:jc w:val="center"/>
              <w:rPr>
                <w:rFonts w:asciiTheme="minorHAnsi" w:hAnsiTheme="minorHAnsi" w:cstheme="minorHAnsi"/>
                <w:b/>
                <w:bCs/>
              </w:rPr>
            </w:pPr>
          </w:p>
        </w:tc>
      </w:tr>
      <w:tr w:rsidR="00E41267" w:rsidRPr="00BC364F" w14:paraId="16FD1AA8" w14:textId="77777777" w:rsidTr="00C67B59">
        <w:trPr>
          <w:trHeight w:val="285"/>
        </w:trPr>
        <w:tc>
          <w:tcPr>
            <w:tcW w:w="1954" w:type="pct"/>
            <w:gridSpan w:val="2"/>
            <w:tcBorders>
              <w:top w:val="single" w:sz="4" w:space="0" w:color="auto"/>
              <w:left w:val="single" w:sz="4" w:space="0" w:color="auto"/>
              <w:bottom w:val="single" w:sz="4" w:space="0" w:color="auto"/>
              <w:right w:val="single" w:sz="4" w:space="0" w:color="auto"/>
            </w:tcBorders>
            <w:shd w:val="clear" w:color="auto" w:fill="auto"/>
            <w:noWrap/>
          </w:tcPr>
          <w:p w14:paraId="682C1761" w14:textId="01535FF2" w:rsidR="00E41267" w:rsidRPr="003C58FA" w:rsidRDefault="00350505" w:rsidP="00C67B59">
            <w:pPr>
              <w:spacing w:after="0" w:line="240" w:lineRule="auto"/>
              <w:jc w:val="left"/>
              <w:rPr>
                <w:rFonts w:asciiTheme="minorHAnsi" w:hAnsiTheme="minorHAnsi" w:cstheme="minorHAnsi"/>
              </w:rPr>
            </w:pPr>
            <w:r>
              <w:rPr>
                <w:rFonts w:asciiTheme="minorHAnsi" w:hAnsiTheme="minorHAnsi" w:cstheme="minorHAnsi"/>
              </w:rPr>
              <w:t>NASHH</w:t>
            </w:r>
            <w:r w:rsidR="00E41267" w:rsidRPr="003C58FA">
              <w:rPr>
                <w:rFonts w:asciiTheme="minorHAnsi" w:hAnsiTheme="minorHAnsi" w:cstheme="minorHAnsi"/>
              </w:rPr>
              <w:t xml:space="preserve"> </w:t>
            </w:r>
            <w:r w:rsidR="00E41267">
              <w:rPr>
                <w:rFonts w:asciiTheme="minorHAnsi" w:hAnsiTheme="minorHAnsi" w:cstheme="minorHAnsi"/>
              </w:rPr>
              <w:t xml:space="preserve">Commonwealth </w:t>
            </w:r>
            <w:r>
              <w:rPr>
                <w:rFonts w:asciiTheme="minorHAnsi" w:hAnsiTheme="minorHAnsi" w:cstheme="minorHAnsi"/>
              </w:rPr>
              <w:t>G</w:t>
            </w:r>
            <w:r w:rsidR="00E41267" w:rsidRPr="003C58FA">
              <w:rPr>
                <w:rFonts w:asciiTheme="minorHAnsi" w:hAnsiTheme="minorHAnsi" w:cstheme="minorHAnsi"/>
              </w:rPr>
              <w:t xml:space="preserve">eneral </w:t>
            </w:r>
            <w:r>
              <w:rPr>
                <w:rFonts w:asciiTheme="minorHAnsi" w:hAnsiTheme="minorHAnsi" w:cstheme="minorHAnsi"/>
              </w:rPr>
              <w:t>F</w:t>
            </w:r>
            <w:r w:rsidR="00E41267" w:rsidRPr="003C58FA">
              <w:rPr>
                <w:rFonts w:asciiTheme="minorHAnsi" w:hAnsiTheme="minorHAnsi" w:cstheme="minorHAnsi"/>
              </w:rPr>
              <w:t>unding</w:t>
            </w:r>
            <w:r w:rsidR="00E41267">
              <w:rPr>
                <w:rFonts w:asciiTheme="minorHAnsi" w:hAnsiTheme="minorHAnsi" w:cstheme="minorHAnsi"/>
              </w:rPr>
              <w:t xml:space="preserve"> (1)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9C15F" w14:textId="77777777" w:rsidR="00E41267" w:rsidRPr="003C58FA" w:rsidRDefault="00E41267" w:rsidP="00C67B59">
            <w:pPr>
              <w:spacing w:after="0" w:line="240" w:lineRule="auto"/>
              <w:jc w:val="center"/>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5CC5140" w14:textId="77777777" w:rsidR="00E41267" w:rsidRPr="003C58FA" w:rsidRDefault="00E41267" w:rsidP="00C67B59">
            <w:pPr>
              <w:spacing w:after="0" w:line="240" w:lineRule="auto"/>
              <w:jc w:val="center"/>
              <w:rPr>
                <w:rFonts w:asciiTheme="minorHAnsi" w:hAnsiTheme="minorHAnsi" w:cstheme="minorHAnsi"/>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14:paraId="0A55C1EB" w14:textId="77777777" w:rsidR="00E41267" w:rsidRPr="003C58FA" w:rsidRDefault="00E41267" w:rsidP="00C67B59">
            <w:pPr>
              <w:spacing w:after="0" w:line="240" w:lineRule="auto"/>
              <w:jc w:val="center"/>
              <w:rPr>
                <w:rFonts w:asciiTheme="minorHAnsi" w:hAnsiTheme="minorHAnsi" w:cstheme="minorHAnsi"/>
              </w:rPr>
            </w:pPr>
          </w:p>
        </w:tc>
      </w:tr>
      <w:tr w:rsidR="00E41267" w:rsidRPr="00BC364F" w14:paraId="62212E6A" w14:textId="77777777" w:rsidTr="00C67B59">
        <w:trPr>
          <w:trHeight w:val="285"/>
        </w:trPr>
        <w:tc>
          <w:tcPr>
            <w:tcW w:w="1954" w:type="pct"/>
            <w:gridSpan w:val="2"/>
            <w:tcBorders>
              <w:top w:val="single" w:sz="4" w:space="0" w:color="auto"/>
              <w:left w:val="single" w:sz="4" w:space="0" w:color="auto"/>
              <w:bottom w:val="single" w:sz="4" w:space="0" w:color="auto"/>
              <w:right w:val="single" w:sz="4" w:space="0" w:color="auto"/>
            </w:tcBorders>
            <w:shd w:val="clear" w:color="auto" w:fill="auto"/>
            <w:noWrap/>
          </w:tcPr>
          <w:p w14:paraId="06F4610C" w14:textId="1D60B2DD" w:rsidR="00E41267" w:rsidRPr="003C58FA" w:rsidRDefault="00350505" w:rsidP="00C67B59">
            <w:pPr>
              <w:spacing w:after="0" w:line="240" w:lineRule="auto"/>
              <w:jc w:val="left"/>
              <w:rPr>
                <w:rFonts w:asciiTheme="minorHAnsi" w:hAnsiTheme="minorHAnsi" w:cstheme="minorHAnsi"/>
              </w:rPr>
            </w:pPr>
            <w:r>
              <w:rPr>
                <w:rFonts w:asciiTheme="minorHAnsi" w:hAnsiTheme="minorHAnsi" w:cstheme="minorHAnsi"/>
              </w:rPr>
              <w:t>NASHH</w:t>
            </w:r>
            <w:r w:rsidR="00E41267" w:rsidRPr="003C58FA">
              <w:rPr>
                <w:rFonts w:asciiTheme="minorHAnsi" w:hAnsiTheme="minorHAnsi" w:cstheme="minorHAnsi"/>
              </w:rPr>
              <w:t xml:space="preserve"> </w:t>
            </w:r>
            <w:r w:rsidR="00E41267">
              <w:rPr>
                <w:rFonts w:asciiTheme="minorHAnsi" w:hAnsiTheme="minorHAnsi" w:cstheme="minorHAnsi"/>
              </w:rPr>
              <w:t xml:space="preserve">Commonwealth </w:t>
            </w:r>
            <w:r>
              <w:rPr>
                <w:rFonts w:asciiTheme="minorHAnsi" w:hAnsiTheme="minorHAnsi" w:cstheme="minorHAnsi"/>
              </w:rPr>
              <w:t>S</w:t>
            </w:r>
            <w:r w:rsidR="00E41267" w:rsidRPr="003C58FA">
              <w:rPr>
                <w:rFonts w:asciiTheme="minorHAnsi" w:hAnsiTheme="minorHAnsi" w:cstheme="minorHAnsi"/>
              </w:rPr>
              <w:t xml:space="preserve">pecified </w:t>
            </w:r>
            <w:r>
              <w:rPr>
                <w:rFonts w:asciiTheme="minorHAnsi" w:hAnsiTheme="minorHAnsi" w:cstheme="minorHAnsi"/>
              </w:rPr>
              <w:t>H</w:t>
            </w:r>
            <w:r w:rsidR="00E41267" w:rsidRPr="003C58FA">
              <w:rPr>
                <w:rFonts w:asciiTheme="minorHAnsi" w:hAnsiTheme="minorHAnsi" w:cstheme="minorHAnsi"/>
              </w:rPr>
              <w:t xml:space="preserve">omelessness </w:t>
            </w:r>
            <w:r>
              <w:rPr>
                <w:rFonts w:asciiTheme="minorHAnsi" w:hAnsiTheme="minorHAnsi" w:cstheme="minorHAnsi"/>
              </w:rPr>
              <w:t>F</w:t>
            </w:r>
            <w:r w:rsidR="00E41267" w:rsidRPr="003C58FA">
              <w:rPr>
                <w:rFonts w:asciiTheme="minorHAnsi" w:hAnsiTheme="minorHAnsi" w:cstheme="minorHAnsi"/>
              </w:rPr>
              <w:t>unding</w:t>
            </w:r>
            <w:r w:rsidR="00E41267">
              <w:rPr>
                <w:rFonts w:asciiTheme="minorHAnsi" w:hAnsiTheme="minorHAnsi" w:cstheme="minorHAnsi"/>
              </w:rPr>
              <w:t xml:space="preserve"> (2)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BBDCF" w14:textId="77777777" w:rsidR="00E41267" w:rsidRPr="003C58FA" w:rsidRDefault="00E41267" w:rsidP="00C67B59">
            <w:pPr>
              <w:spacing w:after="0" w:line="240" w:lineRule="auto"/>
              <w:jc w:val="center"/>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56ED8DBB" w14:textId="77777777" w:rsidR="00E41267" w:rsidRPr="003C58FA" w:rsidRDefault="00E41267" w:rsidP="00C67B59">
            <w:pPr>
              <w:spacing w:after="0" w:line="240" w:lineRule="auto"/>
              <w:jc w:val="center"/>
              <w:rPr>
                <w:rFonts w:asciiTheme="minorHAnsi" w:hAnsiTheme="minorHAnsi" w:cstheme="minorHAnsi"/>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14:paraId="72632F79" w14:textId="77777777" w:rsidR="00E41267" w:rsidRPr="003C58FA" w:rsidRDefault="00E41267" w:rsidP="00C67B59">
            <w:pPr>
              <w:spacing w:after="0" w:line="240" w:lineRule="auto"/>
              <w:jc w:val="center"/>
              <w:rPr>
                <w:rFonts w:asciiTheme="minorHAnsi" w:hAnsiTheme="minorHAnsi" w:cstheme="minorHAnsi"/>
              </w:rPr>
            </w:pPr>
          </w:p>
        </w:tc>
      </w:tr>
      <w:tr w:rsidR="00E41267" w:rsidRPr="00BC364F" w14:paraId="36AF99C0" w14:textId="77777777" w:rsidTr="00C67B59">
        <w:trPr>
          <w:trHeight w:val="285"/>
        </w:trPr>
        <w:tc>
          <w:tcPr>
            <w:tcW w:w="1954" w:type="pct"/>
            <w:gridSpan w:val="2"/>
            <w:tcBorders>
              <w:top w:val="single" w:sz="4" w:space="0" w:color="auto"/>
              <w:left w:val="single" w:sz="4" w:space="0" w:color="auto"/>
              <w:bottom w:val="single" w:sz="4" w:space="0" w:color="auto"/>
              <w:right w:val="single" w:sz="4" w:space="0" w:color="auto"/>
            </w:tcBorders>
            <w:shd w:val="clear" w:color="auto" w:fill="auto"/>
            <w:noWrap/>
          </w:tcPr>
          <w:p w14:paraId="2DFE8348" w14:textId="0EB9C502" w:rsidR="00E41267" w:rsidRPr="003C58FA" w:rsidRDefault="00350505" w:rsidP="00C67B59">
            <w:pPr>
              <w:spacing w:after="0" w:line="240" w:lineRule="auto"/>
              <w:jc w:val="left"/>
              <w:rPr>
                <w:rFonts w:asciiTheme="minorHAnsi" w:hAnsiTheme="minorHAnsi" w:cstheme="minorHAnsi"/>
              </w:rPr>
            </w:pPr>
            <w:r>
              <w:rPr>
                <w:rFonts w:asciiTheme="minorHAnsi" w:hAnsiTheme="minorHAnsi" w:cstheme="minorHAnsi"/>
              </w:rPr>
              <w:t>NASHH S</w:t>
            </w:r>
            <w:r w:rsidR="00E41267">
              <w:rPr>
                <w:rFonts w:asciiTheme="minorHAnsi" w:hAnsiTheme="minorHAnsi" w:cstheme="minorHAnsi"/>
              </w:rPr>
              <w:t xml:space="preserve">tate matched </w:t>
            </w:r>
            <w:r w:rsidR="00E41267" w:rsidRPr="003C58FA">
              <w:rPr>
                <w:rFonts w:asciiTheme="minorHAnsi" w:hAnsiTheme="minorHAnsi" w:cstheme="minorHAnsi"/>
              </w:rPr>
              <w:t>specified homelessness funding</w:t>
            </w:r>
            <w:r w:rsidR="00E41267">
              <w:rPr>
                <w:rFonts w:asciiTheme="minorHAnsi" w:hAnsiTheme="minorHAnsi" w:cstheme="minorHAnsi"/>
              </w:rPr>
              <w:t xml:space="preserve"> (3)</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F34C7" w14:textId="77777777" w:rsidR="00E41267" w:rsidRPr="003C58FA" w:rsidRDefault="00E41267" w:rsidP="00C67B59">
            <w:pPr>
              <w:spacing w:after="0" w:line="240" w:lineRule="auto"/>
              <w:jc w:val="center"/>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498850B" w14:textId="77777777" w:rsidR="00E41267" w:rsidRPr="003C58FA" w:rsidRDefault="00E41267" w:rsidP="00C67B59">
            <w:pPr>
              <w:spacing w:after="0" w:line="240" w:lineRule="auto"/>
              <w:jc w:val="center"/>
              <w:rPr>
                <w:rFonts w:asciiTheme="minorHAnsi" w:hAnsiTheme="minorHAnsi" w:cstheme="minorHAnsi"/>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14:paraId="5A34CD2A" w14:textId="77777777" w:rsidR="00E41267" w:rsidRPr="003C58FA" w:rsidRDefault="00E41267" w:rsidP="00C67B59">
            <w:pPr>
              <w:spacing w:after="0" w:line="240" w:lineRule="auto"/>
              <w:jc w:val="center"/>
              <w:rPr>
                <w:rFonts w:asciiTheme="minorHAnsi" w:hAnsiTheme="minorHAnsi" w:cstheme="minorHAnsi"/>
              </w:rPr>
            </w:pPr>
          </w:p>
        </w:tc>
      </w:tr>
    </w:tbl>
    <w:p w14:paraId="09AA3E42" w14:textId="76537A44" w:rsidR="00E41267" w:rsidRDefault="00E41267" w:rsidP="00E41267">
      <w:pPr>
        <w:tabs>
          <w:tab w:val="left" w:pos="4361"/>
          <w:tab w:val="left" w:pos="6203"/>
          <w:tab w:val="left" w:pos="8197"/>
          <w:tab w:val="left" w:pos="10040"/>
        </w:tabs>
        <w:spacing w:after="0" w:line="240" w:lineRule="auto"/>
        <w:ind w:left="108"/>
        <w:rPr>
          <w:rFonts w:asciiTheme="minorHAnsi" w:hAnsiTheme="minorHAnsi" w:cstheme="minorHAnsi"/>
        </w:rPr>
      </w:pPr>
      <w:r w:rsidRPr="003C58FA">
        <w:rPr>
          <w:rFonts w:asciiTheme="minorHAnsi" w:hAnsiTheme="minorHAnsi" w:cstheme="minorHAnsi"/>
        </w:rPr>
        <w:tab/>
      </w:r>
      <w:r w:rsidRPr="003C58FA">
        <w:rPr>
          <w:rFonts w:asciiTheme="minorHAnsi" w:hAnsiTheme="minorHAnsi" w:cstheme="minorHAnsi"/>
          <w:sz w:val="20"/>
        </w:rPr>
        <w:tab/>
      </w:r>
      <w:r w:rsidRPr="003C58FA">
        <w:rPr>
          <w:rFonts w:asciiTheme="minorHAnsi" w:hAnsiTheme="minorHAnsi" w:cstheme="minorHAnsi"/>
        </w:rPr>
        <w:tab/>
      </w:r>
    </w:p>
    <w:tbl>
      <w:tblPr>
        <w:tblW w:w="15168" w:type="dxa"/>
        <w:tblInd w:w="-142" w:type="dxa"/>
        <w:tblLook w:val="04A0" w:firstRow="1" w:lastRow="0" w:firstColumn="1" w:lastColumn="0" w:noHBand="0" w:noVBand="1"/>
      </w:tblPr>
      <w:tblGrid>
        <w:gridCol w:w="4895"/>
        <w:gridCol w:w="2102"/>
        <w:gridCol w:w="2034"/>
        <w:gridCol w:w="1126"/>
        <w:gridCol w:w="7"/>
        <w:gridCol w:w="5004"/>
      </w:tblGrid>
      <w:tr w:rsidR="00333AFC" w:rsidRPr="003C58FA" w14:paraId="5531D523" w14:textId="77777777" w:rsidTr="001066A0">
        <w:trPr>
          <w:trHeight w:val="283"/>
        </w:trPr>
        <w:tc>
          <w:tcPr>
            <w:tcW w:w="15168" w:type="dxa"/>
            <w:gridSpan w:val="6"/>
            <w:shd w:val="clear" w:color="auto" w:fill="auto"/>
            <w:noWrap/>
            <w:vAlign w:val="bottom"/>
          </w:tcPr>
          <w:p w14:paraId="0465EC95" w14:textId="109C7755" w:rsidR="00333AFC" w:rsidRDefault="00333AFC" w:rsidP="00333AFC">
            <w:pPr>
              <w:keepNext/>
              <w:keepLines/>
              <w:spacing w:line="240" w:lineRule="auto"/>
              <w:jc w:val="left"/>
              <w:rPr>
                <w:rFonts w:asciiTheme="minorHAnsi" w:hAnsiTheme="minorHAnsi" w:cstheme="minorHAnsi"/>
                <w:b/>
                <w:bCs/>
              </w:rPr>
            </w:pPr>
            <w:r w:rsidRPr="00DA45D3">
              <w:rPr>
                <w:rFonts w:asciiTheme="minorHAnsi" w:hAnsiTheme="minorHAnsi" w:cstheme="minorHAnsi"/>
                <w:b/>
                <w:bCs/>
              </w:rPr>
              <w:lastRenderedPageBreak/>
              <w:t xml:space="preserve">Table 1B </w:t>
            </w:r>
            <w:r>
              <w:rPr>
                <w:rFonts w:asciiTheme="minorHAnsi" w:hAnsiTheme="minorHAnsi" w:cstheme="minorHAnsi"/>
                <w:b/>
                <w:bCs/>
              </w:rPr>
              <w:t>–</w:t>
            </w:r>
            <w:r w:rsidRPr="00DA45D3">
              <w:rPr>
                <w:rFonts w:asciiTheme="minorHAnsi" w:hAnsiTheme="minorHAnsi" w:cstheme="minorHAnsi"/>
                <w:b/>
                <w:bCs/>
              </w:rPr>
              <w:t xml:space="preserve"> Expenditure</w:t>
            </w:r>
          </w:p>
        </w:tc>
      </w:tr>
      <w:tr w:rsidR="00E41267" w:rsidRPr="003C58FA" w14:paraId="59F2B3BC" w14:textId="77777777" w:rsidTr="001066A0">
        <w:trPr>
          <w:trHeight w:val="283"/>
        </w:trPr>
        <w:tc>
          <w:tcPr>
            <w:tcW w:w="4895" w:type="dxa"/>
            <w:tcBorders>
              <w:top w:val="single" w:sz="4" w:space="0" w:color="auto"/>
              <w:left w:val="single" w:sz="4" w:space="0" w:color="auto"/>
              <w:right w:val="single" w:sz="4" w:space="0" w:color="auto"/>
            </w:tcBorders>
            <w:shd w:val="clear" w:color="auto" w:fill="auto"/>
            <w:noWrap/>
            <w:vAlign w:val="bottom"/>
            <w:hideMark/>
          </w:tcPr>
          <w:p w14:paraId="5CDE8593" w14:textId="77777777" w:rsidR="00E41267" w:rsidRPr="003C58FA" w:rsidRDefault="00E41267" w:rsidP="0050478F">
            <w:pPr>
              <w:keepNext/>
              <w:keepLines/>
              <w:spacing w:after="0" w:line="240" w:lineRule="auto"/>
              <w:rPr>
                <w:rFonts w:asciiTheme="minorHAnsi" w:hAnsiTheme="minorHAnsi" w:cstheme="minorHAnsi"/>
                <w:sz w:val="20"/>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3FBA" w14:textId="104230BC" w:rsidR="00E41267" w:rsidRPr="003C58FA" w:rsidRDefault="00E41267" w:rsidP="0050478F">
            <w:pPr>
              <w:keepNext/>
              <w:keepLines/>
              <w:spacing w:after="0" w:line="240" w:lineRule="auto"/>
              <w:jc w:val="left"/>
              <w:rPr>
                <w:rFonts w:asciiTheme="minorHAnsi" w:hAnsiTheme="minorHAnsi" w:cstheme="minorHAnsi"/>
                <w:b/>
                <w:bCs/>
              </w:rPr>
            </w:pPr>
            <w:r>
              <w:rPr>
                <w:rFonts w:asciiTheme="minorHAnsi" w:hAnsiTheme="minorHAnsi" w:cstheme="minorHAnsi"/>
                <w:b/>
                <w:bCs/>
              </w:rPr>
              <w:t>B</w:t>
            </w:r>
            <w:r w:rsidRPr="003C58FA">
              <w:rPr>
                <w:rFonts w:asciiTheme="minorHAnsi" w:hAnsiTheme="minorHAnsi" w:cstheme="minorHAnsi"/>
                <w:b/>
                <w:bCs/>
              </w:rPr>
              <w:t>aseline (year</w:t>
            </w:r>
            <w:r w:rsidR="00F95F3A">
              <w:rPr>
                <w:rFonts w:asciiTheme="minorHAnsi" w:hAnsiTheme="minorHAnsi" w:cstheme="minorHAnsi"/>
                <w:b/>
                <w:bCs/>
              </w:rPr>
              <w:t xml:space="preserve"> prior to </w:t>
            </w:r>
            <w:r w:rsidR="00350505">
              <w:rPr>
                <w:rFonts w:asciiTheme="minorHAnsi" w:hAnsiTheme="minorHAnsi" w:cstheme="minorHAnsi"/>
                <w:b/>
                <w:bCs/>
              </w:rPr>
              <w:t>NASHH</w:t>
            </w:r>
            <w:r w:rsidR="00F95F3A">
              <w:rPr>
                <w:rFonts w:asciiTheme="minorHAnsi" w:hAnsiTheme="minorHAnsi" w:cstheme="minorHAnsi"/>
                <w:b/>
                <w:bCs/>
              </w:rPr>
              <w:t xml:space="preserve"> commence</w:t>
            </w:r>
            <w:r w:rsidR="002B4379">
              <w:rPr>
                <w:rFonts w:asciiTheme="minorHAnsi" w:hAnsiTheme="minorHAnsi" w:cstheme="minorHAnsi"/>
                <w:b/>
                <w:bCs/>
              </w:rPr>
              <w:t>m</w:t>
            </w:r>
            <w:r w:rsidR="00350505">
              <w:rPr>
                <w:rFonts w:asciiTheme="minorHAnsi" w:hAnsiTheme="minorHAnsi" w:cstheme="minorHAnsi"/>
                <w:b/>
                <w:bCs/>
              </w:rPr>
              <w:t>ent</w:t>
            </w:r>
            <w:r w:rsidR="00F95F3A">
              <w:rPr>
                <w:rFonts w:asciiTheme="minorHAnsi" w:hAnsiTheme="minorHAnsi" w:cstheme="minorHAnsi"/>
                <w:b/>
                <w:bCs/>
              </w:rPr>
              <w:t>**</w:t>
            </w:r>
            <w:r w:rsidRPr="003C58FA">
              <w:rPr>
                <w:rFonts w:asciiTheme="minorHAnsi" w:hAnsiTheme="minorHAnsi" w:cstheme="minorHAnsi"/>
                <w:b/>
                <w:bCs/>
              </w:rPr>
              <w:t>)</w:t>
            </w:r>
          </w:p>
        </w:tc>
        <w:tc>
          <w:tcPr>
            <w:tcW w:w="2034" w:type="dxa"/>
            <w:tcBorders>
              <w:top w:val="single" w:sz="4" w:space="0" w:color="auto"/>
              <w:left w:val="single" w:sz="4" w:space="0" w:color="auto"/>
              <w:bottom w:val="single" w:sz="4" w:space="0" w:color="auto"/>
              <w:right w:val="single" w:sz="4" w:space="0" w:color="auto"/>
            </w:tcBorders>
            <w:vAlign w:val="center"/>
          </w:tcPr>
          <w:p w14:paraId="1414AEEB" w14:textId="77777777" w:rsidR="00E41267" w:rsidRDefault="00E41267" w:rsidP="0050478F">
            <w:pPr>
              <w:keepNext/>
              <w:keepLines/>
              <w:spacing w:after="0" w:line="240" w:lineRule="auto"/>
              <w:jc w:val="left"/>
              <w:rPr>
                <w:rFonts w:asciiTheme="minorHAnsi" w:hAnsiTheme="minorHAnsi" w:cstheme="minorHAnsi"/>
                <w:b/>
                <w:bCs/>
              </w:rPr>
            </w:pPr>
            <w:r w:rsidRPr="003C58FA">
              <w:rPr>
                <w:rFonts w:asciiTheme="minorHAnsi" w:hAnsiTheme="minorHAnsi" w:cstheme="minorHAnsi"/>
                <w:b/>
                <w:bCs/>
              </w:rPr>
              <w:t>Forecast</w:t>
            </w:r>
            <w:r>
              <w:rPr>
                <w:rFonts w:asciiTheme="minorHAnsi" w:hAnsiTheme="minorHAnsi" w:cstheme="minorHAnsi"/>
                <w:b/>
                <w:bCs/>
              </w:rPr>
              <w:t>/allocated</w:t>
            </w:r>
            <w:r w:rsidRPr="003C58FA">
              <w:rPr>
                <w:rFonts w:asciiTheme="minorHAnsi" w:hAnsiTheme="minorHAnsi" w:cstheme="minorHAnsi"/>
                <w:b/>
                <w:bCs/>
              </w:rPr>
              <w:t xml:space="preserve"> (</w:t>
            </w:r>
            <w:r>
              <w:rPr>
                <w:rFonts w:asciiTheme="minorHAnsi" w:hAnsiTheme="minorHAnsi" w:cstheme="minorHAnsi"/>
                <w:b/>
                <w:bCs/>
              </w:rPr>
              <w:t>current year</w:t>
            </w:r>
            <w:r w:rsidRPr="003C58FA">
              <w:rPr>
                <w:rFonts w:asciiTheme="minorHAnsi" w:hAnsiTheme="minorHAnsi" w:cstheme="minorHAnsi"/>
                <w:b/>
                <w:bCs/>
              </w:rPr>
              <w:t>)</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739DF" w14:textId="77777777" w:rsidR="00E41267" w:rsidRPr="003C58FA" w:rsidRDefault="00E41267" w:rsidP="0050478F">
            <w:pPr>
              <w:keepNext/>
              <w:keepLines/>
              <w:spacing w:after="0" w:line="240" w:lineRule="auto"/>
              <w:jc w:val="left"/>
              <w:rPr>
                <w:rFonts w:asciiTheme="minorHAnsi" w:hAnsiTheme="minorHAnsi" w:cstheme="minorHAnsi"/>
                <w:b/>
                <w:bCs/>
              </w:rPr>
            </w:pPr>
            <w:r>
              <w:rPr>
                <w:rFonts w:asciiTheme="minorHAnsi" w:hAnsiTheme="minorHAnsi" w:cstheme="minorHAnsi"/>
                <w:b/>
                <w:bCs/>
              </w:rPr>
              <w:t>A</w:t>
            </w:r>
            <w:r w:rsidRPr="003C58FA">
              <w:rPr>
                <w:rFonts w:asciiTheme="minorHAnsi" w:hAnsiTheme="minorHAnsi" w:cstheme="minorHAnsi"/>
                <w:b/>
                <w:bCs/>
              </w:rPr>
              <w:t>ctual (current year)</w:t>
            </w:r>
          </w:p>
        </w:tc>
        <w:tc>
          <w:tcPr>
            <w:tcW w:w="5004" w:type="dxa"/>
            <w:vMerge w:val="restart"/>
            <w:tcBorders>
              <w:top w:val="single" w:sz="4" w:space="0" w:color="auto"/>
              <w:left w:val="single" w:sz="4" w:space="0" w:color="auto"/>
              <w:right w:val="single" w:sz="4" w:space="0" w:color="auto"/>
            </w:tcBorders>
            <w:shd w:val="clear" w:color="auto" w:fill="auto"/>
            <w:noWrap/>
            <w:vAlign w:val="center"/>
          </w:tcPr>
          <w:p w14:paraId="76C40B4E" w14:textId="26DF3A73" w:rsidR="00E41267" w:rsidRPr="003C58FA" w:rsidRDefault="00E41267" w:rsidP="0050478F">
            <w:pPr>
              <w:keepNext/>
              <w:keepLines/>
              <w:spacing w:after="0" w:line="240" w:lineRule="auto"/>
              <w:jc w:val="left"/>
              <w:rPr>
                <w:rFonts w:asciiTheme="minorHAnsi" w:hAnsiTheme="minorHAnsi" w:cstheme="minorHAnsi"/>
                <w:b/>
                <w:bCs/>
              </w:rPr>
            </w:pPr>
            <w:r>
              <w:rPr>
                <w:rFonts w:asciiTheme="minorHAnsi" w:hAnsiTheme="minorHAnsi" w:cstheme="minorHAnsi"/>
                <w:b/>
                <w:bCs/>
              </w:rPr>
              <w:t>Additional context e.g. key changes/reasons for variation between baseline and current year; and allocated and actual expenditure in 2024-</w:t>
            </w:r>
            <w:r w:rsidR="00350505">
              <w:rPr>
                <w:rFonts w:asciiTheme="minorHAnsi" w:hAnsiTheme="minorHAnsi" w:cstheme="minorHAnsi"/>
                <w:b/>
                <w:bCs/>
              </w:rPr>
              <w:t>25</w:t>
            </w:r>
          </w:p>
        </w:tc>
      </w:tr>
      <w:tr w:rsidR="00E41267" w:rsidRPr="003C58FA" w14:paraId="02C89848" w14:textId="77777777" w:rsidTr="001066A0">
        <w:trPr>
          <w:trHeight w:val="283"/>
        </w:trPr>
        <w:tc>
          <w:tcPr>
            <w:tcW w:w="4895" w:type="dxa"/>
            <w:tcBorders>
              <w:left w:val="single" w:sz="4" w:space="0" w:color="auto"/>
              <w:right w:val="single" w:sz="4" w:space="0" w:color="auto"/>
            </w:tcBorders>
            <w:shd w:val="clear" w:color="auto" w:fill="auto"/>
            <w:noWrap/>
            <w:vAlign w:val="bottom"/>
            <w:hideMark/>
          </w:tcPr>
          <w:p w14:paraId="4EE60BA3" w14:textId="77777777" w:rsidR="00E41267" w:rsidRPr="003C58FA" w:rsidRDefault="00E41267" w:rsidP="0050478F">
            <w:pPr>
              <w:keepNext/>
              <w:keepLines/>
              <w:spacing w:after="0" w:line="240" w:lineRule="auto"/>
              <w:rPr>
                <w:rFonts w:asciiTheme="minorHAnsi" w:hAnsiTheme="minorHAnsi" w:cstheme="minorHAnsi"/>
                <w:sz w:val="20"/>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94BF9" w14:textId="77777777" w:rsidR="00E41267" w:rsidRPr="003C58FA" w:rsidRDefault="00E41267" w:rsidP="0050478F">
            <w:pPr>
              <w:keepNext/>
              <w:keepLines/>
              <w:spacing w:after="0" w:line="240" w:lineRule="auto"/>
              <w:jc w:val="center"/>
              <w:rPr>
                <w:rFonts w:asciiTheme="minorHAnsi" w:hAnsiTheme="minorHAnsi" w:cstheme="minorHAnsi"/>
                <w:b/>
                <w:bCs/>
              </w:rPr>
            </w:pPr>
            <w:r w:rsidRPr="003C58FA">
              <w:rPr>
                <w:rFonts w:asciiTheme="minorHAnsi" w:hAnsiTheme="minorHAnsi" w:cstheme="minorHAnsi"/>
                <w:b/>
                <w:bCs/>
              </w:rPr>
              <w:t>202</w:t>
            </w:r>
            <w:r>
              <w:rPr>
                <w:rFonts w:asciiTheme="minorHAnsi" w:hAnsiTheme="minorHAnsi" w:cstheme="minorHAnsi"/>
                <w:b/>
                <w:bCs/>
              </w:rPr>
              <w:t>3</w:t>
            </w:r>
            <w:r w:rsidRPr="003C58FA">
              <w:rPr>
                <w:rFonts w:asciiTheme="minorHAnsi" w:hAnsiTheme="minorHAnsi" w:cstheme="minorHAnsi"/>
                <w:b/>
                <w:bCs/>
              </w:rPr>
              <w:t>-2</w:t>
            </w:r>
            <w:r>
              <w:rPr>
                <w:rFonts w:asciiTheme="minorHAnsi" w:hAnsiTheme="minorHAnsi" w:cstheme="minorHAnsi"/>
                <w:b/>
                <w:bCs/>
              </w:rPr>
              <w:t>4</w:t>
            </w:r>
          </w:p>
        </w:tc>
        <w:tc>
          <w:tcPr>
            <w:tcW w:w="2034" w:type="dxa"/>
            <w:tcBorders>
              <w:top w:val="single" w:sz="4" w:space="0" w:color="auto"/>
              <w:left w:val="single" w:sz="4" w:space="0" w:color="auto"/>
              <w:bottom w:val="single" w:sz="4" w:space="0" w:color="auto"/>
              <w:right w:val="single" w:sz="4" w:space="0" w:color="auto"/>
            </w:tcBorders>
            <w:vAlign w:val="center"/>
          </w:tcPr>
          <w:p w14:paraId="7EC46E8A" w14:textId="77777777" w:rsidR="00E41267" w:rsidRPr="003C58FA" w:rsidRDefault="00E41267" w:rsidP="0050478F">
            <w:pPr>
              <w:keepNext/>
              <w:keepLines/>
              <w:spacing w:after="0" w:line="240" w:lineRule="auto"/>
              <w:jc w:val="center"/>
              <w:rPr>
                <w:rFonts w:asciiTheme="minorHAnsi" w:hAnsiTheme="minorHAnsi" w:cstheme="minorHAnsi"/>
                <w:b/>
                <w:bCs/>
              </w:rPr>
            </w:pPr>
            <w:r>
              <w:rPr>
                <w:rFonts w:asciiTheme="minorHAnsi" w:hAnsiTheme="minorHAnsi" w:cstheme="minorHAnsi"/>
                <w:b/>
                <w:bCs/>
              </w:rPr>
              <w:t>2024-25</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1913A" w14:textId="77777777" w:rsidR="00E41267" w:rsidRPr="003C58FA" w:rsidRDefault="00E41267" w:rsidP="0050478F">
            <w:pPr>
              <w:keepNext/>
              <w:keepLines/>
              <w:spacing w:after="0" w:line="240" w:lineRule="auto"/>
              <w:jc w:val="center"/>
              <w:rPr>
                <w:rFonts w:asciiTheme="minorHAnsi" w:hAnsiTheme="minorHAnsi" w:cstheme="minorHAnsi"/>
                <w:b/>
                <w:bCs/>
              </w:rPr>
            </w:pPr>
            <w:r w:rsidRPr="003C58FA">
              <w:rPr>
                <w:rFonts w:asciiTheme="minorHAnsi" w:hAnsiTheme="minorHAnsi" w:cstheme="minorHAnsi"/>
                <w:b/>
                <w:bCs/>
              </w:rPr>
              <w:t>202</w:t>
            </w:r>
            <w:r>
              <w:rPr>
                <w:rFonts w:asciiTheme="minorHAnsi" w:hAnsiTheme="minorHAnsi" w:cstheme="minorHAnsi"/>
                <w:b/>
                <w:bCs/>
              </w:rPr>
              <w:t>4</w:t>
            </w:r>
            <w:r w:rsidRPr="003C58FA">
              <w:rPr>
                <w:rFonts w:asciiTheme="minorHAnsi" w:hAnsiTheme="minorHAnsi" w:cstheme="minorHAnsi"/>
                <w:b/>
                <w:bCs/>
              </w:rPr>
              <w:t>-2</w:t>
            </w:r>
            <w:r>
              <w:rPr>
                <w:rFonts w:asciiTheme="minorHAnsi" w:hAnsiTheme="minorHAnsi" w:cstheme="minorHAnsi"/>
                <w:b/>
                <w:bCs/>
              </w:rPr>
              <w:t>5</w:t>
            </w:r>
          </w:p>
        </w:tc>
        <w:tc>
          <w:tcPr>
            <w:tcW w:w="5004" w:type="dxa"/>
            <w:vMerge/>
            <w:tcBorders>
              <w:left w:val="single" w:sz="4" w:space="0" w:color="auto"/>
              <w:right w:val="single" w:sz="4" w:space="0" w:color="auto"/>
            </w:tcBorders>
            <w:shd w:val="clear" w:color="auto" w:fill="auto"/>
            <w:noWrap/>
            <w:vAlign w:val="bottom"/>
          </w:tcPr>
          <w:p w14:paraId="12BD49E5" w14:textId="77777777" w:rsidR="00E41267" w:rsidRPr="003C58FA" w:rsidRDefault="00E41267" w:rsidP="0050478F">
            <w:pPr>
              <w:keepNext/>
              <w:keepLines/>
              <w:spacing w:after="0" w:line="240" w:lineRule="auto"/>
              <w:rPr>
                <w:rFonts w:asciiTheme="minorHAnsi" w:hAnsiTheme="minorHAnsi" w:cstheme="minorHAnsi"/>
                <w:b/>
                <w:bCs/>
              </w:rPr>
            </w:pPr>
          </w:p>
        </w:tc>
      </w:tr>
      <w:tr w:rsidR="00E41267" w:rsidRPr="003C58FA" w14:paraId="606CF650" w14:textId="77777777" w:rsidTr="001066A0">
        <w:trPr>
          <w:trHeight w:val="312"/>
        </w:trPr>
        <w:tc>
          <w:tcPr>
            <w:tcW w:w="4895" w:type="dxa"/>
            <w:tcBorders>
              <w:left w:val="single" w:sz="4" w:space="0" w:color="auto"/>
              <w:bottom w:val="single" w:sz="4" w:space="0" w:color="auto"/>
              <w:right w:val="single" w:sz="4" w:space="0" w:color="auto"/>
            </w:tcBorders>
            <w:shd w:val="clear" w:color="auto" w:fill="auto"/>
            <w:noWrap/>
            <w:vAlign w:val="bottom"/>
            <w:hideMark/>
          </w:tcPr>
          <w:p w14:paraId="6486BD93" w14:textId="77777777" w:rsidR="00E41267" w:rsidRPr="003C58FA" w:rsidRDefault="00E41267" w:rsidP="0050478F">
            <w:pPr>
              <w:keepNext/>
              <w:keepLines/>
              <w:spacing w:after="0" w:line="240" w:lineRule="auto"/>
              <w:rPr>
                <w:rFonts w:asciiTheme="minorHAnsi" w:hAnsiTheme="minorHAnsi" w:cstheme="minorHAnsi"/>
                <w:b/>
                <w:bCs/>
                <w:i/>
                <w:iCs/>
                <w:sz w:val="24"/>
                <w:szCs w:val="24"/>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38BD2" w14:textId="77777777" w:rsidR="00E41267" w:rsidRPr="003C58FA" w:rsidRDefault="00E41267" w:rsidP="0050478F">
            <w:pPr>
              <w:keepNext/>
              <w:keepLines/>
              <w:spacing w:after="0" w:line="240" w:lineRule="auto"/>
              <w:jc w:val="center"/>
              <w:rPr>
                <w:rFonts w:asciiTheme="minorHAnsi" w:hAnsiTheme="minorHAnsi" w:cstheme="minorHAnsi"/>
                <w:b/>
                <w:bCs/>
              </w:rPr>
            </w:pPr>
            <w:r w:rsidRPr="003C58FA">
              <w:rPr>
                <w:rFonts w:asciiTheme="minorHAnsi" w:hAnsiTheme="minorHAnsi" w:cstheme="minorHAnsi"/>
                <w:b/>
                <w:bCs/>
              </w:rPr>
              <w:t>$m</w:t>
            </w:r>
          </w:p>
        </w:tc>
        <w:tc>
          <w:tcPr>
            <w:tcW w:w="2034" w:type="dxa"/>
            <w:tcBorders>
              <w:top w:val="single" w:sz="4" w:space="0" w:color="auto"/>
              <w:left w:val="single" w:sz="4" w:space="0" w:color="auto"/>
              <w:bottom w:val="single" w:sz="4" w:space="0" w:color="auto"/>
              <w:right w:val="single" w:sz="4" w:space="0" w:color="auto"/>
            </w:tcBorders>
            <w:vAlign w:val="center"/>
          </w:tcPr>
          <w:p w14:paraId="0EB7B27C" w14:textId="77777777" w:rsidR="00E41267" w:rsidRPr="003C58FA" w:rsidRDefault="00E41267" w:rsidP="0050478F">
            <w:pPr>
              <w:keepNext/>
              <w:keepLines/>
              <w:spacing w:after="0" w:line="240" w:lineRule="auto"/>
              <w:jc w:val="center"/>
              <w:rPr>
                <w:rFonts w:asciiTheme="minorHAnsi" w:hAnsiTheme="minorHAnsi" w:cstheme="minorHAnsi"/>
                <w:b/>
                <w:bCs/>
              </w:rPr>
            </w:pPr>
            <w:r w:rsidRPr="003C58FA">
              <w:rPr>
                <w:rFonts w:asciiTheme="minorHAnsi" w:hAnsiTheme="minorHAnsi" w:cstheme="minorHAnsi"/>
                <w:b/>
                <w:bCs/>
              </w:rPr>
              <w:t>$m</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7058E" w14:textId="77777777" w:rsidR="00E41267" w:rsidRPr="003C58FA" w:rsidRDefault="00E41267" w:rsidP="0050478F">
            <w:pPr>
              <w:keepNext/>
              <w:keepLines/>
              <w:spacing w:after="0" w:line="240" w:lineRule="auto"/>
              <w:jc w:val="center"/>
              <w:rPr>
                <w:rFonts w:asciiTheme="minorHAnsi" w:hAnsiTheme="minorHAnsi" w:cstheme="minorHAnsi"/>
                <w:b/>
                <w:bCs/>
              </w:rPr>
            </w:pPr>
            <w:r w:rsidRPr="003C58FA">
              <w:rPr>
                <w:rFonts w:asciiTheme="minorHAnsi" w:hAnsiTheme="minorHAnsi" w:cstheme="minorHAnsi"/>
                <w:b/>
                <w:bCs/>
              </w:rPr>
              <w:t>$m</w:t>
            </w:r>
          </w:p>
        </w:tc>
        <w:tc>
          <w:tcPr>
            <w:tcW w:w="5004" w:type="dxa"/>
            <w:vMerge/>
            <w:tcBorders>
              <w:left w:val="single" w:sz="4" w:space="0" w:color="auto"/>
              <w:bottom w:val="single" w:sz="4" w:space="0" w:color="auto"/>
              <w:right w:val="single" w:sz="4" w:space="0" w:color="auto"/>
            </w:tcBorders>
            <w:shd w:val="clear" w:color="auto" w:fill="auto"/>
            <w:noWrap/>
            <w:vAlign w:val="bottom"/>
          </w:tcPr>
          <w:p w14:paraId="17ACEF81" w14:textId="77777777" w:rsidR="00E41267" w:rsidRPr="003C58FA" w:rsidRDefault="00E41267" w:rsidP="0050478F">
            <w:pPr>
              <w:keepNext/>
              <w:keepLines/>
              <w:spacing w:after="0" w:line="240" w:lineRule="auto"/>
              <w:rPr>
                <w:rFonts w:asciiTheme="minorHAnsi" w:hAnsiTheme="minorHAnsi" w:cstheme="minorHAnsi"/>
                <w:b/>
                <w:bCs/>
              </w:rPr>
            </w:pPr>
          </w:p>
        </w:tc>
      </w:tr>
      <w:tr w:rsidR="0050478F" w:rsidRPr="003C58FA" w14:paraId="6306FB12" w14:textId="77777777" w:rsidTr="001066A0">
        <w:trPr>
          <w:trHeight w:val="396"/>
        </w:trPr>
        <w:tc>
          <w:tcPr>
            <w:tcW w:w="9031" w:type="dxa"/>
            <w:gridSpan w:val="3"/>
            <w:tcBorders>
              <w:top w:val="single" w:sz="4" w:space="0" w:color="auto"/>
              <w:left w:val="single" w:sz="4" w:space="0" w:color="auto"/>
              <w:bottom w:val="single" w:sz="4" w:space="0" w:color="auto"/>
            </w:tcBorders>
            <w:shd w:val="clear" w:color="auto" w:fill="D9D9D9" w:themeFill="background1" w:themeFillShade="D9"/>
            <w:noWrap/>
            <w:hideMark/>
          </w:tcPr>
          <w:p w14:paraId="53FC4CCB" w14:textId="1A731EFD" w:rsidR="0050478F" w:rsidRPr="003C58FA" w:rsidRDefault="0050478F" w:rsidP="005F01A8">
            <w:pPr>
              <w:keepNext/>
              <w:keepLines/>
              <w:spacing w:after="0" w:line="240" w:lineRule="auto"/>
              <w:jc w:val="left"/>
              <w:rPr>
                <w:rFonts w:asciiTheme="minorHAnsi" w:hAnsiTheme="minorHAnsi" w:cstheme="minorHAnsi"/>
                <w:sz w:val="20"/>
              </w:rPr>
            </w:pPr>
            <w:r>
              <w:rPr>
                <w:rFonts w:asciiTheme="minorHAnsi" w:hAnsiTheme="minorHAnsi" w:cstheme="minorHAnsi"/>
                <w:b/>
                <w:bCs/>
              </w:rPr>
              <w:t>Expenditure overview</w:t>
            </w:r>
          </w:p>
        </w:tc>
        <w:tc>
          <w:tcPr>
            <w:tcW w:w="1126" w:type="dxa"/>
            <w:tcBorders>
              <w:top w:val="single" w:sz="4" w:space="0" w:color="auto"/>
              <w:bottom w:val="single" w:sz="4" w:space="0" w:color="auto"/>
            </w:tcBorders>
            <w:shd w:val="clear" w:color="auto" w:fill="D9D9D9" w:themeFill="background1" w:themeFillShade="D9"/>
            <w:noWrap/>
            <w:hideMark/>
          </w:tcPr>
          <w:p w14:paraId="111AEA34" w14:textId="77777777" w:rsidR="0050478F" w:rsidRPr="003C58FA" w:rsidRDefault="0050478F" w:rsidP="005F01A8">
            <w:pPr>
              <w:keepNext/>
              <w:keepLines/>
              <w:spacing w:after="0" w:line="240" w:lineRule="auto"/>
              <w:jc w:val="left"/>
              <w:rPr>
                <w:rFonts w:asciiTheme="minorHAnsi" w:hAnsiTheme="minorHAnsi" w:cstheme="minorHAnsi"/>
                <w:sz w:val="20"/>
              </w:rPr>
            </w:pPr>
          </w:p>
        </w:tc>
        <w:tc>
          <w:tcPr>
            <w:tcW w:w="5011" w:type="dxa"/>
            <w:gridSpan w:val="2"/>
            <w:tcBorders>
              <w:top w:val="single" w:sz="4" w:space="0" w:color="auto"/>
              <w:bottom w:val="single" w:sz="4" w:space="0" w:color="auto"/>
              <w:right w:val="single" w:sz="4" w:space="0" w:color="auto"/>
            </w:tcBorders>
            <w:shd w:val="clear" w:color="auto" w:fill="D9D9D9" w:themeFill="background1" w:themeFillShade="D9"/>
            <w:noWrap/>
            <w:hideMark/>
          </w:tcPr>
          <w:p w14:paraId="50979A4A" w14:textId="77777777" w:rsidR="0050478F" w:rsidRPr="003C58FA" w:rsidRDefault="0050478F" w:rsidP="005F01A8">
            <w:pPr>
              <w:keepNext/>
              <w:keepLines/>
              <w:spacing w:after="0" w:line="240" w:lineRule="auto"/>
              <w:jc w:val="left"/>
              <w:rPr>
                <w:rFonts w:asciiTheme="minorHAnsi" w:hAnsiTheme="minorHAnsi" w:cstheme="minorHAnsi"/>
                <w:sz w:val="20"/>
              </w:rPr>
            </w:pPr>
          </w:p>
        </w:tc>
      </w:tr>
      <w:tr w:rsidR="00E41267" w:rsidRPr="003C58FA" w14:paraId="660C5B58" w14:textId="77777777" w:rsidTr="001066A0">
        <w:trPr>
          <w:trHeight w:val="312"/>
        </w:trPr>
        <w:tc>
          <w:tcPr>
            <w:tcW w:w="4895" w:type="dxa"/>
            <w:tcBorders>
              <w:left w:val="single" w:sz="4" w:space="0" w:color="auto"/>
              <w:bottom w:val="single" w:sz="4" w:space="0" w:color="auto"/>
              <w:right w:val="single" w:sz="4" w:space="0" w:color="auto"/>
            </w:tcBorders>
            <w:shd w:val="clear" w:color="auto" w:fill="auto"/>
            <w:noWrap/>
          </w:tcPr>
          <w:p w14:paraId="4F323BB8" w14:textId="7D9BD88B" w:rsidR="00E41267" w:rsidRPr="003C58FA" w:rsidRDefault="00E41267" w:rsidP="00C67B59">
            <w:pPr>
              <w:keepNext/>
              <w:keepLines/>
              <w:spacing w:after="0" w:line="240" w:lineRule="auto"/>
              <w:jc w:val="left"/>
              <w:rPr>
                <w:rFonts w:asciiTheme="minorHAnsi" w:hAnsiTheme="minorHAnsi" w:cstheme="minorHAnsi"/>
                <w:b/>
                <w:bCs/>
                <w:i/>
                <w:iCs/>
                <w:sz w:val="24"/>
                <w:szCs w:val="24"/>
              </w:rPr>
            </w:pPr>
            <w:r>
              <w:rPr>
                <w:rFonts w:asciiTheme="minorHAnsi" w:hAnsiTheme="minorHAnsi" w:cstheme="minorHAnsi"/>
              </w:rPr>
              <w:t xml:space="preserve">Total </w:t>
            </w:r>
            <w:r w:rsidRPr="003C58FA">
              <w:rPr>
                <w:rFonts w:asciiTheme="minorHAnsi" w:hAnsiTheme="minorHAnsi" w:cstheme="minorHAnsi"/>
              </w:rPr>
              <w:t>expenditure on homelessness services</w:t>
            </w:r>
            <w:r>
              <w:rPr>
                <w:rFonts w:asciiTheme="minorHAnsi" w:hAnsiTheme="minorHAnsi" w:cstheme="minorHAnsi"/>
              </w:rPr>
              <w:t xml:space="preserve"> (4)</w:t>
            </w: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5529E7D2" w14:textId="03E04D82" w:rsidR="00E41267" w:rsidRPr="003C58FA" w:rsidRDefault="009A259E" w:rsidP="00C67B59">
            <w:pPr>
              <w:keepNext/>
              <w:keepLines/>
              <w:spacing w:after="0" w:line="240" w:lineRule="auto"/>
              <w:jc w:val="left"/>
              <w:rPr>
                <w:rFonts w:asciiTheme="minorHAnsi" w:hAnsiTheme="minorHAnsi" w:cstheme="minorHAnsi"/>
                <w:b/>
                <w:bCs/>
              </w:rPr>
            </w:pPr>
            <w:r>
              <w:rPr>
                <w:rFonts w:asciiTheme="minorHAnsi" w:hAnsiTheme="minorHAnsi" w:cstheme="minorHAnsi"/>
                <w:b/>
                <w:bCs/>
              </w:rPr>
              <w:t>Sum of 2 boxes below</w:t>
            </w:r>
          </w:p>
        </w:tc>
        <w:tc>
          <w:tcPr>
            <w:tcW w:w="2034" w:type="dxa"/>
            <w:tcBorders>
              <w:top w:val="single" w:sz="4" w:space="0" w:color="auto"/>
              <w:left w:val="single" w:sz="4" w:space="0" w:color="auto"/>
              <w:bottom w:val="single" w:sz="4" w:space="0" w:color="auto"/>
              <w:right w:val="single" w:sz="4" w:space="0" w:color="auto"/>
            </w:tcBorders>
          </w:tcPr>
          <w:p w14:paraId="43AF454C"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tcPr>
          <w:p w14:paraId="36023E91"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5004" w:type="dxa"/>
            <w:tcBorders>
              <w:left w:val="single" w:sz="4" w:space="0" w:color="auto"/>
              <w:bottom w:val="single" w:sz="4" w:space="0" w:color="auto"/>
              <w:right w:val="single" w:sz="4" w:space="0" w:color="auto"/>
            </w:tcBorders>
            <w:shd w:val="clear" w:color="auto" w:fill="auto"/>
            <w:noWrap/>
          </w:tcPr>
          <w:p w14:paraId="0F26FEDF" w14:textId="77777777" w:rsidR="00E41267" w:rsidRPr="003C58FA" w:rsidRDefault="00E41267" w:rsidP="00C67B59">
            <w:pPr>
              <w:keepNext/>
              <w:keepLines/>
              <w:spacing w:after="0" w:line="240" w:lineRule="auto"/>
              <w:jc w:val="left"/>
              <w:rPr>
                <w:rFonts w:asciiTheme="minorHAnsi" w:hAnsiTheme="minorHAnsi" w:cstheme="minorHAnsi"/>
                <w:b/>
                <w:bCs/>
              </w:rPr>
            </w:pPr>
          </w:p>
        </w:tc>
      </w:tr>
      <w:tr w:rsidR="00E41267" w:rsidRPr="003C58FA" w14:paraId="0A733BF0" w14:textId="77777777" w:rsidTr="001066A0">
        <w:trPr>
          <w:trHeight w:val="312"/>
        </w:trPr>
        <w:tc>
          <w:tcPr>
            <w:tcW w:w="4895" w:type="dxa"/>
            <w:tcBorders>
              <w:left w:val="single" w:sz="4" w:space="0" w:color="auto"/>
              <w:bottom w:val="single" w:sz="4" w:space="0" w:color="auto"/>
              <w:right w:val="single" w:sz="4" w:space="0" w:color="auto"/>
            </w:tcBorders>
            <w:shd w:val="clear" w:color="auto" w:fill="auto"/>
            <w:noWrap/>
          </w:tcPr>
          <w:p w14:paraId="031930DD" w14:textId="5ECF4CFF" w:rsidR="00E41267" w:rsidRPr="003C58FA" w:rsidRDefault="00546795" w:rsidP="00C67B59">
            <w:pPr>
              <w:keepNext/>
              <w:keepLines/>
              <w:spacing w:after="0" w:line="240" w:lineRule="auto"/>
              <w:ind w:left="306"/>
              <w:jc w:val="left"/>
              <w:rPr>
                <w:rFonts w:asciiTheme="minorHAnsi" w:hAnsiTheme="minorHAnsi" w:cstheme="minorHAnsi"/>
                <w:b/>
                <w:bCs/>
                <w:i/>
                <w:iCs/>
                <w:sz w:val="24"/>
                <w:szCs w:val="24"/>
              </w:rPr>
            </w:pPr>
            <w:r>
              <w:rPr>
                <w:rFonts w:asciiTheme="minorHAnsi" w:hAnsiTheme="minorHAnsi" w:cstheme="minorHAnsi"/>
              </w:rPr>
              <w:t>E</w:t>
            </w:r>
            <w:r w:rsidR="00E41267">
              <w:rPr>
                <w:rFonts w:asciiTheme="minorHAnsi" w:hAnsiTheme="minorHAnsi" w:cstheme="minorHAnsi"/>
              </w:rPr>
              <w:t>xpenditure on S</w:t>
            </w:r>
            <w:r w:rsidR="00E522D8">
              <w:rPr>
                <w:rFonts w:asciiTheme="minorHAnsi" w:hAnsiTheme="minorHAnsi" w:cstheme="minorHAnsi"/>
              </w:rPr>
              <w:t>pecialist Homelessness Services (SHS)</w:t>
            </w: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7874455B"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2034" w:type="dxa"/>
            <w:tcBorders>
              <w:top w:val="single" w:sz="4" w:space="0" w:color="auto"/>
              <w:left w:val="single" w:sz="4" w:space="0" w:color="auto"/>
              <w:bottom w:val="single" w:sz="4" w:space="0" w:color="auto"/>
              <w:right w:val="single" w:sz="4" w:space="0" w:color="auto"/>
            </w:tcBorders>
          </w:tcPr>
          <w:p w14:paraId="1F95A14F"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tcPr>
          <w:p w14:paraId="4A5A17CF"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5004" w:type="dxa"/>
            <w:tcBorders>
              <w:left w:val="single" w:sz="4" w:space="0" w:color="auto"/>
              <w:bottom w:val="single" w:sz="4" w:space="0" w:color="auto"/>
              <w:right w:val="single" w:sz="4" w:space="0" w:color="auto"/>
            </w:tcBorders>
            <w:shd w:val="clear" w:color="auto" w:fill="auto"/>
            <w:noWrap/>
          </w:tcPr>
          <w:p w14:paraId="7D503E4E" w14:textId="77777777" w:rsidR="00E41267" w:rsidRPr="003C58FA" w:rsidRDefault="00E41267" w:rsidP="00C67B59">
            <w:pPr>
              <w:keepNext/>
              <w:keepLines/>
              <w:spacing w:after="0" w:line="240" w:lineRule="auto"/>
              <w:jc w:val="left"/>
              <w:rPr>
                <w:rFonts w:asciiTheme="minorHAnsi" w:hAnsiTheme="minorHAnsi" w:cstheme="minorHAnsi"/>
                <w:b/>
                <w:bCs/>
              </w:rPr>
            </w:pPr>
          </w:p>
        </w:tc>
      </w:tr>
      <w:tr w:rsidR="00E41267" w:rsidRPr="003C58FA" w14:paraId="37934476" w14:textId="77777777" w:rsidTr="001066A0">
        <w:trPr>
          <w:trHeight w:val="312"/>
        </w:trPr>
        <w:tc>
          <w:tcPr>
            <w:tcW w:w="4895" w:type="dxa"/>
            <w:tcBorders>
              <w:left w:val="single" w:sz="4" w:space="0" w:color="auto"/>
              <w:bottom w:val="single" w:sz="4" w:space="0" w:color="auto"/>
              <w:right w:val="single" w:sz="4" w:space="0" w:color="auto"/>
            </w:tcBorders>
            <w:shd w:val="clear" w:color="auto" w:fill="auto"/>
            <w:noWrap/>
          </w:tcPr>
          <w:p w14:paraId="01CF1492" w14:textId="51C9C042" w:rsidR="00E41267" w:rsidRPr="003C58FA" w:rsidRDefault="00E41267" w:rsidP="00C67B59">
            <w:pPr>
              <w:keepNext/>
              <w:keepLines/>
              <w:spacing w:after="0" w:line="240" w:lineRule="auto"/>
              <w:ind w:left="306"/>
              <w:jc w:val="left"/>
              <w:rPr>
                <w:rFonts w:asciiTheme="minorHAnsi" w:hAnsiTheme="minorHAnsi" w:cstheme="minorHAnsi"/>
                <w:b/>
                <w:bCs/>
                <w:i/>
                <w:iCs/>
                <w:sz w:val="24"/>
                <w:szCs w:val="24"/>
              </w:rPr>
            </w:pPr>
            <w:r>
              <w:rPr>
                <w:rFonts w:asciiTheme="minorHAnsi" w:hAnsiTheme="minorHAnsi" w:cstheme="minorHAnsi"/>
              </w:rPr>
              <w:t xml:space="preserve">Other homelessness </w:t>
            </w:r>
            <w:r w:rsidR="00546795">
              <w:rPr>
                <w:rFonts w:asciiTheme="minorHAnsi" w:hAnsiTheme="minorHAnsi" w:cstheme="minorHAnsi"/>
              </w:rPr>
              <w:t>expenditure</w:t>
            </w: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0054E93A"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2034" w:type="dxa"/>
            <w:tcBorders>
              <w:top w:val="single" w:sz="4" w:space="0" w:color="auto"/>
              <w:left w:val="single" w:sz="4" w:space="0" w:color="auto"/>
              <w:bottom w:val="single" w:sz="4" w:space="0" w:color="auto"/>
              <w:right w:val="single" w:sz="4" w:space="0" w:color="auto"/>
            </w:tcBorders>
          </w:tcPr>
          <w:p w14:paraId="548414C9"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tcPr>
          <w:p w14:paraId="6A1E5521"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5004" w:type="dxa"/>
            <w:tcBorders>
              <w:left w:val="single" w:sz="4" w:space="0" w:color="auto"/>
              <w:bottom w:val="single" w:sz="4" w:space="0" w:color="auto"/>
              <w:right w:val="single" w:sz="4" w:space="0" w:color="auto"/>
            </w:tcBorders>
            <w:shd w:val="clear" w:color="auto" w:fill="auto"/>
            <w:noWrap/>
          </w:tcPr>
          <w:p w14:paraId="28B4B512" w14:textId="77777777" w:rsidR="00E41267" w:rsidRPr="003C58FA" w:rsidRDefault="00E41267" w:rsidP="00C67B59">
            <w:pPr>
              <w:keepNext/>
              <w:keepLines/>
              <w:spacing w:after="0" w:line="240" w:lineRule="auto"/>
              <w:jc w:val="left"/>
              <w:rPr>
                <w:rFonts w:asciiTheme="minorHAnsi" w:hAnsiTheme="minorHAnsi" w:cstheme="minorHAnsi"/>
                <w:b/>
                <w:bCs/>
              </w:rPr>
            </w:pPr>
          </w:p>
        </w:tc>
      </w:tr>
      <w:tr w:rsidR="00E41267" w:rsidRPr="003C58FA" w14:paraId="10D41457" w14:textId="77777777" w:rsidTr="001066A0">
        <w:trPr>
          <w:trHeight w:val="312"/>
        </w:trPr>
        <w:tc>
          <w:tcPr>
            <w:tcW w:w="4895" w:type="dxa"/>
            <w:tcBorders>
              <w:left w:val="single" w:sz="4" w:space="0" w:color="auto"/>
              <w:bottom w:val="single" w:sz="4" w:space="0" w:color="auto"/>
              <w:right w:val="single" w:sz="4" w:space="0" w:color="auto"/>
            </w:tcBorders>
            <w:shd w:val="clear" w:color="auto" w:fill="auto"/>
            <w:noWrap/>
          </w:tcPr>
          <w:p w14:paraId="27B6434D" w14:textId="2076AC2A" w:rsidR="00E41267" w:rsidRPr="003C58FA" w:rsidRDefault="002C6441" w:rsidP="00C67B59">
            <w:pPr>
              <w:keepNext/>
              <w:keepLines/>
              <w:spacing w:after="0" w:line="240" w:lineRule="auto"/>
              <w:jc w:val="left"/>
              <w:rPr>
                <w:rFonts w:asciiTheme="minorHAnsi" w:hAnsiTheme="minorHAnsi" w:cstheme="minorHAnsi"/>
                <w:b/>
                <w:bCs/>
                <w:i/>
                <w:iCs/>
                <w:sz w:val="24"/>
                <w:szCs w:val="24"/>
              </w:rPr>
            </w:pPr>
            <w:r>
              <w:rPr>
                <w:rFonts w:asciiTheme="minorHAnsi" w:hAnsiTheme="minorHAnsi" w:cstheme="minorHAnsi"/>
              </w:rPr>
              <w:t>S</w:t>
            </w:r>
            <w:r w:rsidR="00E41267">
              <w:rPr>
                <w:rFonts w:asciiTheme="minorHAnsi" w:hAnsiTheme="minorHAnsi" w:cstheme="minorHAnsi"/>
              </w:rPr>
              <w:t>tate-</w:t>
            </w:r>
            <w:r w:rsidR="00350505">
              <w:rPr>
                <w:rFonts w:asciiTheme="minorHAnsi" w:hAnsiTheme="minorHAnsi" w:cstheme="minorHAnsi"/>
              </w:rPr>
              <w:t xml:space="preserve">funded </w:t>
            </w:r>
            <w:r w:rsidR="00E41267">
              <w:rPr>
                <w:rFonts w:asciiTheme="minorHAnsi" w:hAnsiTheme="minorHAnsi" w:cstheme="minorHAnsi"/>
              </w:rPr>
              <w:t xml:space="preserve">expenditure on </w:t>
            </w:r>
            <w:r w:rsidR="00E41267" w:rsidDel="00350505">
              <w:rPr>
                <w:rFonts w:asciiTheme="minorHAnsi" w:hAnsiTheme="minorHAnsi" w:cstheme="minorHAnsi"/>
              </w:rPr>
              <w:t xml:space="preserve">SHS (excluding </w:t>
            </w:r>
            <w:r w:rsidR="00BD65EB">
              <w:rPr>
                <w:rFonts w:asciiTheme="minorHAnsi" w:hAnsiTheme="minorHAnsi" w:cstheme="minorHAnsi"/>
              </w:rPr>
              <w:t>N</w:t>
            </w:r>
            <w:r w:rsidR="0013755C">
              <w:rPr>
                <w:rFonts w:asciiTheme="minorHAnsi" w:hAnsiTheme="minorHAnsi" w:cstheme="minorHAnsi"/>
              </w:rPr>
              <w:t>A</w:t>
            </w:r>
            <w:r w:rsidR="00BD65EB">
              <w:rPr>
                <w:rFonts w:asciiTheme="minorHAnsi" w:hAnsiTheme="minorHAnsi" w:cstheme="minorHAnsi"/>
              </w:rPr>
              <w:t>SHH</w:t>
            </w:r>
            <w:r w:rsidR="00E41267" w:rsidDel="00350505">
              <w:rPr>
                <w:rFonts w:asciiTheme="minorHAnsi" w:hAnsiTheme="minorHAnsi" w:cstheme="minorHAnsi"/>
              </w:rPr>
              <w:t xml:space="preserve"> funding) </w:t>
            </w:r>
            <w:r w:rsidR="00E41267">
              <w:rPr>
                <w:rFonts w:asciiTheme="minorHAnsi" w:hAnsiTheme="minorHAnsi" w:cstheme="minorHAnsi"/>
              </w:rPr>
              <w:t>(5)</w:t>
            </w: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1640B20C"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2034" w:type="dxa"/>
            <w:tcBorders>
              <w:top w:val="single" w:sz="4" w:space="0" w:color="auto"/>
              <w:left w:val="single" w:sz="4" w:space="0" w:color="auto"/>
              <w:bottom w:val="single" w:sz="4" w:space="0" w:color="auto"/>
              <w:right w:val="single" w:sz="4" w:space="0" w:color="auto"/>
            </w:tcBorders>
          </w:tcPr>
          <w:p w14:paraId="4AFB3E5D"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tcPr>
          <w:p w14:paraId="239464FB"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5004" w:type="dxa"/>
            <w:tcBorders>
              <w:left w:val="single" w:sz="4" w:space="0" w:color="auto"/>
              <w:bottom w:val="single" w:sz="4" w:space="0" w:color="auto"/>
              <w:right w:val="single" w:sz="4" w:space="0" w:color="auto"/>
            </w:tcBorders>
            <w:shd w:val="clear" w:color="auto" w:fill="auto"/>
            <w:noWrap/>
          </w:tcPr>
          <w:p w14:paraId="0EF2B9F1" w14:textId="457028F0" w:rsidR="00E41267" w:rsidRPr="003C58FA" w:rsidRDefault="00E41267" w:rsidP="00C67B59">
            <w:pPr>
              <w:keepNext/>
              <w:keepLines/>
              <w:spacing w:after="0" w:line="240" w:lineRule="auto"/>
              <w:jc w:val="left"/>
              <w:rPr>
                <w:rFonts w:asciiTheme="minorHAnsi" w:hAnsiTheme="minorHAnsi" w:cstheme="minorHAnsi"/>
                <w:b/>
                <w:bCs/>
              </w:rPr>
            </w:pPr>
            <w:r w:rsidRPr="00DA45D3">
              <w:rPr>
                <w:rFonts w:asciiTheme="minorHAnsi" w:hAnsiTheme="minorHAnsi" w:cstheme="minorHAnsi"/>
              </w:rPr>
              <w:t>(5)</w:t>
            </w:r>
            <w:r>
              <w:rPr>
                <w:rFonts w:asciiTheme="minorHAnsi" w:hAnsiTheme="minorHAnsi" w:cstheme="minorHAnsi"/>
              </w:rPr>
              <w:t xml:space="preserve">=(4)-(2); if (5)&gt;(3) then assured that requirements of </w:t>
            </w:r>
            <w:r w:rsidR="00350505">
              <w:rPr>
                <w:rFonts w:asciiTheme="minorHAnsi" w:hAnsiTheme="minorHAnsi" w:cstheme="minorHAnsi"/>
              </w:rPr>
              <w:t xml:space="preserve">NASHH </w:t>
            </w:r>
            <w:r>
              <w:rPr>
                <w:rFonts w:asciiTheme="minorHAnsi" w:hAnsiTheme="minorHAnsi" w:cstheme="minorHAnsi"/>
              </w:rPr>
              <w:t xml:space="preserve">are met </w:t>
            </w:r>
            <w:r w:rsidR="004148B9">
              <w:rPr>
                <w:rFonts w:asciiTheme="minorHAnsi" w:hAnsiTheme="minorHAnsi" w:cstheme="minorHAnsi"/>
              </w:rPr>
              <w:t xml:space="preserve">for </w:t>
            </w:r>
            <w:r w:rsidR="00350505">
              <w:rPr>
                <w:rFonts w:asciiTheme="minorHAnsi" w:hAnsiTheme="minorHAnsi" w:cstheme="minorHAnsi"/>
              </w:rPr>
              <w:t>S</w:t>
            </w:r>
            <w:r>
              <w:rPr>
                <w:rFonts w:asciiTheme="minorHAnsi" w:hAnsiTheme="minorHAnsi" w:cstheme="minorHAnsi"/>
              </w:rPr>
              <w:t xml:space="preserve">pecified </w:t>
            </w:r>
            <w:r w:rsidR="00350505">
              <w:rPr>
                <w:rFonts w:asciiTheme="minorHAnsi" w:hAnsiTheme="minorHAnsi" w:cstheme="minorHAnsi"/>
              </w:rPr>
              <w:t>H</w:t>
            </w:r>
            <w:r>
              <w:rPr>
                <w:rFonts w:asciiTheme="minorHAnsi" w:hAnsiTheme="minorHAnsi" w:cstheme="minorHAnsi"/>
              </w:rPr>
              <w:t xml:space="preserve">omelessness </w:t>
            </w:r>
            <w:r w:rsidR="00350505">
              <w:rPr>
                <w:rFonts w:asciiTheme="minorHAnsi" w:hAnsiTheme="minorHAnsi" w:cstheme="minorHAnsi"/>
              </w:rPr>
              <w:t>F</w:t>
            </w:r>
            <w:r>
              <w:rPr>
                <w:rFonts w:asciiTheme="minorHAnsi" w:hAnsiTheme="minorHAnsi" w:cstheme="minorHAnsi"/>
              </w:rPr>
              <w:t>unding matching contributions</w:t>
            </w:r>
          </w:p>
        </w:tc>
      </w:tr>
      <w:tr w:rsidR="00E41267" w:rsidRPr="003C58FA" w14:paraId="0DD21653" w14:textId="77777777" w:rsidTr="001066A0">
        <w:trPr>
          <w:trHeight w:val="312"/>
        </w:trPr>
        <w:tc>
          <w:tcPr>
            <w:tcW w:w="4895" w:type="dxa"/>
            <w:tcBorders>
              <w:left w:val="single" w:sz="4" w:space="0" w:color="auto"/>
              <w:bottom w:val="single" w:sz="4" w:space="0" w:color="auto"/>
              <w:right w:val="single" w:sz="4" w:space="0" w:color="auto"/>
            </w:tcBorders>
            <w:shd w:val="clear" w:color="auto" w:fill="auto"/>
            <w:noWrap/>
          </w:tcPr>
          <w:p w14:paraId="331D1384" w14:textId="05142D7B" w:rsidR="00E41267" w:rsidRPr="003C58FA" w:rsidRDefault="00E41267" w:rsidP="00C67B59">
            <w:pPr>
              <w:keepNext/>
              <w:keepLines/>
              <w:spacing w:after="0" w:line="240" w:lineRule="auto"/>
              <w:jc w:val="left"/>
              <w:rPr>
                <w:rFonts w:asciiTheme="minorHAnsi" w:hAnsiTheme="minorHAnsi" w:cstheme="minorHAnsi"/>
                <w:b/>
                <w:bCs/>
                <w:i/>
                <w:iCs/>
                <w:sz w:val="24"/>
                <w:szCs w:val="24"/>
              </w:rPr>
            </w:pPr>
            <w:r>
              <w:rPr>
                <w:rFonts w:asciiTheme="minorHAnsi" w:hAnsiTheme="minorHAnsi" w:cstheme="minorHAnsi"/>
              </w:rPr>
              <w:t xml:space="preserve">Total </w:t>
            </w:r>
            <w:r w:rsidRPr="003C58FA">
              <w:rPr>
                <w:rFonts w:asciiTheme="minorHAnsi" w:hAnsiTheme="minorHAnsi" w:cstheme="minorHAnsi"/>
              </w:rPr>
              <w:t xml:space="preserve">expenditure on </w:t>
            </w:r>
            <w:r w:rsidR="00D339FD">
              <w:rPr>
                <w:rFonts w:asciiTheme="minorHAnsi" w:hAnsiTheme="minorHAnsi" w:cstheme="minorHAnsi"/>
              </w:rPr>
              <w:t xml:space="preserve">all </w:t>
            </w:r>
            <w:r w:rsidRPr="003C58FA">
              <w:rPr>
                <w:rFonts w:asciiTheme="minorHAnsi" w:hAnsiTheme="minorHAnsi" w:cstheme="minorHAnsi"/>
              </w:rPr>
              <w:t>social housing</w:t>
            </w:r>
            <w:r w:rsidDel="00350505">
              <w:rPr>
                <w:rFonts w:asciiTheme="minorHAnsi" w:hAnsiTheme="minorHAnsi" w:cstheme="minorHAnsi"/>
              </w:rPr>
              <w:t xml:space="preserve"> (including </w:t>
            </w:r>
            <w:r w:rsidR="00BD65EB">
              <w:rPr>
                <w:rFonts w:asciiTheme="minorHAnsi" w:hAnsiTheme="minorHAnsi" w:cstheme="minorHAnsi"/>
              </w:rPr>
              <w:t>NASHH</w:t>
            </w:r>
            <w:r w:rsidDel="00350505">
              <w:rPr>
                <w:rFonts w:asciiTheme="minorHAnsi" w:hAnsiTheme="minorHAnsi" w:cstheme="minorHAnsi"/>
              </w:rPr>
              <w:t xml:space="preserve"> funding)</w:t>
            </w:r>
            <w:r>
              <w:rPr>
                <w:rFonts w:asciiTheme="minorHAnsi" w:hAnsiTheme="minorHAnsi" w:cstheme="minorHAnsi"/>
              </w:rPr>
              <w:t xml:space="preserve"> (6)</w:t>
            </w: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7D82747C"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2034" w:type="dxa"/>
            <w:tcBorders>
              <w:top w:val="single" w:sz="4" w:space="0" w:color="auto"/>
              <w:left w:val="single" w:sz="4" w:space="0" w:color="auto"/>
              <w:bottom w:val="single" w:sz="4" w:space="0" w:color="auto"/>
              <w:right w:val="single" w:sz="4" w:space="0" w:color="auto"/>
            </w:tcBorders>
          </w:tcPr>
          <w:p w14:paraId="10BBA878"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tcPr>
          <w:p w14:paraId="0A3ABAF8"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5004" w:type="dxa"/>
            <w:tcBorders>
              <w:left w:val="single" w:sz="4" w:space="0" w:color="auto"/>
              <w:bottom w:val="single" w:sz="4" w:space="0" w:color="auto"/>
              <w:right w:val="single" w:sz="4" w:space="0" w:color="auto"/>
            </w:tcBorders>
            <w:shd w:val="clear" w:color="auto" w:fill="auto"/>
            <w:noWrap/>
          </w:tcPr>
          <w:p w14:paraId="0A23787D" w14:textId="77777777" w:rsidR="00E41267" w:rsidRPr="003C58FA" w:rsidRDefault="00E41267" w:rsidP="00C67B59">
            <w:pPr>
              <w:keepNext/>
              <w:keepLines/>
              <w:spacing w:after="0" w:line="240" w:lineRule="auto"/>
              <w:jc w:val="left"/>
              <w:rPr>
                <w:rFonts w:asciiTheme="minorHAnsi" w:hAnsiTheme="minorHAnsi" w:cstheme="minorHAnsi"/>
                <w:b/>
                <w:bCs/>
              </w:rPr>
            </w:pPr>
          </w:p>
        </w:tc>
      </w:tr>
      <w:tr w:rsidR="00E41267" w:rsidRPr="003C58FA" w14:paraId="2D8FC43C" w14:textId="77777777" w:rsidTr="001066A0">
        <w:trPr>
          <w:trHeight w:val="312"/>
        </w:trPr>
        <w:tc>
          <w:tcPr>
            <w:tcW w:w="4895" w:type="dxa"/>
            <w:tcBorders>
              <w:left w:val="single" w:sz="4" w:space="0" w:color="auto"/>
              <w:bottom w:val="single" w:sz="4" w:space="0" w:color="auto"/>
              <w:right w:val="single" w:sz="4" w:space="0" w:color="auto"/>
            </w:tcBorders>
            <w:shd w:val="clear" w:color="auto" w:fill="auto"/>
            <w:noWrap/>
          </w:tcPr>
          <w:p w14:paraId="4FAF297F" w14:textId="055AD0BD" w:rsidR="00E41267" w:rsidRPr="003C58FA" w:rsidRDefault="00E41267" w:rsidP="00C67B59">
            <w:pPr>
              <w:keepNext/>
              <w:keepLines/>
              <w:spacing w:after="0" w:line="240" w:lineRule="auto"/>
              <w:ind w:left="306"/>
              <w:jc w:val="left"/>
              <w:rPr>
                <w:rFonts w:asciiTheme="minorHAnsi" w:hAnsiTheme="minorHAnsi" w:cstheme="minorHAnsi"/>
                <w:b/>
                <w:bCs/>
                <w:i/>
                <w:iCs/>
                <w:sz w:val="24"/>
                <w:szCs w:val="24"/>
              </w:rPr>
            </w:pPr>
            <w:r>
              <w:rPr>
                <w:rFonts w:asciiTheme="minorHAnsi" w:hAnsiTheme="minorHAnsi" w:cstheme="minorHAnsi"/>
              </w:rPr>
              <w:t>public housing</w:t>
            </w: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0DD7C196"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2034" w:type="dxa"/>
            <w:tcBorders>
              <w:top w:val="single" w:sz="4" w:space="0" w:color="auto"/>
              <w:left w:val="single" w:sz="4" w:space="0" w:color="auto"/>
              <w:bottom w:val="single" w:sz="4" w:space="0" w:color="auto"/>
              <w:right w:val="single" w:sz="4" w:space="0" w:color="auto"/>
            </w:tcBorders>
          </w:tcPr>
          <w:p w14:paraId="292A3FCE"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tcPr>
          <w:p w14:paraId="54DE9109"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5004" w:type="dxa"/>
            <w:tcBorders>
              <w:left w:val="single" w:sz="4" w:space="0" w:color="auto"/>
              <w:bottom w:val="single" w:sz="4" w:space="0" w:color="auto"/>
              <w:right w:val="single" w:sz="4" w:space="0" w:color="auto"/>
            </w:tcBorders>
            <w:shd w:val="clear" w:color="auto" w:fill="auto"/>
            <w:noWrap/>
          </w:tcPr>
          <w:p w14:paraId="796EDFE1" w14:textId="77777777" w:rsidR="00E41267" w:rsidRPr="003C58FA" w:rsidRDefault="00E41267" w:rsidP="00C67B59">
            <w:pPr>
              <w:keepNext/>
              <w:keepLines/>
              <w:spacing w:after="0" w:line="240" w:lineRule="auto"/>
              <w:jc w:val="left"/>
              <w:rPr>
                <w:rFonts w:asciiTheme="minorHAnsi" w:hAnsiTheme="minorHAnsi" w:cstheme="minorHAnsi"/>
                <w:b/>
                <w:bCs/>
              </w:rPr>
            </w:pPr>
          </w:p>
        </w:tc>
      </w:tr>
      <w:tr w:rsidR="00E41267" w:rsidRPr="003C58FA" w14:paraId="7F06CFFC" w14:textId="77777777" w:rsidTr="001066A0">
        <w:trPr>
          <w:trHeight w:val="312"/>
        </w:trPr>
        <w:tc>
          <w:tcPr>
            <w:tcW w:w="4895" w:type="dxa"/>
            <w:tcBorders>
              <w:left w:val="single" w:sz="4" w:space="0" w:color="auto"/>
              <w:bottom w:val="single" w:sz="4" w:space="0" w:color="auto"/>
              <w:right w:val="single" w:sz="4" w:space="0" w:color="auto"/>
            </w:tcBorders>
            <w:shd w:val="clear" w:color="auto" w:fill="auto"/>
            <w:noWrap/>
          </w:tcPr>
          <w:p w14:paraId="7F67F142" w14:textId="0806A31A" w:rsidR="00E41267" w:rsidRPr="003C58FA" w:rsidRDefault="00E41267" w:rsidP="00C67B59">
            <w:pPr>
              <w:keepNext/>
              <w:keepLines/>
              <w:spacing w:after="0" w:line="240" w:lineRule="auto"/>
              <w:ind w:left="306"/>
              <w:jc w:val="left"/>
              <w:rPr>
                <w:rFonts w:asciiTheme="minorHAnsi" w:hAnsiTheme="minorHAnsi" w:cstheme="minorHAnsi"/>
                <w:b/>
                <w:bCs/>
                <w:i/>
                <w:iCs/>
                <w:sz w:val="24"/>
                <w:szCs w:val="24"/>
              </w:rPr>
            </w:pPr>
            <w:r>
              <w:rPr>
                <w:rFonts w:asciiTheme="minorHAnsi" w:hAnsiTheme="minorHAnsi" w:cstheme="minorHAnsi"/>
              </w:rPr>
              <w:t>SOMIH</w:t>
            </w: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519F6B69"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2034" w:type="dxa"/>
            <w:tcBorders>
              <w:top w:val="single" w:sz="4" w:space="0" w:color="auto"/>
              <w:left w:val="single" w:sz="4" w:space="0" w:color="auto"/>
              <w:bottom w:val="single" w:sz="4" w:space="0" w:color="auto"/>
              <w:right w:val="single" w:sz="4" w:space="0" w:color="auto"/>
            </w:tcBorders>
          </w:tcPr>
          <w:p w14:paraId="6BE86D7D"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tcPr>
          <w:p w14:paraId="4EBD4627"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5004" w:type="dxa"/>
            <w:tcBorders>
              <w:left w:val="single" w:sz="4" w:space="0" w:color="auto"/>
              <w:bottom w:val="single" w:sz="4" w:space="0" w:color="auto"/>
              <w:right w:val="single" w:sz="4" w:space="0" w:color="auto"/>
            </w:tcBorders>
            <w:shd w:val="clear" w:color="auto" w:fill="auto"/>
            <w:noWrap/>
          </w:tcPr>
          <w:p w14:paraId="4E3915D1" w14:textId="77777777" w:rsidR="00E41267" w:rsidRPr="003C58FA" w:rsidRDefault="00E41267" w:rsidP="00C67B59">
            <w:pPr>
              <w:keepNext/>
              <w:keepLines/>
              <w:spacing w:after="0" w:line="240" w:lineRule="auto"/>
              <w:jc w:val="left"/>
              <w:rPr>
                <w:rFonts w:asciiTheme="minorHAnsi" w:hAnsiTheme="minorHAnsi" w:cstheme="minorHAnsi"/>
                <w:b/>
                <w:bCs/>
              </w:rPr>
            </w:pPr>
          </w:p>
        </w:tc>
      </w:tr>
      <w:tr w:rsidR="00E41267" w:rsidRPr="003C58FA" w14:paraId="5ECD658C" w14:textId="77777777" w:rsidTr="001066A0">
        <w:trPr>
          <w:trHeight w:val="312"/>
        </w:trPr>
        <w:tc>
          <w:tcPr>
            <w:tcW w:w="4895" w:type="dxa"/>
            <w:tcBorders>
              <w:left w:val="single" w:sz="4" w:space="0" w:color="auto"/>
              <w:bottom w:val="single" w:sz="4" w:space="0" w:color="auto"/>
              <w:right w:val="single" w:sz="4" w:space="0" w:color="auto"/>
            </w:tcBorders>
            <w:shd w:val="clear" w:color="auto" w:fill="auto"/>
            <w:noWrap/>
          </w:tcPr>
          <w:p w14:paraId="4365E750" w14:textId="4104B55D" w:rsidR="00E41267" w:rsidRPr="003C58FA" w:rsidRDefault="009A259E" w:rsidP="00C67B59">
            <w:pPr>
              <w:keepNext/>
              <w:keepLines/>
              <w:spacing w:after="0" w:line="240" w:lineRule="auto"/>
              <w:ind w:left="306"/>
              <w:jc w:val="left"/>
              <w:rPr>
                <w:rFonts w:asciiTheme="minorHAnsi" w:hAnsiTheme="minorHAnsi" w:cstheme="minorHAnsi"/>
                <w:b/>
                <w:bCs/>
                <w:i/>
                <w:iCs/>
                <w:sz w:val="24"/>
                <w:szCs w:val="24"/>
              </w:rPr>
            </w:pPr>
            <w:r>
              <w:rPr>
                <w:rFonts w:asciiTheme="minorHAnsi" w:hAnsiTheme="minorHAnsi" w:cstheme="minorHAnsi"/>
              </w:rPr>
              <w:t>community housing</w:t>
            </w: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3767D024"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2034" w:type="dxa"/>
            <w:tcBorders>
              <w:top w:val="single" w:sz="4" w:space="0" w:color="auto"/>
              <w:left w:val="single" w:sz="4" w:space="0" w:color="auto"/>
              <w:bottom w:val="single" w:sz="4" w:space="0" w:color="auto"/>
              <w:right w:val="single" w:sz="4" w:space="0" w:color="auto"/>
            </w:tcBorders>
          </w:tcPr>
          <w:p w14:paraId="24A8B405"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tcPr>
          <w:p w14:paraId="770EED78"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5004" w:type="dxa"/>
            <w:tcBorders>
              <w:left w:val="single" w:sz="4" w:space="0" w:color="auto"/>
              <w:bottom w:val="single" w:sz="4" w:space="0" w:color="auto"/>
              <w:right w:val="single" w:sz="4" w:space="0" w:color="auto"/>
            </w:tcBorders>
            <w:shd w:val="clear" w:color="auto" w:fill="auto"/>
            <w:noWrap/>
          </w:tcPr>
          <w:p w14:paraId="12B903A4" w14:textId="77777777" w:rsidR="00E41267" w:rsidRPr="003C58FA" w:rsidRDefault="00E41267" w:rsidP="00C67B59">
            <w:pPr>
              <w:keepNext/>
              <w:keepLines/>
              <w:spacing w:after="0" w:line="240" w:lineRule="auto"/>
              <w:jc w:val="left"/>
              <w:rPr>
                <w:rFonts w:asciiTheme="minorHAnsi" w:hAnsiTheme="minorHAnsi" w:cstheme="minorHAnsi"/>
                <w:b/>
                <w:bCs/>
              </w:rPr>
            </w:pPr>
          </w:p>
        </w:tc>
      </w:tr>
      <w:tr w:rsidR="00E41267" w:rsidRPr="003C58FA" w14:paraId="63ADA70E" w14:textId="77777777" w:rsidTr="001066A0">
        <w:trPr>
          <w:trHeight w:val="312"/>
        </w:trPr>
        <w:tc>
          <w:tcPr>
            <w:tcW w:w="4895" w:type="dxa"/>
            <w:tcBorders>
              <w:left w:val="single" w:sz="4" w:space="0" w:color="auto"/>
              <w:bottom w:val="single" w:sz="4" w:space="0" w:color="auto"/>
              <w:right w:val="single" w:sz="4" w:space="0" w:color="auto"/>
            </w:tcBorders>
            <w:shd w:val="clear" w:color="auto" w:fill="auto"/>
            <w:noWrap/>
          </w:tcPr>
          <w:p w14:paraId="08BD83D4" w14:textId="010E5686" w:rsidR="00E41267" w:rsidRPr="003C58FA" w:rsidRDefault="009A259E" w:rsidP="00C67B59">
            <w:pPr>
              <w:keepNext/>
              <w:keepLines/>
              <w:spacing w:after="0" w:line="240" w:lineRule="auto"/>
              <w:ind w:left="306"/>
              <w:jc w:val="left"/>
              <w:rPr>
                <w:rFonts w:asciiTheme="minorHAnsi" w:hAnsiTheme="minorHAnsi" w:cstheme="minorHAnsi"/>
                <w:b/>
                <w:bCs/>
                <w:i/>
                <w:iCs/>
                <w:sz w:val="24"/>
                <w:szCs w:val="24"/>
              </w:rPr>
            </w:pPr>
            <w:r>
              <w:rPr>
                <w:rFonts w:asciiTheme="minorHAnsi" w:hAnsiTheme="minorHAnsi" w:cstheme="minorHAnsi"/>
              </w:rPr>
              <w:t>Indigenous community housing</w:t>
            </w: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697718EE"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2034" w:type="dxa"/>
            <w:tcBorders>
              <w:top w:val="single" w:sz="4" w:space="0" w:color="auto"/>
              <w:left w:val="single" w:sz="4" w:space="0" w:color="auto"/>
              <w:bottom w:val="single" w:sz="4" w:space="0" w:color="auto"/>
              <w:right w:val="single" w:sz="4" w:space="0" w:color="auto"/>
            </w:tcBorders>
          </w:tcPr>
          <w:p w14:paraId="19045627"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tcPr>
          <w:p w14:paraId="5669DB07"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5004" w:type="dxa"/>
            <w:tcBorders>
              <w:left w:val="single" w:sz="4" w:space="0" w:color="auto"/>
              <w:bottom w:val="single" w:sz="4" w:space="0" w:color="auto"/>
              <w:right w:val="single" w:sz="4" w:space="0" w:color="auto"/>
            </w:tcBorders>
            <w:shd w:val="clear" w:color="auto" w:fill="auto"/>
            <w:noWrap/>
          </w:tcPr>
          <w:p w14:paraId="3604729C" w14:textId="77777777" w:rsidR="00E41267" w:rsidRPr="003C58FA" w:rsidRDefault="00E41267" w:rsidP="00C67B59">
            <w:pPr>
              <w:keepNext/>
              <w:keepLines/>
              <w:spacing w:after="0" w:line="240" w:lineRule="auto"/>
              <w:jc w:val="left"/>
              <w:rPr>
                <w:rFonts w:asciiTheme="minorHAnsi" w:hAnsiTheme="minorHAnsi" w:cstheme="minorHAnsi"/>
                <w:b/>
                <w:bCs/>
              </w:rPr>
            </w:pPr>
          </w:p>
        </w:tc>
      </w:tr>
      <w:tr w:rsidR="00E41267" w:rsidRPr="003C58FA" w14:paraId="32430E4B" w14:textId="77777777" w:rsidTr="001066A0">
        <w:trPr>
          <w:trHeight w:val="312"/>
        </w:trPr>
        <w:tc>
          <w:tcPr>
            <w:tcW w:w="4895" w:type="dxa"/>
            <w:tcBorders>
              <w:left w:val="single" w:sz="4" w:space="0" w:color="auto"/>
              <w:bottom w:val="single" w:sz="4" w:space="0" w:color="auto"/>
              <w:right w:val="single" w:sz="4" w:space="0" w:color="auto"/>
            </w:tcBorders>
            <w:shd w:val="clear" w:color="auto" w:fill="auto"/>
            <w:noWrap/>
          </w:tcPr>
          <w:p w14:paraId="17EEC2DE" w14:textId="1E19F8F8" w:rsidR="00E41267" w:rsidRPr="003C58FA" w:rsidRDefault="00E41267" w:rsidP="00C67B59">
            <w:pPr>
              <w:keepNext/>
              <w:keepLines/>
              <w:spacing w:after="0" w:line="240" w:lineRule="auto"/>
              <w:jc w:val="left"/>
              <w:rPr>
                <w:rFonts w:asciiTheme="minorHAnsi" w:hAnsiTheme="minorHAnsi" w:cstheme="minorHAnsi"/>
                <w:b/>
                <w:bCs/>
                <w:i/>
                <w:iCs/>
                <w:sz w:val="24"/>
                <w:szCs w:val="24"/>
              </w:rPr>
            </w:pPr>
            <w:r>
              <w:rPr>
                <w:rFonts w:asciiTheme="minorHAnsi" w:hAnsiTheme="minorHAnsi" w:cstheme="minorHAnsi"/>
              </w:rPr>
              <w:t>Total state-</w:t>
            </w:r>
            <w:r w:rsidR="00DF05E8">
              <w:rPr>
                <w:rFonts w:asciiTheme="minorHAnsi" w:hAnsiTheme="minorHAnsi" w:cstheme="minorHAnsi"/>
              </w:rPr>
              <w:t>funded</w:t>
            </w:r>
            <w:r w:rsidR="00DF05E8" w:rsidDel="00350505">
              <w:rPr>
                <w:rFonts w:asciiTheme="minorHAnsi" w:hAnsiTheme="minorHAnsi" w:cstheme="minorHAnsi"/>
              </w:rPr>
              <w:t xml:space="preserve"> </w:t>
            </w:r>
            <w:r>
              <w:rPr>
                <w:rFonts w:asciiTheme="minorHAnsi" w:hAnsiTheme="minorHAnsi" w:cstheme="minorHAnsi"/>
              </w:rPr>
              <w:t xml:space="preserve">expenditure on social housing </w:t>
            </w:r>
            <w:r w:rsidR="006B6C25" w:rsidDel="004148B9">
              <w:rPr>
                <w:rFonts w:asciiTheme="minorHAnsi" w:hAnsiTheme="minorHAnsi" w:cstheme="minorHAnsi"/>
              </w:rPr>
              <w:t xml:space="preserve">(excluding </w:t>
            </w:r>
            <w:r w:rsidR="002F3232">
              <w:rPr>
                <w:rFonts w:asciiTheme="minorHAnsi" w:hAnsiTheme="minorHAnsi" w:cstheme="minorHAnsi"/>
              </w:rPr>
              <w:t>NASHH</w:t>
            </w:r>
            <w:r w:rsidR="006B6C25" w:rsidDel="004148B9">
              <w:rPr>
                <w:rFonts w:asciiTheme="minorHAnsi" w:hAnsiTheme="minorHAnsi" w:cstheme="minorHAnsi"/>
              </w:rPr>
              <w:t xml:space="preserve"> funding)</w:t>
            </w:r>
            <w:r w:rsidR="006B6C25">
              <w:rPr>
                <w:rFonts w:asciiTheme="minorHAnsi" w:hAnsiTheme="minorHAnsi" w:cstheme="minorHAnsi"/>
              </w:rPr>
              <w:t xml:space="preserve"> </w:t>
            </w:r>
            <w:r>
              <w:rPr>
                <w:rFonts w:asciiTheme="minorHAnsi" w:hAnsiTheme="minorHAnsi" w:cstheme="minorHAnsi"/>
              </w:rPr>
              <w:t>(7)</w:t>
            </w: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3DB67F03"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2034" w:type="dxa"/>
            <w:tcBorders>
              <w:top w:val="single" w:sz="4" w:space="0" w:color="auto"/>
              <w:left w:val="single" w:sz="4" w:space="0" w:color="auto"/>
              <w:bottom w:val="single" w:sz="4" w:space="0" w:color="auto"/>
              <w:right w:val="single" w:sz="4" w:space="0" w:color="auto"/>
            </w:tcBorders>
          </w:tcPr>
          <w:p w14:paraId="1D33710E"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tcPr>
          <w:p w14:paraId="5984ED31" w14:textId="77777777" w:rsidR="00E41267" w:rsidRPr="003C58FA" w:rsidRDefault="00E41267" w:rsidP="00C67B59">
            <w:pPr>
              <w:keepNext/>
              <w:keepLines/>
              <w:spacing w:after="0" w:line="240" w:lineRule="auto"/>
              <w:jc w:val="left"/>
              <w:rPr>
                <w:rFonts w:asciiTheme="minorHAnsi" w:hAnsiTheme="minorHAnsi" w:cstheme="minorHAnsi"/>
                <w:b/>
                <w:bCs/>
              </w:rPr>
            </w:pPr>
          </w:p>
        </w:tc>
        <w:tc>
          <w:tcPr>
            <w:tcW w:w="5004" w:type="dxa"/>
            <w:tcBorders>
              <w:left w:val="single" w:sz="4" w:space="0" w:color="auto"/>
              <w:bottom w:val="single" w:sz="4" w:space="0" w:color="auto"/>
              <w:right w:val="single" w:sz="4" w:space="0" w:color="auto"/>
            </w:tcBorders>
            <w:shd w:val="clear" w:color="auto" w:fill="auto"/>
            <w:noWrap/>
          </w:tcPr>
          <w:p w14:paraId="5B8C5919" w14:textId="4D738FFF" w:rsidR="00E41267" w:rsidRPr="003C58FA" w:rsidRDefault="00E41267" w:rsidP="00C67B59">
            <w:pPr>
              <w:keepNext/>
              <w:keepLines/>
              <w:spacing w:after="0" w:line="240" w:lineRule="auto"/>
              <w:jc w:val="left"/>
              <w:rPr>
                <w:rFonts w:asciiTheme="minorHAnsi" w:hAnsiTheme="minorHAnsi" w:cstheme="minorHAnsi"/>
                <w:b/>
                <w:bCs/>
              </w:rPr>
            </w:pPr>
            <w:r>
              <w:rPr>
                <w:rFonts w:asciiTheme="minorHAnsi" w:hAnsiTheme="minorHAnsi" w:cstheme="minorHAnsi"/>
              </w:rPr>
              <w:t xml:space="preserve">(7)=(6)-(1); if (7)&gt;(1) then assured that requirements of Agreement are met </w:t>
            </w:r>
            <w:r w:rsidR="004148B9">
              <w:rPr>
                <w:rFonts w:asciiTheme="minorHAnsi" w:hAnsiTheme="minorHAnsi" w:cstheme="minorHAnsi"/>
              </w:rPr>
              <w:t>for G</w:t>
            </w:r>
            <w:r>
              <w:rPr>
                <w:rFonts w:asciiTheme="minorHAnsi" w:hAnsiTheme="minorHAnsi" w:cstheme="minorHAnsi"/>
              </w:rPr>
              <w:t xml:space="preserve">eneral </w:t>
            </w:r>
            <w:r w:rsidR="004148B9">
              <w:rPr>
                <w:rFonts w:asciiTheme="minorHAnsi" w:hAnsiTheme="minorHAnsi" w:cstheme="minorHAnsi"/>
              </w:rPr>
              <w:t>F</w:t>
            </w:r>
            <w:r>
              <w:rPr>
                <w:rFonts w:asciiTheme="minorHAnsi" w:hAnsiTheme="minorHAnsi" w:cstheme="minorHAnsi"/>
              </w:rPr>
              <w:t xml:space="preserve">unding. If not </w:t>
            </w:r>
            <w:r w:rsidR="002F3232">
              <w:rPr>
                <w:rFonts w:asciiTheme="minorHAnsi" w:hAnsiTheme="minorHAnsi" w:cstheme="minorHAnsi"/>
              </w:rPr>
              <w:t>[</w:t>
            </w:r>
            <w:r w:rsidR="004148B9">
              <w:rPr>
                <w:rFonts w:asciiTheme="minorHAnsi" w:hAnsiTheme="minorHAnsi" w:cstheme="minorHAnsi"/>
              </w:rPr>
              <w:t>State</w:t>
            </w:r>
            <w:r w:rsidR="002F3232">
              <w:rPr>
                <w:rFonts w:asciiTheme="minorHAnsi" w:hAnsiTheme="minorHAnsi" w:cstheme="minorHAnsi"/>
              </w:rPr>
              <w:t>]</w:t>
            </w:r>
            <w:r w:rsidR="004148B9">
              <w:rPr>
                <w:rFonts w:asciiTheme="minorHAnsi" w:hAnsiTheme="minorHAnsi" w:cstheme="minorHAnsi"/>
              </w:rPr>
              <w:t xml:space="preserve"> needs to demonstrate how General Funding has met the requirement of the NASHH</w:t>
            </w:r>
            <w:r>
              <w:rPr>
                <w:rFonts w:asciiTheme="minorHAnsi" w:hAnsiTheme="minorHAnsi" w:cstheme="minorHAnsi"/>
              </w:rPr>
              <w:t>.</w:t>
            </w:r>
          </w:p>
        </w:tc>
      </w:tr>
    </w:tbl>
    <w:p w14:paraId="4F174B84" w14:textId="77777777" w:rsidR="00FC7104" w:rsidRDefault="00FC7104" w:rsidP="005F01A8">
      <w:pPr>
        <w:keepNext/>
        <w:keepLines/>
        <w:tabs>
          <w:tab w:val="left" w:pos="8997"/>
          <w:tab w:val="left" w:pos="10123"/>
        </w:tabs>
        <w:spacing w:after="0" w:line="240" w:lineRule="auto"/>
        <w:ind w:left="-34"/>
        <w:jc w:val="left"/>
        <w:rPr>
          <w:rFonts w:asciiTheme="minorHAnsi" w:hAnsiTheme="minorHAnsi" w:cstheme="minorHAnsi"/>
          <w:b/>
          <w:bCs/>
        </w:rPr>
      </w:pPr>
    </w:p>
    <w:p w14:paraId="7C810CE6" w14:textId="77777777" w:rsidR="00FC7104" w:rsidRDefault="00FC7104" w:rsidP="005F01A8">
      <w:pPr>
        <w:keepNext/>
        <w:keepLines/>
        <w:tabs>
          <w:tab w:val="left" w:pos="8997"/>
          <w:tab w:val="left" w:pos="10123"/>
        </w:tabs>
        <w:spacing w:after="0" w:line="240" w:lineRule="auto"/>
        <w:ind w:left="-34"/>
        <w:jc w:val="left"/>
        <w:rPr>
          <w:rFonts w:asciiTheme="minorHAnsi" w:hAnsiTheme="minorHAnsi" w:cstheme="minorHAnsi"/>
          <w:b/>
          <w:bCs/>
        </w:rPr>
      </w:pPr>
    </w:p>
    <w:p w14:paraId="28880AEE" w14:textId="77777777" w:rsidR="00FC7104" w:rsidRDefault="00FC7104">
      <w:pPr>
        <w:spacing w:after="0" w:line="240" w:lineRule="auto"/>
        <w:jc w:val="left"/>
        <w:rPr>
          <w:rFonts w:asciiTheme="minorHAnsi" w:hAnsiTheme="minorHAnsi" w:cstheme="minorHAnsi"/>
          <w:b/>
          <w:bCs/>
        </w:rPr>
      </w:pPr>
      <w:r>
        <w:rPr>
          <w:rFonts w:asciiTheme="minorHAnsi" w:hAnsiTheme="minorHAnsi" w:cstheme="minorHAnsi"/>
          <w:b/>
          <w:bCs/>
        </w:rPr>
        <w:br w:type="page"/>
      </w:r>
    </w:p>
    <w:p w14:paraId="5ABD352F" w14:textId="092CECCE" w:rsidR="00FC7104" w:rsidRPr="003C58FA" w:rsidRDefault="00FC7104" w:rsidP="005F01A8">
      <w:pPr>
        <w:keepNext/>
        <w:keepLines/>
        <w:tabs>
          <w:tab w:val="left" w:pos="8997"/>
          <w:tab w:val="left" w:pos="10123"/>
        </w:tabs>
        <w:spacing w:after="0" w:line="240" w:lineRule="auto"/>
        <w:ind w:left="-34"/>
        <w:jc w:val="left"/>
        <w:rPr>
          <w:rFonts w:asciiTheme="minorHAnsi" w:hAnsiTheme="minorHAnsi" w:cstheme="minorHAnsi"/>
          <w:sz w:val="20"/>
        </w:rPr>
      </w:pPr>
    </w:p>
    <w:tbl>
      <w:tblPr>
        <w:tblW w:w="15168" w:type="dxa"/>
        <w:tblInd w:w="-142" w:type="dxa"/>
        <w:tblLook w:val="04A0" w:firstRow="1" w:lastRow="0" w:firstColumn="1" w:lastColumn="0" w:noHBand="0" w:noVBand="1"/>
      </w:tblPr>
      <w:tblGrid>
        <w:gridCol w:w="4895"/>
        <w:gridCol w:w="2102"/>
        <w:gridCol w:w="2034"/>
        <w:gridCol w:w="1126"/>
        <w:gridCol w:w="7"/>
        <w:gridCol w:w="5004"/>
      </w:tblGrid>
      <w:tr w:rsidR="00E41267" w:rsidRPr="003C58FA" w14:paraId="199DEFC7" w14:textId="77777777" w:rsidTr="001066A0">
        <w:trPr>
          <w:trHeight w:val="341"/>
        </w:trPr>
        <w:tc>
          <w:tcPr>
            <w:tcW w:w="9031" w:type="dxa"/>
            <w:gridSpan w:val="3"/>
            <w:tcBorders>
              <w:top w:val="single" w:sz="4" w:space="0" w:color="auto"/>
              <w:left w:val="single" w:sz="4" w:space="0" w:color="auto"/>
              <w:bottom w:val="single" w:sz="4" w:space="0" w:color="auto"/>
            </w:tcBorders>
            <w:shd w:val="clear" w:color="auto" w:fill="D9D9D9" w:themeFill="background1" w:themeFillShade="D9"/>
            <w:noWrap/>
            <w:hideMark/>
          </w:tcPr>
          <w:p w14:paraId="51881089" w14:textId="77777777" w:rsidR="00E41267" w:rsidRPr="003C58FA" w:rsidRDefault="00E41267" w:rsidP="005F01A8">
            <w:pPr>
              <w:keepNext/>
              <w:keepLines/>
              <w:spacing w:after="0" w:line="240" w:lineRule="auto"/>
              <w:jc w:val="left"/>
              <w:rPr>
                <w:rFonts w:asciiTheme="minorHAnsi" w:hAnsiTheme="minorHAnsi" w:cstheme="minorHAnsi"/>
                <w:sz w:val="20"/>
              </w:rPr>
            </w:pPr>
            <w:r>
              <w:rPr>
                <w:rFonts w:asciiTheme="minorHAnsi" w:hAnsiTheme="minorHAnsi" w:cstheme="minorHAnsi"/>
                <w:b/>
                <w:bCs/>
              </w:rPr>
              <w:t xml:space="preserve">Detailed </w:t>
            </w:r>
            <w:r w:rsidRPr="003C58FA">
              <w:rPr>
                <w:rFonts w:asciiTheme="minorHAnsi" w:hAnsiTheme="minorHAnsi" w:cstheme="minorHAnsi"/>
                <w:b/>
                <w:bCs/>
              </w:rPr>
              <w:t xml:space="preserve">Homelessness </w:t>
            </w:r>
            <w:r>
              <w:rPr>
                <w:rFonts w:asciiTheme="minorHAnsi" w:hAnsiTheme="minorHAnsi" w:cstheme="minorHAnsi"/>
                <w:b/>
                <w:bCs/>
              </w:rPr>
              <w:t>S</w:t>
            </w:r>
            <w:r w:rsidRPr="003C58FA">
              <w:rPr>
                <w:rFonts w:asciiTheme="minorHAnsi" w:hAnsiTheme="minorHAnsi" w:cstheme="minorHAnsi"/>
                <w:b/>
                <w:bCs/>
              </w:rPr>
              <w:t>ervices</w:t>
            </w:r>
            <w:r>
              <w:rPr>
                <w:rFonts w:asciiTheme="minorHAnsi" w:hAnsiTheme="minorHAnsi" w:cstheme="minorHAnsi"/>
                <w:b/>
                <w:bCs/>
              </w:rPr>
              <w:t xml:space="preserve"> expenditure</w:t>
            </w:r>
          </w:p>
        </w:tc>
        <w:tc>
          <w:tcPr>
            <w:tcW w:w="1126" w:type="dxa"/>
            <w:tcBorders>
              <w:top w:val="single" w:sz="4" w:space="0" w:color="auto"/>
              <w:bottom w:val="single" w:sz="4" w:space="0" w:color="auto"/>
            </w:tcBorders>
            <w:shd w:val="clear" w:color="auto" w:fill="D9D9D9" w:themeFill="background1" w:themeFillShade="D9"/>
            <w:noWrap/>
            <w:hideMark/>
          </w:tcPr>
          <w:p w14:paraId="6BEF47EF" w14:textId="77777777" w:rsidR="00E41267" w:rsidRPr="003C58FA" w:rsidRDefault="00E41267" w:rsidP="005F01A8">
            <w:pPr>
              <w:keepNext/>
              <w:keepLines/>
              <w:spacing w:after="0" w:line="240" w:lineRule="auto"/>
              <w:jc w:val="left"/>
              <w:rPr>
                <w:rFonts w:asciiTheme="minorHAnsi" w:hAnsiTheme="minorHAnsi" w:cstheme="minorHAnsi"/>
                <w:sz w:val="20"/>
              </w:rPr>
            </w:pPr>
          </w:p>
        </w:tc>
        <w:tc>
          <w:tcPr>
            <w:tcW w:w="5011" w:type="dxa"/>
            <w:gridSpan w:val="2"/>
            <w:tcBorders>
              <w:top w:val="single" w:sz="4" w:space="0" w:color="auto"/>
              <w:bottom w:val="single" w:sz="4" w:space="0" w:color="auto"/>
              <w:right w:val="single" w:sz="4" w:space="0" w:color="auto"/>
            </w:tcBorders>
            <w:shd w:val="clear" w:color="auto" w:fill="D9D9D9" w:themeFill="background1" w:themeFillShade="D9"/>
            <w:noWrap/>
            <w:hideMark/>
          </w:tcPr>
          <w:p w14:paraId="55A798CE" w14:textId="77777777" w:rsidR="00E41267" w:rsidRPr="003C58FA" w:rsidRDefault="00E41267" w:rsidP="005F01A8">
            <w:pPr>
              <w:keepNext/>
              <w:keepLines/>
              <w:spacing w:after="0" w:line="240" w:lineRule="auto"/>
              <w:jc w:val="left"/>
              <w:rPr>
                <w:rFonts w:asciiTheme="minorHAnsi" w:hAnsiTheme="minorHAnsi" w:cstheme="minorHAnsi"/>
                <w:sz w:val="20"/>
              </w:rPr>
            </w:pPr>
          </w:p>
        </w:tc>
      </w:tr>
      <w:tr w:rsidR="00E41267" w:rsidRPr="003C58FA" w14:paraId="20B4174A"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47012" w14:textId="77777777" w:rsidR="00E41267" w:rsidRPr="003C58FA" w:rsidRDefault="00E41267" w:rsidP="00E522D8">
            <w:pPr>
              <w:keepNext/>
              <w:keepLines/>
              <w:spacing w:after="0" w:line="240" w:lineRule="auto"/>
              <w:ind w:left="25"/>
              <w:jc w:val="left"/>
              <w:rPr>
                <w:rFonts w:asciiTheme="minorHAnsi" w:hAnsiTheme="minorHAnsi" w:cstheme="minorHAnsi"/>
              </w:rPr>
            </w:pPr>
            <w:r>
              <w:rPr>
                <w:rFonts w:asciiTheme="minorHAnsi" w:hAnsiTheme="minorHAnsi" w:cstheme="minorHAnsi"/>
              </w:rPr>
              <w:t>F</w:t>
            </w:r>
            <w:r w:rsidRPr="003C58FA">
              <w:rPr>
                <w:rFonts w:asciiTheme="minorHAnsi" w:hAnsiTheme="minorHAnsi" w:cstheme="minorHAnsi"/>
              </w:rPr>
              <w:t xml:space="preserve">unding to </w:t>
            </w:r>
            <w:r>
              <w:rPr>
                <w:rFonts w:asciiTheme="minorHAnsi" w:hAnsiTheme="minorHAnsi" w:cstheme="minorHAnsi"/>
              </w:rPr>
              <w:t>SHS providers</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C4704" w14:textId="77777777" w:rsidR="00E41267" w:rsidRPr="003C58FA" w:rsidRDefault="00E41267" w:rsidP="0050478F">
            <w:pPr>
              <w:keepNext/>
              <w:keepLines/>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0D4D548D" w14:textId="77777777" w:rsidR="00E41267" w:rsidRPr="003C58FA" w:rsidRDefault="00E41267"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B14E82" w14:textId="77777777" w:rsidR="00E41267" w:rsidRPr="003C58FA" w:rsidRDefault="00E41267" w:rsidP="0050478F">
            <w:pPr>
              <w:keepNext/>
              <w:keepLines/>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DAE4A" w14:textId="77777777" w:rsidR="00E41267" w:rsidRPr="003C58FA" w:rsidRDefault="00E41267" w:rsidP="0050478F">
            <w:pPr>
              <w:keepNext/>
              <w:keepLines/>
              <w:spacing w:after="0" w:line="240" w:lineRule="auto"/>
              <w:rPr>
                <w:rFonts w:asciiTheme="minorHAnsi" w:hAnsiTheme="minorHAnsi" w:cstheme="minorHAnsi"/>
                <w:sz w:val="20"/>
              </w:rPr>
            </w:pPr>
          </w:p>
        </w:tc>
      </w:tr>
      <w:tr w:rsidR="00E41267" w:rsidRPr="003C58FA" w14:paraId="3C4B807F"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E3385" w14:textId="77777777" w:rsidR="00E41267" w:rsidRPr="003C58FA" w:rsidRDefault="00E41267" w:rsidP="00E522D8">
            <w:pPr>
              <w:keepNext/>
              <w:keepLines/>
              <w:spacing w:after="0" w:line="240" w:lineRule="auto"/>
              <w:ind w:left="25"/>
              <w:jc w:val="left"/>
              <w:rPr>
                <w:rFonts w:asciiTheme="minorHAnsi" w:hAnsiTheme="minorHAnsi" w:cstheme="minorHAnsi"/>
              </w:rPr>
            </w:pPr>
            <w:r>
              <w:rPr>
                <w:rFonts w:asciiTheme="minorHAnsi" w:hAnsiTheme="minorHAnsi" w:cstheme="minorHAnsi"/>
              </w:rPr>
              <w:t>SHS a</w:t>
            </w:r>
            <w:r w:rsidRPr="003C58FA">
              <w:rPr>
                <w:rFonts w:asciiTheme="minorHAnsi" w:hAnsiTheme="minorHAnsi" w:cstheme="minorHAnsi"/>
              </w:rPr>
              <w:t>dministrative costs</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B53A7" w14:textId="77777777" w:rsidR="00E41267" w:rsidRPr="003C58FA" w:rsidRDefault="00E41267" w:rsidP="0050478F">
            <w:pPr>
              <w:keepNext/>
              <w:keepLines/>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2704FB72" w14:textId="77777777" w:rsidR="00E41267" w:rsidRPr="003C58FA" w:rsidRDefault="00E41267"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F0CB9" w14:textId="77777777" w:rsidR="00E41267" w:rsidRPr="003C58FA" w:rsidRDefault="00E41267" w:rsidP="0050478F">
            <w:pPr>
              <w:keepNext/>
              <w:keepLines/>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7D38B" w14:textId="77777777" w:rsidR="00E41267" w:rsidRPr="003C58FA" w:rsidRDefault="00E41267" w:rsidP="0050478F">
            <w:pPr>
              <w:keepNext/>
              <w:keepLines/>
              <w:spacing w:after="0" w:line="240" w:lineRule="auto"/>
              <w:rPr>
                <w:rFonts w:asciiTheme="minorHAnsi" w:hAnsiTheme="minorHAnsi" w:cstheme="minorHAnsi"/>
                <w:sz w:val="20"/>
              </w:rPr>
            </w:pPr>
          </w:p>
        </w:tc>
      </w:tr>
      <w:tr w:rsidR="00E41267" w:rsidRPr="003C58FA" w14:paraId="5AD06B31"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62C4A" w14:textId="223FD796" w:rsidR="00E41267" w:rsidRDefault="00E41267" w:rsidP="00895D96">
            <w:pPr>
              <w:keepNext/>
              <w:keepLines/>
              <w:spacing w:after="0" w:line="240" w:lineRule="auto"/>
              <w:jc w:val="left"/>
              <w:rPr>
                <w:rFonts w:asciiTheme="minorHAnsi" w:hAnsiTheme="minorHAnsi" w:cstheme="minorHAnsi"/>
              </w:rPr>
            </w:pPr>
            <w:r>
              <w:rPr>
                <w:rFonts w:asciiTheme="minorHAnsi" w:hAnsiTheme="minorHAnsi" w:cstheme="minorHAnsi"/>
              </w:rPr>
              <w:t>Capital expenditure [please specify]</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DF4F8" w14:textId="77777777" w:rsidR="00E41267" w:rsidRPr="003C58FA" w:rsidRDefault="00E41267" w:rsidP="0050478F">
            <w:pPr>
              <w:keepNext/>
              <w:keepLines/>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7C1B78A6" w14:textId="77777777" w:rsidR="00E41267" w:rsidRPr="003C58FA" w:rsidRDefault="00E41267"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F07F1A" w14:textId="77777777" w:rsidR="00E41267" w:rsidRPr="003C58FA" w:rsidRDefault="00E41267" w:rsidP="0050478F">
            <w:pPr>
              <w:keepNext/>
              <w:keepLines/>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8D997" w14:textId="77777777" w:rsidR="00E41267" w:rsidRPr="003C58FA" w:rsidRDefault="00E41267" w:rsidP="0050478F">
            <w:pPr>
              <w:keepNext/>
              <w:keepLines/>
              <w:spacing w:after="0" w:line="240" w:lineRule="auto"/>
              <w:rPr>
                <w:rFonts w:asciiTheme="minorHAnsi" w:hAnsiTheme="minorHAnsi" w:cstheme="minorHAnsi"/>
                <w:sz w:val="20"/>
              </w:rPr>
            </w:pPr>
          </w:p>
        </w:tc>
      </w:tr>
      <w:tr w:rsidR="00BD65EB" w:rsidRPr="003C58FA" w14:paraId="130C6388"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4CA14" w14:textId="35F6B729" w:rsidR="00BD65EB" w:rsidRPr="002F3232" w:rsidRDefault="00BD65EB" w:rsidP="0050478F">
            <w:pPr>
              <w:keepNext/>
              <w:keepLines/>
              <w:spacing w:after="0" w:line="240" w:lineRule="auto"/>
              <w:jc w:val="left"/>
              <w:rPr>
                <w:rFonts w:asciiTheme="minorHAnsi" w:hAnsiTheme="minorHAnsi" w:cstheme="minorHAnsi"/>
              </w:rPr>
            </w:pPr>
            <w:r w:rsidRPr="002F3232">
              <w:rPr>
                <w:rFonts w:asciiTheme="minorHAnsi" w:hAnsiTheme="minorHAnsi" w:cstheme="minorHAnsi"/>
              </w:rPr>
              <w:t>Expenditure on non-SHS homelessness services</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92659" w14:textId="77777777" w:rsidR="00BD65EB" w:rsidRPr="003C58FA" w:rsidRDefault="00BD65EB" w:rsidP="0050478F">
            <w:pPr>
              <w:keepNext/>
              <w:keepLines/>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2861104E" w14:textId="77777777" w:rsidR="00BD65EB" w:rsidRPr="003C58FA" w:rsidRDefault="00BD65EB"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BB505C" w14:textId="77777777" w:rsidR="00BD65EB" w:rsidRPr="003C58FA" w:rsidRDefault="00BD65EB" w:rsidP="0050478F">
            <w:pPr>
              <w:keepNext/>
              <w:keepLines/>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6B2F6" w14:textId="77777777" w:rsidR="00BD65EB" w:rsidRPr="003C58FA" w:rsidRDefault="00BD65EB" w:rsidP="0050478F">
            <w:pPr>
              <w:keepNext/>
              <w:keepLines/>
              <w:spacing w:after="0" w:line="240" w:lineRule="auto"/>
              <w:rPr>
                <w:rFonts w:asciiTheme="minorHAnsi" w:hAnsiTheme="minorHAnsi" w:cstheme="minorHAnsi"/>
                <w:sz w:val="20"/>
              </w:rPr>
            </w:pPr>
          </w:p>
        </w:tc>
      </w:tr>
      <w:tr w:rsidR="00E41267" w:rsidRPr="003C58FA" w14:paraId="6B6B5334"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D21E1" w14:textId="77777777" w:rsidR="00E41267" w:rsidRPr="00065898" w:rsidRDefault="00E41267" w:rsidP="0050478F">
            <w:pPr>
              <w:keepNext/>
              <w:keepLines/>
              <w:spacing w:after="0" w:line="240" w:lineRule="auto"/>
              <w:jc w:val="left"/>
              <w:rPr>
                <w:rFonts w:asciiTheme="minorHAnsi" w:hAnsiTheme="minorHAnsi" w:cstheme="minorHAnsi"/>
                <w:i/>
                <w:iCs/>
              </w:rPr>
            </w:pPr>
            <w:r w:rsidRPr="00065898">
              <w:rPr>
                <w:rFonts w:asciiTheme="minorHAnsi" w:hAnsiTheme="minorHAnsi" w:cstheme="minorHAnsi"/>
                <w:i/>
                <w:iCs/>
              </w:rPr>
              <w:t>Total</w:t>
            </w:r>
            <w:r>
              <w:rPr>
                <w:rFonts w:asciiTheme="minorHAnsi" w:hAnsiTheme="minorHAnsi" w:cstheme="minorHAnsi"/>
                <w:i/>
                <w:iCs/>
              </w:rPr>
              <w:t xml:space="preserve"> homelessness expenditure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95781" w14:textId="77777777" w:rsidR="00E41267" w:rsidRPr="003C58FA" w:rsidRDefault="00E41267" w:rsidP="0050478F">
            <w:pPr>
              <w:keepNext/>
              <w:keepLines/>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1C9ED47F" w14:textId="77777777" w:rsidR="00E41267" w:rsidRPr="003C58FA" w:rsidRDefault="00E41267"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4ABD84" w14:textId="77777777" w:rsidR="00E41267" w:rsidRPr="003C58FA" w:rsidRDefault="00E41267" w:rsidP="0050478F">
            <w:pPr>
              <w:keepNext/>
              <w:keepLines/>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53F55" w14:textId="77777777" w:rsidR="00E41267" w:rsidRPr="003C58FA" w:rsidRDefault="00E41267" w:rsidP="0050478F">
            <w:pPr>
              <w:keepNext/>
              <w:keepLines/>
              <w:spacing w:after="0" w:line="240" w:lineRule="auto"/>
              <w:rPr>
                <w:rFonts w:asciiTheme="minorHAnsi" w:hAnsiTheme="minorHAnsi" w:cstheme="minorHAnsi"/>
                <w:sz w:val="20"/>
              </w:rPr>
            </w:pPr>
          </w:p>
        </w:tc>
      </w:tr>
      <w:tr w:rsidR="00E41267" w:rsidRPr="003C58FA" w14:paraId="39CD53F9" w14:textId="77777777" w:rsidTr="001066A0">
        <w:trPr>
          <w:trHeight w:val="381"/>
        </w:trPr>
        <w:tc>
          <w:tcPr>
            <w:tcW w:w="151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B5A8C" w14:textId="77777777" w:rsidR="00E41267" w:rsidRPr="003C58FA" w:rsidRDefault="00E41267" w:rsidP="0050478F">
            <w:pPr>
              <w:keepNext/>
              <w:keepLines/>
              <w:spacing w:after="0" w:line="240" w:lineRule="auto"/>
              <w:rPr>
                <w:rFonts w:asciiTheme="minorHAnsi" w:hAnsiTheme="minorHAnsi" w:cstheme="minorHAnsi"/>
                <w:sz w:val="20"/>
              </w:rPr>
            </w:pPr>
            <w:r>
              <w:rPr>
                <w:rFonts w:asciiTheme="minorHAnsi" w:hAnsiTheme="minorHAnsi" w:cstheme="minorHAnsi"/>
                <w:b/>
                <w:bCs/>
              </w:rPr>
              <w:t>Detailed s</w:t>
            </w:r>
            <w:r w:rsidRPr="003C58FA">
              <w:rPr>
                <w:rFonts w:asciiTheme="minorHAnsi" w:hAnsiTheme="minorHAnsi" w:cstheme="minorHAnsi"/>
                <w:b/>
                <w:bCs/>
              </w:rPr>
              <w:t>ocial housing</w:t>
            </w:r>
            <w:r>
              <w:rPr>
                <w:rFonts w:asciiTheme="minorHAnsi" w:hAnsiTheme="minorHAnsi" w:cstheme="minorHAnsi"/>
                <w:b/>
                <w:bCs/>
              </w:rPr>
              <w:t xml:space="preserve"> expenditure </w:t>
            </w:r>
            <w:r w:rsidRPr="003A51A1">
              <w:rPr>
                <w:rFonts w:asciiTheme="minorHAnsi" w:hAnsiTheme="minorHAnsi" w:cstheme="minorHAnsi"/>
              </w:rPr>
              <w:t xml:space="preserve">(scope </w:t>
            </w:r>
            <w:r w:rsidRPr="003C58FA">
              <w:rPr>
                <w:rFonts w:asciiTheme="minorHAnsi" w:hAnsiTheme="minorHAnsi" w:cstheme="minorHAnsi"/>
              </w:rPr>
              <w:t xml:space="preserve">of services </w:t>
            </w:r>
            <w:r>
              <w:rPr>
                <w:rFonts w:asciiTheme="minorHAnsi" w:hAnsiTheme="minorHAnsi" w:cstheme="minorHAnsi"/>
              </w:rPr>
              <w:t>includes</w:t>
            </w:r>
            <w:r w:rsidRPr="003C58FA">
              <w:rPr>
                <w:rFonts w:asciiTheme="minorHAnsi" w:hAnsiTheme="minorHAnsi" w:cstheme="minorHAnsi"/>
              </w:rPr>
              <w:t xml:space="preserve"> PH, SOMIH, CH, ICH</w:t>
            </w:r>
            <w:r>
              <w:rPr>
                <w:rFonts w:asciiTheme="minorHAnsi" w:hAnsiTheme="minorHAnsi" w:cstheme="minorHAnsi"/>
              </w:rPr>
              <w:t>)</w:t>
            </w:r>
          </w:p>
        </w:tc>
      </w:tr>
      <w:tr w:rsidR="00E41267" w:rsidRPr="003C58FA" w14:paraId="6F75773B" w14:textId="77777777" w:rsidTr="001066A0">
        <w:trPr>
          <w:trHeight w:val="283"/>
        </w:trPr>
        <w:tc>
          <w:tcPr>
            <w:tcW w:w="4895" w:type="dxa"/>
            <w:tcBorders>
              <w:top w:val="single" w:sz="4" w:space="0" w:color="auto"/>
              <w:left w:val="single" w:sz="4" w:space="0" w:color="auto"/>
              <w:bottom w:val="single" w:sz="4" w:space="0" w:color="auto"/>
            </w:tcBorders>
            <w:shd w:val="clear" w:color="auto" w:fill="auto"/>
            <w:noWrap/>
            <w:vAlign w:val="center"/>
          </w:tcPr>
          <w:p w14:paraId="151B4A41" w14:textId="77777777" w:rsidR="00E41267" w:rsidRPr="00065898" w:rsidRDefault="00E41267" w:rsidP="0050478F">
            <w:pPr>
              <w:keepNext/>
              <w:keepLines/>
              <w:spacing w:after="0" w:line="240" w:lineRule="auto"/>
              <w:jc w:val="left"/>
              <w:rPr>
                <w:rFonts w:asciiTheme="minorHAnsi" w:hAnsiTheme="minorHAnsi" w:cstheme="minorHAnsi"/>
                <w:b/>
                <w:bCs/>
                <w:i/>
                <w:iCs/>
              </w:rPr>
            </w:pPr>
            <w:r w:rsidRPr="00065898">
              <w:rPr>
                <w:rFonts w:asciiTheme="minorHAnsi" w:hAnsiTheme="minorHAnsi" w:cstheme="minorHAnsi"/>
                <w:b/>
                <w:bCs/>
                <w:i/>
                <w:iCs/>
              </w:rPr>
              <w:t>Net recurrent expenditure</w:t>
            </w:r>
          </w:p>
        </w:tc>
        <w:tc>
          <w:tcPr>
            <w:tcW w:w="2102" w:type="dxa"/>
            <w:tcBorders>
              <w:top w:val="single" w:sz="4" w:space="0" w:color="auto"/>
              <w:bottom w:val="single" w:sz="4" w:space="0" w:color="auto"/>
            </w:tcBorders>
            <w:shd w:val="clear" w:color="auto" w:fill="auto"/>
            <w:noWrap/>
            <w:vAlign w:val="bottom"/>
          </w:tcPr>
          <w:p w14:paraId="52FC6E70" w14:textId="77777777" w:rsidR="00E41267" w:rsidRPr="003C58FA" w:rsidRDefault="00E41267" w:rsidP="0050478F">
            <w:pPr>
              <w:keepNext/>
              <w:keepLines/>
              <w:spacing w:after="0" w:line="240" w:lineRule="auto"/>
              <w:rPr>
                <w:rFonts w:asciiTheme="minorHAnsi" w:hAnsiTheme="minorHAnsi" w:cstheme="minorHAnsi"/>
              </w:rPr>
            </w:pPr>
          </w:p>
        </w:tc>
        <w:tc>
          <w:tcPr>
            <w:tcW w:w="2034" w:type="dxa"/>
            <w:tcBorders>
              <w:top w:val="single" w:sz="4" w:space="0" w:color="auto"/>
              <w:bottom w:val="single" w:sz="4" w:space="0" w:color="auto"/>
            </w:tcBorders>
          </w:tcPr>
          <w:p w14:paraId="39259BD3" w14:textId="77777777" w:rsidR="00E41267" w:rsidRPr="003C58FA" w:rsidRDefault="00E41267"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bottom w:val="single" w:sz="4" w:space="0" w:color="auto"/>
            </w:tcBorders>
            <w:shd w:val="clear" w:color="auto" w:fill="auto"/>
            <w:noWrap/>
            <w:vAlign w:val="bottom"/>
          </w:tcPr>
          <w:p w14:paraId="72D7BF06" w14:textId="77777777" w:rsidR="00E41267" w:rsidRPr="003C58FA" w:rsidRDefault="00E41267" w:rsidP="0050478F">
            <w:pPr>
              <w:keepNext/>
              <w:keepLines/>
              <w:spacing w:after="0" w:line="240" w:lineRule="auto"/>
              <w:rPr>
                <w:rFonts w:asciiTheme="minorHAnsi" w:hAnsiTheme="minorHAnsi" w:cstheme="minorHAnsi"/>
                <w:sz w:val="20"/>
              </w:rPr>
            </w:pPr>
          </w:p>
        </w:tc>
        <w:tc>
          <w:tcPr>
            <w:tcW w:w="5004" w:type="dxa"/>
            <w:tcBorders>
              <w:top w:val="single" w:sz="4" w:space="0" w:color="auto"/>
              <w:bottom w:val="single" w:sz="4" w:space="0" w:color="auto"/>
              <w:right w:val="single" w:sz="4" w:space="0" w:color="auto"/>
            </w:tcBorders>
            <w:shd w:val="clear" w:color="auto" w:fill="auto"/>
            <w:noWrap/>
            <w:vAlign w:val="bottom"/>
          </w:tcPr>
          <w:p w14:paraId="59C82D0F" w14:textId="77777777" w:rsidR="00E41267" w:rsidRPr="003C58FA" w:rsidRDefault="00E41267" w:rsidP="0050478F">
            <w:pPr>
              <w:keepNext/>
              <w:keepLines/>
              <w:spacing w:after="0" w:line="240" w:lineRule="auto"/>
              <w:rPr>
                <w:rFonts w:asciiTheme="minorHAnsi" w:hAnsiTheme="minorHAnsi" w:cstheme="minorHAnsi"/>
                <w:sz w:val="20"/>
              </w:rPr>
            </w:pPr>
          </w:p>
        </w:tc>
      </w:tr>
      <w:tr w:rsidR="00E41267" w:rsidRPr="003C58FA" w14:paraId="73856967"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1F87B" w14:textId="366AEDB3" w:rsidR="00E41267" w:rsidDel="005447C1" w:rsidRDefault="00E41267" w:rsidP="0050478F">
            <w:pPr>
              <w:keepNext/>
              <w:keepLines/>
              <w:spacing w:after="0" w:line="240" w:lineRule="auto"/>
              <w:ind w:left="306"/>
              <w:jc w:val="left"/>
              <w:rPr>
                <w:rFonts w:asciiTheme="minorHAnsi" w:hAnsiTheme="minorHAnsi" w:cstheme="minorHAnsi"/>
              </w:rPr>
            </w:pPr>
            <w:r w:rsidDel="005447C1">
              <w:rPr>
                <w:rFonts w:asciiTheme="minorHAnsi" w:hAnsiTheme="minorHAnsi" w:cstheme="minorHAnsi"/>
              </w:rPr>
              <w:t>E</w:t>
            </w:r>
            <w:r w:rsidRPr="003C58FA" w:rsidDel="005447C1">
              <w:rPr>
                <w:rFonts w:asciiTheme="minorHAnsi" w:hAnsiTheme="minorHAnsi" w:cstheme="minorHAnsi"/>
              </w:rPr>
              <w:t>mployee expenses</w:t>
            </w:r>
            <w:r>
              <w:rPr>
                <w:rFonts w:asciiTheme="minorHAnsi" w:hAnsiTheme="minorHAnsi" w:cstheme="minorHAnsi"/>
              </w:rPr>
              <w:t xml:space="preserve"> – other</w:t>
            </w:r>
            <w:r w:rsidR="00F60701">
              <w:rPr>
                <w:rFonts w:asciiTheme="minorHAnsi" w:hAnsiTheme="minorHAnsi" w:cstheme="minorHAnsi"/>
              </w:rPr>
              <w:t xml:space="preserve"> than payroll tax</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6337E" w14:textId="77777777" w:rsidR="00E41267" w:rsidRPr="003C58FA" w:rsidRDefault="00E41267" w:rsidP="0050478F">
            <w:pPr>
              <w:keepNext/>
              <w:keepLines/>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1DF23414" w14:textId="77777777" w:rsidR="00E41267" w:rsidRPr="003C58FA" w:rsidRDefault="00E41267"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C4ABCB" w14:textId="77777777" w:rsidR="00E41267" w:rsidRPr="003C58FA" w:rsidRDefault="00E41267" w:rsidP="0050478F">
            <w:pPr>
              <w:keepNext/>
              <w:keepLines/>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F845A" w14:textId="77777777" w:rsidR="00E41267" w:rsidRPr="003C58FA" w:rsidRDefault="00E41267" w:rsidP="0050478F">
            <w:pPr>
              <w:keepNext/>
              <w:keepLines/>
              <w:spacing w:after="0" w:line="240" w:lineRule="auto"/>
              <w:rPr>
                <w:rFonts w:asciiTheme="minorHAnsi" w:hAnsiTheme="minorHAnsi" w:cstheme="minorHAnsi"/>
                <w:sz w:val="20"/>
              </w:rPr>
            </w:pPr>
          </w:p>
        </w:tc>
      </w:tr>
      <w:tr w:rsidR="00E41267" w:rsidRPr="003C58FA" w14:paraId="483A8E00"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98628" w14:textId="77777777" w:rsidR="00E41267" w:rsidRPr="003C58FA" w:rsidRDefault="00E41267" w:rsidP="0050478F">
            <w:pPr>
              <w:keepNext/>
              <w:keepLines/>
              <w:spacing w:after="0" w:line="240" w:lineRule="auto"/>
              <w:ind w:left="306"/>
              <w:jc w:val="left"/>
              <w:rPr>
                <w:rFonts w:asciiTheme="minorHAnsi" w:hAnsiTheme="minorHAnsi" w:cstheme="minorHAnsi"/>
              </w:rPr>
            </w:pPr>
            <w:r>
              <w:rPr>
                <w:rFonts w:asciiTheme="minorHAnsi" w:hAnsiTheme="minorHAnsi" w:cstheme="minorHAnsi"/>
              </w:rPr>
              <w:t>Repairs and maintenance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CA28B" w14:textId="77777777" w:rsidR="00E41267" w:rsidRPr="003C58FA" w:rsidRDefault="00E41267" w:rsidP="0050478F">
            <w:pPr>
              <w:keepNext/>
              <w:keepLines/>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63C48B8E" w14:textId="77777777" w:rsidR="00E41267" w:rsidRPr="003C58FA" w:rsidRDefault="00E41267"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AB75B" w14:textId="77777777" w:rsidR="00E41267" w:rsidRPr="003C58FA" w:rsidRDefault="00E41267" w:rsidP="0050478F">
            <w:pPr>
              <w:keepNext/>
              <w:keepLines/>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8DFB2" w14:textId="77777777" w:rsidR="00E41267" w:rsidRPr="003C58FA" w:rsidRDefault="00E41267" w:rsidP="0050478F">
            <w:pPr>
              <w:keepNext/>
              <w:keepLines/>
              <w:spacing w:after="0" w:line="240" w:lineRule="auto"/>
              <w:rPr>
                <w:rFonts w:asciiTheme="minorHAnsi" w:hAnsiTheme="minorHAnsi" w:cstheme="minorHAnsi"/>
                <w:sz w:val="20"/>
              </w:rPr>
            </w:pPr>
          </w:p>
        </w:tc>
      </w:tr>
      <w:tr w:rsidR="00E41267" w:rsidRPr="003C58FA" w14:paraId="5E254F1C"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663C7" w14:textId="6A8AD008" w:rsidR="00E41267" w:rsidRPr="003C58FA" w:rsidRDefault="00E41267" w:rsidP="0050478F">
            <w:pPr>
              <w:keepNext/>
              <w:keepLines/>
              <w:spacing w:after="0" w:line="240" w:lineRule="auto"/>
              <w:ind w:left="306"/>
              <w:jc w:val="left"/>
              <w:rPr>
                <w:rFonts w:asciiTheme="minorHAnsi" w:hAnsiTheme="minorHAnsi" w:cstheme="minorHAnsi"/>
              </w:rPr>
            </w:pPr>
            <w:r w:rsidDel="005447C1">
              <w:rPr>
                <w:rFonts w:asciiTheme="minorHAnsi" w:eastAsia="Arial" w:hAnsiTheme="minorHAnsi" w:cstheme="minorHAnsi"/>
              </w:rPr>
              <w:t>L</w:t>
            </w:r>
            <w:r w:rsidRPr="003C58FA" w:rsidDel="005447C1">
              <w:rPr>
                <w:rFonts w:asciiTheme="minorHAnsi" w:eastAsia="Arial" w:hAnsiTheme="minorHAnsi" w:cstheme="minorHAnsi"/>
              </w:rPr>
              <w:t>easing costs</w:t>
            </w:r>
            <w:r>
              <w:rPr>
                <w:rFonts w:asciiTheme="minorHAnsi" w:eastAsia="Arial" w:hAnsiTheme="minorHAnsi" w:cstheme="minorHAnsi"/>
              </w:rPr>
              <w:t xml:space="preserve"> (including headleasing)</w:t>
            </w:r>
            <w:r w:rsidRPr="003C58FA" w:rsidDel="005447C1">
              <w:rPr>
                <w:rFonts w:asciiTheme="minorHAnsi" w:eastAsia="Arial" w:hAnsiTheme="minorHAnsi" w:cstheme="minorHAnsi"/>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E9199" w14:textId="77777777" w:rsidR="00E41267" w:rsidRPr="003C58FA" w:rsidRDefault="00E41267" w:rsidP="0050478F">
            <w:pPr>
              <w:keepNext/>
              <w:keepLines/>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21F47F4A" w14:textId="77777777" w:rsidR="00E41267" w:rsidRPr="003C58FA" w:rsidRDefault="00E41267"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3F228" w14:textId="77777777" w:rsidR="00E41267" w:rsidRPr="003C58FA" w:rsidRDefault="00E41267" w:rsidP="0050478F">
            <w:pPr>
              <w:keepNext/>
              <w:keepLines/>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DABD1" w14:textId="77777777" w:rsidR="00E41267" w:rsidRPr="003C58FA" w:rsidRDefault="00E41267" w:rsidP="0050478F">
            <w:pPr>
              <w:keepNext/>
              <w:keepLines/>
              <w:spacing w:after="0" w:line="240" w:lineRule="auto"/>
              <w:rPr>
                <w:rFonts w:asciiTheme="minorHAnsi" w:hAnsiTheme="minorHAnsi" w:cstheme="minorHAnsi"/>
                <w:sz w:val="20"/>
              </w:rPr>
            </w:pPr>
          </w:p>
        </w:tc>
      </w:tr>
      <w:tr w:rsidR="00E41267" w:rsidRPr="003C58FA" w:rsidDel="008A3197" w14:paraId="14BE1E59"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8CB5F" w14:textId="77777777" w:rsidR="00E41267" w:rsidDel="008A3197" w:rsidRDefault="00E41267" w:rsidP="0050478F">
            <w:pPr>
              <w:keepNext/>
              <w:keepLines/>
              <w:spacing w:after="0" w:line="240" w:lineRule="auto"/>
              <w:ind w:left="306"/>
              <w:jc w:val="left"/>
              <w:rPr>
                <w:rFonts w:asciiTheme="minorHAnsi" w:hAnsiTheme="minorHAnsi" w:cstheme="minorHAnsi"/>
              </w:rPr>
            </w:pPr>
            <w:r>
              <w:rPr>
                <w:rFonts w:asciiTheme="minorHAnsi" w:eastAsia="Arial" w:hAnsiTheme="minorHAnsi" w:cstheme="minorHAnsi"/>
              </w:rPr>
              <w:t>R</w:t>
            </w:r>
            <w:r w:rsidRPr="003C58FA" w:rsidDel="005447C1">
              <w:rPr>
                <w:rFonts w:asciiTheme="minorHAnsi" w:eastAsia="Arial" w:hAnsiTheme="minorHAnsi" w:cstheme="minorHAnsi"/>
              </w:rPr>
              <w:t>ates</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EF26C" w14:textId="77777777" w:rsidR="00E41267" w:rsidRPr="003C58FA" w:rsidDel="008A3197" w:rsidRDefault="00E41267" w:rsidP="0050478F">
            <w:pPr>
              <w:keepNext/>
              <w:keepLines/>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5E26FD30" w14:textId="77777777" w:rsidR="00E41267" w:rsidRPr="003C58FA" w:rsidDel="008A3197" w:rsidRDefault="00E41267"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CC001E" w14:textId="77777777" w:rsidR="00E41267" w:rsidRPr="003C58FA" w:rsidDel="008A3197" w:rsidRDefault="00E41267" w:rsidP="0050478F">
            <w:pPr>
              <w:keepNext/>
              <w:keepLines/>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D4508" w14:textId="77777777" w:rsidR="00E41267" w:rsidRPr="003C58FA" w:rsidDel="008A3197" w:rsidRDefault="00E41267" w:rsidP="0050478F">
            <w:pPr>
              <w:keepNext/>
              <w:keepLines/>
              <w:spacing w:after="0" w:line="240" w:lineRule="auto"/>
              <w:rPr>
                <w:rFonts w:asciiTheme="minorHAnsi" w:hAnsiTheme="minorHAnsi" w:cstheme="minorHAnsi"/>
                <w:sz w:val="20"/>
              </w:rPr>
            </w:pPr>
          </w:p>
        </w:tc>
      </w:tr>
      <w:tr w:rsidR="00E41267" w:rsidRPr="003C58FA" w:rsidDel="008A3197" w14:paraId="2B702123"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EF906" w14:textId="77777777" w:rsidR="00E41267" w:rsidDel="008A3197" w:rsidRDefault="00E41267" w:rsidP="0050478F">
            <w:pPr>
              <w:keepNext/>
              <w:keepLines/>
              <w:spacing w:after="0" w:line="240" w:lineRule="auto"/>
              <w:ind w:left="306"/>
              <w:jc w:val="left"/>
              <w:rPr>
                <w:rFonts w:asciiTheme="minorHAnsi" w:hAnsiTheme="minorHAnsi" w:cstheme="minorHAnsi"/>
              </w:rPr>
            </w:pPr>
            <w:r>
              <w:rPr>
                <w:rFonts w:asciiTheme="minorHAnsi" w:eastAsia="Arial" w:hAnsiTheme="minorHAnsi" w:cstheme="minorHAnsi"/>
              </w:rPr>
              <w:t>C</w:t>
            </w:r>
            <w:r w:rsidRPr="003C58FA" w:rsidDel="005447C1">
              <w:rPr>
                <w:rFonts w:asciiTheme="minorHAnsi" w:eastAsia="Arial" w:hAnsiTheme="minorHAnsi" w:cstheme="minorHAnsi"/>
              </w:rPr>
              <w:t>ost of disposal</w:t>
            </w:r>
            <w:r w:rsidRPr="003C58FA">
              <w:rPr>
                <w:rFonts w:asciiTheme="minorHAnsi" w:eastAsia="Arial" w:hAnsiTheme="minorHAnsi" w:cstheme="minorHAnsi"/>
              </w:rPr>
              <w:t>s</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439F6" w14:textId="77777777" w:rsidR="00E41267" w:rsidRPr="003C58FA" w:rsidDel="008A3197" w:rsidRDefault="00E41267" w:rsidP="0050478F">
            <w:pPr>
              <w:keepNext/>
              <w:keepLines/>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57F089F4" w14:textId="77777777" w:rsidR="00E41267" w:rsidRPr="003C58FA" w:rsidDel="008A3197" w:rsidRDefault="00E41267"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E92B95" w14:textId="77777777" w:rsidR="00E41267" w:rsidRPr="003C58FA" w:rsidDel="008A3197" w:rsidRDefault="00E41267" w:rsidP="0050478F">
            <w:pPr>
              <w:keepNext/>
              <w:keepLines/>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9DA15" w14:textId="77777777" w:rsidR="00E41267" w:rsidRPr="003C58FA" w:rsidDel="008A3197" w:rsidRDefault="00E41267" w:rsidP="0050478F">
            <w:pPr>
              <w:keepNext/>
              <w:keepLines/>
              <w:spacing w:after="0" w:line="240" w:lineRule="auto"/>
              <w:rPr>
                <w:rFonts w:asciiTheme="minorHAnsi" w:hAnsiTheme="minorHAnsi" w:cstheme="minorHAnsi"/>
                <w:sz w:val="20"/>
              </w:rPr>
            </w:pPr>
          </w:p>
        </w:tc>
      </w:tr>
      <w:tr w:rsidR="00E41267" w:rsidRPr="003C58FA" w:rsidDel="008A3197" w14:paraId="15A89B2B"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3F676" w14:textId="77777777" w:rsidR="00E41267" w:rsidRPr="003C58FA" w:rsidDel="008A3197" w:rsidRDefault="00E41267" w:rsidP="0050478F">
            <w:pPr>
              <w:keepNext/>
              <w:keepLines/>
              <w:spacing w:after="0" w:line="240" w:lineRule="auto"/>
              <w:ind w:left="306"/>
              <w:jc w:val="left"/>
              <w:rPr>
                <w:rFonts w:asciiTheme="minorHAnsi" w:hAnsiTheme="minorHAnsi" w:cstheme="minorHAnsi"/>
              </w:rPr>
            </w:pPr>
            <w:r w:rsidDel="008A3197">
              <w:rPr>
                <w:rFonts w:asciiTheme="minorHAnsi" w:hAnsiTheme="minorHAnsi" w:cstheme="minorHAnsi"/>
              </w:rPr>
              <w:t>D</w:t>
            </w:r>
            <w:r w:rsidRPr="003C58FA" w:rsidDel="008A3197">
              <w:rPr>
                <w:rFonts w:asciiTheme="minorHAnsi" w:hAnsiTheme="minorHAnsi" w:cstheme="minorHAnsi"/>
              </w:rPr>
              <w:t>epreciation and amortisation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2CFEE" w14:textId="77777777" w:rsidR="00E41267" w:rsidRPr="003C58FA" w:rsidDel="008A3197" w:rsidRDefault="00E41267" w:rsidP="0050478F">
            <w:pPr>
              <w:keepNext/>
              <w:keepLines/>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6CEFA6BD" w14:textId="77777777" w:rsidR="00E41267" w:rsidRPr="003C58FA" w:rsidDel="008A3197" w:rsidRDefault="00E41267"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C933A" w14:textId="77777777" w:rsidR="00E41267" w:rsidRPr="003C58FA" w:rsidDel="008A3197" w:rsidRDefault="00E41267" w:rsidP="0050478F">
            <w:pPr>
              <w:keepNext/>
              <w:keepLines/>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8E791" w14:textId="77777777" w:rsidR="00E41267" w:rsidRPr="003C58FA" w:rsidDel="008A3197" w:rsidRDefault="00E41267" w:rsidP="0050478F">
            <w:pPr>
              <w:keepNext/>
              <w:keepLines/>
              <w:spacing w:after="0" w:line="240" w:lineRule="auto"/>
              <w:rPr>
                <w:rFonts w:asciiTheme="minorHAnsi" w:hAnsiTheme="minorHAnsi" w:cstheme="minorHAnsi"/>
                <w:sz w:val="20"/>
              </w:rPr>
            </w:pPr>
          </w:p>
        </w:tc>
      </w:tr>
      <w:tr w:rsidR="00E41267" w:rsidRPr="003C58FA" w14:paraId="3E2F2023"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56CE8" w14:textId="77777777" w:rsidR="00E41267" w:rsidRPr="003C58FA" w:rsidRDefault="00E41267" w:rsidP="0050478F">
            <w:pPr>
              <w:keepNext/>
              <w:keepLines/>
              <w:spacing w:after="0" w:line="240" w:lineRule="auto"/>
              <w:ind w:left="306"/>
              <w:jc w:val="left"/>
              <w:rPr>
                <w:rFonts w:asciiTheme="minorHAnsi" w:hAnsiTheme="minorHAnsi" w:cstheme="minorHAnsi"/>
              </w:rPr>
            </w:pPr>
            <w:r>
              <w:rPr>
                <w:rFonts w:asciiTheme="minorHAnsi" w:hAnsiTheme="minorHAnsi" w:cstheme="minorHAnsi"/>
              </w:rPr>
              <w:t>B</w:t>
            </w:r>
            <w:r w:rsidRPr="003C58FA">
              <w:rPr>
                <w:rFonts w:asciiTheme="minorHAnsi" w:hAnsiTheme="minorHAnsi" w:cstheme="minorHAnsi"/>
              </w:rPr>
              <w:t>orrowing costs</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FC12B" w14:textId="77777777" w:rsidR="00E41267" w:rsidRPr="003C58FA" w:rsidRDefault="00E41267" w:rsidP="0050478F">
            <w:pPr>
              <w:keepNext/>
              <w:keepLines/>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70E273FF" w14:textId="77777777" w:rsidR="00E41267" w:rsidRPr="003C58FA" w:rsidRDefault="00E41267"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90302" w14:textId="77777777" w:rsidR="00E41267" w:rsidRPr="003C58FA" w:rsidRDefault="00E41267" w:rsidP="0050478F">
            <w:pPr>
              <w:keepNext/>
              <w:keepLines/>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549DB" w14:textId="77777777" w:rsidR="00E41267" w:rsidRPr="003C58FA" w:rsidRDefault="00E41267" w:rsidP="0050478F">
            <w:pPr>
              <w:keepNext/>
              <w:keepLines/>
              <w:spacing w:after="0" w:line="240" w:lineRule="auto"/>
              <w:rPr>
                <w:rFonts w:asciiTheme="minorHAnsi" w:hAnsiTheme="minorHAnsi" w:cstheme="minorHAnsi"/>
                <w:sz w:val="20"/>
              </w:rPr>
            </w:pPr>
          </w:p>
        </w:tc>
      </w:tr>
      <w:tr w:rsidR="00DF05E8" w:rsidRPr="003C58FA" w14:paraId="50FF9BC8"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8CA68" w14:textId="48FCAD12" w:rsidR="00DF05E8" w:rsidRDefault="00DF05E8" w:rsidP="0050478F">
            <w:pPr>
              <w:keepNext/>
              <w:keepLines/>
              <w:spacing w:after="0" w:line="240" w:lineRule="auto"/>
              <w:ind w:left="306"/>
              <w:jc w:val="left"/>
              <w:rPr>
                <w:rFonts w:asciiTheme="minorHAnsi" w:hAnsiTheme="minorHAnsi" w:cstheme="minorHAnsi"/>
              </w:rPr>
            </w:pPr>
            <w:r>
              <w:rPr>
                <w:rFonts w:asciiTheme="minorHAnsi" w:hAnsiTheme="minorHAnsi" w:cstheme="minorHAnsi"/>
              </w:rPr>
              <w:t>Insurance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9EFE4" w14:textId="77777777" w:rsidR="00DF05E8" w:rsidRPr="003C58FA" w:rsidRDefault="00DF05E8" w:rsidP="0050478F">
            <w:pPr>
              <w:keepNext/>
              <w:keepLines/>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0ED4DE44" w14:textId="77777777" w:rsidR="00DF05E8" w:rsidRPr="003C58FA" w:rsidRDefault="00DF05E8"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5F816A" w14:textId="77777777" w:rsidR="00DF05E8" w:rsidRPr="003C58FA" w:rsidRDefault="00DF05E8" w:rsidP="0050478F">
            <w:pPr>
              <w:keepNext/>
              <w:keepLines/>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48784" w14:textId="77777777" w:rsidR="00DF05E8" w:rsidRPr="003C58FA" w:rsidRDefault="00DF05E8" w:rsidP="0050478F">
            <w:pPr>
              <w:keepNext/>
              <w:keepLines/>
              <w:spacing w:after="0" w:line="240" w:lineRule="auto"/>
              <w:rPr>
                <w:rFonts w:asciiTheme="minorHAnsi" w:hAnsiTheme="minorHAnsi" w:cstheme="minorHAnsi"/>
                <w:sz w:val="20"/>
              </w:rPr>
            </w:pPr>
          </w:p>
        </w:tc>
      </w:tr>
      <w:tr w:rsidR="00E41267" w:rsidRPr="003C58FA" w14:paraId="2E28C0B1"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0C6CB" w14:textId="554A9362" w:rsidR="00E41267" w:rsidRDefault="00E41267" w:rsidP="0050478F">
            <w:pPr>
              <w:keepNext/>
              <w:keepLines/>
              <w:spacing w:after="0" w:line="240" w:lineRule="auto"/>
              <w:ind w:left="306"/>
              <w:jc w:val="left"/>
              <w:rPr>
                <w:rFonts w:asciiTheme="minorHAnsi" w:hAnsiTheme="minorHAnsi" w:cstheme="minorHAnsi"/>
              </w:rPr>
            </w:pPr>
            <w:r>
              <w:rPr>
                <w:rFonts w:asciiTheme="minorHAnsi" w:hAnsiTheme="minorHAnsi" w:cstheme="minorHAnsi"/>
              </w:rPr>
              <w:t>Other expenses</w:t>
            </w:r>
            <w:r w:rsidR="00DF05E8">
              <w:rPr>
                <w:rFonts w:asciiTheme="minorHAnsi" w:hAnsiTheme="minorHAnsi" w:cstheme="minorHAnsi"/>
              </w:rPr>
              <w:t xml:space="preserve"> not listed above</w:t>
            </w:r>
            <w:r>
              <w:rPr>
                <w:rFonts w:asciiTheme="minorHAnsi" w:hAnsiTheme="minorHAnsi" w:cstheme="minorHAnsi"/>
              </w:rPr>
              <w:t xml:space="preserve"> [please specify]</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718B0" w14:textId="77777777" w:rsidR="00E41267" w:rsidRPr="003C58FA" w:rsidRDefault="00E41267" w:rsidP="0050478F">
            <w:pPr>
              <w:keepNext/>
              <w:keepLines/>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4B4AE197" w14:textId="77777777" w:rsidR="00E41267" w:rsidRPr="003C58FA" w:rsidRDefault="00E41267" w:rsidP="0050478F">
            <w:pPr>
              <w:keepNext/>
              <w:keepLines/>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BD4CE7" w14:textId="77777777" w:rsidR="00E41267" w:rsidRPr="003C58FA" w:rsidRDefault="00E41267" w:rsidP="0050478F">
            <w:pPr>
              <w:keepNext/>
              <w:keepLines/>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BF4BE" w14:textId="77777777" w:rsidR="00E41267" w:rsidRPr="003C58FA" w:rsidRDefault="00E41267" w:rsidP="0050478F">
            <w:pPr>
              <w:keepNext/>
              <w:keepLines/>
              <w:spacing w:after="0" w:line="240" w:lineRule="auto"/>
              <w:rPr>
                <w:rFonts w:asciiTheme="minorHAnsi" w:hAnsiTheme="minorHAnsi" w:cstheme="minorHAnsi"/>
                <w:sz w:val="20"/>
              </w:rPr>
            </w:pPr>
          </w:p>
        </w:tc>
      </w:tr>
      <w:tr w:rsidR="00E41267" w:rsidRPr="00065898" w14:paraId="2DCB9AA4"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0B76" w14:textId="77777777" w:rsidR="00E41267" w:rsidRPr="00065898" w:rsidRDefault="00E41267" w:rsidP="0050478F">
            <w:pPr>
              <w:keepNext/>
              <w:keepLines/>
              <w:spacing w:after="0" w:line="240" w:lineRule="auto"/>
              <w:ind w:left="164"/>
              <w:jc w:val="left"/>
              <w:rPr>
                <w:rFonts w:asciiTheme="minorHAnsi" w:hAnsiTheme="minorHAnsi" w:cstheme="minorHAnsi"/>
                <w:i/>
                <w:iCs/>
              </w:rPr>
            </w:pPr>
            <w:r w:rsidRPr="00065898">
              <w:rPr>
                <w:rFonts w:asciiTheme="minorHAnsi" w:hAnsiTheme="minorHAnsi" w:cstheme="minorHAnsi"/>
                <w:i/>
                <w:iCs/>
              </w:rPr>
              <w:t>Total</w:t>
            </w:r>
            <w:r>
              <w:rPr>
                <w:rFonts w:asciiTheme="minorHAnsi" w:hAnsiTheme="minorHAnsi" w:cstheme="minorHAnsi"/>
                <w:i/>
                <w:iCs/>
              </w:rPr>
              <w:t xml:space="preserve"> net recurrent expenditure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59172" w14:textId="77777777" w:rsidR="00E41267" w:rsidRPr="00065898" w:rsidRDefault="00E41267" w:rsidP="0050478F">
            <w:pPr>
              <w:keepNext/>
              <w:keepLines/>
              <w:spacing w:after="0" w:line="240" w:lineRule="auto"/>
              <w:rPr>
                <w:rFonts w:asciiTheme="minorHAnsi" w:hAnsiTheme="minorHAnsi" w:cstheme="minorHAnsi"/>
                <w:i/>
                <w:iCs/>
              </w:rPr>
            </w:pPr>
          </w:p>
        </w:tc>
        <w:tc>
          <w:tcPr>
            <w:tcW w:w="2034" w:type="dxa"/>
            <w:tcBorders>
              <w:top w:val="single" w:sz="4" w:space="0" w:color="auto"/>
              <w:left w:val="single" w:sz="4" w:space="0" w:color="auto"/>
              <w:bottom w:val="single" w:sz="4" w:space="0" w:color="auto"/>
              <w:right w:val="single" w:sz="4" w:space="0" w:color="auto"/>
            </w:tcBorders>
          </w:tcPr>
          <w:p w14:paraId="44E9ABB0" w14:textId="77777777" w:rsidR="00E41267" w:rsidRPr="00065898" w:rsidRDefault="00E41267" w:rsidP="0050478F">
            <w:pPr>
              <w:keepNext/>
              <w:keepLines/>
              <w:spacing w:after="0" w:line="240" w:lineRule="auto"/>
              <w:rPr>
                <w:rFonts w:asciiTheme="minorHAnsi" w:hAnsiTheme="minorHAnsi" w:cstheme="minorHAnsi"/>
                <w:i/>
                <w:iCs/>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C60A5" w14:textId="77777777" w:rsidR="00E41267" w:rsidRPr="00065898" w:rsidRDefault="00E41267" w:rsidP="0050478F">
            <w:pPr>
              <w:keepNext/>
              <w:keepLines/>
              <w:spacing w:after="0" w:line="240" w:lineRule="auto"/>
              <w:rPr>
                <w:rFonts w:asciiTheme="minorHAnsi" w:hAnsiTheme="minorHAnsi" w:cstheme="minorHAnsi"/>
                <w:i/>
                <w:iCs/>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46E62" w14:textId="77777777" w:rsidR="00E41267" w:rsidRPr="00065898" w:rsidRDefault="00E41267" w:rsidP="0050478F">
            <w:pPr>
              <w:keepNext/>
              <w:keepLines/>
              <w:spacing w:after="0" w:line="240" w:lineRule="auto"/>
              <w:rPr>
                <w:rFonts w:asciiTheme="minorHAnsi" w:hAnsiTheme="minorHAnsi" w:cstheme="minorHAnsi"/>
                <w:i/>
                <w:iCs/>
                <w:sz w:val="20"/>
              </w:rPr>
            </w:pPr>
          </w:p>
        </w:tc>
      </w:tr>
      <w:tr w:rsidR="00E41267" w:rsidRPr="003C58FA" w14:paraId="5BC4E891" w14:textId="77777777" w:rsidTr="001066A0">
        <w:trPr>
          <w:trHeight w:val="283"/>
        </w:trPr>
        <w:tc>
          <w:tcPr>
            <w:tcW w:w="4895" w:type="dxa"/>
            <w:tcBorders>
              <w:top w:val="single" w:sz="4" w:space="0" w:color="auto"/>
              <w:left w:val="single" w:sz="4" w:space="0" w:color="auto"/>
              <w:bottom w:val="single" w:sz="4" w:space="0" w:color="auto"/>
            </w:tcBorders>
            <w:shd w:val="clear" w:color="auto" w:fill="auto"/>
            <w:noWrap/>
            <w:vAlign w:val="center"/>
            <w:hideMark/>
          </w:tcPr>
          <w:p w14:paraId="76F854ED" w14:textId="77777777" w:rsidR="00E41267" w:rsidRPr="00065898" w:rsidRDefault="00E41267" w:rsidP="0050478F">
            <w:pPr>
              <w:spacing w:after="0" w:line="240" w:lineRule="auto"/>
              <w:jc w:val="left"/>
              <w:rPr>
                <w:rFonts w:asciiTheme="minorHAnsi" w:hAnsiTheme="minorHAnsi" w:cstheme="minorHAnsi"/>
                <w:b/>
                <w:bCs/>
                <w:i/>
                <w:iCs/>
              </w:rPr>
            </w:pPr>
            <w:r w:rsidRPr="00065898">
              <w:rPr>
                <w:rFonts w:asciiTheme="minorHAnsi" w:hAnsiTheme="minorHAnsi" w:cstheme="minorHAnsi"/>
                <w:b/>
                <w:bCs/>
                <w:i/>
                <w:iCs/>
              </w:rPr>
              <w:t>Capital expenditure</w:t>
            </w:r>
          </w:p>
        </w:tc>
        <w:tc>
          <w:tcPr>
            <w:tcW w:w="2102" w:type="dxa"/>
            <w:tcBorders>
              <w:top w:val="single" w:sz="4" w:space="0" w:color="auto"/>
              <w:bottom w:val="single" w:sz="4" w:space="0" w:color="auto"/>
            </w:tcBorders>
            <w:shd w:val="clear" w:color="auto" w:fill="auto"/>
            <w:noWrap/>
            <w:vAlign w:val="bottom"/>
            <w:hideMark/>
          </w:tcPr>
          <w:p w14:paraId="2FDEEFA6" w14:textId="77777777" w:rsidR="00E41267" w:rsidRPr="003C58FA" w:rsidRDefault="00E41267" w:rsidP="00FB7F0E">
            <w:pPr>
              <w:spacing w:after="0" w:line="240" w:lineRule="auto"/>
              <w:rPr>
                <w:rFonts w:asciiTheme="minorHAnsi" w:hAnsiTheme="minorHAnsi" w:cstheme="minorHAnsi"/>
              </w:rPr>
            </w:pPr>
          </w:p>
        </w:tc>
        <w:tc>
          <w:tcPr>
            <w:tcW w:w="2034" w:type="dxa"/>
            <w:tcBorders>
              <w:top w:val="single" w:sz="4" w:space="0" w:color="auto"/>
              <w:bottom w:val="single" w:sz="4" w:space="0" w:color="auto"/>
            </w:tcBorders>
          </w:tcPr>
          <w:p w14:paraId="169C8E58" w14:textId="77777777" w:rsidR="00E41267" w:rsidRPr="003C58FA" w:rsidRDefault="00E41267" w:rsidP="00FB7F0E">
            <w:pPr>
              <w:spacing w:after="0" w:line="240" w:lineRule="auto"/>
              <w:rPr>
                <w:rFonts w:asciiTheme="minorHAnsi" w:hAnsiTheme="minorHAnsi" w:cstheme="minorHAnsi"/>
                <w:sz w:val="20"/>
              </w:rPr>
            </w:pPr>
          </w:p>
        </w:tc>
        <w:tc>
          <w:tcPr>
            <w:tcW w:w="1133" w:type="dxa"/>
            <w:gridSpan w:val="2"/>
            <w:tcBorders>
              <w:top w:val="single" w:sz="4" w:space="0" w:color="auto"/>
              <w:bottom w:val="single" w:sz="4" w:space="0" w:color="auto"/>
            </w:tcBorders>
            <w:shd w:val="clear" w:color="auto" w:fill="auto"/>
            <w:noWrap/>
            <w:vAlign w:val="bottom"/>
            <w:hideMark/>
          </w:tcPr>
          <w:p w14:paraId="0F0D940C" w14:textId="77777777" w:rsidR="00E41267" w:rsidRPr="003C58FA" w:rsidRDefault="00E41267" w:rsidP="00FB7F0E">
            <w:pPr>
              <w:spacing w:after="0" w:line="240" w:lineRule="auto"/>
              <w:rPr>
                <w:rFonts w:asciiTheme="minorHAnsi" w:hAnsiTheme="minorHAnsi" w:cstheme="minorHAnsi"/>
                <w:sz w:val="20"/>
              </w:rPr>
            </w:pPr>
          </w:p>
        </w:tc>
        <w:tc>
          <w:tcPr>
            <w:tcW w:w="5004" w:type="dxa"/>
            <w:tcBorders>
              <w:top w:val="single" w:sz="4" w:space="0" w:color="auto"/>
              <w:bottom w:val="single" w:sz="4" w:space="0" w:color="auto"/>
              <w:right w:val="single" w:sz="4" w:space="0" w:color="auto"/>
            </w:tcBorders>
            <w:shd w:val="clear" w:color="auto" w:fill="auto"/>
            <w:noWrap/>
            <w:vAlign w:val="bottom"/>
            <w:hideMark/>
          </w:tcPr>
          <w:p w14:paraId="16F54E2E" w14:textId="77777777" w:rsidR="00E41267" w:rsidRPr="003C58FA" w:rsidRDefault="00E41267" w:rsidP="00FB7F0E">
            <w:pPr>
              <w:spacing w:after="0" w:line="240" w:lineRule="auto"/>
              <w:rPr>
                <w:rFonts w:asciiTheme="minorHAnsi" w:hAnsiTheme="minorHAnsi" w:cstheme="minorHAnsi"/>
                <w:sz w:val="20"/>
              </w:rPr>
            </w:pPr>
          </w:p>
        </w:tc>
      </w:tr>
      <w:tr w:rsidR="00E41267" w:rsidRPr="003C58FA" w14:paraId="1370FF5A"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AE2CF" w14:textId="77777777" w:rsidR="00E41267" w:rsidRPr="003C58FA" w:rsidRDefault="00E41267" w:rsidP="0050478F">
            <w:pPr>
              <w:spacing w:after="0" w:line="240" w:lineRule="auto"/>
              <w:ind w:left="306"/>
              <w:jc w:val="left"/>
              <w:rPr>
                <w:rFonts w:asciiTheme="minorHAnsi" w:hAnsiTheme="minorHAnsi" w:cstheme="minorHAnsi"/>
              </w:rPr>
            </w:pPr>
            <w:r>
              <w:rPr>
                <w:rFonts w:asciiTheme="minorHAnsi" w:hAnsiTheme="minorHAnsi" w:cstheme="minorHAnsi"/>
              </w:rPr>
              <w:t>Upgrades</w:t>
            </w:r>
            <w:r w:rsidRPr="003C58FA">
              <w:rPr>
                <w:rFonts w:asciiTheme="minorHAnsi" w:hAnsiTheme="minorHAnsi" w:cstheme="minorHAnsi"/>
              </w:rPr>
              <w:t xml:space="preserve"> </w:t>
            </w:r>
            <w:r>
              <w:rPr>
                <w:rFonts w:asciiTheme="minorHAnsi" w:hAnsiTheme="minorHAnsi" w:cstheme="minorHAnsi"/>
              </w:rPr>
              <w:t>to existing</w:t>
            </w:r>
            <w:r w:rsidRPr="003C58FA">
              <w:rPr>
                <w:rFonts w:asciiTheme="minorHAnsi" w:hAnsiTheme="minorHAnsi" w:cstheme="minorHAnsi"/>
              </w:rPr>
              <w:t xml:space="preserve"> properties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BFAC4" w14:textId="77777777" w:rsidR="00E41267" w:rsidRPr="003C58FA" w:rsidRDefault="00E41267" w:rsidP="00FB7F0E">
            <w:pPr>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154FE355" w14:textId="77777777" w:rsidR="00E41267" w:rsidRPr="003C58FA" w:rsidRDefault="00E41267" w:rsidP="00FB7F0E">
            <w:pPr>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0FB36" w14:textId="77777777" w:rsidR="00E41267" w:rsidRPr="003C58FA" w:rsidRDefault="00E41267" w:rsidP="00FB7F0E">
            <w:pPr>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21D75" w14:textId="77777777" w:rsidR="00E41267" w:rsidRPr="003C58FA" w:rsidRDefault="00E41267" w:rsidP="00FB7F0E">
            <w:pPr>
              <w:spacing w:after="0" w:line="240" w:lineRule="auto"/>
              <w:rPr>
                <w:rFonts w:asciiTheme="minorHAnsi" w:hAnsiTheme="minorHAnsi" w:cstheme="minorHAnsi"/>
                <w:sz w:val="20"/>
              </w:rPr>
            </w:pPr>
          </w:p>
        </w:tc>
      </w:tr>
      <w:tr w:rsidR="00E41267" w:rsidRPr="003C58FA" w14:paraId="1473ACD3"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0DE1C" w14:textId="77777777" w:rsidR="00E41267" w:rsidRDefault="00E41267" w:rsidP="0050478F">
            <w:pPr>
              <w:spacing w:after="0" w:line="240" w:lineRule="auto"/>
              <w:ind w:left="306"/>
              <w:jc w:val="left"/>
              <w:rPr>
                <w:rFonts w:asciiTheme="minorHAnsi" w:hAnsiTheme="minorHAnsi" w:cstheme="minorHAnsi"/>
              </w:rPr>
            </w:pPr>
            <w:r>
              <w:rPr>
                <w:rFonts w:asciiTheme="minorHAnsi" w:hAnsiTheme="minorHAnsi" w:cstheme="minorHAnsi"/>
              </w:rPr>
              <w:t>Renewals (replacing old with new homes)</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5BDC6" w14:textId="77777777" w:rsidR="00E41267" w:rsidRPr="003C58FA" w:rsidRDefault="00E41267" w:rsidP="00FB7F0E">
            <w:pPr>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795E3A74" w14:textId="77777777" w:rsidR="00E41267" w:rsidRPr="003C58FA" w:rsidRDefault="00E41267" w:rsidP="00FB7F0E">
            <w:pPr>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F57911" w14:textId="77777777" w:rsidR="00E41267" w:rsidRPr="003C58FA" w:rsidRDefault="00E41267" w:rsidP="00FB7F0E">
            <w:pPr>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23DA5" w14:textId="77777777" w:rsidR="00E41267" w:rsidRPr="003C58FA" w:rsidRDefault="00E41267" w:rsidP="00FB7F0E">
            <w:pPr>
              <w:spacing w:after="0" w:line="240" w:lineRule="auto"/>
              <w:rPr>
                <w:rFonts w:asciiTheme="minorHAnsi" w:hAnsiTheme="minorHAnsi" w:cstheme="minorHAnsi"/>
                <w:sz w:val="20"/>
              </w:rPr>
            </w:pPr>
          </w:p>
        </w:tc>
      </w:tr>
      <w:tr w:rsidR="00E41267" w:rsidRPr="003C58FA" w14:paraId="402716E1"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9D1E0" w14:textId="77777777" w:rsidR="00E41267" w:rsidRPr="003C58FA" w:rsidRDefault="00E41267" w:rsidP="0050478F">
            <w:pPr>
              <w:spacing w:after="0" w:line="240" w:lineRule="auto"/>
              <w:ind w:left="306"/>
              <w:jc w:val="left"/>
              <w:rPr>
                <w:rFonts w:asciiTheme="minorHAnsi" w:hAnsiTheme="minorHAnsi" w:cstheme="minorHAnsi"/>
              </w:rPr>
            </w:pPr>
            <w:r>
              <w:rPr>
                <w:rFonts w:asciiTheme="minorHAnsi" w:hAnsiTheme="minorHAnsi" w:cstheme="minorHAnsi"/>
              </w:rPr>
              <w:t>C</w:t>
            </w:r>
            <w:r w:rsidRPr="003C58FA">
              <w:rPr>
                <w:rFonts w:asciiTheme="minorHAnsi" w:hAnsiTheme="minorHAnsi" w:cstheme="minorHAnsi"/>
              </w:rPr>
              <w:t>apital grants and subsidies</w:t>
            </w:r>
            <w:r>
              <w:rPr>
                <w:rFonts w:asciiTheme="minorHAnsi" w:hAnsiTheme="minorHAnsi" w:cstheme="minorHAnsi"/>
              </w:rPr>
              <w:t>*</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55331" w14:textId="77777777" w:rsidR="00E41267" w:rsidRPr="003C58FA" w:rsidRDefault="00E41267" w:rsidP="00FB7F0E">
            <w:pPr>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62457051" w14:textId="77777777" w:rsidR="00E41267" w:rsidRPr="003C58FA" w:rsidRDefault="00E41267" w:rsidP="00FB7F0E">
            <w:pPr>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2B463" w14:textId="77777777" w:rsidR="00E41267" w:rsidRPr="003C58FA" w:rsidRDefault="00E41267" w:rsidP="00FB7F0E">
            <w:pPr>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EEF17" w14:textId="77777777" w:rsidR="00E41267" w:rsidRPr="003C58FA" w:rsidRDefault="00E41267" w:rsidP="00FB7F0E">
            <w:pPr>
              <w:spacing w:after="0" w:line="240" w:lineRule="auto"/>
              <w:rPr>
                <w:rFonts w:asciiTheme="minorHAnsi" w:hAnsiTheme="minorHAnsi" w:cstheme="minorHAnsi"/>
                <w:sz w:val="20"/>
              </w:rPr>
            </w:pPr>
          </w:p>
        </w:tc>
      </w:tr>
      <w:tr w:rsidR="00E41267" w:rsidRPr="003C58FA" w14:paraId="67F862FB"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58131" w14:textId="77777777" w:rsidR="00E41267" w:rsidRDefault="00E41267" w:rsidP="0050478F">
            <w:pPr>
              <w:spacing w:after="0" w:line="240" w:lineRule="auto"/>
              <w:ind w:left="306"/>
              <w:jc w:val="left"/>
              <w:rPr>
                <w:rFonts w:asciiTheme="minorHAnsi" w:hAnsiTheme="minorHAnsi" w:cstheme="minorHAnsi"/>
              </w:rPr>
            </w:pPr>
            <w:r>
              <w:rPr>
                <w:rFonts w:asciiTheme="minorHAnsi" w:hAnsiTheme="minorHAnsi" w:cstheme="minorHAnsi"/>
              </w:rPr>
              <w:t>Acquisition costs [please specify]</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A0B46" w14:textId="77777777" w:rsidR="00E41267" w:rsidRPr="003C58FA" w:rsidRDefault="00E41267" w:rsidP="00FB7F0E">
            <w:pPr>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476F2112" w14:textId="77777777" w:rsidR="00E41267" w:rsidRPr="003C58FA" w:rsidRDefault="00E41267" w:rsidP="00FB7F0E">
            <w:pPr>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548290" w14:textId="77777777" w:rsidR="00E41267" w:rsidRPr="003C58FA" w:rsidRDefault="00E41267" w:rsidP="00FB7F0E">
            <w:pPr>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18BAD" w14:textId="77777777" w:rsidR="00E41267" w:rsidRPr="003C58FA" w:rsidRDefault="00E41267" w:rsidP="00FB7F0E">
            <w:pPr>
              <w:spacing w:after="0" w:line="240" w:lineRule="auto"/>
              <w:rPr>
                <w:rFonts w:asciiTheme="minorHAnsi" w:hAnsiTheme="minorHAnsi" w:cstheme="minorHAnsi"/>
                <w:sz w:val="20"/>
              </w:rPr>
            </w:pPr>
          </w:p>
        </w:tc>
      </w:tr>
      <w:tr w:rsidR="00E41267" w:rsidRPr="003C58FA" w14:paraId="0D9ED8A4"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A3031" w14:textId="77777777" w:rsidR="00E41267" w:rsidRPr="00065898" w:rsidRDefault="00E41267" w:rsidP="0050478F">
            <w:pPr>
              <w:spacing w:after="0" w:line="240" w:lineRule="auto"/>
              <w:ind w:left="164"/>
              <w:jc w:val="left"/>
              <w:rPr>
                <w:rFonts w:asciiTheme="minorHAnsi" w:hAnsiTheme="minorHAnsi" w:cstheme="minorHAnsi"/>
                <w:i/>
                <w:iCs/>
              </w:rPr>
            </w:pPr>
            <w:r w:rsidRPr="00065898">
              <w:rPr>
                <w:rFonts w:asciiTheme="minorHAnsi" w:hAnsiTheme="minorHAnsi" w:cstheme="minorHAnsi"/>
                <w:i/>
                <w:iCs/>
              </w:rPr>
              <w:t>Total capital expenditure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7AF0E" w14:textId="77777777" w:rsidR="00E41267" w:rsidRPr="003C58FA" w:rsidRDefault="00E41267" w:rsidP="00FB7F0E">
            <w:pPr>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6AA36B19" w14:textId="77777777" w:rsidR="00E41267" w:rsidRPr="003C58FA" w:rsidRDefault="00E41267" w:rsidP="00FB7F0E">
            <w:pPr>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09512" w14:textId="77777777" w:rsidR="00E41267" w:rsidRPr="003C58FA" w:rsidRDefault="00E41267" w:rsidP="00FB7F0E">
            <w:pPr>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3981A" w14:textId="77777777" w:rsidR="00E41267" w:rsidRPr="003C58FA" w:rsidRDefault="00E41267" w:rsidP="00FB7F0E">
            <w:pPr>
              <w:spacing w:after="0" w:line="240" w:lineRule="auto"/>
              <w:rPr>
                <w:rFonts w:asciiTheme="minorHAnsi" w:hAnsiTheme="minorHAnsi" w:cstheme="minorHAnsi"/>
                <w:sz w:val="20"/>
              </w:rPr>
            </w:pPr>
          </w:p>
        </w:tc>
      </w:tr>
      <w:tr w:rsidR="00E41267" w:rsidRPr="003C58FA" w14:paraId="2A0A7F35"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9D216" w14:textId="77777777" w:rsidR="00E41267" w:rsidRPr="003C58FA" w:rsidRDefault="00E41267" w:rsidP="0050478F">
            <w:pPr>
              <w:spacing w:after="0" w:line="240" w:lineRule="auto"/>
              <w:jc w:val="left"/>
              <w:rPr>
                <w:rFonts w:asciiTheme="minorHAnsi" w:hAnsiTheme="minorHAnsi" w:cstheme="minorHAnsi"/>
              </w:rPr>
            </w:pPr>
            <w:r>
              <w:rPr>
                <w:rFonts w:asciiTheme="minorHAnsi" w:hAnsiTheme="minorHAnsi" w:cstheme="minorHAnsi"/>
              </w:rPr>
              <w:t>Other expenditure not included elsewhere e.g. other programs, cross program costs unable to be apportioned [please specify]</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D6CE9" w14:textId="77777777" w:rsidR="00E41267" w:rsidRPr="003C58FA" w:rsidRDefault="00E41267" w:rsidP="00FB7F0E">
            <w:pPr>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43B7F518" w14:textId="77777777" w:rsidR="00E41267" w:rsidRPr="003C58FA" w:rsidRDefault="00E41267" w:rsidP="00FB7F0E">
            <w:pPr>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427A61" w14:textId="77777777" w:rsidR="00E41267" w:rsidRPr="003C58FA" w:rsidRDefault="00E41267" w:rsidP="00FB7F0E">
            <w:pPr>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D9ADB" w14:textId="77777777" w:rsidR="00E41267" w:rsidRPr="003C58FA" w:rsidRDefault="00E41267" w:rsidP="00FB7F0E">
            <w:pPr>
              <w:spacing w:after="0" w:line="240" w:lineRule="auto"/>
              <w:rPr>
                <w:rFonts w:asciiTheme="minorHAnsi" w:hAnsiTheme="minorHAnsi" w:cstheme="minorHAnsi"/>
                <w:sz w:val="20"/>
              </w:rPr>
            </w:pPr>
          </w:p>
        </w:tc>
      </w:tr>
      <w:tr w:rsidR="00C67B59" w:rsidRPr="003C58FA" w14:paraId="22E3AB6C" w14:textId="77777777" w:rsidTr="001066A0">
        <w:trPr>
          <w:trHeight w:val="283"/>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5DDC0" w14:textId="4ED921A5" w:rsidR="00C67B59" w:rsidRDefault="00C67B59" w:rsidP="00C67B59">
            <w:pPr>
              <w:spacing w:after="0" w:line="240" w:lineRule="auto"/>
              <w:jc w:val="left"/>
              <w:rPr>
                <w:rFonts w:asciiTheme="minorHAnsi" w:hAnsiTheme="minorHAnsi" w:cstheme="minorHAnsi"/>
              </w:rPr>
            </w:pPr>
            <w:r w:rsidRPr="00065898">
              <w:rPr>
                <w:rFonts w:asciiTheme="minorHAnsi" w:hAnsiTheme="minorHAnsi" w:cstheme="minorHAnsi"/>
                <w:i/>
                <w:iCs/>
              </w:rPr>
              <w:t>Total social housing expenditure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906EF" w14:textId="77777777" w:rsidR="00C67B59" w:rsidRPr="003C58FA" w:rsidRDefault="00C67B59" w:rsidP="00C67B59">
            <w:pPr>
              <w:spacing w:after="0" w:line="240" w:lineRule="auto"/>
              <w:rPr>
                <w:rFonts w:asciiTheme="minorHAnsi" w:hAnsiTheme="minorHAnsi" w:cstheme="minorHAnsi"/>
              </w:rPr>
            </w:pPr>
          </w:p>
        </w:tc>
        <w:tc>
          <w:tcPr>
            <w:tcW w:w="2034" w:type="dxa"/>
            <w:tcBorders>
              <w:top w:val="single" w:sz="4" w:space="0" w:color="auto"/>
              <w:left w:val="single" w:sz="4" w:space="0" w:color="auto"/>
              <w:bottom w:val="single" w:sz="4" w:space="0" w:color="auto"/>
              <w:right w:val="single" w:sz="4" w:space="0" w:color="auto"/>
            </w:tcBorders>
          </w:tcPr>
          <w:p w14:paraId="22BBE627" w14:textId="77777777" w:rsidR="00C67B59" w:rsidRPr="003C58FA" w:rsidRDefault="00C67B59" w:rsidP="00C67B59">
            <w:pPr>
              <w:spacing w:after="0" w:line="240" w:lineRule="auto"/>
              <w:rPr>
                <w:rFonts w:asciiTheme="minorHAnsi" w:hAnsiTheme="minorHAnsi" w:cstheme="minorHAnsi"/>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792C27" w14:textId="77777777" w:rsidR="00C67B59" w:rsidRPr="003C58FA" w:rsidRDefault="00C67B59" w:rsidP="00C67B59">
            <w:pPr>
              <w:spacing w:after="0" w:line="240" w:lineRule="auto"/>
              <w:rPr>
                <w:rFonts w:asciiTheme="minorHAnsi" w:hAnsiTheme="minorHAnsi" w:cstheme="minorHAnsi"/>
                <w:sz w:val="20"/>
              </w:rPr>
            </w:pP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FA0AB" w14:textId="77777777" w:rsidR="00C67B59" w:rsidRPr="003C58FA" w:rsidRDefault="00C67B59" w:rsidP="00C67B59">
            <w:pPr>
              <w:spacing w:after="0" w:line="240" w:lineRule="auto"/>
              <w:rPr>
                <w:rFonts w:asciiTheme="minorHAnsi" w:hAnsiTheme="minorHAnsi" w:cstheme="minorHAnsi"/>
                <w:sz w:val="20"/>
              </w:rPr>
            </w:pPr>
          </w:p>
        </w:tc>
      </w:tr>
      <w:tr w:rsidR="001066A0" w:rsidRPr="003C58FA" w14:paraId="1033D38D" w14:textId="77777777" w:rsidTr="001066A0">
        <w:trPr>
          <w:trHeight w:val="283"/>
        </w:trPr>
        <w:tc>
          <w:tcPr>
            <w:tcW w:w="9031" w:type="dxa"/>
            <w:gridSpan w:val="3"/>
            <w:tcBorders>
              <w:top w:val="single" w:sz="4" w:space="0" w:color="auto"/>
            </w:tcBorders>
            <w:shd w:val="clear" w:color="auto" w:fill="auto"/>
            <w:noWrap/>
            <w:vAlign w:val="center"/>
          </w:tcPr>
          <w:p w14:paraId="3F01EE1C" w14:textId="18C630DF" w:rsidR="001066A0" w:rsidRPr="003C58FA" w:rsidRDefault="001066A0" w:rsidP="001066A0">
            <w:pPr>
              <w:spacing w:line="240" w:lineRule="auto"/>
              <w:rPr>
                <w:rFonts w:asciiTheme="minorHAnsi" w:hAnsiTheme="minorHAnsi" w:cstheme="minorHAnsi"/>
                <w:sz w:val="20"/>
              </w:rPr>
            </w:pPr>
            <w:r w:rsidRPr="001066A0">
              <w:rPr>
                <w:rFonts w:asciiTheme="minorHAnsi" w:hAnsiTheme="minorHAnsi" w:cstheme="minorHAnsi"/>
                <w:sz w:val="18"/>
                <w:szCs w:val="18"/>
              </w:rPr>
              <w:lastRenderedPageBreak/>
              <w:t>* includes capital grants to non-government service providers for the delivery of social housing services and grants to non-government providers for capital works required for the delivery of social housing services.</w:t>
            </w:r>
            <w:r>
              <w:rPr>
                <w:rFonts w:asciiTheme="minorHAnsi" w:hAnsiTheme="minorHAnsi" w:cstheme="minorHAnsi"/>
                <w:sz w:val="18"/>
                <w:szCs w:val="18"/>
              </w:rPr>
              <w:br/>
            </w:r>
            <w:r w:rsidRPr="001066A0">
              <w:rPr>
                <w:rFonts w:asciiTheme="minorHAnsi" w:hAnsiTheme="minorHAnsi" w:cstheme="minorHAnsi"/>
                <w:sz w:val="18"/>
                <w:szCs w:val="18"/>
              </w:rPr>
              <w:t>** only reported in first SoA, 2024-25.</w:t>
            </w:r>
          </w:p>
        </w:tc>
        <w:tc>
          <w:tcPr>
            <w:tcW w:w="1133" w:type="dxa"/>
            <w:gridSpan w:val="2"/>
            <w:tcBorders>
              <w:top w:val="single" w:sz="4" w:space="0" w:color="auto"/>
            </w:tcBorders>
            <w:shd w:val="clear" w:color="auto" w:fill="auto"/>
            <w:noWrap/>
          </w:tcPr>
          <w:p w14:paraId="48188AB4" w14:textId="77777777" w:rsidR="001066A0" w:rsidRPr="003C58FA" w:rsidRDefault="001066A0" w:rsidP="001066A0">
            <w:pPr>
              <w:spacing w:after="0" w:line="240" w:lineRule="auto"/>
              <w:jc w:val="left"/>
              <w:rPr>
                <w:rFonts w:asciiTheme="minorHAnsi" w:hAnsiTheme="minorHAnsi" w:cstheme="minorHAnsi"/>
                <w:sz w:val="20"/>
              </w:rPr>
            </w:pPr>
          </w:p>
        </w:tc>
        <w:tc>
          <w:tcPr>
            <w:tcW w:w="5004" w:type="dxa"/>
            <w:tcBorders>
              <w:top w:val="single" w:sz="4" w:space="0" w:color="auto"/>
            </w:tcBorders>
            <w:shd w:val="clear" w:color="auto" w:fill="auto"/>
            <w:noWrap/>
          </w:tcPr>
          <w:p w14:paraId="708DEFC2" w14:textId="77777777" w:rsidR="001066A0" w:rsidRPr="003C58FA" w:rsidRDefault="001066A0" w:rsidP="001066A0">
            <w:pPr>
              <w:spacing w:after="0" w:line="240" w:lineRule="auto"/>
              <w:jc w:val="left"/>
              <w:rPr>
                <w:rFonts w:asciiTheme="minorHAnsi" w:hAnsiTheme="minorHAnsi" w:cstheme="minorHAnsi"/>
                <w:sz w:val="20"/>
              </w:rPr>
            </w:pPr>
          </w:p>
        </w:tc>
      </w:tr>
    </w:tbl>
    <w:p w14:paraId="57F0B359" w14:textId="30DD975A" w:rsidR="00E41267" w:rsidRDefault="00E41267" w:rsidP="00F95F3A">
      <w:pPr>
        <w:keepNext/>
        <w:keepLines/>
        <w:rPr>
          <w:rFonts w:asciiTheme="minorHAnsi" w:hAnsiTheme="minorHAnsi" w:cstheme="minorHAnsi"/>
          <w:b/>
          <w:bCs/>
        </w:rPr>
      </w:pPr>
      <w:r>
        <w:rPr>
          <w:rFonts w:asciiTheme="minorHAnsi" w:hAnsiTheme="minorHAnsi" w:cstheme="minorHAnsi"/>
          <w:b/>
          <w:bCs/>
        </w:rPr>
        <w:t xml:space="preserve">Table 1C – </w:t>
      </w:r>
      <w:r w:rsidRPr="00065898">
        <w:rPr>
          <w:rFonts w:asciiTheme="minorHAnsi" w:hAnsiTheme="minorHAnsi" w:cstheme="minorHAnsi"/>
          <w:b/>
          <w:bCs/>
        </w:rPr>
        <w:t>Alternative housing assistance services</w:t>
      </w:r>
    </w:p>
    <w:p w14:paraId="481D2FFA" w14:textId="77777777" w:rsidR="00E41267" w:rsidRDefault="00E41267" w:rsidP="00F95F3A">
      <w:pPr>
        <w:keepNext/>
        <w:keepLines/>
        <w:rPr>
          <w:rFonts w:asciiTheme="minorHAnsi" w:hAnsiTheme="minorHAnsi" w:cstheme="minorHAnsi"/>
          <w:b/>
          <w:bCs/>
        </w:rPr>
      </w:pPr>
      <w:r>
        <w:rPr>
          <w:rFonts w:asciiTheme="minorHAnsi" w:hAnsiTheme="minorHAnsi" w:cstheme="minorHAnsi"/>
        </w:rPr>
        <w:t>These are substitutes for social housing and homelessness services. Therefor entries in this table should not be included in expenditure reporting at Table 1A or 1B.</w:t>
      </w:r>
    </w:p>
    <w:tbl>
      <w:tblPr>
        <w:tblW w:w="16484" w:type="dxa"/>
        <w:tblLook w:val="04A0" w:firstRow="1" w:lastRow="0" w:firstColumn="1" w:lastColumn="0" w:noHBand="0" w:noVBand="1"/>
      </w:tblPr>
      <w:tblGrid>
        <w:gridCol w:w="4248"/>
        <w:gridCol w:w="1843"/>
        <w:gridCol w:w="2002"/>
        <w:gridCol w:w="1843"/>
        <w:gridCol w:w="3283"/>
        <w:gridCol w:w="3265"/>
      </w:tblGrid>
      <w:tr w:rsidR="00E41267" w:rsidRPr="003C58FA" w14:paraId="05951CB8" w14:textId="77777777" w:rsidTr="00FB7F0E">
        <w:trPr>
          <w:gridAfter w:val="1"/>
          <w:wAfter w:w="3283" w:type="dxa"/>
          <w:trHeight w:val="285"/>
        </w:trPr>
        <w:tc>
          <w:tcPr>
            <w:tcW w:w="4248" w:type="dxa"/>
            <w:tcBorders>
              <w:top w:val="single" w:sz="4" w:space="0" w:color="auto"/>
              <w:left w:val="single" w:sz="4" w:space="0" w:color="auto"/>
              <w:right w:val="single" w:sz="4" w:space="0" w:color="auto"/>
            </w:tcBorders>
            <w:shd w:val="clear" w:color="auto" w:fill="auto"/>
            <w:noWrap/>
            <w:vAlign w:val="bottom"/>
            <w:hideMark/>
          </w:tcPr>
          <w:p w14:paraId="22C67113" w14:textId="77777777" w:rsidR="00E41267" w:rsidRPr="003C58FA" w:rsidRDefault="00E41267" w:rsidP="00F95F3A">
            <w:pPr>
              <w:keepNext/>
              <w:keepLines/>
              <w:spacing w:after="0" w:line="240" w:lineRule="auto"/>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CA4EB" w14:textId="77777777" w:rsidR="00E41267" w:rsidRPr="003C58FA" w:rsidRDefault="00E41267" w:rsidP="00F95F3A">
            <w:pPr>
              <w:keepNext/>
              <w:keepLines/>
              <w:spacing w:after="0" w:line="240" w:lineRule="auto"/>
              <w:rPr>
                <w:rFonts w:asciiTheme="minorHAnsi" w:hAnsiTheme="minorHAnsi" w:cstheme="minorHAnsi"/>
                <w:b/>
                <w:bCs/>
              </w:rPr>
            </w:pPr>
            <w:r>
              <w:rPr>
                <w:rFonts w:asciiTheme="minorHAnsi" w:hAnsiTheme="minorHAnsi" w:cstheme="minorHAnsi"/>
                <w:b/>
                <w:bCs/>
              </w:rPr>
              <w:t>B</w:t>
            </w:r>
            <w:r w:rsidRPr="003C58FA">
              <w:rPr>
                <w:rFonts w:asciiTheme="minorHAnsi" w:hAnsiTheme="minorHAnsi" w:cstheme="minorHAnsi"/>
                <w:b/>
                <w:bCs/>
              </w:rPr>
              <w:t>aseline (previous year)</w:t>
            </w:r>
          </w:p>
        </w:tc>
        <w:tc>
          <w:tcPr>
            <w:tcW w:w="1984" w:type="dxa"/>
            <w:tcBorders>
              <w:top w:val="single" w:sz="4" w:space="0" w:color="auto"/>
              <w:left w:val="single" w:sz="4" w:space="0" w:color="auto"/>
              <w:bottom w:val="single" w:sz="4" w:space="0" w:color="auto"/>
              <w:right w:val="single" w:sz="4" w:space="0" w:color="auto"/>
            </w:tcBorders>
            <w:vAlign w:val="bottom"/>
          </w:tcPr>
          <w:p w14:paraId="5E7F9BFE" w14:textId="77777777" w:rsidR="00E41267" w:rsidRDefault="00E41267" w:rsidP="00F95F3A">
            <w:pPr>
              <w:keepNext/>
              <w:keepLines/>
              <w:spacing w:after="0" w:line="240" w:lineRule="auto"/>
              <w:rPr>
                <w:rFonts w:asciiTheme="minorHAnsi" w:hAnsiTheme="minorHAnsi" w:cstheme="minorHAnsi"/>
                <w:b/>
                <w:bCs/>
              </w:rPr>
            </w:pPr>
            <w:r w:rsidRPr="003C58FA">
              <w:rPr>
                <w:rFonts w:asciiTheme="minorHAnsi" w:hAnsiTheme="minorHAnsi" w:cstheme="minorHAnsi"/>
                <w:b/>
                <w:bCs/>
              </w:rPr>
              <w:t>Forecast</w:t>
            </w:r>
            <w:r>
              <w:rPr>
                <w:rFonts w:asciiTheme="minorHAnsi" w:hAnsiTheme="minorHAnsi" w:cstheme="minorHAnsi"/>
                <w:b/>
                <w:bCs/>
              </w:rPr>
              <w:t>/allocated</w:t>
            </w:r>
            <w:r w:rsidRPr="003C58FA">
              <w:rPr>
                <w:rFonts w:asciiTheme="minorHAnsi" w:hAnsiTheme="minorHAnsi" w:cstheme="minorHAnsi"/>
                <w:b/>
                <w:bCs/>
              </w:rPr>
              <w:t xml:space="preserve"> (</w:t>
            </w:r>
            <w:r>
              <w:rPr>
                <w:rFonts w:asciiTheme="minorHAnsi" w:hAnsiTheme="minorHAnsi" w:cstheme="minorHAnsi"/>
                <w:b/>
                <w:bCs/>
              </w:rPr>
              <w:t>current year</w:t>
            </w:r>
            <w:r w:rsidRPr="003C58FA">
              <w:rPr>
                <w:rFonts w:asciiTheme="minorHAnsi" w:hAnsiTheme="minorHAnsi" w:cstheme="minorHAnsi"/>
                <w:b/>
                <w:bCs/>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04A32" w14:textId="77777777" w:rsidR="00E41267" w:rsidRPr="003C58FA" w:rsidRDefault="00E41267" w:rsidP="00F95F3A">
            <w:pPr>
              <w:keepNext/>
              <w:keepLines/>
              <w:spacing w:after="0" w:line="240" w:lineRule="auto"/>
              <w:rPr>
                <w:rFonts w:asciiTheme="minorHAnsi" w:hAnsiTheme="minorHAnsi" w:cstheme="minorHAnsi"/>
                <w:b/>
                <w:bCs/>
              </w:rPr>
            </w:pPr>
            <w:r>
              <w:rPr>
                <w:rFonts w:asciiTheme="minorHAnsi" w:hAnsiTheme="minorHAnsi" w:cstheme="minorHAnsi"/>
                <w:b/>
                <w:bCs/>
              </w:rPr>
              <w:t>A</w:t>
            </w:r>
            <w:r w:rsidRPr="003C58FA">
              <w:rPr>
                <w:rFonts w:asciiTheme="minorHAnsi" w:hAnsiTheme="minorHAnsi" w:cstheme="minorHAnsi"/>
                <w:b/>
                <w:bCs/>
              </w:rPr>
              <w:t>ctual (current year)</w:t>
            </w:r>
          </w:p>
        </w:tc>
        <w:tc>
          <w:tcPr>
            <w:tcW w:w="3283" w:type="dxa"/>
            <w:vMerge w:val="restart"/>
            <w:tcBorders>
              <w:top w:val="single" w:sz="4" w:space="0" w:color="auto"/>
              <w:left w:val="single" w:sz="4" w:space="0" w:color="auto"/>
              <w:right w:val="single" w:sz="4" w:space="0" w:color="auto"/>
            </w:tcBorders>
            <w:shd w:val="clear" w:color="auto" w:fill="auto"/>
            <w:noWrap/>
            <w:vAlign w:val="bottom"/>
          </w:tcPr>
          <w:p w14:paraId="1A7B41B9" w14:textId="77777777" w:rsidR="00E41267" w:rsidRPr="003C58FA" w:rsidRDefault="00E41267" w:rsidP="00F95F3A">
            <w:pPr>
              <w:keepNext/>
              <w:keepLines/>
              <w:spacing w:after="0" w:line="240" w:lineRule="auto"/>
              <w:rPr>
                <w:rFonts w:asciiTheme="minorHAnsi" w:hAnsiTheme="minorHAnsi" w:cstheme="minorHAnsi"/>
                <w:b/>
                <w:bCs/>
              </w:rPr>
            </w:pPr>
            <w:r>
              <w:rPr>
                <w:rFonts w:asciiTheme="minorHAnsi" w:hAnsiTheme="minorHAnsi" w:cstheme="minorHAnsi"/>
                <w:b/>
                <w:bCs/>
              </w:rPr>
              <w:t>Additional context e.g. key changes/reasons for variation between baseline and current year; and allocated and actual expenditure in 2024-25</w:t>
            </w:r>
          </w:p>
        </w:tc>
      </w:tr>
      <w:tr w:rsidR="00E41267" w:rsidRPr="003C58FA" w14:paraId="25348C3B" w14:textId="77777777" w:rsidTr="00FB7F0E">
        <w:trPr>
          <w:trHeight w:val="94"/>
        </w:trPr>
        <w:tc>
          <w:tcPr>
            <w:tcW w:w="4248" w:type="dxa"/>
            <w:tcBorders>
              <w:left w:val="single" w:sz="4" w:space="0" w:color="auto"/>
              <w:right w:val="single" w:sz="4" w:space="0" w:color="auto"/>
            </w:tcBorders>
            <w:shd w:val="clear" w:color="auto" w:fill="auto"/>
            <w:noWrap/>
            <w:vAlign w:val="bottom"/>
          </w:tcPr>
          <w:p w14:paraId="447B6F66" w14:textId="77777777" w:rsidR="00E41267" w:rsidRDefault="00E41267" w:rsidP="00F95F3A">
            <w:pPr>
              <w:keepNext/>
              <w:keepLines/>
              <w:spacing w:after="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D6A81" w14:textId="77777777" w:rsidR="00E41267" w:rsidRPr="003C58FA" w:rsidRDefault="00E41267" w:rsidP="00F95F3A">
            <w:pPr>
              <w:keepNext/>
              <w:keepLines/>
              <w:spacing w:after="0" w:line="240" w:lineRule="auto"/>
              <w:rPr>
                <w:rFonts w:asciiTheme="minorHAnsi" w:hAnsiTheme="minorHAnsi" w:cstheme="minorHAnsi"/>
              </w:rPr>
            </w:pPr>
            <w:r w:rsidRPr="003C58FA">
              <w:rPr>
                <w:rFonts w:asciiTheme="minorHAnsi" w:hAnsiTheme="minorHAnsi" w:cstheme="minorHAnsi"/>
                <w:b/>
                <w:bCs/>
              </w:rPr>
              <w:t>202</w:t>
            </w:r>
            <w:r>
              <w:rPr>
                <w:rFonts w:asciiTheme="minorHAnsi" w:hAnsiTheme="minorHAnsi" w:cstheme="minorHAnsi"/>
                <w:b/>
                <w:bCs/>
              </w:rPr>
              <w:t>3</w:t>
            </w:r>
            <w:r w:rsidRPr="003C58FA">
              <w:rPr>
                <w:rFonts w:asciiTheme="minorHAnsi" w:hAnsiTheme="minorHAnsi" w:cstheme="minorHAnsi"/>
                <w:b/>
                <w:bCs/>
              </w:rPr>
              <w:t>-2</w:t>
            </w:r>
            <w:r>
              <w:rPr>
                <w:rFonts w:asciiTheme="minorHAnsi" w:hAnsiTheme="minorHAnsi" w:cstheme="minorHAnsi"/>
                <w:b/>
                <w:bCs/>
              </w:rPr>
              <w:t>4</w:t>
            </w:r>
          </w:p>
        </w:tc>
        <w:tc>
          <w:tcPr>
            <w:tcW w:w="1984" w:type="dxa"/>
            <w:tcBorders>
              <w:top w:val="single" w:sz="4" w:space="0" w:color="auto"/>
              <w:left w:val="single" w:sz="4" w:space="0" w:color="auto"/>
              <w:bottom w:val="single" w:sz="4" w:space="0" w:color="auto"/>
              <w:right w:val="single" w:sz="4" w:space="0" w:color="auto"/>
            </w:tcBorders>
            <w:vAlign w:val="bottom"/>
          </w:tcPr>
          <w:p w14:paraId="569BB785" w14:textId="77777777" w:rsidR="00E41267" w:rsidRPr="003C58FA" w:rsidRDefault="00E41267" w:rsidP="00F95F3A">
            <w:pPr>
              <w:keepNext/>
              <w:keepLines/>
              <w:spacing w:after="0" w:line="240" w:lineRule="auto"/>
              <w:rPr>
                <w:rFonts w:asciiTheme="minorHAnsi" w:hAnsiTheme="minorHAnsi" w:cstheme="minorHAnsi"/>
                <w:sz w:val="20"/>
              </w:rPr>
            </w:pPr>
            <w:r>
              <w:rPr>
                <w:rFonts w:asciiTheme="minorHAnsi" w:hAnsiTheme="minorHAnsi" w:cstheme="minorHAnsi"/>
                <w:b/>
                <w:bCs/>
              </w:rPr>
              <w:t>2024-25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C4F4C" w14:textId="77777777" w:rsidR="00E41267" w:rsidRPr="003C58FA" w:rsidRDefault="00E41267" w:rsidP="00F95F3A">
            <w:pPr>
              <w:keepNext/>
              <w:keepLines/>
              <w:spacing w:after="0" w:line="240" w:lineRule="auto"/>
              <w:rPr>
                <w:rFonts w:asciiTheme="minorHAnsi" w:hAnsiTheme="minorHAnsi" w:cstheme="minorHAnsi"/>
                <w:sz w:val="20"/>
              </w:rPr>
            </w:pPr>
            <w:r w:rsidRPr="003C58FA">
              <w:rPr>
                <w:rFonts w:asciiTheme="minorHAnsi" w:hAnsiTheme="minorHAnsi" w:cstheme="minorHAnsi"/>
                <w:b/>
                <w:bCs/>
              </w:rPr>
              <w:t>202</w:t>
            </w:r>
            <w:r>
              <w:rPr>
                <w:rFonts w:asciiTheme="minorHAnsi" w:hAnsiTheme="minorHAnsi" w:cstheme="minorHAnsi"/>
                <w:b/>
                <w:bCs/>
              </w:rPr>
              <w:t>4</w:t>
            </w:r>
            <w:r w:rsidRPr="003C58FA">
              <w:rPr>
                <w:rFonts w:asciiTheme="minorHAnsi" w:hAnsiTheme="minorHAnsi" w:cstheme="minorHAnsi"/>
                <w:b/>
                <w:bCs/>
              </w:rPr>
              <w:t>-2</w:t>
            </w:r>
            <w:r>
              <w:rPr>
                <w:rFonts w:asciiTheme="minorHAnsi" w:hAnsiTheme="minorHAnsi" w:cstheme="minorHAnsi"/>
                <w:b/>
                <w:bCs/>
              </w:rPr>
              <w:t>5</w:t>
            </w:r>
          </w:p>
        </w:tc>
        <w:tc>
          <w:tcPr>
            <w:tcW w:w="3283" w:type="dxa"/>
            <w:vMerge/>
            <w:tcBorders>
              <w:left w:val="single" w:sz="4" w:space="0" w:color="auto"/>
              <w:right w:val="single" w:sz="4" w:space="0" w:color="auto"/>
            </w:tcBorders>
            <w:shd w:val="clear" w:color="auto" w:fill="auto"/>
            <w:noWrap/>
            <w:vAlign w:val="bottom"/>
          </w:tcPr>
          <w:p w14:paraId="54DAD240" w14:textId="77777777" w:rsidR="00E41267" w:rsidRPr="003C58FA" w:rsidRDefault="00E41267" w:rsidP="00F95F3A">
            <w:pPr>
              <w:keepNext/>
              <w:keepLines/>
              <w:spacing w:after="0" w:line="240" w:lineRule="auto"/>
              <w:rPr>
                <w:rFonts w:asciiTheme="minorHAnsi" w:hAnsiTheme="minorHAnsi" w:cstheme="minorHAnsi"/>
                <w:sz w:val="20"/>
              </w:rPr>
            </w:pPr>
          </w:p>
        </w:tc>
        <w:tc>
          <w:tcPr>
            <w:tcW w:w="3283" w:type="dxa"/>
            <w:vAlign w:val="bottom"/>
          </w:tcPr>
          <w:p w14:paraId="69C0D191" w14:textId="77777777" w:rsidR="00E41267" w:rsidRPr="003C58FA" w:rsidRDefault="00E41267" w:rsidP="00F95F3A">
            <w:pPr>
              <w:keepNext/>
              <w:keepLines/>
            </w:pPr>
          </w:p>
        </w:tc>
      </w:tr>
      <w:tr w:rsidR="00E41267" w:rsidRPr="003C58FA" w14:paraId="6EF8213C" w14:textId="77777777" w:rsidTr="00FB7F0E">
        <w:trPr>
          <w:trHeight w:val="143"/>
        </w:trPr>
        <w:tc>
          <w:tcPr>
            <w:tcW w:w="4248" w:type="dxa"/>
            <w:tcBorders>
              <w:left w:val="single" w:sz="4" w:space="0" w:color="auto"/>
              <w:bottom w:val="single" w:sz="4" w:space="0" w:color="auto"/>
              <w:right w:val="single" w:sz="4" w:space="0" w:color="auto"/>
            </w:tcBorders>
            <w:shd w:val="clear" w:color="auto" w:fill="auto"/>
            <w:noWrap/>
            <w:vAlign w:val="bottom"/>
          </w:tcPr>
          <w:p w14:paraId="6BF48421" w14:textId="77777777" w:rsidR="00E41267" w:rsidRDefault="00E41267" w:rsidP="00FB7F0E">
            <w:pPr>
              <w:spacing w:after="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DD7E2" w14:textId="77777777" w:rsidR="00E41267" w:rsidRPr="003C58FA" w:rsidRDefault="00E41267" w:rsidP="00FB7F0E">
            <w:pPr>
              <w:spacing w:after="0" w:line="240" w:lineRule="auto"/>
              <w:rPr>
                <w:rFonts w:asciiTheme="minorHAnsi" w:hAnsiTheme="minorHAnsi" w:cstheme="minorHAnsi"/>
              </w:rPr>
            </w:pPr>
            <w:r w:rsidRPr="003C58FA">
              <w:rPr>
                <w:rFonts w:asciiTheme="minorHAnsi" w:hAnsiTheme="minorHAnsi" w:cstheme="minorHAnsi"/>
                <w:b/>
                <w:bCs/>
              </w:rPr>
              <w:t>$m</w:t>
            </w:r>
          </w:p>
        </w:tc>
        <w:tc>
          <w:tcPr>
            <w:tcW w:w="1984" w:type="dxa"/>
            <w:tcBorders>
              <w:top w:val="single" w:sz="4" w:space="0" w:color="auto"/>
              <w:left w:val="single" w:sz="4" w:space="0" w:color="auto"/>
              <w:bottom w:val="single" w:sz="4" w:space="0" w:color="auto"/>
              <w:right w:val="single" w:sz="4" w:space="0" w:color="auto"/>
            </w:tcBorders>
            <w:vAlign w:val="bottom"/>
          </w:tcPr>
          <w:p w14:paraId="5CCFB02C" w14:textId="77777777" w:rsidR="00E41267" w:rsidRPr="003C58FA" w:rsidRDefault="00E41267" w:rsidP="00FB7F0E">
            <w:pPr>
              <w:spacing w:after="0" w:line="240" w:lineRule="auto"/>
              <w:rPr>
                <w:rFonts w:asciiTheme="minorHAnsi" w:hAnsiTheme="minorHAnsi" w:cstheme="minorHAnsi"/>
                <w:sz w:val="20"/>
              </w:rPr>
            </w:pPr>
            <w:r w:rsidRPr="003C58FA">
              <w:rPr>
                <w:rFonts w:asciiTheme="minorHAnsi" w:hAnsiTheme="minorHAnsi" w:cstheme="minorHAnsi"/>
                <w:b/>
                <w:bCs/>
              </w:rPr>
              <w:t>$m</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6753B" w14:textId="77777777" w:rsidR="00E41267" w:rsidRPr="003C58FA" w:rsidRDefault="00E41267" w:rsidP="00FB7F0E">
            <w:pPr>
              <w:spacing w:after="0" w:line="240" w:lineRule="auto"/>
              <w:rPr>
                <w:rFonts w:asciiTheme="minorHAnsi" w:hAnsiTheme="minorHAnsi" w:cstheme="minorHAnsi"/>
                <w:sz w:val="20"/>
              </w:rPr>
            </w:pPr>
            <w:r w:rsidRPr="003C58FA">
              <w:rPr>
                <w:rFonts w:asciiTheme="minorHAnsi" w:hAnsiTheme="minorHAnsi" w:cstheme="minorHAnsi"/>
                <w:b/>
                <w:bCs/>
              </w:rPr>
              <w:t>$m</w:t>
            </w:r>
          </w:p>
        </w:tc>
        <w:tc>
          <w:tcPr>
            <w:tcW w:w="3283" w:type="dxa"/>
            <w:vMerge/>
            <w:tcBorders>
              <w:left w:val="single" w:sz="4" w:space="0" w:color="auto"/>
              <w:bottom w:val="single" w:sz="4" w:space="0" w:color="auto"/>
              <w:right w:val="single" w:sz="4" w:space="0" w:color="auto"/>
            </w:tcBorders>
            <w:shd w:val="clear" w:color="auto" w:fill="auto"/>
            <w:noWrap/>
            <w:vAlign w:val="bottom"/>
          </w:tcPr>
          <w:p w14:paraId="5AEC2BD4" w14:textId="77777777" w:rsidR="00E41267" w:rsidRPr="003C58FA" w:rsidRDefault="00E41267" w:rsidP="00FB7F0E">
            <w:pPr>
              <w:spacing w:after="0" w:line="240" w:lineRule="auto"/>
              <w:rPr>
                <w:rFonts w:asciiTheme="minorHAnsi" w:hAnsiTheme="minorHAnsi" w:cstheme="minorHAnsi"/>
                <w:sz w:val="20"/>
              </w:rPr>
            </w:pPr>
          </w:p>
        </w:tc>
        <w:tc>
          <w:tcPr>
            <w:tcW w:w="3283" w:type="dxa"/>
            <w:vAlign w:val="bottom"/>
          </w:tcPr>
          <w:p w14:paraId="315A443A" w14:textId="77777777" w:rsidR="00E41267" w:rsidRPr="003C58FA" w:rsidRDefault="00E41267" w:rsidP="00FB7F0E"/>
        </w:tc>
      </w:tr>
      <w:tr w:rsidR="00E41267" w:rsidRPr="003C58FA" w14:paraId="3963EE93" w14:textId="77777777" w:rsidTr="00FB7F0E">
        <w:trPr>
          <w:gridAfter w:val="1"/>
          <w:wAfter w:w="3283" w:type="dxa"/>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FF588" w14:textId="77777777" w:rsidR="00E41267" w:rsidRPr="00AD4541" w:rsidRDefault="00E41267" w:rsidP="00FB7F0E">
            <w:pPr>
              <w:spacing w:after="0" w:line="240" w:lineRule="auto"/>
              <w:rPr>
                <w:rFonts w:asciiTheme="minorHAnsi" w:hAnsiTheme="minorHAnsi" w:cstheme="minorHAnsi"/>
                <w:i/>
                <w:iCs/>
              </w:rPr>
            </w:pPr>
            <w:r w:rsidRPr="00AD4541">
              <w:rPr>
                <w:rFonts w:asciiTheme="minorHAnsi" w:hAnsiTheme="minorHAnsi" w:cstheme="minorHAnsi"/>
                <w:i/>
                <w:iCs/>
              </w:rPr>
              <w:t>e.g. state rent assistance services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B2A44" w14:textId="77777777" w:rsidR="00E41267" w:rsidRPr="003C58FA" w:rsidRDefault="00E41267" w:rsidP="00FB7F0E">
            <w:pPr>
              <w:spacing w:after="0" w:line="240" w:lineRule="auto"/>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14:paraId="1E312D99" w14:textId="77777777" w:rsidR="00E41267" w:rsidRPr="003C58FA" w:rsidRDefault="00E41267" w:rsidP="00FB7F0E">
            <w:pPr>
              <w:spacing w:after="0" w:line="240" w:lineRule="auto"/>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F1794" w14:textId="77777777" w:rsidR="00E41267" w:rsidRPr="003C58FA" w:rsidRDefault="00E41267" w:rsidP="00FB7F0E">
            <w:pPr>
              <w:spacing w:after="0" w:line="240" w:lineRule="auto"/>
              <w:rPr>
                <w:rFonts w:asciiTheme="minorHAnsi" w:hAnsiTheme="minorHAnsi" w:cstheme="minorHAnsi"/>
                <w:sz w:val="20"/>
              </w:rPr>
            </w:pP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8702A" w14:textId="77777777" w:rsidR="00E41267" w:rsidRPr="003C58FA" w:rsidRDefault="00E41267" w:rsidP="00FB7F0E">
            <w:pPr>
              <w:spacing w:after="0" w:line="240" w:lineRule="auto"/>
              <w:rPr>
                <w:rFonts w:asciiTheme="minorHAnsi" w:hAnsiTheme="minorHAnsi" w:cstheme="minorHAnsi"/>
                <w:sz w:val="20"/>
              </w:rPr>
            </w:pPr>
          </w:p>
        </w:tc>
      </w:tr>
      <w:tr w:rsidR="00E41267" w:rsidRPr="003C58FA" w14:paraId="7D435C59" w14:textId="77777777" w:rsidTr="00FB7F0E">
        <w:trPr>
          <w:gridAfter w:val="1"/>
          <w:wAfter w:w="3283" w:type="dxa"/>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45C8" w14:textId="77777777" w:rsidR="00E41267" w:rsidRPr="00AD4541" w:rsidRDefault="00E41267" w:rsidP="00FB7F0E">
            <w:pPr>
              <w:spacing w:after="0" w:line="240" w:lineRule="auto"/>
              <w:rPr>
                <w:rFonts w:asciiTheme="minorHAnsi" w:hAnsiTheme="minorHAnsi" w:cstheme="minorHAnsi"/>
                <w:i/>
                <w:iCs/>
              </w:rPr>
            </w:pPr>
            <w:r w:rsidRPr="00AD4541">
              <w:rPr>
                <w:rFonts w:asciiTheme="minorHAnsi" w:hAnsiTheme="minorHAnsi" w:cstheme="minorHAnsi"/>
                <w:i/>
                <w:iCs/>
              </w:rPr>
              <w:t>e.g. tenancy management services not included above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5F555" w14:textId="77777777" w:rsidR="00E41267" w:rsidRPr="003C58FA" w:rsidRDefault="00E41267" w:rsidP="00FB7F0E">
            <w:pPr>
              <w:spacing w:after="0" w:line="240" w:lineRule="auto"/>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14:paraId="24917208" w14:textId="77777777" w:rsidR="00E41267" w:rsidRPr="003C58FA" w:rsidRDefault="00E41267" w:rsidP="00FB7F0E">
            <w:pPr>
              <w:spacing w:after="0" w:line="240" w:lineRule="auto"/>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06090" w14:textId="77777777" w:rsidR="00E41267" w:rsidRPr="003C58FA" w:rsidRDefault="00E41267" w:rsidP="00FB7F0E">
            <w:pPr>
              <w:spacing w:after="0" w:line="240" w:lineRule="auto"/>
              <w:rPr>
                <w:rFonts w:asciiTheme="minorHAnsi" w:hAnsiTheme="minorHAnsi" w:cstheme="minorHAnsi"/>
                <w:sz w:val="20"/>
              </w:rPr>
            </w:pP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57557" w14:textId="77777777" w:rsidR="00E41267" w:rsidRPr="003C58FA" w:rsidRDefault="00E41267" w:rsidP="00FB7F0E">
            <w:pPr>
              <w:spacing w:after="0" w:line="240" w:lineRule="auto"/>
              <w:rPr>
                <w:rFonts w:asciiTheme="minorHAnsi" w:hAnsiTheme="minorHAnsi" w:cstheme="minorHAnsi"/>
                <w:sz w:val="20"/>
              </w:rPr>
            </w:pPr>
          </w:p>
        </w:tc>
      </w:tr>
      <w:tr w:rsidR="00E41267" w:rsidRPr="003C58FA" w14:paraId="50BF156F" w14:textId="77777777" w:rsidTr="00FB7F0E">
        <w:trPr>
          <w:gridAfter w:val="1"/>
          <w:wAfter w:w="3283" w:type="dxa"/>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AC90E" w14:textId="77777777" w:rsidR="00E41267" w:rsidRPr="00AD4541" w:rsidRDefault="00E41267" w:rsidP="00FB7F0E">
            <w:pPr>
              <w:spacing w:after="0" w:line="240" w:lineRule="auto"/>
              <w:rPr>
                <w:rFonts w:asciiTheme="minorHAnsi" w:hAnsiTheme="minorHAnsi" w:cstheme="minorHAnsi"/>
                <w:i/>
                <w:iCs/>
              </w:rPr>
            </w:pPr>
            <w:r w:rsidRPr="00AD4541">
              <w:rPr>
                <w:rFonts w:asciiTheme="minorHAnsi" w:hAnsiTheme="minorHAnsi" w:cstheme="minorHAnsi"/>
                <w:i/>
                <w:iCs/>
              </w:rPr>
              <w:t>e.g. affordable housing</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FE858" w14:textId="77777777" w:rsidR="00E41267" w:rsidRPr="003C58FA" w:rsidRDefault="00E41267" w:rsidP="00FB7F0E">
            <w:pPr>
              <w:spacing w:after="0" w:line="240" w:lineRule="auto"/>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14:paraId="2CC12BAC" w14:textId="77777777" w:rsidR="00E41267" w:rsidRPr="003C58FA" w:rsidRDefault="00E41267" w:rsidP="00FB7F0E">
            <w:pPr>
              <w:spacing w:after="0" w:line="240" w:lineRule="auto"/>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525B4" w14:textId="77777777" w:rsidR="00E41267" w:rsidRPr="003C58FA" w:rsidRDefault="00E41267" w:rsidP="00FB7F0E">
            <w:pPr>
              <w:spacing w:after="0" w:line="240" w:lineRule="auto"/>
              <w:rPr>
                <w:rFonts w:asciiTheme="minorHAnsi" w:hAnsiTheme="minorHAnsi" w:cstheme="minorHAnsi"/>
                <w:sz w:val="20"/>
              </w:rPr>
            </w:pP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4110F" w14:textId="77777777" w:rsidR="00E41267" w:rsidRPr="003C58FA" w:rsidRDefault="00E41267" w:rsidP="00FB7F0E">
            <w:pPr>
              <w:spacing w:after="0" w:line="240" w:lineRule="auto"/>
              <w:rPr>
                <w:rFonts w:asciiTheme="minorHAnsi" w:hAnsiTheme="minorHAnsi" w:cstheme="minorHAnsi"/>
                <w:sz w:val="20"/>
              </w:rPr>
            </w:pPr>
          </w:p>
        </w:tc>
      </w:tr>
      <w:tr w:rsidR="00E41267" w:rsidRPr="003C58FA" w14:paraId="7B35A0EA" w14:textId="77777777" w:rsidTr="00FB7F0E">
        <w:trPr>
          <w:gridAfter w:val="1"/>
          <w:wAfter w:w="3283" w:type="dxa"/>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62AE0" w14:textId="77777777" w:rsidR="00E41267" w:rsidRPr="00AD4541" w:rsidRDefault="00E41267" w:rsidP="00FB7F0E">
            <w:pPr>
              <w:spacing w:after="0" w:line="240" w:lineRule="auto"/>
              <w:rPr>
                <w:rFonts w:asciiTheme="minorHAnsi" w:hAnsiTheme="minorHAnsi" w:cstheme="minorHAnsi"/>
                <w:i/>
                <w:iCs/>
              </w:rPr>
            </w:pPr>
            <w:r w:rsidRPr="00AD4541">
              <w:rPr>
                <w:rFonts w:asciiTheme="minorHAnsi" w:hAnsiTheme="minorHAnsi" w:cstheme="minorHAnsi"/>
                <w:i/>
                <w:iCs/>
              </w:rPr>
              <w:t xml:space="preserve">e.g. Headleasing services not included above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7AE42" w14:textId="77777777" w:rsidR="00E41267" w:rsidRPr="003C58FA" w:rsidRDefault="00E41267" w:rsidP="00FB7F0E">
            <w:pPr>
              <w:spacing w:after="0" w:line="240" w:lineRule="auto"/>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14:paraId="597526D7" w14:textId="77777777" w:rsidR="00E41267" w:rsidRPr="003C58FA" w:rsidRDefault="00E41267" w:rsidP="00FB7F0E">
            <w:pPr>
              <w:spacing w:after="0" w:line="240" w:lineRule="auto"/>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FF286" w14:textId="77777777" w:rsidR="00E41267" w:rsidRPr="003C58FA" w:rsidRDefault="00E41267" w:rsidP="00FB7F0E">
            <w:pPr>
              <w:spacing w:after="0" w:line="240" w:lineRule="auto"/>
              <w:rPr>
                <w:rFonts w:asciiTheme="minorHAnsi" w:hAnsiTheme="minorHAnsi" w:cstheme="minorHAnsi"/>
                <w:sz w:val="20"/>
              </w:rPr>
            </w:pP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7F883" w14:textId="77777777" w:rsidR="00E41267" w:rsidRPr="003C58FA" w:rsidRDefault="00E41267" w:rsidP="00FB7F0E">
            <w:pPr>
              <w:spacing w:after="0" w:line="240" w:lineRule="auto"/>
              <w:rPr>
                <w:rFonts w:asciiTheme="minorHAnsi" w:hAnsiTheme="minorHAnsi" w:cstheme="minorHAnsi"/>
                <w:sz w:val="20"/>
              </w:rPr>
            </w:pPr>
          </w:p>
        </w:tc>
      </w:tr>
      <w:tr w:rsidR="00E41267" w:rsidRPr="003C58FA" w14:paraId="13D69888" w14:textId="77777777" w:rsidTr="00FB7F0E">
        <w:trPr>
          <w:gridAfter w:val="1"/>
          <w:wAfter w:w="3283" w:type="dxa"/>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B1D5A" w14:textId="77777777" w:rsidR="00E41267" w:rsidRPr="003A51A1" w:rsidRDefault="00E41267" w:rsidP="00FB7F0E">
            <w:pPr>
              <w:spacing w:after="0" w:line="240" w:lineRule="auto"/>
              <w:rPr>
                <w:rFonts w:asciiTheme="minorHAnsi" w:hAnsiTheme="minorHAnsi" w:cstheme="minorHAnsi"/>
                <w:i/>
                <w:iCs/>
              </w:rPr>
            </w:pPr>
            <w:r w:rsidRPr="003A51A1">
              <w:rPr>
                <w:rFonts w:asciiTheme="minorHAnsi" w:hAnsiTheme="minorHAnsi" w:cstheme="minorHAnsi"/>
                <w:i/>
                <w:iCs/>
              </w:rPr>
              <w:t xml:space="preserve">Total </w:t>
            </w:r>
            <w:r>
              <w:rPr>
                <w:rFonts w:asciiTheme="minorHAnsi" w:hAnsiTheme="minorHAnsi" w:cstheme="minorHAnsi"/>
                <w:i/>
                <w:iCs/>
              </w:rPr>
              <w:t xml:space="preserve">expenditure on </w:t>
            </w:r>
            <w:r w:rsidRPr="003A51A1">
              <w:rPr>
                <w:rFonts w:asciiTheme="minorHAnsi" w:hAnsiTheme="minorHAnsi" w:cstheme="minorHAnsi"/>
                <w:i/>
                <w:iCs/>
              </w:rPr>
              <w:t>alternative housing assistance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1F8B6" w14:textId="77777777" w:rsidR="00E41267" w:rsidRPr="003C58FA" w:rsidRDefault="00E41267" w:rsidP="00FB7F0E">
            <w:pPr>
              <w:spacing w:after="0" w:line="240" w:lineRule="auto"/>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14:paraId="16BF30FE" w14:textId="77777777" w:rsidR="00E41267" w:rsidRPr="003C58FA" w:rsidRDefault="00E41267" w:rsidP="00FB7F0E">
            <w:pPr>
              <w:spacing w:after="0" w:line="240" w:lineRule="auto"/>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72FB4" w14:textId="77777777" w:rsidR="00E41267" w:rsidRPr="003C58FA" w:rsidRDefault="00E41267" w:rsidP="00FB7F0E">
            <w:pPr>
              <w:spacing w:after="0" w:line="240" w:lineRule="auto"/>
              <w:rPr>
                <w:rFonts w:asciiTheme="minorHAnsi" w:hAnsiTheme="minorHAnsi" w:cstheme="minorHAnsi"/>
                <w:sz w:val="20"/>
              </w:rPr>
            </w:pP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DE568" w14:textId="77777777" w:rsidR="00E41267" w:rsidRPr="003C58FA" w:rsidRDefault="00E41267" w:rsidP="00FB7F0E">
            <w:pPr>
              <w:spacing w:after="0" w:line="240" w:lineRule="auto"/>
              <w:rPr>
                <w:rFonts w:asciiTheme="minorHAnsi" w:hAnsiTheme="minorHAnsi" w:cstheme="minorHAnsi"/>
                <w:sz w:val="20"/>
              </w:rPr>
            </w:pPr>
          </w:p>
        </w:tc>
      </w:tr>
    </w:tbl>
    <w:p w14:paraId="2AA65367" w14:textId="77777777" w:rsidR="00E41267" w:rsidRDefault="00E41267" w:rsidP="00E41267">
      <w:pPr>
        <w:rPr>
          <w:rFonts w:asciiTheme="minorHAnsi" w:hAnsiTheme="minorHAnsi" w:cstheme="minorHAnsi"/>
          <w:b/>
          <w:bCs/>
        </w:rPr>
      </w:pPr>
    </w:p>
    <w:p w14:paraId="49DA6086" w14:textId="77777777" w:rsidR="00E41267" w:rsidRPr="003C58FA" w:rsidRDefault="00E41267" w:rsidP="00E41267">
      <w:pPr>
        <w:keepNext/>
        <w:keepLines/>
        <w:rPr>
          <w:rFonts w:asciiTheme="minorHAnsi" w:hAnsiTheme="minorHAnsi" w:cstheme="minorHAnsi"/>
          <w:b/>
          <w:bCs/>
        </w:rPr>
      </w:pPr>
      <w:r>
        <w:rPr>
          <w:rFonts w:asciiTheme="minorHAnsi" w:hAnsiTheme="minorHAnsi" w:cstheme="minorHAnsi"/>
          <w:b/>
          <w:bCs/>
        </w:rPr>
        <w:lastRenderedPageBreak/>
        <w:t>Ta</w:t>
      </w:r>
      <w:r w:rsidRPr="003C58FA">
        <w:rPr>
          <w:rFonts w:asciiTheme="minorHAnsi" w:hAnsiTheme="minorHAnsi" w:cstheme="minorHAnsi"/>
          <w:b/>
          <w:bCs/>
        </w:rPr>
        <w:t xml:space="preserve">ble 2 – </w:t>
      </w:r>
      <w:r>
        <w:rPr>
          <w:rFonts w:asciiTheme="minorHAnsi" w:hAnsiTheme="minorHAnsi" w:cstheme="minorHAnsi"/>
          <w:b/>
          <w:bCs/>
        </w:rPr>
        <w:t>Social Housing and homelessness program information (activities and o</w:t>
      </w:r>
      <w:r w:rsidRPr="003C58FA">
        <w:rPr>
          <w:rFonts w:asciiTheme="minorHAnsi" w:hAnsiTheme="minorHAnsi" w:cstheme="minorHAnsi"/>
          <w:b/>
          <w:bCs/>
        </w:rPr>
        <w:t>utputs</w:t>
      </w:r>
      <w:r>
        <w:rPr>
          <w:rFonts w:asciiTheme="minorHAnsi" w:hAnsiTheme="minorHAnsi" w:cstheme="minorHAnsi"/>
          <w:b/>
          <w:bCs/>
        </w:rPr>
        <w:t>)</w:t>
      </w:r>
      <w:r w:rsidRPr="003C58FA">
        <w:rPr>
          <w:rFonts w:asciiTheme="minorHAnsi" w:hAnsiTheme="minorHAnsi" w:cstheme="minorHAnsi"/>
          <w:b/>
          <w:bCs/>
        </w:rPr>
        <w:t xml:space="preserve"> </w:t>
      </w:r>
    </w:p>
    <w:tbl>
      <w:tblPr>
        <w:tblW w:w="12401" w:type="dxa"/>
        <w:tblLook w:val="04A0" w:firstRow="1" w:lastRow="0" w:firstColumn="1" w:lastColumn="0" w:noHBand="0" w:noVBand="1"/>
      </w:tblPr>
      <w:tblGrid>
        <w:gridCol w:w="1813"/>
        <w:gridCol w:w="3017"/>
        <w:gridCol w:w="1378"/>
        <w:gridCol w:w="1262"/>
        <w:gridCol w:w="1378"/>
        <w:gridCol w:w="1397"/>
        <w:gridCol w:w="2391"/>
      </w:tblGrid>
      <w:tr w:rsidR="00E41267" w14:paraId="7BF2138E" w14:textId="77777777" w:rsidTr="00FB7F0E">
        <w:trPr>
          <w:trHeight w:val="660"/>
        </w:trPr>
        <w:tc>
          <w:tcPr>
            <w:tcW w:w="4572" w:type="dxa"/>
            <w:gridSpan w:val="2"/>
            <w:vMerge w:val="restart"/>
            <w:tcBorders>
              <w:top w:val="single" w:sz="4" w:space="0" w:color="auto"/>
              <w:left w:val="single" w:sz="4" w:space="0" w:color="auto"/>
              <w:bottom w:val="nil"/>
              <w:right w:val="single" w:sz="4" w:space="0" w:color="auto"/>
            </w:tcBorders>
            <w:noWrap/>
            <w:vAlign w:val="bottom"/>
            <w:hideMark/>
          </w:tcPr>
          <w:p w14:paraId="71A3E6F7" w14:textId="77777777" w:rsidR="00E41267" w:rsidRDefault="00E41267" w:rsidP="00FB7F0E">
            <w:pPr>
              <w:keepNext/>
              <w:keepLines/>
              <w:spacing w:after="0"/>
              <w:rPr>
                <w:rFonts w:asciiTheme="minorHAnsi" w:hAnsiTheme="minorHAnsi" w:cstheme="minorHAnsi"/>
                <w:b/>
                <w:bCs/>
              </w:rPr>
            </w:pPr>
          </w:p>
        </w:tc>
        <w:tc>
          <w:tcPr>
            <w:tcW w:w="2663" w:type="dxa"/>
            <w:gridSpan w:val="2"/>
            <w:tcBorders>
              <w:top w:val="single" w:sz="4" w:space="0" w:color="auto"/>
              <w:left w:val="single" w:sz="4" w:space="0" w:color="auto"/>
              <w:bottom w:val="nil"/>
              <w:right w:val="single" w:sz="4" w:space="0" w:color="auto"/>
            </w:tcBorders>
            <w:vAlign w:val="bottom"/>
          </w:tcPr>
          <w:p w14:paraId="37E08C64" w14:textId="77777777" w:rsidR="00E41267" w:rsidRDefault="00E41267" w:rsidP="00FB7F0E">
            <w:pPr>
              <w:keepNext/>
              <w:keepLines/>
              <w:spacing w:after="0" w:line="240" w:lineRule="auto"/>
              <w:rPr>
                <w:rFonts w:asciiTheme="minorHAnsi" w:hAnsiTheme="minorHAnsi" w:cstheme="minorHAnsi"/>
                <w:b/>
                <w:bCs/>
              </w:rPr>
            </w:pPr>
            <w:r>
              <w:rPr>
                <w:rFonts w:asciiTheme="minorHAnsi" w:hAnsiTheme="minorHAnsi" w:cstheme="minorHAnsi"/>
                <w:b/>
                <w:bCs/>
              </w:rPr>
              <w:t xml:space="preserve">Actual (current year) </w:t>
            </w:r>
          </w:p>
          <w:p w14:paraId="3C769924" w14:textId="77777777" w:rsidR="00E41267" w:rsidRDefault="00E41267" w:rsidP="00FB7F0E">
            <w:pPr>
              <w:keepNext/>
              <w:keepLines/>
              <w:spacing w:after="0" w:line="240" w:lineRule="auto"/>
              <w:rPr>
                <w:rFonts w:asciiTheme="minorHAnsi" w:hAnsiTheme="minorHAnsi" w:cstheme="minorHAnsi"/>
                <w:b/>
                <w:bCs/>
              </w:rPr>
            </w:pPr>
            <w:r>
              <w:rPr>
                <w:rFonts w:asciiTheme="minorHAnsi" w:hAnsiTheme="minorHAnsi" w:cstheme="minorHAnsi"/>
                <w:b/>
                <w:bCs/>
              </w:rPr>
              <w:t>2024-25</w:t>
            </w:r>
          </w:p>
        </w:tc>
        <w:tc>
          <w:tcPr>
            <w:tcW w:w="2775" w:type="dxa"/>
            <w:gridSpan w:val="2"/>
            <w:tcBorders>
              <w:top w:val="single" w:sz="4" w:space="0" w:color="auto"/>
              <w:left w:val="single" w:sz="4" w:space="0" w:color="auto"/>
              <w:bottom w:val="nil"/>
              <w:right w:val="single" w:sz="4" w:space="0" w:color="auto"/>
            </w:tcBorders>
            <w:noWrap/>
            <w:vAlign w:val="bottom"/>
            <w:hideMark/>
          </w:tcPr>
          <w:p w14:paraId="2CDDD87D" w14:textId="77777777" w:rsidR="00E41267" w:rsidRDefault="00E41267" w:rsidP="00FB7F0E">
            <w:pPr>
              <w:keepNext/>
              <w:keepLines/>
              <w:spacing w:after="0" w:line="240" w:lineRule="auto"/>
              <w:rPr>
                <w:rFonts w:asciiTheme="minorHAnsi" w:hAnsiTheme="minorHAnsi" w:cstheme="minorHAnsi"/>
                <w:b/>
                <w:bCs/>
              </w:rPr>
            </w:pPr>
            <w:r>
              <w:rPr>
                <w:rFonts w:asciiTheme="minorHAnsi" w:hAnsiTheme="minorHAnsi" w:cstheme="minorHAnsi"/>
                <w:b/>
                <w:bCs/>
              </w:rPr>
              <w:t>Forecast (Total)</w:t>
            </w:r>
          </w:p>
          <w:p w14:paraId="55C70827" w14:textId="77777777" w:rsidR="00E41267" w:rsidRDefault="00E41267" w:rsidP="00FB7F0E">
            <w:pPr>
              <w:keepNext/>
              <w:keepLines/>
              <w:spacing w:after="0" w:line="240" w:lineRule="auto"/>
              <w:rPr>
                <w:rFonts w:asciiTheme="minorHAnsi" w:hAnsiTheme="minorHAnsi" w:cstheme="minorHAnsi"/>
                <w:b/>
                <w:bCs/>
              </w:rPr>
            </w:pPr>
          </w:p>
        </w:tc>
        <w:tc>
          <w:tcPr>
            <w:tcW w:w="2391" w:type="dxa"/>
            <w:vMerge w:val="restart"/>
            <w:tcBorders>
              <w:top w:val="single" w:sz="4" w:space="0" w:color="auto"/>
              <w:left w:val="single" w:sz="4" w:space="0" w:color="auto"/>
              <w:bottom w:val="nil"/>
              <w:right w:val="single" w:sz="4" w:space="0" w:color="auto"/>
            </w:tcBorders>
            <w:noWrap/>
            <w:vAlign w:val="bottom"/>
            <w:hideMark/>
          </w:tcPr>
          <w:p w14:paraId="4F90AAB7" w14:textId="77777777" w:rsidR="00E41267" w:rsidRDefault="00E41267" w:rsidP="00FB7F0E">
            <w:pPr>
              <w:keepNext/>
              <w:keepLines/>
              <w:spacing w:after="0" w:line="240" w:lineRule="auto"/>
              <w:rPr>
                <w:rFonts w:asciiTheme="minorHAnsi" w:hAnsiTheme="minorHAnsi" w:cstheme="minorHAnsi"/>
                <w:b/>
                <w:bCs/>
              </w:rPr>
            </w:pPr>
            <w:r>
              <w:rPr>
                <w:rFonts w:asciiTheme="minorHAnsi" w:hAnsiTheme="minorHAnsi" w:cstheme="minorHAnsi"/>
                <w:b/>
                <w:bCs/>
              </w:rPr>
              <w:t>Outcome Reference and Progress</w:t>
            </w:r>
          </w:p>
        </w:tc>
      </w:tr>
      <w:tr w:rsidR="00E41267" w14:paraId="69D4C65B" w14:textId="77777777" w:rsidTr="00FB7F0E">
        <w:trPr>
          <w:trHeight w:val="434"/>
        </w:trPr>
        <w:tc>
          <w:tcPr>
            <w:tcW w:w="4572" w:type="dxa"/>
            <w:gridSpan w:val="2"/>
            <w:vMerge/>
            <w:tcBorders>
              <w:left w:val="single" w:sz="4" w:space="0" w:color="auto"/>
              <w:bottom w:val="single" w:sz="4" w:space="0" w:color="auto"/>
              <w:right w:val="single" w:sz="4" w:space="0" w:color="auto"/>
            </w:tcBorders>
            <w:shd w:val="clear" w:color="auto" w:fill="auto"/>
            <w:noWrap/>
          </w:tcPr>
          <w:p w14:paraId="10E53011" w14:textId="77777777" w:rsidR="00E41267" w:rsidRDefault="00E41267" w:rsidP="00FB7F0E">
            <w:pPr>
              <w:keepNext/>
              <w:keepLines/>
              <w:spacing w:after="0"/>
              <w:rPr>
                <w:rFonts w:asciiTheme="minorHAnsi" w:hAnsiTheme="minorHAnsi" w:cstheme="minorHAnsi"/>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4371AADB" w14:textId="77777777" w:rsidR="00E41267" w:rsidRPr="001B2A1D" w:rsidRDefault="00E41267" w:rsidP="00FB7F0E">
            <w:pPr>
              <w:keepNext/>
              <w:keepLines/>
              <w:spacing w:after="0" w:line="240" w:lineRule="auto"/>
              <w:rPr>
                <w:rFonts w:asciiTheme="minorHAnsi" w:hAnsiTheme="minorHAnsi" w:cstheme="minorHAnsi"/>
                <w:b/>
                <w:bCs/>
              </w:rPr>
            </w:pPr>
            <w:r w:rsidRPr="001B2A1D">
              <w:rPr>
                <w:rFonts w:asciiTheme="minorHAnsi" w:hAnsiTheme="minorHAnsi" w:cstheme="minorHAnsi"/>
                <w:b/>
                <w:bCs/>
              </w:rPr>
              <w:t>Expenditure</w:t>
            </w:r>
          </w:p>
        </w:tc>
        <w:tc>
          <w:tcPr>
            <w:tcW w:w="1336" w:type="dxa"/>
            <w:tcBorders>
              <w:top w:val="single" w:sz="4" w:space="0" w:color="auto"/>
              <w:left w:val="single" w:sz="4" w:space="0" w:color="auto"/>
              <w:bottom w:val="single" w:sz="4" w:space="0" w:color="auto"/>
              <w:right w:val="single" w:sz="4" w:space="0" w:color="auto"/>
            </w:tcBorders>
          </w:tcPr>
          <w:p w14:paraId="7AB4739D" w14:textId="77777777" w:rsidR="00E41267" w:rsidRPr="001B2A1D" w:rsidRDefault="00E41267" w:rsidP="00FB7F0E">
            <w:pPr>
              <w:keepNext/>
              <w:keepLines/>
              <w:spacing w:after="0"/>
              <w:rPr>
                <w:rFonts w:asciiTheme="minorHAnsi" w:hAnsiTheme="minorHAnsi" w:cstheme="minorHAnsi"/>
                <w:b/>
                <w:bCs/>
              </w:rPr>
            </w:pPr>
            <w:r w:rsidRPr="001B2A1D">
              <w:rPr>
                <w:rFonts w:asciiTheme="minorHAnsi" w:hAnsiTheme="minorHAnsi" w:cstheme="minorHAnsi"/>
                <w:b/>
                <w:bCs/>
              </w:rPr>
              <w:t xml:space="preserve">Outputs </w:t>
            </w:r>
          </w:p>
        </w:tc>
        <w:tc>
          <w:tcPr>
            <w:tcW w:w="1369" w:type="dxa"/>
            <w:tcBorders>
              <w:top w:val="single" w:sz="4" w:space="0" w:color="auto"/>
              <w:left w:val="single" w:sz="4" w:space="0" w:color="auto"/>
              <w:bottom w:val="single" w:sz="4" w:space="0" w:color="auto"/>
              <w:right w:val="single" w:sz="4" w:space="0" w:color="auto"/>
            </w:tcBorders>
            <w:shd w:val="clear" w:color="auto" w:fill="auto"/>
            <w:noWrap/>
          </w:tcPr>
          <w:p w14:paraId="77C448FD" w14:textId="77777777" w:rsidR="00E41267" w:rsidRPr="001B2A1D" w:rsidRDefault="00E41267" w:rsidP="00FB7F0E">
            <w:pPr>
              <w:keepNext/>
              <w:keepLines/>
              <w:spacing w:after="0"/>
              <w:rPr>
                <w:rFonts w:asciiTheme="minorHAnsi" w:hAnsiTheme="minorHAnsi" w:cstheme="minorHAnsi"/>
                <w:b/>
                <w:bCs/>
              </w:rPr>
            </w:pPr>
            <w:r w:rsidRPr="001B2A1D">
              <w:rPr>
                <w:rFonts w:asciiTheme="minorHAnsi" w:hAnsiTheme="minorHAnsi" w:cstheme="minorHAnsi"/>
                <w:b/>
                <w:bCs/>
              </w:rPr>
              <w:t>Expenditure</w:t>
            </w:r>
          </w:p>
        </w:tc>
        <w:tc>
          <w:tcPr>
            <w:tcW w:w="1406" w:type="dxa"/>
            <w:tcBorders>
              <w:top w:val="single" w:sz="4" w:space="0" w:color="auto"/>
              <w:left w:val="single" w:sz="4" w:space="0" w:color="auto"/>
              <w:bottom w:val="single" w:sz="4" w:space="0" w:color="auto"/>
              <w:right w:val="single" w:sz="4" w:space="0" w:color="auto"/>
            </w:tcBorders>
          </w:tcPr>
          <w:p w14:paraId="403114F6" w14:textId="77777777" w:rsidR="00E41267" w:rsidRPr="001B2A1D" w:rsidRDefault="00E41267" w:rsidP="00FB7F0E">
            <w:pPr>
              <w:keepNext/>
              <w:keepLines/>
              <w:spacing w:after="0"/>
              <w:rPr>
                <w:rFonts w:asciiTheme="minorHAnsi" w:hAnsiTheme="minorHAnsi" w:cstheme="minorHAnsi"/>
                <w:b/>
                <w:bCs/>
              </w:rPr>
            </w:pPr>
            <w:r w:rsidRPr="001B2A1D">
              <w:rPr>
                <w:rFonts w:asciiTheme="minorHAnsi" w:hAnsiTheme="minorHAnsi" w:cstheme="minorHAnsi"/>
                <w:b/>
                <w:bCs/>
              </w:rPr>
              <w:t xml:space="preserve">Outputs </w:t>
            </w:r>
          </w:p>
        </w:tc>
        <w:tc>
          <w:tcPr>
            <w:tcW w:w="2391" w:type="dxa"/>
            <w:vMerge/>
            <w:tcBorders>
              <w:left w:val="single" w:sz="4" w:space="0" w:color="auto"/>
              <w:bottom w:val="single" w:sz="4" w:space="0" w:color="auto"/>
              <w:right w:val="single" w:sz="4" w:space="0" w:color="auto"/>
            </w:tcBorders>
            <w:shd w:val="clear" w:color="auto" w:fill="auto"/>
            <w:noWrap/>
          </w:tcPr>
          <w:p w14:paraId="35FDEF5E" w14:textId="77777777" w:rsidR="00E41267" w:rsidRPr="001B2A1D" w:rsidRDefault="00E41267" w:rsidP="00FB7F0E">
            <w:pPr>
              <w:keepNext/>
              <w:keepLines/>
              <w:spacing w:after="0"/>
              <w:rPr>
                <w:rFonts w:asciiTheme="minorHAnsi" w:hAnsiTheme="minorHAnsi" w:cstheme="minorHAnsi"/>
                <w:b/>
                <w:bCs/>
              </w:rPr>
            </w:pPr>
          </w:p>
        </w:tc>
      </w:tr>
      <w:tr w:rsidR="00E41267" w14:paraId="36A84284" w14:textId="77777777" w:rsidTr="00FB7F0E">
        <w:trPr>
          <w:trHeight w:val="488"/>
        </w:trPr>
        <w:tc>
          <w:tcPr>
            <w:tcW w:w="155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22CA8FC4" w14:textId="77777777" w:rsidR="00E41267" w:rsidRDefault="00E41267" w:rsidP="00FB7F0E">
            <w:pPr>
              <w:keepNext/>
              <w:keepLines/>
              <w:spacing w:after="0" w:line="240" w:lineRule="auto"/>
              <w:rPr>
                <w:rFonts w:asciiTheme="minorHAnsi" w:hAnsiTheme="minorHAnsi" w:cstheme="minorHAnsi"/>
              </w:rPr>
            </w:pPr>
            <w:r>
              <w:rPr>
                <w:rFonts w:asciiTheme="minorHAnsi" w:hAnsiTheme="minorHAnsi" w:cstheme="minorHAnsi"/>
                <w:b/>
                <w:bCs/>
              </w:rPr>
              <w:t>Program/Project Name</w:t>
            </w:r>
          </w:p>
        </w:tc>
        <w:tc>
          <w:tcPr>
            <w:tcW w:w="3017" w:type="dxa"/>
            <w:tcBorders>
              <w:top w:val="single" w:sz="4" w:space="0" w:color="auto"/>
              <w:left w:val="nil"/>
              <w:bottom w:val="single" w:sz="4" w:space="0" w:color="auto"/>
              <w:right w:val="nil"/>
            </w:tcBorders>
            <w:shd w:val="clear" w:color="auto" w:fill="D9D9D9" w:themeFill="background1" w:themeFillShade="D9"/>
            <w:noWrap/>
            <w:vAlign w:val="bottom"/>
            <w:hideMark/>
          </w:tcPr>
          <w:p w14:paraId="4FFA0B99" w14:textId="77777777" w:rsidR="00E41267" w:rsidRDefault="00E41267" w:rsidP="00FB7F0E">
            <w:pPr>
              <w:keepNext/>
              <w:keepLines/>
              <w:spacing w:after="0"/>
              <w:rPr>
                <w:rFonts w:asciiTheme="minorHAnsi" w:hAnsiTheme="minorHAnsi" w:cstheme="minorHAnsi"/>
              </w:rPr>
            </w:pPr>
            <w:r w:rsidRPr="001B2A1D">
              <w:rPr>
                <w:rFonts w:asciiTheme="minorHAnsi" w:hAnsiTheme="minorHAnsi" w:cstheme="minorHAnsi"/>
                <w:b/>
                <w:bCs/>
              </w:rPr>
              <w:t>Description</w:t>
            </w:r>
          </w:p>
        </w:tc>
        <w:tc>
          <w:tcPr>
            <w:tcW w:w="1327" w:type="dxa"/>
            <w:tcBorders>
              <w:top w:val="single" w:sz="4" w:space="0" w:color="auto"/>
              <w:left w:val="nil"/>
              <w:bottom w:val="single" w:sz="4" w:space="0" w:color="auto"/>
              <w:right w:val="nil"/>
            </w:tcBorders>
            <w:shd w:val="clear" w:color="auto" w:fill="D9D9D9" w:themeFill="background1" w:themeFillShade="D9"/>
          </w:tcPr>
          <w:p w14:paraId="469BCBAA" w14:textId="77777777" w:rsidR="00E41267" w:rsidRDefault="00E41267" w:rsidP="00FB7F0E">
            <w:pPr>
              <w:keepNext/>
              <w:keepLines/>
              <w:spacing w:after="0" w:line="240" w:lineRule="auto"/>
              <w:rPr>
                <w:rFonts w:asciiTheme="minorHAnsi" w:hAnsiTheme="minorHAnsi" w:cstheme="minorHAnsi"/>
                <w:sz w:val="20"/>
              </w:rPr>
            </w:pPr>
          </w:p>
        </w:tc>
        <w:tc>
          <w:tcPr>
            <w:tcW w:w="1336" w:type="dxa"/>
            <w:tcBorders>
              <w:top w:val="single" w:sz="4" w:space="0" w:color="auto"/>
              <w:left w:val="nil"/>
              <w:bottom w:val="single" w:sz="4" w:space="0" w:color="auto"/>
              <w:right w:val="nil"/>
            </w:tcBorders>
            <w:shd w:val="clear" w:color="auto" w:fill="D9D9D9" w:themeFill="background1" w:themeFillShade="D9"/>
          </w:tcPr>
          <w:p w14:paraId="61E125DA" w14:textId="77777777" w:rsidR="00E41267" w:rsidRDefault="00E41267" w:rsidP="00FB7F0E">
            <w:pPr>
              <w:keepNext/>
              <w:keepLines/>
              <w:spacing w:after="0"/>
              <w:rPr>
                <w:rFonts w:asciiTheme="minorHAnsi" w:hAnsiTheme="minorHAnsi" w:cstheme="minorHAnsi"/>
                <w:sz w:val="20"/>
              </w:rPr>
            </w:pPr>
          </w:p>
        </w:tc>
        <w:tc>
          <w:tcPr>
            <w:tcW w:w="1369" w:type="dxa"/>
            <w:tcBorders>
              <w:top w:val="single" w:sz="4" w:space="0" w:color="auto"/>
              <w:left w:val="nil"/>
              <w:bottom w:val="single" w:sz="4" w:space="0" w:color="auto"/>
              <w:right w:val="nil"/>
            </w:tcBorders>
            <w:shd w:val="clear" w:color="auto" w:fill="D9D9D9" w:themeFill="background1" w:themeFillShade="D9"/>
            <w:noWrap/>
            <w:vAlign w:val="bottom"/>
            <w:hideMark/>
          </w:tcPr>
          <w:p w14:paraId="15760805" w14:textId="77777777" w:rsidR="00E41267" w:rsidRDefault="00E41267" w:rsidP="00FB7F0E">
            <w:pPr>
              <w:keepNext/>
              <w:keepLines/>
              <w:spacing w:after="0"/>
              <w:rPr>
                <w:rFonts w:asciiTheme="minorHAnsi" w:hAnsiTheme="minorHAnsi" w:cstheme="minorHAnsi"/>
                <w:sz w:val="20"/>
              </w:rPr>
            </w:pPr>
          </w:p>
        </w:tc>
        <w:tc>
          <w:tcPr>
            <w:tcW w:w="1406" w:type="dxa"/>
            <w:tcBorders>
              <w:top w:val="single" w:sz="4" w:space="0" w:color="auto"/>
              <w:left w:val="nil"/>
              <w:bottom w:val="single" w:sz="4" w:space="0" w:color="auto"/>
              <w:right w:val="nil"/>
            </w:tcBorders>
            <w:shd w:val="clear" w:color="auto" w:fill="D9D9D9" w:themeFill="background1" w:themeFillShade="D9"/>
          </w:tcPr>
          <w:p w14:paraId="6C1E69E7" w14:textId="77777777" w:rsidR="00E41267" w:rsidRDefault="00E41267" w:rsidP="00FB7F0E">
            <w:pPr>
              <w:keepNext/>
              <w:keepLines/>
              <w:spacing w:after="0"/>
              <w:rPr>
                <w:rFonts w:asciiTheme="minorHAnsi" w:hAnsiTheme="minorHAnsi"/>
                <w:sz w:val="20"/>
              </w:rPr>
            </w:pPr>
          </w:p>
        </w:tc>
        <w:tc>
          <w:tcPr>
            <w:tcW w:w="239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5D1A4B3" w14:textId="77777777" w:rsidR="00E41267" w:rsidRDefault="00E41267" w:rsidP="00FB7F0E">
            <w:pPr>
              <w:keepNext/>
              <w:keepLines/>
              <w:spacing w:after="0"/>
              <w:rPr>
                <w:rFonts w:asciiTheme="minorHAnsi" w:hAnsiTheme="minorHAnsi"/>
                <w:sz w:val="20"/>
              </w:rPr>
            </w:pPr>
          </w:p>
        </w:tc>
      </w:tr>
      <w:tr w:rsidR="00E41267" w14:paraId="5297DEEF" w14:textId="77777777" w:rsidTr="00FB7F0E">
        <w:trPr>
          <w:trHeight w:val="285"/>
        </w:trPr>
        <w:tc>
          <w:tcPr>
            <w:tcW w:w="1555" w:type="dxa"/>
            <w:tcBorders>
              <w:top w:val="single" w:sz="4" w:space="0" w:color="auto"/>
              <w:left w:val="single" w:sz="4" w:space="0" w:color="auto"/>
              <w:bottom w:val="single" w:sz="4" w:space="0" w:color="auto"/>
              <w:right w:val="single" w:sz="4" w:space="0" w:color="auto"/>
            </w:tcBorders>
            <w:noWrap/>
            <w:hideMark/>
          </w:tcPr>
          <w:p w14:paraId="700C9379" w14:textId="04217359" w:rsidR="00E41267" w:rsidRPr="00F176F2" w:rsidRDefault="009867ED" w:rsidP="00FB7F0E">
            <w:pPr>
              <w:keepNext/>
              <w:keepLines/>
              <w:spacing w:after="0" w:line="240" w:lineRule="auto"/>
              <w:ind w:left="306"/>
              <w:rPr>
                <w:rFonts w:asciiTheme="minorHAnsi" w:hAnsiTheme="minorHAnsi" w:cstheme="minorHAnsi"/>
                <w:i/>
                <w:iCs/>
              </w:rPr>
            </w:pPr>
            <w:r w:rsidRPr="00F176F2">
              <w:rPr>
                <w:rFonts w:asciiTheme="minorHAnsi" w:hAnsiTheme="minorHAnsi" w:cstheme="minorHAnsi"/>
                <w:i/>
                <w:iCs/>
              </w:rPr>
              <w:t>e.g.</w:t>
            </w:r>
            <w:r w:rsidR="00E41267" w:rsidRPr="00F176F2">
              <w:rPr>
                <w:rFonts w:asciiTheme="minorHAnsi" w:hAnsiTheme="minorHAnsi" w:cstheme="minorHAnsi"/>
                <w:i/>
                <w:iCs/>
              </w:rPr>
              <w:t xml:space="preserve"> Housing First Pilot Program</w:t>
            </w:r>
          </w:p>
        </w:tc>
        <w:tc>
          <w:tcPr>
            <w:tcW w:w="3017" w:type="dxa"/>
            <w:tcBorders>
              <w:top w:val="single" w:sz="4" w:space="0" w:color="auto"/>
              <w:left w:val="single" w:sz="4" w:space="0" w:color="auto"/>
              <w:bottom w:val="single" w:sz="4" w:space="0" w:color="auto"/>
              <w:right w:val="single" w:sz="4" w:space="0" w:color="auto"/>
            </w:tcBorders>
            <w:noWrap/>
          </w:tcPr>
          <w:p w14:paraId="2D827AC6" w14:textId="77777777" w:rsidR="00E41267" w:rsidRPr="00F176F2" w:rsidRDefault="00E41267" w:rsidP="00FB7F0E">
            <w:pPr>
              <w:keepNext/>
              <w:keepLines/>
              <w:spacing w:after="0" w:line="240" w:lineRule="auto"/>
              <w:rPr>
                <w:rFonts w:asciiTheme="minorHAnsi" w:hAnsiTheme="minorHAnsi" w:cstheme="minorHAnsi"/>
                <w:i/>
                <w:iCs/>
              </w:rPr>
            </w:pPr>
            <w:r>
              <w:rPr>
                <w:rFonts w:asciiTheme="minorHAnsi" w:hAnsiTheme="minorHAnsi" w:cstheme="minorHAnsi"/>
                <w:i/>
                <w:iCs/>
              </w:rPr>
              <w:t>The Housing First Pilot program aims to provide safe and secure housing for people with high and complex needs experiencing persistent homelessness.</w:t>
            </w:r>
          </w:p>
        </w:tc>
        <w:tc>
          <w:tcPr>
            <w:tcW w:w="1327" w:type="dxa"/>
            <w:tcBorders>
              <w:top w:val="single" w:sz="4" w:space="0" w:color="auto"/>
              <w:left w:val="single" w:sz="4" w:space="0" w:color="auto"/>
              <w:bottom w:val="single" w:sz="4" w:space="0" w:color="auto"/>
              <w:right w:val="single" w:sz="4" w:space="0" w:color="auto"/>
            </w:tcBorders>
          </w:tcPr>
          <w:p w14:paraId="01ACD47A" w14:textId="77777777" w:rsidR="00E41267" w:rsidRPr="001B2A1D" w:rsidRDefault="00E41267" w:rsidP="00FB7F0E">
            <w:pPr>
              <w:keepNext/>
              <w:keepLines/>
              <w:spacing w:after="0" w:line="240" w:lineRule="auto"/>
              <w:rPr>
                <w:rFonts w:asciiTheme="minorHAnsi" w:hAnsiTheme="minorHAnsi" w:cstheme="minorHAnsi"/>
                <w:i/>
                <w:iCs/>
              </w:rPr>
            </w:pPr>
            <w:r w:rsidRPr="001B2A1D">
              <w:rPr>
                <w:rFonts w:asciiTheme="minorHAnsi" w:hAnsiTheme="minorHAnsi" w:cstheme="minorHAnsi"/>
                <w:i/>
                <w:iCs/>
              </w:rPr>
              <w:t>$x,xxx,xxx</w:t>
            </w:r>
          </w:p>
        </w:tc>
        <w:tc>
          <w:tcPr>
            <w:tcW w:w="1336" w:type="dxa"/>
            <w:tcBorders>
              <w:top w:val="single" w:sz="4" w:space="0" w:color="auto"/>
              <w:left w:val="single" w:sz="4" w:space="0" w:color="auto"/>
              <w:bottom w:val="single" w:sz="4" w:space="0" w:color="auto"/>
              <w:right w:val="single" w:sz="4" w:space="0" w:color="auto"/>
            </w:tcBorders>
          </w:tcPr>
          <w:p w14:paraId="5E5FF7ED" w14:textId="77777777" w:rsidR="00E41267" w:rsidRPr="001B2A1D" w:rsidRDefault="00E41267" w:rsidP="00FB7F0E">
            <w:pPr>
              <w:keepNext/>
              <w:keepLines/>
              <w:spacing w:after="0" w:line="240" w:lineRule="auto"/>
              <w:rPr>
                <w:rFonts w:asciiTheme="minorHAnsi" w:hAnsiTheme="minorHAnsi" w:cstheme="minorHAnsi"/>
                <w:i/>
                <w:iCs/>
              </w:rPr>
            </w:pPr>
            <w:r w:rsidRPr="001B2A1D">
              <w:rPr>
                <w:rFonts w:asciiTheme="minorHAnsi" w:hAnsiTheme="minorHAnsi" w:cstheme="minorHAnsi"/>
                <w:i/>
                <w:iCs/>
              </w:rPr>
              <w:t>Permanent homes for 20 rough sleepers with complex needs</w:t>
            </w:r>
          </w:p>
        </w:tc>
        <w:tc>
          <w:tcPr>
            <w:tcW w:w="1369" w:type="dxa"/>
            <w:tcBorders>
              <w:top w:val="single" w:sz="4" w:space="0" w:color="auto"/>
              <w:left w:val="single" w:sz="4" w:space="0" w:color="auto"/>
              <w:bottom w:val="single" w:sz="4" w:space="0" w:color="auto"/>
              <w:right w:val="single" w:sz="4" w:space="0" w:color="auto"/>
            </w:tcBorders>
            <w:noWrap/>
          </w:tcPr>
          <w:p w14:paraId="22B7345D" w14:textId="77777777" w:rsidR="00E41267" w:rsidRPr="001B2A1D" w:rsidRDefault="00E41267" w:rsidP="00FB7F0E">
            <w:pPr>
              <w:keepNext/>
              <w:keepLines/>
              <w:spacing w:after="0" w:line="240" w:lineRule="auto"/>
              <w:rPr>
                <w:rFonts w:asciiTheme="minorHAnsi" w:hAnsiTheme="minorHAnsi" w:cstheme="minorHAnsi"/>
                <w:i/>
                <w:iCs/>
              </w:rPr>
            </w:pPr>
            <w:r w:rsidRPr="001B2A1D">
              <w:rPr>
                <w:rFonts w:asciiTheme="minorHAnsi" w:hAnsiTheme="minorHAnsi" w:cstheme="minorHAnsi"/>
                <w:i/>
                <w:iCs/>
              </w:rPr>
              <w:t>$xx,xxx,xxx</w:t>
            </w:r>
            <w:r>
              <w:rPr>
                <w:rFonts w:asciiTheme="minorHAnsi" w:hAnsiTheme="minorHAnsi" w:cstheme="minorHAnsi"/>
                <w:i/>
                <w:iCs/>
              </w:rPr>
              <w:t xml:space="preserve"> over 5 years</w:t>
            </w:r>
          </w:p>
        </w:tc>
        <w:tc>
          <w:tcPr>
            <w:tcW w:w="1406" w:type="dxa"/>
            <w:tcBorders>
              <w:top w:val="single" w:sz="4" w:space="0" w:color="auto"/>
              <w:left w:val="single" w:sz="4" w:space="0" w:color="auto"/>
              <w:bottom w:val="single" w:sz="4" w:space="0" w:color="auto"/>
              <w:right w:val="single" w:sz="4" w:space="0" w:color="auto"/>
            </w:tcBorders>
          </w:tcPr>
          <w:p w14:paraId="6960A887" w14:textId="77777777" w:rsidR="00E41267" w:rsidRPr="001B2A1D" w:rsidRDefault="00E41267" w:rsidP="00FB7F0E">
            <w:pPr>
              <w:keepNext/>
              <w:keepLines/>
              <w:spacing w:after="0" w:line="240" w:lineRule="auto"/>
              <w:rPr>
                <w:rFonts w:asciiTheme="minorHAnsi" w:hAnsiTheme="minorHAnsi" w:cstheme="minorHAnsi"/>
                <w:i/>
                <w:iCs/>
              </w:rPr>
            </w:pPr>
            <w:r w:rsidRPr="001B2A1D">
              <w:rPr>
                <w:rFonts w:asciiTheme="minorHAnsi" w:hAnsiTheme="minorHAnsi" w:cstheme="minorHAnsi"/>
                <w:i/>
                <w:iCs/>
              </w:rPr>
              <w:t>Permanent homes for 100 rough sleepers with complex needs</w:t>
            </w:r>
          </w:p>
        </w:tc>
        <w:tc>
          <w:tcPr>
            <w:tcW w:w="2391" w:type="dxa"/>
            <w:tcBorders>
              <w:top w:val="single" w:sz="4" w:space="0" w:color="auto"/>
              <w:left w:val="single" w:sz="4" w:space="0" w:color="auto"/>
              <w:bottom w:val="single" w:sz="4" w:space="0" w:color="auto"/>
              <w:right w:val="single" w:sz="4" w:space="0" w:color="auto"/>
            </w:tcBorders>
            <w:noWrap/>
          </w:tcPr>
          <w:p w14:paraId="3C2E2D97" w14:textId="77777777" w:rsidR="00E41267" w:rsidRPr="001B2A1D" w:rsidRDefault="00E41267" w:rsidP="00FB7F0E">
            <w:pPr>
              <w:keepNext/>
              <w:keepLines/>
              <w:spacing w:after="0" w:line="240" w:lineRule="auto"/>
              <w:rPr>
                <w:rFonts w:asciiTheme="minorHAnsi" w:hAnsiTheme="minorHAnsi" w:cstheme="minorHAnsi"/>
                <w:i/>
                <w:iCs/>
              </w:rPr>
            </w:pPr>
          </w:p>
        </w:tc>
      </w:tr>
      <w:tr w:rsidR="00E41267" w14:paraId="3E7EA7AB" w14:textId="77777777" w:rsidTr="00FB7F0E">
        <w:trPr>
          <w:trHeight w:val="285"/>
        </w:trPr>
        <w:tc>
          <w:tcPr>
            <w:tcW w:w="1555" w:type="dxa"/>
            <w:tcBorders>
              <w:top w:val="single" w:sz="4" w:space="0" w:color="auto"/>
              <w:left w:val="single" w:sz="4" w:space="0" w:color="auto"/>
              <w:bottom w:val="single" w:sz="4" w:space="0" w:color="auto"/>
              <w:right w:val="single" w:sz="4" w:space="0" w:color="auto"/>
            </w:tcBorders>
            <w:noWrap/>
          </w:tcPr>
          <w:p w14:paraId="275051F0" w14:textId="77777777" w:rsidR="00E41267" w:rsidRPr="00F176F2" w:rsidRDefault="00E41267" w:rsidP="00FB7F0E">
            <w:pPr>
              <w:keepNext/>
              <w:keepLines/>
              <w:spacing w:after="0" w:line="240" w:lineRule="auto"/>
              <w:ind w:left="306"/>
              <w:rPr>
                <w:rFonts w:asciiTheme="minorHAnsi" w:hAnsiTheme="minorHAnsi" w:cstheme="minorHAnsi"/>
                <w:i/>
                <w:iCs/>
              </w:rPr>
            </w:pPr>
            <w:r>
              <w:rPr>
                <w:rFonts w:asciiTheme="minorHAnsi" w:hAnsiTheme="minorHAnsi" w:cstheme="minorHAnsi"/>
                <w:i/>
                <w:iCs/>
              </w:rPr>
              <w:t>e.g. Public Housing repairs and maintenance program</w:t>
            </w:r>
          </w:p>
        </w:tc>
        <w:tc>
          <w:tcPr>
            <w:tcW w:w="3017" w:type="dxa"/>
            <w:tcBorders>
              <w:top w:val="single" w:sz="4" w:space="0" w:color="auto"/>
              <w:left w:val="single" w:sz="4" w:space="0" w:color="auto"/>
              <w:bottom w:val="single" w:sz="4" w:space="0" w:color="auto"/>
              <w:right w:val="single" w:sz="4" w:space="0" w:color="auto"/>
            </w:tcBorders>
            <w:noWrap/>
          </w:tcPr>
          <w:p w14:paraId="4F64393B" w14:textId="77777777" w:rsidR="00E41267" w:rsidRDefault="00E41267" w:rsidP="00FB7F0E">
            <w:pPr>
              <w:keepNext/>
              <w:keepLines/>
              <w:spacing w:after="0" w:line="240" w:lineRule="auto"/>
              <w:rPr>
                <w:rFonts w:asciiTheme="minorHAnsi" w:hAnsiTheme="minorHAnsi" w:cstheme="minorHAnsi"/>
                <w:i/>
                <w:iCs/>
              </w:rPr>
            </w:pPr>
            <w:r>
              <w:rPr>
                <w:rFonts w:asciiTheme="minorHAnsi" w:hAnsiTheme="minorHAnsi" w:cstheme="minorHAnsi"/>
                <w:i/>
                <w:iCs/>
              </w:rPr>
              <w:t>The program aims to extend the life of public housing assets by providing responsive repairs and maintenance</w:t>
            </w:r>
          </w:p>
        </w:tc>
        <w:tc>
          <w:tcPr>
            <w:tcW w:w="1327" w:type="dxa"/>
            <w:tcBorders>
              <w:top w:val="single" w:sz="4" w:space="0" w:color="auto"/>
              <w:left w:val="single" w:sz="4" w:space="0" w:color="auto"/>
              <w:bottom w:val="single" w:sz="4" w:space="0" w:color="auto"/>
              <w:right w:val="single" w:sz="4" w:space="0" w:color="auto"/>
            </w:tcBorders>
          </w:tcPr>
          <w:p w14:paraId="52F46C7E" w14:textId="77777777" w:rsidR="00E41267" w:rsidRDefault="00E41267" w:rsidP="00FB7F0E">
            <w:pPr>
              <w:keepNext/>
              <w:keepLines/>
              <w:spacing w:after="0" w:line="240" w:lineRule="auto"/>
              <w:rPr>
                <w:rFonts w:asciiTheme="minorHAnsi" w:hAnsiTheme="minorHAnsi" w:cstheme="minorHAnsi"/>
                <w:i/>
                <w:iCs/>
              </w:rPr>
            </w:pPr>
            <w:r>
              <w:rPr>
                <w:rFonts w:asciiTheme="minorHAnsi" w:hAnsiTheme="minorHAnsi" w:cstheme="minorHAnsi"/>
                <w:i/>
                <w:iCs/>
              </w:rPr>
              <w:t>$xx,xxx,xxx for planned works</w:t>
            </w:r>
          </w:p>
          <w:p w14:paraId="05F2F25F" w14:textId="77777777" w:rsidR="00E41267" w:rsidRDefault="00E41267" w:rsidP="00FB7F0E">
            <w:pPr>
              <w:keepNext/>
              <w:keepLines/>
              <w:spacing w:after="0" w:line="240" w:lineRule="auto"/>
              <w:rPr>
                <w:rFonts w:asciiTheme="minorHAnsi" w:hAnsiTheme="minorHAnsi" w:cstheme="minorHAnsi"/>
                <w:i/>
                <w:iCs/>
              </w:rPr>
            </w:pPr>
          </w:p>
          <w:p w14:paraId="5448DCC2" w14:textId="77777777" w:rsidR="00E41267" w:rsidRPr="001B2A1D" w:rsidRDefault="00E41267" w:rsidP="00FB7F0E">
            <w:pPr>
              <w:keepNext/>
              <w:keepLines/>
              <w:spacing w:after="0" w:line="240" w:lineRule="auto"/>
              <w:rPr>
                <w:rFonts w:asciiTheme="minorHAnsi" w:hAnsiTheme="minorHAnsi" w:cstheme="minorHAnsi"/>
                <w:i/>
                <w:iCs/>
              </w:rPr>
            </w:pPr>
            <w:r>
              <w:rPr>
                <w:rFonts w:asciiTheme="minorHAnsi" w:hAnsiTheme="minorHAnsi" w:cstheme="minorHAnsi"/>
                <w:i/>
                <w:iCs/>
              </w:rPr>
              <w:t>$xx,xxx,xxx for responsive works</w:t>
            </w:r>
          </w:p>
        </w:tc>
        <w:tc>
          <w:tcPr>
            <w:tcW w:w="1336" w:type="dxa"/>
            <w:tcBorders>
              <w:top w:val="single" w:sz="4" w:space="0" w:color="auto"/>
              <w:left w:val="single" w:sz="4" w:space="0" w:color="auto"/>
              <w:bottom w:val="single" w:sz="4" w:space="0" w:color="auto"/>
              <w:right w:val="single" w:sz="4" w:space="0" w:color="auto"/>
            </w:tcBorders>
          </w:tcPr>
          <w:p w14:paraId="0A49EBCD" w14:textId="77777777" w:rsidR="00E41267" w:rsidRPr="001B2A1D" w:rsidRDefault="00E41267" w:rsidP="00FB7F0E">
            <w:pPr>
              <w:keepNext/>
              <w:keepLines/>
              <w:spacing w:after="0" w:line="240" w:lineRule="auto"/>
              <w:rPr>
                <w:rFonts w:asciiTheme="minorHAnsi" w:hAnsiTheme="minorHAnsi" w:cstheme="minorHAnsi"/>
                <w:i/>
                <w:iCs/>
              </w:rPr>
            </w:pPr>
            <w:r>
              <w:rPr>
                <w:rFonts w:asciiTheme="minorHAnsi" w:hAnsiTheme="minorHAnsi" w:cstheme="minorHAnsi"/>
                <w:i/>
                <w:iCs/>
              </w:rPr>
              <w:t>50,000 work orders completed: 10,000 were for planned works; 40,000 for responsive.</w:t>
            </w:r>
          </w:p>
        </w:tc>
        <w:tc>
          <w:tcPr>
            <w:tcW w:w="1369" w:type="dxa"/>
            <w:tcBorders>
              <w:top w:val="single" w:sz="4" w:space="0" w:color="auto"/>
              <w:left w:val="single" w:sz="4" w:space="0" w:color="auto"/>
              <w:bottom w:val="single" w:sz="4" w:space="0" w:color="auto"/>
              <w:right w:val="single" w:sz="4" w:space="0" w:color="auto"/>
            </w:tcBorders>
            <w:noWrap/>
          </w:tcPr>
          <w:p w14:paraId="50E7CB79" w14:textId="77777777" w:rsidR="00E41267" w:rsidRDefault="00E41267" w:rsidP="00FB7F0E">
            <w:pPr>
              <w:keepNext/>
              <w:keepLines/>
              <w:spacing w:after="0" w:line="240" w:lineRule="auto"/>
              <w:rPr>
                <w:rFonts w:asciiTheme="minorHAnsi" w:hAnsiTheme="minorHAnsi" w:cstheme="minorHAnsi"/>
                <w:i/>
                <w:iCs/>
              </w:rPr>
            </w:pPr>
            <w:r>
              <w:rPr>
                <w:rFonts w:asciiTheme="minorHAnsi" w:hAnsiTheme="minorHAnsi" w:cstheme="minorHAnsi"/>
                <w:i/>
                <w:iCs/>
              </w:rPr>
              <w:t>$xxx,xxx,xxx</w:t>
            </w:r>
          </w:p>
          <w:p w14:paraId="6775BD0B" w14:textId="77777777" w:rsidR="00E41267" w:rsidRPr="001B2A1D" w:rsidRDefault="00E41267" w:rsidP="00FB7F0E">
            <w:pPr>
              <w:keepNext/>
              <w:keepLines/>
              <w:spacing w:after="0" w:line="240" w:lineRule="auto"/>
              <w:rPr>
                <w:rFonts w:asciiTheme="minorHAnsi" w:hAnsiTheme="minorHAnsi" w:cstheme="minorHAnsi"/>
                <w:i/>
                <w:iCs/>
              </w:rPr>
            </w:pPr>
            <w:r>
              <w:rPr>
                <w:rFonts w:asciiTheme="minorHAnsi" w:hAnsiTheme="minorHAnsi" w:cstheme="minorHAnsi"/>
                <w:i/>
                <w:iCs/>
              </w:rPr>
              <w:t>Over the forward estimates to 2027-28</w:t>
            </w:r>
          </w:p>
        </w:tc>
        <w:tc>
          <w:tcPr>
            <w:tcW w:w="1406" w:type="dxa"/>
            <w:tcBorders>
              <w:top w:val="single" w:sz="4" w:space="0" w:color="auto"/>
              <w:left w:val="single" w:sz="4" w:space="0" w:color="auto"/>
              <w:bottom w:val="single" w:sz="4" w:space="0" w:color="auto"/>
              <w:right w:val="single" w:sz="4" w:space="0" w:color="auto"/>
            </w:tcBorders>
          </w:tcPr>
          <w:p w14:paraId="2AE231E7" w14:textId="77777777" w:rsidR="00E41267" w:rsidRPr="001B2A1D" w:rsidRDefault="00E41267" w:rsidP="00FB7F0E">
            <w:pPr>
              <w:keepNext/>
              <w:keepLines/>
              <w:spacing w:after="0" w:line="240" w:lineRule="auto"/>
              <w:rPr>
                <w:rFonts w:asciiTheme="minorHAnsi" w:hAnsiTheme="minorHAnsi" w:cstheme="minorHAnsi"/>
                <w:i/>
                <w:iCs/>
              </w:rPr>
            </w:pPr>
            <w:r>
              <w:rPr>
                <w:rFonts w:asciiTheme="minorHAnsi" w:hAnsiTheme="minorHAnsi" w:cstheme="minorHAnsi"/>
                <w:i/>
                <w:iCs/>
              </w:rPr>
              <w:t>Approx. 50,000 work orders per year</w:t>
            </w:r>
          </w:p>
        </w:tc>
        <w:tc>
          <w:tcPr>
            <w:tcW w:w="2391" w:type="dxa"/>
            <w:tcBorders>
              <w:top w:val="single" w:sz="4" w:space="0" w:color="auto"/>
              <w:left w:val="single" w:sz="4" w:space="0" w:color="auto"/>
              <w:bottom w:val="single" w:sz="4" w:space="0" w:color="auto"/>
              <w:right w:val="single" w:sz="4" w:space="0" w:color="auto"/>
            </w:tcBorders>
            <w:noWrap/>
          </w:tcPr>
          <w:p w14:paraId="42A13BC4" w14:textId="77777777" w:rsidR="00E41267" w:rsidRPr="001B2A1D" w:rsidRDefault="00E41267" w:rsidP="00FB7F0E">
            <w:pPr>
              <w:keepNext/>
              <w:keepLines/>
              <w:spacing w:after="0" w:line="240" w:lineRule="auto"/>
              <w:rPr>
                <w:rFonts w:asciiTheme="minorHAnsi" w:hAnsiTheme="minorHAnsi" w:cstheme="minorHAnsi"/>
                <w:i/>
                <w:iCs/>
              </w:rPr>
            </w:pPr>
          </w:p>
        </w:tc>
      </w:tr>
    </w:tbl>
    <w:p w14:paraId="36C3B15D" w14:textId="1AC57227" w:rsidR="002D33FF" w:rsidRDefault="002D33FF">
      <w:pPr>
        <w:spacing w:after="0" w:line="240" w:lineRule="auto"/>
        <w:jc w:val="left"/>
        <w:rPr>
          <w:rFonts w:asciiTheme="minorHAnsi" w:hAnsiTheme="minorHAnsi" w:cstheme="minorHAnsi"/>
          <w:b/>
          <w:bCs/>
        </w:rPr>
      </w:pPr>
    </w:p>
    <w:p w14:paraId="592B8B0E" w14:textId="33253DE1" w:rsidR="00E41267" w:rsidRDefault="00E41267" w:rsidP="00C94954">
      <w:pPr>
        <w:keepNext/>
        <w:keepLines/>
        <w:rPr>
          <w:rFonts w:asciiTheme="minorHAnsi" w:hAnsiTheme="minorHAnsi" w:cstheme="minorHAnsi"/>
          <w:b/>
          <w:bCs/>
        </w:rPr>
      </w:pPr>
      <w:r w:rsidRPr="003C58FA">
        <w:rPr>
          <w:rFonts w:asciiTheme="minorHAnsi" w:hAnsiTheme="minorHAnsi" w:cstheme="minorHAnsi"/>
          <w:b/>
          <w:bCs/>
        </w:rPr>
        <w:lastRenderedPageBreak/>
        <w:t xml:space="preserve">Table 3 </w:t>
      </w:r>
      <w:r>
        <w:rPr>
          <w:rFonts w:asciiTheme="minorHAnsi" w:hAnsiTheme="minorHAnsi" w:cstheme="minorHAnsi"/>
          <w:b/>
          <w:bCs/>
        </w:rPr>
        <w:t>–</w:t>
      </w:r>
      <w:r w:rsidRPr="003C58FA">
        <w:rPr>
          <w:rFonts w:asciiTheme="minorHAnsi" w:hAnsiTheme="minorHAnsi" w:cstheme="minorHAnsi"/>
          <w:b/>
          <w:bCs/>
        </w:rPr>
        <w:t xml:space="preserve"> </w:t>
      </w:r>
      <w:r>
        <w:rPr>
          <w:rFonts w:asciiTheme="minorHAnsi" w:hAnsiTheme="minorHAnsi" w:cstheme="minorHAnsi"/>
          <w:b/>
          <w:bCs/>
        </w:rPr>
        <w:t xml:space="preserve">Reporting against the National Outcomes Framework </w:t>
      </w:r>
    </w:p>
    <w:p w14:paraId="4A7CCC3E" w14:textId="60794C27" w:rsidR="00701B98" w:rsidRPr="00AD4541" w:rsidRDefault="00E41267" w:rsidP="00C94954">
      <w:pPr>
        <w:keepNext/>
        <w:keepLines/>
        <w:rPr>
          <w:rFonts w:asciiTheme="minorHAnsi" w:hAnsiTheme="minorHAnsi" w:cstheme="minorHAnsi"/>
        </w:rPr>
      </w:pPr>
      <w:r>
        <w:rPr>
          <w:rFonts w:asciiTheme="minorHAnsi" w:hAnsiTheme="minorHAnsi" w:cstheme="minorHAnsi"/>
        </w:rPr>
        <w:t xml:space="preserve">In reporting against the National Outcomes Framework, states may reference RoGS or other national publications for details of relevant </w:t>
      </w:r>
      <w:r w:rsidR="00091CC5">
        <w:rPr>
          <w:rFonts w:asciiTheme="minorHAnsi" w:hAnsiTheme="minorHAnsi" w:cstheme="minorHAnsi"/>
        </w:rPr>
        <w:t>measure</w:t>
      </w:r>
      <w:r>
        <w:rPr>
          <w:rFonts w:asciiTheme="minorHAnsi" w:hAnsiTheme="minorHAnsi" w:cstheme="minorHAnsi"/>
        </w:rPr>
        <w:t>s.</w:t>
      </w:r>
    </w:p>
    <w:tbl>
      <w:tblPr>
        <w:tblW w:w="15168" w:type="dxa"/>
        <w:tblInd w:w="-147" w:type="dxa"/>
        <w:tblLayout w:type="fixed"/>
        <w:tblLook w:val="04A0" w:firstRow="1" w:lastRow="0" w:firstColumn="1" w:lastColumn="0" w:noHBand="0" w:noVBand="1"/>
      </w:tblPr>
      <w:tblGrid>
        <w:gridCol w:w="2977"/>
        <w:gridCol w:w="1843"/>
        <w:gridCol w:w="5670"/>
        <w:gridCol w:w="1559"/>
        <w:gridCol w:w="1701"/>
        <w:gridCol w:w="1418"/>
      </w:tblGrid>
      <w:tr w:rsidR="00E13BEF" w14:paraId="619B7F71" w14:textId="77777777" w:rsidTr="008A669E">
        <w:trPr>
          <w:trHeight w:val="291"/>
          <w:tblHeader/>
        </w:trPr>
        <w:tc>
          <w:tcPr>
            <w:tcW w:w="2977" w:type="dxa"/>
            <w:tcBorders>
              <w:top w:val="single" w:sz="4" w:space="0" w:color="auto"/>
              <w:left w:val="single" w:sz="4" w:space="0" w:color="auto"/>
              <w:bottom w:val="single" w:sz="4" w:space="0" w:color="auto"/>
              <w:right w:val="single" w:sz="4" w:space="0" w:color="auto"/>
            </w:tcBorders>
            <w:noWrap/>
          </w:tcPr>
          <w:p w14:paraId="47BE48D4" w14:textId="70D48FEB" w:rsidR="00E13BEF" w:rsidRPr="002D33FF" w:rsidRDefault="00E13BEF" w:rsidP="00C94954">
            <w:pPr>
              <w:keepNext/>
              <w:keepLines/>
              <w:spacing w:after="0" w:line="240" w:lineRule="auto"/>
              <w:jc w:val="left"/>
              <w:textAlignment w:val="baseline"/>
              <w:rPr>
                <w:rFonts w:asciiTheme="minorHAnsi" w:hAnsiTheme="minorHAnsi" w:cstheme="minorHAnsi"/>
                <w:b/>
                <w:bCs/>
                <w:i/>
                <w:iCs/>
              </w:rPr>
            </w:pPr>
            <w:r>
              <w:rPr>
                <w:rFonts w:asciiTheme="minorHAnsi" w:hAnsiTheme="minorHAnsi" w:cstheme="minorHAnsi"/>
                <w:b/>
                <w:bCs/>
                <w:i/>
                <w:iCs/>
              </w:rPr>
              <w:t>Outcome</w:t>
            </w:r>
          </w:p>
        </w:tc>
        <w:tc>
          <w:tcPr>
            <w:tcW w:w="1843" w:type="dxa"/>
            <w:tcBorders>
              <w:top w:val="single" w:sz="4" w:space="0" w:color="auto"/>
              <w:left w:val="single" w:sz="4" w:space="0" w:color="auto"/>
              <w:bottom w:val="single" w:sz="4" w:space="0" w:color="auto"/>
              <w:right w:val="single" w:sz="4" w:space="0" w:color="auto"/>
            </w:tcBorders>
            <w:noWrap/>
          </w:tcPr>
          <w:p w14:paraId="69FCC774" w14:textId="25A21080" w:rsidR="00E13BEF" w:rsidRPr="002D33FF" w:rsidRDefault="00E13BEF" w:rsidP="00C94954">
            <w:pPr>
              <w:keepNext/>
              <w:keepLines/>
              <w:spacing w:after="0" w:line="240" w:lineRule="auto"/>
              <w:jc w:val="left"/>
              <w:textAlignment w:val="baseline"/>
              <w:rPr>
                <w:rFonts w:asciiTheme="minorHAnsi" w:hAnsiTheme="minorHAnsi" w:cstheme="minorHAnsi"/>
                <w:b/>
                <w:bCs/>
                <w:i/>
                <w:iCs/>
              </w:rPr>
            </w:pPr>
            <w:r w:rsidRPr="002D33FF">
              <w:rPr>
                <w:rFonts w:asciiTheme="minorHAnsi" w:hAnsiTheme="minorHAnsi" w:cstheme="minorHAnsi"/>
                <w:b/>
                <w:bCs/>
                <w:i/>
                <w:iCs/>
              </w:rPr>
              <w:t>Indicator</w:t>
            </w:r>
          </w:p>
        </w:tc>
        <w:tc>
          <w:tcPr>
            <w:tcW w:w="5670" w:type="dxa"/>
            <w:tcBorders>
              <w:top w:val="single" w:sz="4" w:space="0" w:color="auto"/>
              <w:left w:val="single" w:sz="4" w:space="0" w:color="auto"/>
              <w:bottom w:val="single" w:sz="4" w:space="0" w:color="auto"/>
              <w:right w:val="single" w:sz="4" w:space="0" w:color="auto"/>
            </w:tcBorders>
          </w:tcPr>
          <w:p w14:paraId="21115171" w14:textId="371E25C7" w:rsidR="00E13BEF" w:rsidRPr="002D33FF" w:rsidRDefault="00E13BEF" w:rsidP="00C94954">
            <w:pPr>
              <w:keepNext/>
              <w:keepLines/>
              <w:spacing w:after="0" w:line="240" w:lineRule="auto"/>
              <w:jc w:val="left"/>
              <w:textAlignment w:val="baseline"/>
              <w:rPr>
                <w:rFonts w:asciiTheme="minorHAnsi" w:hAnsiTheme="minorHAnsi" w:cstheme="minorHAnsi"/>
                <w:b/>
                <w:bCs/>
                <w:i/>
                <w:iCs/>
              </w:rPr>
            </w:pPr>
            <w:r w:rsidRPr="002D33FF">
              <w:rPr>
                <w:rFonts w:asciiTheme="minorHAnsi" w:hAnsiTheme="minorHAnsi" w:cstheme="minorHAnsi"/>
                <w:b/>
                <w:bCs/>
                <w:i/>
                <w:iCs/>
              </w:rPr>
              <w:t>Measure</w:t>
            </w:r>
            <w:r>
              <w:rPr>
                <w:rFonts w:asciiTheme="minorHAnsi" w:hAnsiTheme="minorHAnsi" w:cstheme="minorHAnsi"/>
                <w:b/>
                <w:bCs/>
                <w:i/>
                <w:iCs/>
              </w:rPr>
              <w:t>(s)</w:t>
            </w:r>
          </w:p>
        </w:tc>
        <w:tc>
          <w:tcPr>
            <w:tcW w:w="1559" w:type="dxa"/>
            <w:tcBorders>
              <w:top w:val="single" w:sz="4" w:space="0" w:color="auto"/>
              <w:left w:val="single" w:sz="4" w:space="0" w:color="auto"/>
              <w:bottom w:val="single" w:sz="4" w:space="0" w:color="auto"/>
              <w:right w:val="single" w:sz="4" w:space="0" w:color="auto"/>
            </w:tcBorders>
          </w:tcPr>
          <w:p w14:paraId="76C66407" w14:textId="77C0FA74" w:rsidR="00E13BEF" w:rsidRDefault="00E13BEF" w:rsidP="00C94954">
            <w:pPr>
              <w:keepNext/>
              <w:keepLines/>
              <w:spacing w:after="0" w:line="240" w:lineRule="auto"/>
              <w:jc w:val="left"/>
              <w:textAlignment w:val="baseline"/>
              <w:rPr>
                <w:rFonts w:asciiTheme="minorHAnsi" w:hAnsiTheme="minorHAnsi" w:cstheme="minorHAnsi"/>
                <w:b/>
                <w:bCs/>
                <w:i/>
                <w:iCs/>
              </w:rPr>
            </w:pPr>
            <w:r>
              <w:rPr>
                <w:rFonts w:asciiTheme="minorHAnsi" w:hAnsiTheme="minorHAnsi" w:cstheme="minorHAnsi"/>
                <w:b/>
                <w:bCs/>
                <w:i/>
                <w:iCs/>
              </w:rPr>
              <w:t>Data source</w:t>
            </w:r>
          </w:p>
        </w:tc>
        <w:tc>
          <w:tcPr>
            <w:tcW w:w="1701" w:type="dxa"/>
            <w:tcBorders>
              <w:top w:val="single" w:sz="4" w:space="0" w:color="auto"/>
              <w:left w:val="single" w:sz="4" w:space="0" w:color="auto"/>
              <w:bottom w:val="single" w:sz="4" w:space="0" w:color="auto"/>
              <w:right w:val="single" w:sz="4" w:space="0" w:color="auto"/>
            </w:tcBorders>
          </w:tcPr>
          <w:p w14:paraId="217C9033" w14:textId="6EF0A5B0" w:rsidR="00E13BEF" w:rsidRPr="002D33FF" w:rsidRDefault="00E13BEF" w:rsidP="00C94954">
            <w:pPr>
              <w:keepNext/>
              <w:keepLines/>
              <w:spacing w:after="0" w:line="240" w:lineRule="auto"/>
              <w:jc w:val="left"/>
              <w:textAlignment w:val="baseline"/>
              <w:rPr>
                <w:rFonts w:asciiTheme="minorHAnsi" w:hAnsiTheme="minorHAnsi" w:cstheme="minorHAnsi"/>
                <w:b/>
                <w:bCs/>
                <w:i/>
                <w:iCs/>
              </w:rPr>
            </w:pPr>
            <w:r w:rsidRPr="002D33FF">
              <w:rPr>
                <w:rFonts w:asciiTheme="minorHAnsi" w:hAnsiTheme="minorHAnsi" w:cstheme="minorHAnsi"/>
                <w:b/>
                <w:bCs/>
                <w:i/>
                <w:iCs/>
              </w:rPr>
              <w:t>Baseline (previous year)</w:t>
            </w:r>
          </w:p>
        </w:tc>
        <w:tc>
          <w:tcPr>
            <w:tcW w:w="1418" w:type="dxa"/>
            <w:tcBorders>
              <w:top w:val="single" w:sz="4" w:space="0" w:color="auto"/>
              <w:left w:val="single" w:sz="4" w:space="0" w:color="auto"/>
              <w:bottom w:val="single" w:sz="4" w:space="0" w:color="auto"/>
              <w:right w:val="single" w:sz="4" w:space="0" w:color="auto"/>
            </w:tcBorders>
          </w:tcPr>
          <w:p w14:paraId="42B4ACF3" w14:textId="7A8F0DF6" w:rsidR="00E13BEF" w:rsidRPr="002D33FF" w:rsidRDefault="00E13BEF" w:rsidP="00C94954">
            <w:pPr>
              <w:keepNext/>
              <w:keepLines/>
              <w:spacing w:after="0"/>
              <w:jc w:val="left"/>
              <w:textAlignment w:val="baseline"/>
              <w:rPr>
                <w:rFonts w:asciiTheme="minorHAnsi" w:hAnsiTheme="minorHAnsi" w:cstheme="minorHAnsi"/>
                <w:b/>
                <w:bCs/>
                <w:i/>
                <w:iCs/>
              </w:rPr>
            </w:pPr>
            <w:r w:rsidRPr="002D33FF">
              <w:rPr>
                <w:rFonts w:asciiTheme="minorHAnsi" w:hAnsiTheme="minorHAnsi" w:cstheme="minorHAnsi"/>
                <w:b/>
                <w:bCs/>
                <w:i/>
                <w:iCs/>
              </w:rPr>
              <w:t>Current year</w:t>
            </w:r>
          </w:p>
        </w:tc>
      </w:tr>
      <w:tr w:rsidR="00E13BEF" w14:paraId="298CBF8B" w14:textId="77777777" w:rsidTr="008A669E">
        <w:trPr>
          <w:trHeight w:val="291"/>
          <w:tblHeader/>
        </w:trPr>
        <w:tc>
          <w:tcPr>
            <w:tcW w:w="2977" w:type="dxa"/>
            <w:tcBorders>
              <w:top w:val="single" w:sz="4" w:space="0" w:color="auto"/>
              <w:left w:val="single" w:sz="4" w:space="0" w:color="auto"/>
              <w:bottom w:val="single" w:sz="4" w:space="0" w:color="auto"/>
              <w:right w:val="single" w:sz="4" w:space="0" w:color="auto"/>
            </w:tcBorders>
            <w:noWrap/>
          </w:tcPr>
          <w:p w14:paraId="13DD521B" w14:textId="77777777" w:rsidR="00E13BEF" w:rsidRPr="00CA0F83" w:rsidRDefault="00E13BEF" w:rsidP="00C94954">
            <w:pPr>
              <w:keepNext/>
              <w:keepLines/>
              <w:spacing w:after="0" w:line="240" w:lineRule="auto"/>
              <w:jc w:val="left"/>
              <w:textAlignment w:val="baseline"/>
              <w:rPr>
                <w:rFonts w:ascii="Arial" w:hAnsi="Arial" w:cs="Arial"/>
                <w:color w:val="auto"/>
                <w:sz w:val="22"/>
                <w:szCs w:val="22"/>
              </w:rPr>
            </w:pPr>
          </w:p>
        </w:tc>
        <w:tc>
          <w:tcPr>
            <w:tcW w:w="1843" w:type="dxa"/>
            <w:tcBorders>
              <w:top w:val="single" w:sz="4" w:space="0" w:color="auto"/>
              <w:left w:val="single" w:sz="4" w:space="0" w:color="auto"/>
              <w:bottom w:val="single" w:sz="4" w:space="0" w:color="auto"/>
              <w:right w:val="single" w:sz="4" w:space="0" w:color="auto"/>
            </w:tcBorders>
            <w:noWrap/>
          </w:tcPr>
          <w:p w14:paraId="2CA3A250" w14:textId="77777777" w:rsidR="00E13BEF" w:rsidRPr="00AD4541" w:rsidRDefault="00E13BEF" w:rsidP="00C94954">
            <w:pPr>
              <w:keepNext/>
              <w:keepLines/>
              <w:spacing w:after="0" w:line="240" w:lineRule="auto"/>
              <w:jc w:val="left"/>
              <w:rPr>
                <w:rFonts w:asciiTheme="minorHAnsi" w:hAnsiTheme="minorHAnsi" w:cstheme="minorHAnsi"/>
                <w:i/>
                <w:iCs/>
              </w:rPr>
            </w:pPr>
          </w:p>
        </w:tc>
        <w:tc>
          <w:tcPr>
            <w:tcW w:w="5670" w:type="dxa"/>
            <w:tcBorders>
              <w:top w:val="single" w:sz="4" w:space="0" w:color="auto"/>
              <w:left w:val="single" w:sz="4" w:space="0" w:color="auto"/>
              <w:bottom w:val="single" w:sz="4" w:space="0" w:color="auto"/>
              <w:right w:val="single" w:sz="4" w:space="0" w:color="auto"/>
            </w:tcBorders>
          </w:tcPr>
          <w:p w14:paraId="4B6CB6C4" w14:textId="77777777" w:rsidR="00E13BEF" w:rsidRDefault="00E13BEF" w:rsidP="00C94954">
            <w:pPr>
              <w:keepNext/>
              <w:keepLines/>
              <w:spacing w:after="0" w:line="240" w:lineRule="auto"/>
              <w:jc w:val="left"/>
              <w:rPr>
                <w:rFonts w:asciiTheme="minorHAnsi" w:hAnsiTheme="minorHAnsi" w:cstheme="minorHAnsi"/>
                <w:b/>
                <w:bCs/>
              </w:rPr>
            </w:pPr>
          </w:p>
        </w:tc>
        <w:tc>
          <w:tcPr>
            <w:tcW w:w="1559" w:type="dxa"/>
            <w:tcBorders>
              <w:top w:val="single" w:sz="4" w:space="0" w:color="auto"/>
              <w:left w:val="single" w:sz="4" w:space="0" w:color="auto"/>
              <w:bottom w:val="single" w:sz="4" w:space="0" w:color="auto"/>
              <w:right w:val="single" w:sz="4" w:space="0" w:color="auto"/>
            </w:tcBorders>
          </w:tcPr>
          <w:p w14:paraId="5472DB5E" w14:textId="77777777" w:rsidR="00E13BEF" w:rsidRDefault="00E13BEF" w:rsidP="00C94954">
            <w:pPr>
              <w:keepNext/>
              <w:keepLines/>
              <w:spacing w:after="0" w:line="240" w:lineRule="auto"/>
              <w:jc w:val="left"/>
              <w:rPr>
                <w:rFonts w:asciiTheme="minorHAnsi" w:hAnsiTheme="minorHAnsi" w:cstheme="minorHAnsi"/>
                <w:b/>
                <w:bCs/>
              </w:rPr>
            </w:pPr>
          </w:p>
        </w:tc>
        <w:tc>
          <w:tcPr>
            <w:tcW w:w="1701" w:type="dxa"/>
            <w:tcBorders>
              <w:top w:val="single" w:sz="4" w:space="0" w:color="auto"/>
              <w:left w:val="single" w:sz="4" w:space="0" w:color="auto"/>
              <w:bottom w:val="single" w:sz="4" w:space="0" w:color="auto"/>
              <w:right w:val="single" w:sz="4" w:space="0" w:color="auto"/>
            </w:tcBorders>
            <w:vAlign w:val="center"/>
          </w:tcPr>
          <w:p w14:paraId="1C969C00" w14:textId="0F0B9C02" w:rsidR="00E13BEF" w:rsidRPr="00AD4541" w:rsidRDefault="00E13BEF" w:rsidP="00C94954">
            <w:pPr>
              <w:keepNext/>
              <w:keepLines/>
              <w:spacing w:after="0" w:line="240" w:lineRule="auto"/>
              <w:jc w:val="left"/>
              <w:rPr>
                <w:rFonts w:asciiTheme="minorHAnsi" w:hAnsiTheme="minorHAnsi" w:cstheme="minorHAnsi"/>
                <w:i/>
                <w:iCs/>
              </w:rPr>
            </w:pPr>
            <w:r>
              <w:rPr>
                <w:rFonts w:asciiTheme="minorHAnsi" w:hAnsiTheme="minorHAnsi" w:cstheme="minorHAnsi"/>
                <w:b/>
                <w:bCs/>
              </w:rPr>
              <w:t>2023-24</w:t>
            </w:r>
          </w:p>
        </w:tc>
        <w:tc>
          <w:tcPr>
            <w:tcW w:w="1418" w:type="dxa"/>
            <w:tcBorders>
              <w:top w:val="single" w:sz="4" w:space="0" w:color="auto"/>
              <w:left w:val="single" w:sz="4" w:space="0" w:color="auto"/>
              <w:bottom w:val="single" w:sz="4" w:space="0" w:color="auto"/>
              <w:right w:val="single" w:sz="4" w:space="0" w:color="auto"/>
            </w:tcBorders>
            <w:vAlign w:val="center"/>
          </w:tcPr>
          <w:p w14:paraId="58EB63AC" w14:textId="3B9B3089" w:rsidR="00E13BEF" w:rsidRPr="00AD4541" w:rsidRDefault="00E13BEF" w:rsidP="00C94954">
            <w:pPr>
              <w:keepNext/>
              <w:keepLines/>
              <w:spacing w:after="0"/>
              <w:jc w:val="left"/>
              <w:rPr>
                <w:rFonts w:asciiTheme="minorHAnsi" w:hAnsiTheme="minorHAnsi" w:cstheme="minorHAnsi"/>
                <w:i/>
                <w:iCs/>
              </w:rPr>
            </w:pPr>
            <w:r>
              <w:rPr>
                <w:rFonts w:asciiTheme="minorHAnsi" w:hAnsiTheme="minorHAnsi" w:cstheme="minorHAnsi"/>
                <w:b/>
                <w:bCs/>
              </w:rPr>
              <w:t>2024-25</w:t>
            </w:r>
          </w:p>
        </w:tc>
      </w:tr>
      <w:tr w:rsidR="00E13BEF" w14:paraId="45B7577F" w14:textId="77777777" w:rsidTr="008A669E">
        <w:trPr>
          <w:trHeight w:val="291"/>
          <w:tblHeader/>
        </w:trPr>
        <w:tc>
          <w:tcPr>
            <w:tcW w:w="2977" w:type="dxa"/>
            <w:vMerge w:val="restart"/>
            <w:tcBorders>
              <w:top w:val="single" w:sz="4" w:space="0" w:color="auto"/>
              <w:left w:val="single" w:sz="4" w:space="0" w:color="auto"/>
              <w:right w:val="single" w:sz="4" w:space="0" w:color="auto"/>
            </w:tcBorders>
            <w:noWrap/>
          </w:tcPr>
          <w:p w14:paraId="6B92E9EF" w14:textId="01D4A9D7" w:rsidR="00E13BEF" w:rsidRPr="004F7688" w:rsidRDefault="00E13BEF" w:rsidP="00E30F1F">
            <w:pPr>
              <w:keepNext/>
              <w:keepLines/>
              <w:jc w:val="left"/>
              <w:rPr>
                <w:rFonts w:asciiTheme="minorHAnsi" w:hAnsiTheme="minorHAnsi" w:cstheme="minorHAnsi"/>
                <w:color w:val="auto"/>
                <w:szCs w:val="23"/>
              </w:rPr>
            </w:pPr>
            <w:r w:rsidRPr="004F7688">
              <w:rPr>
                <w:rFonts w:asciiTheme="minorHAnsi" w:hAnsiTheme="minorHAnsi" w:cstheme="minorHAnsi"/>
                <w:color w:val="auto"/>
                <w:szCs w:val="23"/>
              </w:rPr>
              <w:t>People at risk of or experiencing homelessness receive effective support </w:t>
            </w:r>
          </w:p>
        </w:tc>
        <w:tc>
          <w:tcPr>
            <w:tcW w:w="1843" w:type="dxa"/>
            <w:vMerge w:val="restart"/>
            <w:tcBorders>
              <w:top w:val="single" w:sz="4" w:space="0" w:color="auto"/>
              <w:left w:val="single" w:sz="4" w:space="0" w:color="auto"/>
              <w:bottom w:val="single" w:sz="4" w:space="0" w:color="auto"/>
              <w:right w:val="single" w:sz="4" w:space="0" w:color="auto"/>
            </w:tcBorders>
            <w:noWrap/>
          </w:tcPr>
          <w:p w14:paraId="7E2576B3" w14:textId="3E9FC01A" w:rsidR="00E13BEF" w:rsidRPr="004F7688" w:rsidRDefault="00E13BEF" w:rsidP="00E30F1F">
            <w:pPr>
              <w:keepNext/>
              <w:keepLines/>
              <w:spacing w:after="0" w:line="240" w:lineRule="auto"/>
              <w:jc w:val="left"/>
              <w:rPr>
                <w:rFonts w:asciiTheme="minorHAnsi" w:hAnsiTheme="minorHAnsi" w:cstheme="minorHAnsi"/>
                <w:color w:val="auto"/>
                <w:szCs w:val="23"/>
              </w:rPr>
            </w:pPr>
            <w:r w:rsidRPr="004F7688">
              <w:rPr>
                <w:rFonts w:asciiTheme="minorHAnsi" w:hAnsiTheme="minorHAnsi" w:cstheme="minorHAnsi"/>
                <w:color w:val="auto"/>
                <w:szCs w:val="23"/>
              </w:rPr>
              <w:t>Unmet demand for homelessness services</w:t>
            </w:r>
          </w:p>
        </w:tc>
        <w:tc>
          <w:tcPr>
            <w:tcW w:w="5670" w:type="dxa"/>
            <w:tcBorders>
              <w:top w:val="single" w:sz="4" w:space="0" w:color="auto"/>
              <w:left w:val="single" w:sz="4" w:space="0" w:color="auto"/>
              <w:bottom w:val="single" w:sz="4" w:space="0" w:color="auto"/>
              <w:right w:val="single" w:sz="4" w:space="0" w:color="auto"/>
            </w:tcBorders>
            <w:vAlign w:val="center"/>
          </w:tcPr>
          <w:p w14:paraId="30AB5AC1" w14:textId="1E0B4382" w:rsidR="00E13BEF" w:rsidRPr="004F7688" w:rsidRDefault="00E13BEF" w:rsidP="00C94954">
            <w:pPr>
              <w:keepNext/>
              <w:keepLines/>
              <w:spacing w:after="0" w:line="240" w:lineRule="auto"/>
              <w:jc w:val="left"/>
              <w:rPr>
                <w:rFonts w:asciiTheme="minorHAnsi" w:hAnsiTheme="minorHAnsi" w:cstheme="minorHAnsi"/>
                <w:color w:val="auto"/>
                <w:szCs w:val="23"/>
              </w:rPr>
            </w:pPr>
            <w:r w:rsidRPr="00E30F1F">
              <w:rPr>
                <w:rFonts w:asciiTheme="minorHAnsi" w:hAnsiTheme="minorHAnsi" w:cstheme="minorHAnsi"/>
                <w:color w:val="auto"/>
                <w:szCs w:val="23"/>
              </w:rPr>
              <w:t>Number of unassisted requests for services, split by accommodation and other services</w:t>
            </w:r>
          </w:p>
        </w:tc>
        <w:tc>
          <w:tcPr>
            <w:tcW w:w="1559" w:type="dxa"/>
            <w:tcBorders>
              <w:top w:val="single" w:sz="4" w:space="0" w:color="auto"/>
              <w:left w:val="single" w:sz="4" w:space="0" w:color="auto"/>
              <w:bottom w:val="single" w:sz="4" w:space="0" w:color="auto"/>
              <w:right w:val="single" w:sz="4" w:space="0" w:color="auto"/>
            </w:tcBorders>
          </w:tcPr>
          <w:p w14:paraId="700FCAD3" w14:textId="3CE6DB07" w:rsidR="00E13BEF" w:rsidRPr="004F7688" w:rsidRDefault="00E13BEF" w:rsidP="00C94954">
            <w:pPr>
              <w:keepNext/>
              <w:keepLines/>
              <w:spacing w:after="0" w:line="240" w:lineRule="auto"/>
              <w:jc w:val="left"/>
              <w:textAlignment w:val="baseline"/>
              <w:rPr>
                <w:rFonts w:asciiTheme="minorHAnsi" w:hAnsiTheme="minorHAnsi" w:cstheme="minorHAnsi"/>
                <w:color w:val="auto"/>
                <w:szCs w:val="23"/>
              </w:rPr>
            </w:pPr>
            <w:r w:rsidRPr="004F7688">
              <w:rPr>
                <w:rFonts w:asciiTheme="minorHAnsi" w:hAnsiTheme="minorHAnsi" w:cstheme="minorHAnsi"/>
                <w:color w:val="auto"/>
                <w:szCs w:val="23"/>
              </w:rPr>
              <w:t>RoGS 19A.</w:t>
            </w:r>
            <w:r>
              <w:rPr>
                <w:rFonts w:asciiTheme="minorHAnsi" w:hAnsiTheme="minorHAnsi" w:cstheme="minorHAnsi"/>
                <w:color w:val="auto"/>
                <w:szCs w:val="23"/>
              </w:rPr>
              <w:t>8</w:t>
            </w:r>
            <w:r w:rsidRPr="004F7688">
              <w:rPr>
                <w:rFonts w:asciiTheme="minorHAnsi" w:hAnsiTheme="minorHAnsi" w:cstheme="minorHAnsi"/>
                <w:color w:val="auto"/>
                <w:szCs w:val="23"/>
              </w:rPr>
              <w:t> </w:t>
            </w:r>
          </w:p>
          <w:p w14:paraId="5C92297B" w14:textId="77777777" w:rsidR="00E13BEF" w:rsidRPr="004F7688" w:rsidRDefault="00E13BEF" w:rsidP="00C94954">
            <w:pPr>
              <w:keepNext/>
              <w:keepLines/>
              <w:spacing w:after="0" w:line="240" w:lineRule="auto"/>
              <w:jc w:val="left"/>
              <w:rPr>
                <w:rFonts w:asciiTheme="minorHAnsi" w:hAnsiTheme="minorHAnsi" w:cstheme="minorHAnsi"/>
                <w:i/>
                <w:iCs/>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7E479B0C" w14:textId="60A4A9A2" w:rsidR="00E13BEF" w:rsidRPr="004F7688" w:rsidRDefault="00E13BEF" w:rsidP="00C94954">
            <w:pPr>
              <w:keepNext/>
              <w:keepLines/>
              <w:spacing w:after="0" w:line="240" w:lineRule="auto"/>
              <w:jc w:val="left"/>
              <w:rPr>
                <w:rFonts w:asciiTheme="minorHAnsi" w:hAnsiTheme="minorHAnsi" w:cstheme="minorHAnsi"/>
                <w:i/>
                <w:iCs/>
                <w:szCs w:val="23"/>
              </w:rPr>
            </w:pPr>
          </w:p>
        </w:tc>
        <w:tc>
          <w:tcPr>
            <w:tcW w:w="1418" w:type="dxa"/>
            <w:tcBorders>
              <w:top w:val="single" w:sz="4" w:space="0" w:color="auto"/>
              <w:left w:val="single" w:sz="4" w:space="0" w:color="auto"/>
              <w:bottom w:val="single" w:sz="4" w:space="0" w:color="auto"/>
              <w:right w:val="single" w:sz="4" w:space="0" w:color="auto"/>
            </w:tcBorders>
            <w:vAlign w:val="center"/>
          </w:tcPr>
          <w:p w14:paraId="1C141C77" w14:textId="77777777" w:rsidR="00E13BEF" w:rsidRPr="004F7688" w:rsidRDefault="00E13BEF" w:rsidP="00C94954">
            <w:pPr>
              <w:keepNext/>
              <w:keepLines/>
              <w:spacing w:after="0"/>
              <w:jc w:val="left"/>
              <w:rPr>
                <w:rFonts w:asciiTheme="minorHAnsi" w:hAnsiTheme="minorHAnsi" w:cstheme="minorHAnsi"/>
                <w:i/>
                <w:iCs/>
                <w:szCs w:val="23"/>
              </w:rPr>
            </w:pPr>
          </w:p>
        </w:tc>
      </w:tr>
      <w:tr w:rsidR="00E13BEF" w14:paraId="2509798B" w14:textId="77777777" w:rsidTr="008A669E">
        <w:trPr>
          <w:trHeight w:val="291"/>
          <w:tblHeader/>
        </w:trPr>
        <w:tc>
          <w:tcPr>
            <w:tcW w:w="2977" w:type="dxa"/>
            <w:vMerge/>
            <w:tcBorders>
              <w:left w:val="single" w:sz="4" w:space="0" w:color="auto"/>
              <w:right w:val="single" w:sz="4" w:space="0" w:color="auto"/>
            </w:tcBorders>
            <w:noWrap/>
          </w:tcPr>
          <w:p w14:paraId="2A0F1ED5" w14:textId="59258134" w:rsidR="00E13BEF" w:rsidRPr="004F7688" w:rsidRDefault="00E13BEF" w:rsidP="00E30F1F">
            <w:pPr>
              <w:keepNext/>
              <w:keepLines/>
              <w:spacing w:after="0" w:line="240" w:lineRule="auto"/>
              <w:jc w:val="left"/>
              <w:rPr>
                <w:rFonts w:asciiTheme="minorHAnsi" w:hAnsiTheme="minorHAnsi" w:cstheme="minorHAnsi"/>
                <w:color w:val="auto"/>
                <w:szCs w:val="23"/>
              </w:rPr>
            </w:pPr>
          </w:p>
        </w:tc>
        <w:tc>
          <w:tcPr>
            <w:tcW w:w="1843" w:type="dxa"/>
            <w:vMerge/>
            <w:tcBorders>
              <w:top w:val="single" w:sz="4" w:space="0" w:color="auto"/>
              <w:left w:val="single" w:sz="4" w:space="0" w:color="auto"/>
              <w:bottom w:val="single" w:sz="4" w:space="0" w:color="auto"/>
              <w:right w:val="single" w:sz="4" w:space="0" w:color="auto"/>
            </w:tcBorders>
            <w:noWrap/>
          </w:tcPr>
          <w:p w14:paraId="211E9245" w14:textId="77777777" w:rsidR="00E13BEF" w:rsidRPr="004F7688" w:rsidRDefault="00E13BEF" w:rsidP="00E30F1F">
            <w:pPr>
              <w:keepNext/>
              <w:keepLines/>
              <w:spacing w:after="0" w:line="240" w:lineRule="auto"/>
              <w:jc w:val="left"/>
              <w:rPr>
                <w:rFonts w:asciiTheme="minorHAnsi" w:hAnsiTheme="minorHAnsi" w:cstheme="minorHAnsi"/>
                <w:color w:val="auto"/>
                <w:szCs w:val="23"/>
              </w:rPr>
            </w:pPr>
          </w:p>
        </w:tc>
        <w:tc>
          <w:tcPr>
            <w:tcW w:w="5670" w:type="dxa"/>
            <w:tcBorders>
              <w:top w:val="single" w:sz="4" w:space="0" w:color="auto"/>
              <w:left w:val="single" w:sz="4" w:space="0" w:color="auto"/>
              <w:bottom w:val="single" w:sz="4" w:space="0" w:color="auto"/>
              <w:right w:val="single" w:sz="4" w:space="0" w:color="auto"/>
            </w:tcBorders>
          </w:tcPr>
          <w:p w14:paraId="461C085C" w14:textId="47DF2C0A" w:rsidR="00E13BEF" w:rsidRPr="004F7688" w:rsidRDefault="00E13BEF" w:rsidP="000840EF">
            <w:pPr>
              <w:keepNext/>
              <w:keepLines/>
              <w:spacing w:after="0" w:line="240" w:lineRule="auto"/>
              <w:jc w:val="left"/>
              <w:rPr>
                <w:rFonts w:asciiTheme="minorHAnsi" w:hAnsiTheme="minorHAnsi" w:cstheme="minorHAnsi"/>
                <w:color w:val="auto"/>
                <w:szCs w:val="23"/>
              </w:rPr>
            </w:pPr>
            <w:r w:rsidRPr="00E30F1F">
              <w:rPr>
                <w:rFonts w:asciiTheme="minorHAnsi" w:hAnsiTheme="minorHAnsi" w:cstheme="minorHAnsi"/>
                <w:color w:val="auto"/>
                <w:szCs w:val="23"/>
              </w:rPr>
              <w:t>Number and proportion of clients with an identified need for services who were not provided or referred to those services, split by accommodation and other services</w:t>
            </w:r>
          </w:p>
        </w:tc>
        <w:tc>
          <w:tcPr>
            <w:tcW w:w="1559" w:type="dxa"/>
            <w:tcBorders>
              <w:top w:val="single" w:sz="4" w:space="0" w:color="auto"/>
              <w:left w:val="single" w:sz="4" w:space="0" w:color="auto"/>
              <w:bottom w:val="single" w:sz="4" w:space="0" w:color="auto"/>
              <w:right w:val="single" w:sz="4" w:space="0" w:color="auto"/>
            </w:tcBorders>
          </w:tcPr>
          <w:p w14:paraId="1DB24C88" w14:textId="2215469E" w:rsidR="00E13BEF" w:rsidRPr="004F7688" w:rsidRDefault="00E13BEF" w:rsidP="00DB35C8">
            <w:pPr>
              <w:spacing w:after="0" w:line="240" w:lineRule="auto"/>
              <w:jc w:val="left"/>
              <w:textAlignment w:val="baseline"/>
              <w:rPr>
                <w:rFonts w:asciiTheme="minorHAnsi" w:hAnsiTheme="minorHAnsi" w:cstheme="minorHAnsi"/>
                <w:color w:val="auto"/>
                <w:szCs w:val="23"/>
              </w:rPr>
            </w:pPr>
            <w:r w:rsidRPr="004F7688">
              <w:rPr>
                <w:rFonts w:asciiTheme="minorHAnsi" w:hAnsiTheme="minorHAnsi" w:cstheme="minorHAnsi"/>
                <w:color w:val="auto"/>
                <w:szCs w:val="23"/>
              </w:rPr>
              <w:t>RoGS 19A.</w:t>
            </w:r>
            <w:r>
              <w:rPr>
                <w:rFonts w:asciiTheme="minorHAnsi" w:hAnsiTheme="minorHAnsi" w:cstheme="minorHAnsi"/>
                <w:color w:val="auto"/>
                <w:szCs w:val="23"/>
              </w:rPr>
              <w:t>7</w:t>
            </w:r>
          </w:p>
          <w:p w14:paraId="1B5AA26D" w14:textId="77777777" w:rsidR="00E13BEF" w:rsidRPr="004F7688" w:rsidRDefault="00E13BEF" w:rsidP="000840EF">
            <w:pPr>
              <w:keepNext/>
              <w:keepLines/>
              <w:spacing w:after="0" w:line="240" w:lineRule="auto"/>
              <w:jc w:val="left"/>
              <w:rPr>
                <w:rFonts w:asciiTheme="minorHAnsi" w:hAnsiTheme="minorHAnsi" w:cstheme="minorHAnsi"/>
                <w:i/>
                <w:iCs/>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2CDE2015" w14:textId="1B708146" w:rsidR="00E13BEF" w:rsidRPr="004F7688" w:rsidRDefault="00E13BEF" w:rsidP="000840EF">
            <w:pPr>
              <w:keepNext/>
              <w:keepLines/>
              <w:spacing w:after="0" w:line="240" w:lineRule="auto"/>
              <w:jc w:val="left"/>
              <w:rPr>
                <w:rFonts w:asciiTheme="minorHAnsi" w:hAnsiTheme="minorHAnsi" w:cstheme="minorHAnsi"/>
                <w:i/>
                <w:iCs/>
                <w:szCs w:val="23"/>
              </w:rPr>
            </w:pPr>
          </w:p>
        </w:tc>
        <w:tc>
          <w:tcPr>
            <w:tcW w:w="1418" w:type="dxa"/>
            <w:tcBorders>
              <w:top w:val="single" w:sz="4" w:space="0" w:color="auto"/>
              <w:left w:val="single" w:sz="4" w:space="0" w:color="auto"/>
              <w:bottom w:val="single" w:sz="4" w:space="0" w:color="auto"/>
              <w:right w:val="single" w:sz="4" w:space="0" w:color="auto"/>
            </w:tcBorders>
            <w:vAlign w:val="center"/>
          </w:tcPr>
          <w:p w14:paraId="60819640" w14:textId="77777777" w:rsidR="00E13BEF" w:rsidRPr="004F7688" w:rsidRDefault="00E13BEF" w:rsidP="000840EF">
            <w:pPr>
              <w:keepNext/>
              <w:keepLines/>
              <w:spacing w:after="0"/>
              <w:jc w:val="left"/>
              <w:rPr>
                <w:rFonts w:asciiTheme="minorHAnsi" w:hAnsiTheme="minorHAnsi" w:cstheme="minorHAnsi"/>
                <w:i/>
                <w:iCs/>
                <w:szCs w:val="23"/>
              </w:rPr>
            </w:pPr>
          </w:p>
        </w:tc>
      </w:tr>
      <w:tr w:rsidR="00E13BEF" w14:paraId="2315372E" w14:textId="77777777" w:rsidTr="008A669E">
        <w:trPr>
          <w:trHeight w:val="291"/>
          <w:tblHeader/>
        </w:trPr>
        <w:tc>
          <w:tcPr>
            <w:tcW w:w="2977" w:type="dxa"/>
            <w:tcBorders>
              <w:left w:val="single" w:sz="4" w:space="0" w:color="auto"/>
              <w:bottom w:val="single" w:sz="4" w:space="0" w:color="auto"/>
              <w:right w:val="single" w:sz="4" w:space="0" w:color="auto"/>
            </w:tcBorders>
            <w:noWrap/>
          </w:tcPr>
          <w:p w14:paraId="1EE3D120" w14:textId="77777777" w:rsidR="00E13BEF" w:rsidRPr="004F7688" w:rsidRDefault="00E13BEF" w:rsidP="00E30F1F">
            <w:pPr>
              <w:keepNext/>
              <w:keepLines/>
              <w:spacing w:after="0" w:line="240" w:lineRule="auto"/>
              <w:jc w:val="left"/>
              <w:rPr>
                <w:rFonts w:asciiTheme="minorHAnsi" w:hAnsiTheme="minorHAnsi" w:cstheme="minorHAnsi"/>
                <w:color w:val="auto"/>
                <w:szCs w:val="23"/>
              </w:rPr>
            </w:pPr>
          </w:p>
        </w:tc>
        <w:tc>
          <w:tcPr>
            <w:tcW w:w="1843" w:type="dxa"/>
            <w:tcBorders>
              <w:top w:val="single" w:sz="4" w:space="0" w:color="auto"/>
              <w:left w:val="single" w:sz="4" w:space="0" w:color="auto"/>
              <w:bottom w:val="single" w:sz="4" w:space="0" w:color="auto"/>
              <w:right w:val="single" w:sz="4" w:space="0" w:color="auto"/>
            </w:tcBorders>
            <w:noWrap/>
          </w:tcPr>
          <w:p w14:paraId="24DA837B" w14:textId="0738DA85" w:rsidR="00E13BEF" w:rsidRPr="004F7688" w:rsidRDefault="00E13BEF" w:rsidP="00E30F1F">
            <w:pPr>
              <w:keepNext/>
              <w:keepLines/>
              <w:spacing w:after="0" w:line="240" w:lineRule="auto"/>
              <w:jc w:val="left"/>
              <w:rPr>
                <w:rFonts w:asciiTheme="minorHAnsi" w:hAnsiTheme="minorHAnsi" w:cstheme="minorHAnsi"/>
                <w:color w:val="auto"/>
                <w:szCs w:val="23"/>
              </w:rPr>
            </w:pPr>
            <w:r w:rsidRPr="004F7688">
              <w:rPr>
                <w:rFonts w:asciiTheme="minorHAnsi" w:hAnsiTheme="minorHAnsi" w:cstheme="minorHAnsi"/>
                <w:color w:val="auto"/>
                <w:szCs w:val="23"/>
              </w:rPr>
              <w:t>Supported request for services</w:t>
            </w:r>
          </w:p>
        </w:tc>
        <w:tc>
          <w:tcPr>
            <w:tcW w:w="5670" w:type="dxa"/>
            <w:tcBorders>
              <w:top w:val="single" w:sz="4" w:space="0" w:color="auto"/>
              <w:left w:val="single" w:sz="4" w:space="0" w:color="auto"/>
              <w:bottom w:val="single" w:sz="4" w:space="0" w:color="auto"/>
              <w:right w:val="single" w:sz="4" w:space="0" w:color="auto"/>
            </w:tcBorders>
          </w:tcPr>
          <w:p w14:paraId="6DF2CAC4" w14:textId="0D712804" w:rsidR="00E13BEF" w:rsidRPr="00E30F1F" w:rsidRDefault="00E13BEF" w:rsidP="000840EF">
            <w:pPr>
              <w:keepNext/>
              <w:keepLines/>
              <w:spacing w:after="0" w:line="240" w:lineRule="auto"/>
              <w:jc w:val="left"/>
              <w:rPr>
                <w:rFonts w:asciiTheme="minorHAnsi" w:hAnsiTheme="minorHAnsi" w:cstheme="minorHAnsi"/>
                <w:color w:val="auto"/>
                <w:szCs w:val="23"/>
              </w:rPr>
            </w:pPr>
            <w:r w:rsidRPr="00E30F1F">
              <w:rPr>
                <w:rFonts w:asciiTheme="minorHAnsi" w:hAnsiTheme="minorHAnsi" w:cstheme="minorHAnsi"/>
                <w:color w:val="auto"/>
                <w:szCs w:val="23"/>
              </w:rPr>
              <w:t>Number and proportion of clients at risk of homelessness who receive assistance and avoid homelessness</w:t>
            </w:r>
          </w:p>
        </w:tc>
        <w:tc>
          <w:tcPr>
            <w:tcW w:w="1559" w:type="dxa"/>
            <w:tcBorders>
              <w:top w:val="single" w:sz="4" w:space="0" w:color="auto"/>
              <w:left w:val="single" w:sz="4" w:space="0" w:color="auto"/>
              <w:bottom w:val="single" w:sz="4" w:space="0" w:color="auto"/>
              <w:right w:val="single" w:sz="4" w:space="0" w:color="auto"/>
            </w:tcBorders>
          </w:tcPr>
          <w:p w14:paraId="1659AD2D" w14:textId="06CD3C1F" w:rsidR="00E13BEF" w:rsidRPr="004F7688" w:rsidRDefault="00E13BEF" w:rsidP="00DB35C8">
            <w:pPr>
              <w:spacing w:after="0" w:line="240" w:lineRule="auto"/>
              <w:jc w:val="left"/>
              <w:textAlignment w:val="baseline"/>
              <w:rPr>
                <w:rFonts w:asciiTheme="minorHAnsi" w:hAnsiTheme="minorHAnsi" w:cstheme="minorHAnsi"/>
                <w:color w:val="auto"/>
                <w:szCs w:val="23"/>
              </w:rPr>
            </w:pPr>
            <w:r w:rsidRPr="00E30F1F">
              <w:rPr>
                <w:rFonts w:asciiTheme="minorHAnsi" w:hAnsiTheme="minorHAnsi" w:cstheme="minorHAnsi"/>
                <w:color w:val="auto"/>
                <w:szCs w:val="23"/>
              </w:rPr>
              <w:t>AIHW SHSC, I_CLIENT_1</w:t>
            </w:r>
          </w:p>
        </w:tc>
        <w:tc>
          <w:tcPr>
            <w:tcW w:w="1701" w:type="dxa"/>
            <w:tcBorders>
              <w:top w:val="single" w:sz="4" w:space="0" w:color="auto"/>
              <w:left w:val="single" w:sz="4" w:space="0" w:color="auto"/>
              <w:bottom w:val="single" w:sz="4" w:space="0" w:color="auto"/>
              <w:right w:val="single" w:sz="4" w:space="0" w:color="auto"/>
            </w:tcBorders>
            <w:vAlign w:val="center"/>
          </w:tcPr>
          <w:p w14:paraId="09556773" w14:textId="77777777" w:rsidR="00E13BEF" w:rsidRPr="004F7688" w:rsidRDefault="00E13BEF" w:rsidP="000840EF">
            <w:pPr>
              <w:keepNext/>
              <w:keepLines/>
              <w:spacing w:after="0" w:line="240" w:lineRule="auto"/>
              <w:jc w:val="left"/>
              <w:rPr>
                <w:rFonts w:asciiTheme="minorHAnsi" w:hAnsiTheme="minorHAnsi" w:cstheme="minorHAnsi"/>
                <w:i/>
                <w:iCs/>
                <w:szCs w:val="23"/>
              </w:rPr>
            </w:pPr>
          </w:p>
        </w:tc>
        <w:tc>
          <w:tcPr>
            <w:tcW w:w="1418" w:type="dxa"/>
            <w:tcBorders>
              <w:top w:val="single" w:sz="4" w:space="0" w:color="auto"/>
              <w:left w:val="single" w:sz="4" w:space="0" w:color="auto"/>
              <w:bottom w:val="single" w:sz="4" w:space="0" w:color="auto"/>
              <w:right w:val="single" w:sz="4" w:space="0" w:color="auto"/>
            </w:tcBorders>
            <w:vAlign w:val="center"/>
          </w:tcPr>
          <w:p w14:paraId="2C6E60EC" w14:textId="77777777" w:rsidR="00E13BEF" w:rsidRPr="004F7688" w:rsidRDefault="00E13BEF" w:rsidP="000840EF">
            <w:pPr>
              <w:keepNext/>
              <w:keepLines/>
              <w:spacing w:after="0"/>
              <w:jc w:val="left"/>
              <w:rPr>
                <w:rFonts w:asciiTheme="minorHAnsi" w:hAnsiTheme="minorHAnsi" w:cstheme="minorHAnsi"/>
                <w:i/>
                <w:iCs/>
                <w:szCs w:val="23"/>
              </w:rPr>
            </w:pPr>
          </w:p>
        </w:tc>
      </w:tr>
      <w:tr w:rsidR="00E13BEF" w14:paraId="047F4FA4" w14:textId="77777777" w:rsidTr="008A669E">
        <w:trPr>
          <w:trHeight w:val="291"/>
          <w:tblHeader/>
        </w:trPr>
        <w:tc>
          <w:tcPr>
            <w:tcW w:w="2977" w:type="dxa"/>
            <w:tcBorders>
              <w:left w:val="single" w:sz="4" w:space="0" w:color="auto"/>
              <w:bottom w:val="single" w:sz="4" w:space="0" w:color="auto"/>
              <w:right w:val="single" w:sz="4" w:space="0" w:color="auto"/>
            </w:tcBorders>
            <w:noWrap/>
          </w:tcPr>
          <w:p w14:paraId="30794B25" w14:textId="2C835047" w:rsidR="00E13BEF" w:rsidRPr="004F7688" w:rsidRDefault="00E13BEF" w:rsidP="00E30F1F">
            <w:pPr>
              <w:jc w:val="left"/>
              <w:rPr>
                <w:rFonts w:asciiTheme="minorHAnsi" w:hAnsiTheme="minorHAnsi" w:cstheme="minorHAnsi"/>
                <w:color w:val="auto"/>
                <w:szCs w:val="23"/>
              </w:rPr>
            </w:pPr>
            <w:r w:rsidRPr="004F7688">
              <w:rPr>
                <w:rFonts w:asciiTheme="minorHAnsi" w:hAnsiTheme="minorHAnsi" w:cstheme="minorHAnsi"/>
                <w:color w:val="auto"/>
                <w:szCs w:val="23"/>
              </w:rPr>
              <w:t>People rarely experience or enter into homelessness and when they do it is brief and non-recurring </w:t>
            </w:r>
          </w:p>
        </w:tc>
        <w:tc>
          <w:tcPr>
            <w:tcW w:w="1843" w:type="dxa"/>
            <w:tcBorders>
              <w:top w:val="single" w:sz="4" w:space="0" w:color="auto"/>
              <w:left w:val="single" w:sz="4" w:space="0" w:color="auto"/>
              <w:bottom w:val="single" w:sz="4" w:space="0" w:color="auto"/>
              <w:right w:val="single" w:sz="4" w:space="0" w:color="auto"/>
            </w:tcBorders>
            <w:noWrap/>
          </w:tcPr>
          <w:p w14:paraId="384485A3" w14:textId="4101C35D" w:rsidR="00E13BEF" w:rsidRPr="004F7688" w:rsidRDefault="00E13BEF" w:rsidP="00E30F1F">
            <w:pPr>
              <w:jc w:val="left"/>
              <w:rPr>
                <w:rFonts w:asciiTheme="minorHAnsi" w:hAnsiTheme="minorHAnsi" w:cstheme="minorHAnsi"/>
                <w:color w:val="auto"/>
                <w:szCs w:val="23"/>
              </w:rPr>
            </w:pPr>
            <w:r w:rsidRPr="004F7688">
              <w:rPr>
                <w:rFonts w:asciiTheme="minorHAnsi" w:hAnsiTheme="minorHAnsi" w:cstheme="minorHAnsi"/>
                <w:color w:val="auto"/>
                <w:szCs w:val="23"/>
              </w:rPr>
              <w:t>Return</w:t>
            </w:r>
            <w:r>
              <w:rPr>
                <w:rFonts w:asciiTheme="minorHAnsi" w:hAnsiTheme="minorHAnsi" w:cstheme="minorHAnsi"/>
                <w:color w:val="auto"/>
                <w:szCs w:val="23"/>
              </w:rPr>
              <w:t xml:space="preserve"> </w:t>
            </w:r>
            <w:r w:rsidRPr="004F7688">
              <w:rPr>
                <w:rFonts w:asciiTheme="minorHAnsi" w:hAnsiTheme="minorHAnsi" w:cstheme="minorHAnsi"/>
                <w:color w:val="auto"/>
                <w:szCs w:val="23"/>
              </w:rPr>
              <w:t>to homelessness</w:t>
            </w:r>
          </w:p>
        </w:tc>
        <w:tc>
          <w:tcPr>
            <w:tcW w:w="5670" w:type="dxa"/>
            <w:tcBorders>
              <w:top w:val="single" w:sz="4" w:space="0" w:color="auto"/>
              <w:left w:val="single" w:sz="4" w:space="0" w:color="auto"/>
              <w:bottom w:val="single" w:sz="4" w:space="0" w:color="auto"/>
              <w:right w:val="single" w:sz="4" w:space="0" w:color="auto"/>
            </w:tcBorders>
          </w:tcPr>
          <w:p w14:paraId="52A9D2B9" w14:textId="31881815" w:rsidR="00E13BEF" w:rsidRPr="004F7688" w:rsidRDefault="00E13BEF" w:rsidP="000840EF">
            <w:pPr>
              <w:keepNext/>
              <w:keepLines/>
              <w:spacing w:after="0" w:line="240" w:lineRule="auto"/>
              <w:jc w:val="left"/>
              <w:rPr>
                <w:rFonts w:asciiTheme="minorHAnsi" w:hAnsiTheme="minorHAnsi" w:cstheme="minorHAnsi"/>
                <w:color w:val="auto"/>
                <w:szCs w:val="23"/>
              </w:rPr>
            </w:pPr>
            <w:r w:rsidRPr="004F7688">
              <w:rPr>
                <w:rFonts w:asciiTheme="minorHAnsi" w:hAnsiTheme="minorHAnsi" w:cstheme="minorHAnsi"/>
                <w:color w:val="auto"/>
                <w:szCs w:val="23"/>
              </w:rPr>
              <w:t>Number and proportion of clients who return to homelessness after achieving housing </w:t>
            </w:r>
          </w:p>
        </w:tc>
        <w:tc>
          <w:tcPr>
            <w:tcW w:w="1559" w:type="dxa"/>
            <w:tcBorders>
              <w:top w:val="single" w:sz="4" w:space="0" w:color="auto"/>
              <w:left w:val="single" w:sz="4" w:space="0" w:color="auto"/>
              <w:bottom w:val="single" w:sz="4" w:space="0" w:color="auto"/>
              <w:right w:val="single" w:sz="4" w:space="0" w:color="auto"/>
            </w:tcBorders>
          </w:tcPr>
          <w:p w14:paraId="6F907B04" w14:textId="2BE92A4C" w:rsidR="00E13BEF" w:rsidRPr="004F7688" w:rsidRDefault="00E13BEF" w:rsidP="000840EF">
            <w:pPr>
              <w:keepNext/>
              <w:keepLines/>
              <w:spacing w:after="0" w:line="240" w:lineRule="auto"/>
              <w:jc w:val="left"/>
              <w:rPr>
                <w:rFonts w:asciiTheme="minorHAnsi" w:hAnsiTheme="minorHAnsi" w:cstheme="minorHAnsi"/>
                <w:i/>
                <w:iCs/>
                <w:szCs w:val="23"/>
              </w:rPr>
            </w:pPr>
            <w:r w:rsidRPr="004F7688">
              <w:rPr>
                <w:rFonts w:asciiTheme="minorHAnsi" w:hAnsiTheme="minorHAnsi" w:cstheme="minorHAnsi"/>
                <w:color w:val="auto"/>
                <w:szCs w:val="23"/>
              </w:rPr>
              <w:t>RoGS 19A.38 </w:t>
            </w:r>
          </w:p>
        </w:tc>
        <w:tc>
          <w:tcPr>
            <w:tcW w:w="1701" w:type="dxa"/>
            <w:tcBorders>
              <w:top w:val="single" w:sz="4" w:space="0" w:color="auto"/>
              <w:left w:val="single" w:sz="4" w:space="0" w:color="auto"/>
              <w:bottom w:val="single" w:sz="4" w:space="0" w:color="auto"/>
              <w:right w:val="single" w:sz="4" w:space="0" w:color="auto"/>
            </w:tcBorders>
            <w:vAlign w:val="center"/>
          </w:tcPr>
          <w:p w14:paraId="37C784B9" w14:textId="2F72656D" w:rsidR="00E13BEF" w:rsidRPr="004F7688" w:rsidRDefault="00E13BEF" w:rsidP="000840EF">
            <w:pPr>
              <w:keepNext/>
              <w:keepLines/>
              <w:spacing w:after="0" w:line="240" w:lineRule="auto"/>
              <w:jc w:val="left"/>
              <w:rPr>
                <w:rFonts w:asciiTheme="minorHAnsi" w:hAnsiTheme="minorHAnsi" w:cstheme="minorHAnsi"/>
                <w:i/>
                <w:iCs/>
                <w:szCs w:val="23"/>
              </w:rPr>
            </w:pPr>
          </w:p>
        </w:tc>
        <w:tc>
          <w:tcPr>
            <w:tcW w:w="1418" w:type="dxa"/>
            <w:tcBorders>
              <w:top w:val="single" w:sz="4" w:space="0" w:color="auto"/>
              <w:left w:val="single" w:sz="4" w:space="0" w:color="auto"/>
              <w:bottom w:val="single" w:sz="4" w:space="0" w:color="auto"/>
              <w:right w:val="single" w:sz="4" w:space="0" w:color="auto"/>
            </w:tcBorders>
            <w:vAlign w:val="center"/>
          </w:tcPr>
          <w:p w14:paraId="7C3B841F" w14:textId="77777777" w:rsidR="00E13BEF" w:rsidRPr="004F7688" w:rsidRDefault="00E13BEF" w:rsidP="000840EF">
            <w:pPr>
              <w:keepNext/>
              <w:keepLines/>
              <w:spacing w:after="0"/>
              <w:jc w:val="left"/>
              <w:rPr>
                <w:rFonts w:asciiTheme="minorHAnsi" w:hAnsiTheme="minorHAnsi" w:cstheme="minorHAnsi"/>
                <w:i/>
                <w:iCs/>
                <w:szCs w:val="23"/>
              </w:rPr>
            </w:pPr>
          </w:p>
        </w:tc>
      </w:tr>
      <w:tr w:rsidR="00E13BEF" w14:paraId="30A66047" w14:textId="77777777" w:rsidTr="008A669E">
        <w:trPr>
          <w:trHeight w:val="1214"/>
          <w:tblHeader/>
        </w:trPr>
        <w:tc>
          <w:tcPr>
            <w:tcW w:w="2977" w:type="dxa"/>
            <w:tcBorders>
              <w:top w:val="single" w:sz="4" w:space="0" w:color="auto"/>
              <w:left w:val="single" w:sz="4" w:space="0" w:color="auto"/>
              <w:bottom w:val="single" w:sz="4" w:space="0" w:color="auto"/>
              <w:right w:val="single" w:sz="4" w:space="0" w:color="auto"/>
            </w:tcBorders>
            <w:noWrap/>
          </w:tcPr>
          <w:p w14:paraId="479E5336" w14:textId="1343F5EB" w:rsidR="00E13BEF" w:rsidRPr="004F7688" w:rsidRDefault="00E13BEF" w:rsidP="00E30F1F">
            <w:pPr>
              <w:spacing w:after="0" w:line="240" w:lineRule="auto"/>
              <w:jc w:val="left"/>
              <w:textAlignment w:val="baseline"/>
              <w:rPr>
                <w:rFonts w:asciiTheme="minorHAnsi" w:hAnsiTheme="minorHAnsi" w:cstheme="minorHAnsi"/>
                <w:color w:val="auto"/>
                <w:szCs w:val="23"/>
              </w:rPr>
            </w:pPr>
            <w:r w:rsidRPr="004F7688">
              <w:rPr>
                <w:rFonts w:asciiTheme="minorHAnsi" w:hAnsiTheme="minorHAnsi" w:cstheme="minorHAnsi"/>
                <w:color w:val="auto"/>
                <w:szCs w:val="23"/>
              </w:rPr>
              <w:t>People in need of social housing are able to obtain a tenancy </w:t>
            </w:r>
          </w:p>
        </w:tc>
        <w:tc>
          <w:tcPr>
            <w:tcW w:w="1843" w:type="dxa"/>
            <w:tcBorders>
              <w:top w:val="single" w:sz="4" w:space="0" w:color="auto"/>
              <w:left w:val="single" w:sz="4" w:space="0" w:color="auto"/>
              <w:bottom w:val="single" w:sz="4" w:space="0" w:color="auto"/>
              <w:right w:val="single" w:sz="4" w:space="0" w:color="auto"/>
            </w:tcBorders>
            <w:noWrap/>
          </w:tcPr>
          <w:p w14:paraId="1FEB2A37" w14:textId="72CAF194" w:rsidR="00E13BEF" w:rsidRPr="004F7688" w:rsidRDefault="00E13BEF" w:rsidP="008A669E">
            <w:pPr>
              <w:spacing w:after="0" w:line="240" w:lineRule="auto"/>
              <w:jc w:val="left"/>
              <w:textAlignment w:val="baseline"/>
              <w:rPr>
                <w:rFonts w:asciiTheme="minorHAnsi" w:hAnsiTheme="minorHAnsi" w:cstheme="minorHAnsi"/>
                <w:color w:val="auto"/>
                <w:szCs w:val="23"/>
              </w:rPr>
            </w:pPr>
            <w:r w:rsidRPr="004F7688">
              <w:rPr>
                <w:rFonts w:asciiTheme="minorHAnsi" w:hAnsiTheme="minorHAnsi" w:cstheme="minorHAnsi"/>
                <w:color w:val="auto"/>
                <w:szCs w:val="23"/>
              </w:rPr>
              <w:t>Stock of social housing dwellings</w:t>
            </w:r>
          </w:p>
        </w:tc>
        <w:tc>
          <w:tcPr>
            <w:tcW w:w="5670" w:type="dxa"/>
            <w:tcBorders>
              <w:top w:val="single" w:sz="4" w:space="0" w:color="auto"/>
              <w:left w:val="single" w:sz="4" w:space="0" w:color="auto"/>
              <w:bottom w:val="single" w:sz="4" w:space="0" w:color="auto"/>
              <w:right w:val="single" w:sz="4" w:space="0" w:color="auto"/>
            </w:tcBorders>
          </w:tcPr>
          <w:p w14:paraId="1BBF5387" w14:textId="6C28FC85" w:rsidR="00E13BEF" w:rsidRPr="004F7688" w:rsidRDefault="00E13BEF" w:rsidP="00CA76AB">
            <w:pPr>
              <w:spacing w:after="0" w:line="240" w:lineRule="auto"/>
              <w:jc w:val="left"/>
              <w:textAlignment w:val="baseline"/>
              <w:rPr>
                <w:rFonts w:asciiTheme="minorHAnsi" w:hAnsiTheme="minorHAnsi" w:cstheme="minorHAnsi"/>
                <w:color w:val="auto"/>
                <w:szCs w:val="23"/>
              </w:rPr>
            </w:pPr>
            <w:r w:rsidRPr="004F7688">
              <w:rPr>
                <w:rFonts w:asciiTheme="minorHAnsi" w:hAnsiTheme="minorHAnsi" w:cstheme="minorHAnsi"/>
                <w:color w:val="auto"/>
                <w:szCs w:val="23"/>
              </w:rPr>
              <w:t>Number of social housing dwellings at 30 June: public housing, SOMIH, community housing and Indigenous community housing, all programs</w:t>
            </w:r>
          </w:p>
        </w:tc>
        <w:tc>
          <w:tcPr>
            <w:tcW w:w="1559" w:type="dxa"/>
            <w:tcBorders>
              <w:top w:val="single" w:sz="4" w:space="0" w:color="auto"/>
              <w:left w:val="single" w:sz="4" w:space="0" w:color="auto"/>
              <w:bottom w:val="single" w:sz="4" w:space="0" w:color="auto"/>
              <w:right w:val="single" w:sz="4" w:space="0" w:color="auto"/>
            </w:tcBorders>
          </w:tcPr>
          <w:p w14:paraId="783EE37F" w14:textId="328CE154" w:rsidR="00E13BEF" w:rsidRPr="004F7688" w:rsidRDefault="00E13BEF" w:rsidP="00DB35C8">
            <w:pPr>
              <w:spacing w:after="0" w:line="240" w:lineRule="auto"/>
              <w:jc w:val="left"/>
              <w:textAlignment w:val="baseline"/>
              <w:rPr>
                <w:rFonts w:asciiTheme="minorHAnsi" w:hAnsiTheme="minorHAnsi" w:cstheme="minorHAnsi"/>
                <w:color w:val="auto"/>
                <w:szCs w:val="23"/>
              </w:rPr>
            </w:pPr>
            <w:r w:rsidRPr="004F7688">
              <w:rPr>
                <w:rFonts w:asciiTheme="minorHAnsi" w:hAnsiTheme="minorHAnsi" w:cstheme="minorHAnsi"/>
                <w:color w:val="auto"/>
                <w:szCs w:val="23"/>
              </w:rPr>
              <w:t>RoGS 18A.3 </w:t>
            </w:r>
          </w:p>
          <w:p w14:paraId="15F429D4" w14:textId="77777777" w:rsidR="00E13BEF" w:rsidRPr="004F7688" w:rsidRDefault="00E13BEF" w:rsidP="00DB35C8">
            <w:pPr>
              <w:keepNext/>
              <w:keepLines/>
              <w:spacing w:after="0" w:line="240" w:lineRule="auto"/>
              <w:jc w:val="left"/>
              <w:rPr>
                <w:rFonts w:asciiTheme="minorHAnsi" w:hAnsiTheme="minorHAnsi" w:cstheme="minorHAnsi"/>
                <w:i/>
                <w:iCs/>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52F55DF1" w14:textId="77777777" w:rsidR="00E13BEF" w:rsidRPr="004F7688" w:rsidRDefault="00E13BEF" w:rsidP="00DB35C8">
            <w:pPr>
              <w:keepNext/>
              <w:keepLines/>
              <w:spacing w:after="0" w:line="240" w:lineRule="auto"/>
              <w:jc w:val="left"/>
              <w:rPr>
                <w:rFonts w:asciiTheme="minorHAnsi" w:hAnsiTheme="minorHAnsi" w:cstheme="minorHAnsi"/>
                <w:i/>
                <w:iCs/>
                <w:szCs w:val="23"/>
              </w:rPr>
            </w:pPr>
          </w:p>
        </w:tc>
        <w:tc>
          <w:tcPr>
            <w:tcW w:w="1418" w:type="dxa"/>
            <w:tcBorders>
              <w:top w:val="single" w:sz="4" w:space="0" w:color="auto"/>
              <w:left w:val="single" w:sz="4" w:space="0" w:color="auto"/>
              <w:bottom w:val="single" w:sz="4" w:space="0" w:color="auto"/>
              <w:right w:val="single" w:sz="4" w:space="0" w:color="auto"/>
            </w:tcBorders>
            <w:vAlign w:val="center"/>
          </w:tcPr>
          <w:p w14:paraId="2A21BBAC" w14:textId="77777777" w:rsidR="00E13BEF" w:rsidRPr="004F7688" w:rsidRDefault="00E13BEF" w:rsidP="00DB35C8">
            <w:pPr>
              <w:keepNext/>
              <w:keepLines/>
              <w:spacing w:after="0"/>
              <w:jc w:val="left"/>
              <w:rPr>
                <w:rFonts w:asciiTheme="minorHAnsi" w:hAnsiTheme="minorHAnsi" w:cstheme="minorHAnsi"/>
                <w:i/>
                <w:iCs/>
                <w:szCs w:val="23"/>
              </w:rPr>
            </w:pPr>
          </w:p>
        </w:tc>
      </w:tr>
      <w:tr w:rsidR="00E13BEF" w14:paraId="2260379F" w14:textId="77777777" w:rsidTr="008A669E">
        <w:trPr>
          <w:trHeight w:val="291"/>
          <w:tblHeader/>
        </w:trPr>
        <w:tc>
          <w:tcPr>
            <w:tcW w:w="2977" w:type="dxa"/>
            <w:vMerge w:val="restart"/>
            <w:tcBorders>
              <w:top w:val="single" w:sz="4" w:space="0" w:color="auto"/>
              <w:left w:val="single" w:sz="4" w:space="0" w:color="auto"/>
              <w:right w:val="single" w:sz="4" w:space="0" w:color="auto"/>
            </w:tcBorders>
            <w:noWrap/>
          </w:tcPr>
          <w:p w14:paraId="009C9D1C" w14:textId="77777777" w:rsidR="00E13BEF" w:rsidRPr="004F7688" w:rsidRDefault="00E13BEF" w:rsidP="005F01A8">
            <w:pPr>
              <w:keepNext/>
              <w:keepLines/>
              <w:spacing w:after="0" w:line="240" w:lineRule="auto"/>
              <w:jc w:val="left"/>
              <w:textAlignment w:val="baseline"/>
              <w:rPr>
                <w:rFonts w:asciiTheme="minorHAnsi" w:hAnsiTheme="minorHAnsi" w:cstheme="minorHAnsi"/>
                <w:color w:val="auto"/>
                <w:szCs w:val="23"/>
              </w:rPr>
            </w:pPr>
            <w:r w:rsidRPr="004F7688">
              <w:rPr>
                <w:rFonts w:asciiTheme="minorHAnsi" w:hAnsiTheme="minorHAnsi" w:cstheme="minorHAnsi"/>
                <w:color w:val="auto"/>
                <w:szCs w:val="23"/>
              </w:rPr>
              <w:t>People in social housing live in quality homes appropriate to their needs </w:t>
            </w:r>
          </w:p>
          <w:p w14:paraId="20090B9A" w14:textId="77777777" w:rsidR="00E13BEF" w:rsidRPr="004F7688" w:rsidRDefault="00E13BEF" w:rsidP="005F01A8">
            <w:pPr>
              <w:keepNext/>
              <w:keepLines/>
              <w:spacing w:after="0" w:line="240" w:lineRule="auto"/>
              <w:jc w:val="left"/>
              <w:textAlignment w:val="baseline"/>
              <w:rPr>
                <w:rFonts w:asciiTheme="minorHAnsi" w:hAnsiTheme="minorHAnsi" w:cstheme="minorHAnsi"/>
                <w:color w:val="auto"/>
                <w:szCs w:val="23"/>
              </w:rPr>
            </w:pPr>
          </w:p>
        </w:tc>
        <w:tc>
          <w:tcPr>
            <w:tcW w:w="1843" w:type="dxa"/>
            <w:tcBorders>
              <w:top w:val="single" w:sz="4" w:space="0" w:color="auto"/>
              <w:left w:val="single" w:sz="4" w:space="0" w:color="auto"/>
              <w:bottom w:val="single" w:sz="4" w:space="0" w:color="auto"/>
              <w:right w:val="single" w:sz="4" w:space="0" w:color="auto"/>
            </w:tcBorders>
            <w:noWrap/>
          </w:tcPr>
          <w:p w14:paraId="160ECD9E" w14:textId="6820DE2A" w:rsidR="00E13BEF" w:rsidRPr="004F7688" w:rsidRDefault="00E13BEF" w:rsidP="00E30F1F">
            <w:pPr>
              <w:keepNext/>
              <w:keepLines/>
              <w:spacing w:after="0" w:line="240" w:lineRule="auto"/>
              <w:jc w:val="left"/>
              <w:rPr>
                <w:rFonts w:asciiTheme="minorHAnsi" w:hAnsiTheme="minorHAnsi" w:cstheme="minorHAnsi"/>
                <w:color w:val="auto"/>
                <w:szCs w:val="23"/>
              </w:rPr>
            </w:pPr>
            <w:r w:rsidRPr="004F7688">
              <w:rPr>
                <w:rFonts w:asciiTheme="minorHAnsi" w:hAnsiTheme="minorHAnsi" w:cstheme="minorHAnsi"/>
                <w:color w:val="auto"/>
                <w:szCs w:val="23"/>
              </w:rPr>
              <w:t>Match of dwelling to household size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0F2E27D" w14:textId="3D35EEB7" w:rsidR="00E13BEF" w:rsidRPr="004F7688" w:rsidRDefault="00E13BEF" w:rsidP="00C94954">
            <w:pPr>
              <w:keepNext/>
              <w:keepLines/>
              <w:spacing w:after="0" w:line="240" w:lineRule="auto"/>
              <w:jc w:val="left"/>
              <w:rPr>
                <w:rFonts w:asciiTheme="minorHAnsi" w:hAnsiTheme="minorHAnsi" w:cstheme="minorHAnsi"/>
                <w:color w:val="auto"/>
                <w:szCs w:val="23"/>
              </w:rPr>
            </w:pPr>
            <w:r w:rsidRPr="004F7688">
              <w:rPr>
                <w:rFonts w:asciiTheme="minorHAnsi" w:hAnsiTheme="minorHAnsi" w:cstheme="minorHAnsi"/>
                <w:color w:val="auto"/>
                <w:szCs w:val="23"/>
              </w:rPr>
              <w:t>Proportion of overcrowded households: public housing, SOMIH, community housing and Indigenous community housing, all programs</w:t>
            </w:r>
          </w:p>
        </w:tc>
        <w:tc>
          <w:tcPr>
            <w:tcW w:w="1559" w:type="dxa"/>
            <w:tcBorders>
              <w:top w:val="single" w:sz="4" w:space="0" w:color="auto"/>
              <w:left w:val="single" w:sz="4" w:space="0" w:color="auto"/>
              <w:bottom w:val="single" w:sz="4" w:space="0" w:color="auto"/>
              <w:right w:val="single" w:sz="4" w:space="0" w:color="auto"/>
            </w:tcBorders>
          </w:tcPr>
          <w:p w14:paraId="7C364914" w14:textId="4AC05898" w:rsidR="00E13BEF" w:rsidRPr="004F7688" w:rsidRDefault="00E13BEF" w:rsidP="00C94954">
            <w:pPr>
              <w:keepNext/>
              <w:keepLines/>
              <w:spacing w:after="0" w:line="240" w:lineRule="auto"/>
              <w:jc w:val="left"/>
              <w:textAlignment w:val="baseline"/>
              <w:rPr>
                <w:rFonts w:asciiTheme="minorHAnsi" w:hAnsiTheme="minorHAnsi" w:cstheme="minorHAnsi"/>
                <w:color w:val="auto"/>
                <w:szCs w:val="23"/>
              </w:rPr>
            </w:pPr>
            <w:r w:rsidRPr="004F7688">
              <w:rPr>
                <w:rFonts w:asciiTheme="minorHAnsi" w:hAnsiTheme="minorHAnsi" w:cstheme="minorHAnsi"/>
                <w:color w:val="auto"/>
                <w:szCs w:val="23"/>
              </w:rPr>
              <w:t>RoGS 18A.30-33 </w:t>
            </w:r>
          </w:p>
          <w:p w14:paraId="10E7C92D" w14:textId="77777777" w:rsidR="00E13BEF" w:rsidRPr="004F7688" w:rsidRDefault="00E13BEF" w:rsidP="00C94954">
            <w:pPr>
              <w:keepNext/>
              <w:keepLines/>
              <w:spacing w:after="0" w:line="240" w:lineRule="auto"/>
              <w:jc w:val="left"/>
              <w:rPr>
                <w:rFonts w:asciiTheme="minorHAnsi" w:hAnsiTheme="minorHAnsi" w:cstheme="minorHAnsi"/>
                <w:i/>
                <w:iCs/>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271D8F2D" w14:textId="77777777" w:rsidR="00E13BEF" w:rsidRPr="004F7688" w:rsidRDefault="00E13BEF" w:rsidP="00C94954">
            <w:pPr>
              <w:keepNext/>
              <w:keepLines/>
              <w:spacing w:after="0" w:line="240" w:lineRule="auto"/>
              <w:jc w:val="left"/>
              <w:rPr>
                <w:rFonts w:asciiTheme="minorHAnsi" w:hAnsiTheme="minorHAnsi" w:cstheme="minorHAnsi"/>
                <w:i/>
                <w:iCs/>
                <w:szCs w:val="23"/>
              </w:rPr>
            </w:pPr>
          </w:p>
        </w:tc>
        <w:tc>
          <w:tcPr>
            <w:tcW w:w="1418" w:type="dxa"/>
            <w:tcBorders>
              <w:top w:val="single" w:sz="4" w:space="0" w:color="auto"/>
              <w:left w:val="single" w:sz="4" w:space="0" w:color="auto"/>
              <w:bottom w:val="single" w:sz="4" w:space="0" w:color="auto"/>
              <w:right w:val="single" w:sz="4" w:space="0" w:color="auto"/>
            </w:tcBorders>
            <w:vAlign w:val="center"/>
          </w:tcPr>
          <w:p w14:paraId="340A844B" w14:textId="77777777" w:rsidR="00E13BEF" w:rsidRPr="004F7688" w:rsidRDefault="00E13BEF" w:rsidP="00C94954">
            <w:pPr>
              <w:keepNext/>
              <w:keepLines/>
              <w:spacing w:after="0"/>
              <w:jc w:val="left"/>
              <w:rPr>
                <w:rFonts w:asciiTheme="minorHAnsi" w:hAnsiTheme="minorHAnsi" w:cstheme="minorHAnsi"/>
                <w:i/>
                <w:iCs/>
                <w:szCs w:val="23"/>
              </w:rPr>
            </w:pPr>
          </w:p>
        </w:tc>
      </w:tr>
      <w:tr w:rsidR="00E13BEF" w14:paraId="2AA27BE5" w14:textId="77777777" w:rsidTr="008A669E">
        <w:trPr>
          <w:trHeight w:val="291"/>
          <w:tblHeader/>
        </w:trPr>
        <w:tc>
          <w:tcPr>
            <w:tcW w:w="2977" w:type="dxa"/>
            <w:vMerge/>
            <w:tcBorders>
              <w:left w:val="single" w:sz="4" w:space="0" w:color="auto"/>
              <w:bottom w:val="single" w:sz="4" w:space="0" w:color="auto"/>
              <w:right w:val="single" w:sz="4" w:space="0" w:color="auto"/>
            </w:tcBorders>
            <w:noWrap/>
          </w:tcPr>
          <w:p w14:paraId="7F1AD8FF" w14:textId="4E31620A" w:rsidR="00E13BEF" w:rsidRPr="004F7688" w:rsidRDefault="00E13BEF" w:rsidP="00E30F1F">
            <w:pPr>
              <w:keepNext/>
              <w:keepLines/>
              <w:spacing w:after="0" w:line="240" w:lineRule="auto"/>
              <w:jc w:val="left"/>
              <w:rPr>
                <w:rFonts w:asciiTheme="minorHAnsi" w:hAnsiTheme="minorHAnsi" w:cstheme="minorHAnsi"/>
                <w:color w:val="auto"/>
                <w:szCs w:val="23"/>
              </w:rPr>
            </w:pPr>
          </w:p>
        </w:tc>
        <w:tc>
          <w:tcPr>
            <w:tcW w:w="1843" w:type="dxa"/>
            <w:tcBorders>
              <w:top w:val="single" w:sz="4" w:space="0" w:color="auto"/>
              <w:left w:val="single" w:sz="4" w:space="0" w:color="auto"/>
              <w:bottom w:val="single" w:sz="4" w:space="0" w:color="auto"/>
              <w:right w:val="single" w:sz="4" w:space="0" w:color="auto"/>
            </w:tcBorders>
            <w:noWrap/>
          </w:tcPr>
          <w:p w14:paraId="4403A493" w14:textId="5AF1FBD5" w:rsidR="00E13BEF" w:rsidRPr="004F7688" w:rsidRDefault="00E13BEF" w:rsidP="00E30F1F">
            <w:pPr>
              <w:keepNext/>
              <w:keepLines/>
              <w:spacing w:after="0" w:line="240" w:lineRule="auto"/>
              <w:jc w:val="left"/>
              <w:rPr>
                <w:rFonts w:asciiTheme="minorHAnsi" w:hAnsiTheme="minorHAnsi" w:cstheme="minorHAnsi"/>
                <w:color w:val="auto"/>
                <w:szCs w:val="23"/>
              </w:rPr>
            </w:pPr>
            <w:r w:rsidRPr="004F7688">
              <w:rPr>
                <w:rFonts w:asciiTheme="minorHAnsi" w:hAnsiTheme="minorHAnsi" w:cstheme="minorHAnsi"/>
                <w:color w:val="auto"/>
                <w:szCs w:val="23"/>
              </w:rPr>
              <w:t>Dwelling condition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ACD71A5" w14:textId="69D5BA87" w:rsidR="00E13BEF" w:rsidRPr="004F7688" w:rsidRDefault="00E13BEF" w:rsidP="00C94954">
            <w:pPr>
              <w:keepNext/>
              <w:keepLines/>
              <w:spacing w:after="0" w:line="240" w:lineRule="auto"/>
              <w:jc w:val="left"/>
              <w:rPr>
                <w:rFonts w:asciiTheme="minorHAnsi" w:hAnsiTheme="minorHAnsi" w:cstheme="minorHAnsi"/>
                <w:color w:val="auto"/>
                <w:szCs w:val="23"/>
              </w:rPr>
            </w:pPr>
            <w:r w:rsidRPr="004F7688">
              <w:rPr>
                <w:rFonts w:asciiTheme="minorHAnsi" w:hAnsiTheme="minorHAnsi" w:cstheme="minorHAnsi"/>
                <w:color w:val="auto"/>
                <w:szCs w:val="23"/>
              </w:rPr>
              <w:t>Proportion of households with at least four working facilities and not more than two major structural problems: public housing, SOMIH, community housing and Indigenous community housing, all programs</w:t>
            </w:r>
          </w:p>
        </w:tc>
        <w:tc>
          <w:tcPr>
            <w:tcW w:w="1559" w:type="dxa"/>
            <w:tcBorders>
              <w:top w:val="single" w:sz="4" w:space="0" w:color="auto"/>
              <w:left w:val="single" w:sz="4" w:space="0" w:color="auto"/>
              <w:bottom w:val="single" w:sz="4" w:space="0" w:color="auto"/>
              <w:right w:val="single" w:sz="4" w:space="0" w:color="auto"/>
            </w:tcBorders>
          </w:tcPr>
          <w:p w14:paraId="62ADBADE" w14:textId="1AF4E559" w:rsidR="00E13BEF" w:rsidRPr="004F7688" w:rsidRDefault="00E13BEF" w:rsidP="00C94954">
            <w:pPr>
              <w:keepNext/>
              <w:keepLines/>
              <w:spacing w:after="0" w:line="240" w:lineRule="auto"/>
              <w:jc w:val="left"/>
              <w:textAlignment w:val="baseline"/>
              <w:rPr>
                <w:rFonts w:asciiTheme="minorHAnsi" w:hAnsiTheme="minorHAnsi" w:cstheme="minorHAnsi"/>
                <w:color w:val="auto"/>
                <w:szCs w:val="23"/>
              </w:rPr>
            </w:pPr>
            <w:r w:rsidRPr="004F7688">
              <w:rPr>
                <w:rFonts w:asciiTheme="minorHAnsi" w:hAnsiTheme="minorHAnsi" w:cstheme="minorHAnsi"/>
                <w:color w:val="auto"/>
                <w:szCs w:val="23"/>
              </w:rPr>
              <w:t>RoGS 18A.41-44 </w:t>
            </w:r>
          </w:p>
          <w:p w14:paraId="168DA368" w14:textId="77777777" w:rsidR="00E13BEF" w:rsidRPr="004F7688" w:rsidRDefault="00E13BEF" w:rsidP="00C94954">
            <w:pPr>
              <w:keepNext/>
              <w:keepLines/>
              <w:spacing w:after="0" w:line="240" w:lineRule="auto"/>
              <w:jc w:val="left"/>
              <w:rPr>
                <w:rFonts w:asciiTheme="minorHAnsi" w:hAnsiTheme="minorHAnsi" w:cstheme="minorHAnsi"/>
                <w:i/>
                <w:iCs/>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52C285CD" w14:textId="77777777" w:rsidR="00E13BEF" w:rsidRPr="004F7688" w:rsidRDefault="00E13BEF" w:rsidP="00C94954">
            <w:pPr>
              <w:keepNext/>
              <w:keepLines/>
              <w:spacing w:after="0" w:line="240" w:lineRule="auto"/>
              <w:jc w:val="left"/>
              <w:rPr>
                <w:rFonts w:asciiTheme="minorHAnsi" w:hAnsiTheme="minorHAnsi" w:cstheme="minorHAnsi"/>
                <w:i/>
                <w:iCs/>
                <w:szCs w:val="23"/>
              </w:rPr>
            </w:pPr>
          </w:p>
        </w:tc>
        <w:tc>
          <w:tcPr>
            <w:tcW w:w="1418" w:type="dxa"/>
            <w:tcBorders>
              <w:top w:val="single" w:sz="4" w:space="0" w:color="auto"/>
              <w:left w:val="single" w:sz="4" w:space="0" w:color="auto"/>
              <w:bottom w:val="single" w:sz="4" w:space="0" w:color="auto"/>
              <w:right w:val="single" w:sz="4" w:space="0" w:color="auto"/>
            </w:tcBorders>
            <w:vAlign w:val="center"/>
          </w:tcPr>
          <w:p w14:paraId="0B93EC15" w14:textId="77777777" w:rsidR="00E13BEF" w:rsidRPr="004F7688" w:rsidRDefault="00E13BEF" w:rsidP="00C94954">
            <w:pPr>
              <w:keepNext/>
              <w:keepLines/>
              <w:spacing w:after="0"/>
              <w:jc w:val="left"/>
              <w:rPr>
                <w:rFonts w:asciiTheme="minorHAnsi" w:hAnsiTheme="minorHAnsi" w:cstheme="minorHAnsi"/>
                <w:i/>
                <w:iCs/>
                <w:szCs w:val="23"/>
              </w:rPr>
            </w:pPr>
          </w:p>
        </w:tc>
      </w:tr>
    </w:tbl>
    <w:p w14:paraId="56C290F7" w14:textId="0BCB8BF8" w:rsidR="00354A6D" w:rsidRDefault="002D33FF" w:rsidP="008A669E">
      <w:pPr>
        <w:keepNext/>
        <w:keepLines/>
      </w:pPr>
      <w:r w:rsidRPr="004F7688">
        <w:rPr>
          <w:rFonts w:asciiTheme="minorHAnsi" w:hAnsiTheme="minorHAnsi" w:cstheme="minorHAnsi"/>
          <w:sz w:val="18"/>
          <w:szCs w:val="18"/>
        </w:rPr>
        <w:t xml:space="preserve"> * </w:t>
      </w:r>
      <w:r w:rsidRPr="004F7688">
        <w:rPr>
          <w:rFonts w:asciiTheme="minorHAnsi" w:hAnsiTheme="minorHAnsi" w:cstheme="minorHAnsi"/>
          <w:color w:val="auto"/>
          <w:sz w:val="18"/>
          <w:szCs w:val="18"/>
        </w:rPr>
        <w:t>Overcrowding is defined and measured using the Canadian National Occupancy Standard (CNOS), with households deemed to be overcrowded if one or more additional bedrooms are required to meet the standard.</w:t>
      </w:r>
    </w:p>
    <w:p w14:paraId="359082C3" w14:textId="77777777" w:rsidR="00354A6D" w:rsidRDefault="00354A6D" w:rsidP="00FB7F0E">
      <w:pPr>
        <w:spacing w:after="0" w:line="240" w:lineRule="auto"/>
        <w:rPr>
          <w:rFonts w:ascii="Calibri" w:hAnsi="Calibri" w:cs="Calibri"/>
          <w:b/>
          <w:bCs/>
          <w:sz w:val="32"/>
          <w:szCs w:val="32"/>
        </w:rPr>
        <w:sectPr w:rsidR="00354A6D" w:rsidSect="00F42F0F">
          <w:headerReference w:type="default" r:id="rId11"/>
          <w:pgSz w:w="16838" w:h="11906" w:orient="landscape" w:code="9"/>
          <w:pgMar w:top="1134" w:right="1134" w:bottom="1134" w:left="1134" w:header="709" w:footer="709" w:gutter="0"/>
          <w:pgNumType w:chapStyle="9"/>
          <w:cols w:space="708"/>
          <w:titlePg/>
          <w:docGrid w:linePitch="360"/>
        </w:sectPr>
      </w:pPr>
    </w:p>
    <w:tbl>
      <w:tblPr>
        <w:tblW w:w="11115" w:type="dxa"/>
        <w:tblLook w:val="04A0" w:firstRow="1" w:lastRow="0" w:firstColumn="1" w:lastColumn="0" w:noHBand="0" w:noVBand="1"/>
      </w:tblPr>
      <w:tblGrid>
        <w:gridCol w:w="1183"/>
        <w:gridCol w:w="4394"/>
        <w:gridCol w:w="115"/>
        <w:gridCol w:w="96"/>
        <w:gridCol w:w="1057"/>
        <w:gridCol w:w="1142"/>
        <w:gridCol w:w="365"/>
        <w:gridCol w:w="818"/>
        <w:gridCol w:w="425"/>
        <w:gridCol w:w="1068"/>
        <w:gridCol w:w="452"/>
      </w:tblGrid>
      <w:tr w:rsidR="00047EF0" w:rsidRPr="00BC364F" w14:paraId="7024CA4E" w14:textId="77777777" w:rsidTr="00047EF0">
        <w:trPr>
          <w:gridAfter w:val="6"/>
          <w:wAfter w:w="4270" w:type="dxa"/>
          <w:trHeight w:val="291"/>
        </w:trPr>
        <w:tc>
          <w:tcPr>
            <w:tcW w:w="1183" w:type="dxa"/>
            <w:tcBorders>
              <w:left w:val="nil"/>
              <w:bottom w:val="nil"/>
              <w:right w:val="nil"/>
            </w:tcBorders>
          </w:tcPr>
          <w:p w14:paraId="695E2363" w14:textId="77777777" w:rsidR="00047EF0" w:rsidRDefault="00047EF0" w:rsidP="00FB7F0E">
            <w:pPr>
              <w:spacing w:after="0"/>
              <w:rPr>
                <w:rFonts w:ascii="Calibri" w:hAnsi="Calibri" w:cs="Calibri"/>
              </w:rPr>
            </w:pPr>
          </w:p>
        </w:tc>
        <w:tc>
          <w:tcPr>
            <w:tcW w:w="4509" w:type="dxa"/>
            <w:gridSpan w:val="2"/>
            <w:tcBorders>
              <w:left w:val="nil"/>
              <w:bottom w:val="nil"/>
              <w:right w:val="nil"/>
            </w:tcBorders>
          </w:tcPr>
          <w:p w14:paraId="5B806C7F" w14:textId="77777777" w:rsidR="00047EF0" w:rsidRDefault="00047EF0" w:rsidP="00FB7F0E">
            <w:pPr>
              <w:spacing w:after="0"/>
              <w:rPr>
                <w:rFonts w:ascii="Calibri" w:hAnsi="Calibri" w:cs="Calibri"/>
              </w:rPr>
            </w:pPr>
          </w:p>
        </w:tc>
        <w:tc>
          <w:tcPr>
            <w:tcW w:w="1153" w:type="dxa"/>
            <w:gridSpan w:val="2"/>
            <w:tcBorders>
              <w:left w:val="nil"/>
              <w:bottom w:val="nil"/>
              <w:right w:val="nil"/>
            </w:tcBorders>
          </w:tcPr>
          <w:p w14:paraId="68CF34AD" w14:textId="77777777" w:rsidR="00047EF0" w:rsidRDefault="00047EF0" w:rsidP="00FB7F0E">
            <w:pPr>
              <w:spacing w:after="0"/>
              <w:rPr>
                <w:rFonts w:ascii="Calibri" w:hAnsi="Calibri" w:cs="Calibri"/>
              </w:rPr>
            </w:pPr>
          </w:p>
        </w:tc>
      </w:tr>
      <w:tr w:rsidR="00047EF0" w:rsidRPr="003C58FA" w14:paraId="06050EED" w14:textId="77777777" w:rsidTr="00047EF0">
        <w:trPr>
          <w:gridAfter w:val="1"/>
          <w:wAfter w:w="452" w:type="dxa"/>
          <w:trHeight w:val="291"/>
        </w:trPr>
        <w:tc>
          <w:tcPr>
            <w:tcW w:w="10663" w:type="dxa"/>
            <w:gridSpan w:val="10"/>
            <w:tcBorders>
              <w:top w:val="nil"/>
              <w:left w:val="nil"/>
              <w:bottom w:val="nil"/>
            </w:tcBorders>
          </w:tcPr>
          <w:p w14:paraId="13CCB19B" w14:textId="5B375A92" w:rsidR="00CB1567" w:rsidRDefault="00CB1567" w:rsidP="00CB1567">
            <w:pPr>
              <w:spacing w:after="0" w:line="240" w:lineRule="auto"/>
              <w:rPr>
                <w:b/>
                <w:bCs/>
              </w:rPr>
            </w:pPr>
            <w:r w:rsidRPr="00354A6D">
              <w:rPr>
                <w:b/>
                <w:bCs/>
              </w:rPr>
              <w:t>Table B</w:t>
            </w:r>
            <w:r>
              <w:rPr>
                <w:b/>
                <w:bCs/>
              </w:rPr>
              <w:t>2</w:t>
            </w:r>
            <w:r w:rsidRPr="00354A6D">
              <w:rPr>
                <w:b/>
                <w:bCs/>
              </w:rPr>
              <w:t xml:space="preserve"> –</w:t>
            </w:r>
            <w:r w:rsidR="00CA7337">
              <w:rPr>
                <w:b/>
                <w:bCs/>
              </w:rPr>
              <w:t xml:space="preserve"> </w:t>
            </w:r>
            <w:r>
              <w:rPr>
                <w:b/>
                <w:bCs/>
              </w:rPr>
              <w:t xml:space="preserve">Aboriginal and Torres Strait Islander </w:t>
            </w:r>
            <w:r w:rsidRPr="00354A6D">
              <w:rPr>
                <w:b/>
                <w:bCs/>
              </w:rPr>
              <w:t>Statement of Assurance Template</w:t>
            </w:r>
          </w:p>
          <w:p w14:paraId="77124ACE" w14:textId="77777777" w:rsidR="00CB1567" w:rsidRDefault="00CB1567" w:rsidP="00FB7F0E">
            <w:pPr>
              <w:spacing w:after="0" w:line="240" w:lineRule="auto"/>
              <w:rPr>
                <w:rFonts w:ascii="Calibri" w:hAnsi="Calibri" w:cs="Calibri"/>
                <w:b/>
                <w:bCs/>
              </w:rPr>
            </w:pPr>
          </w:p>
          <w:p w14:paraId="4E71FD09" w14:textId="301E32C8" w:rsidR="00047EF0" w:rsidRPr="003C58FA" w:rsidRDefault="00047EF0" w:rsidP="00FB7F0E">
            <w:pPr>
              <w:spacing w:after="0" w:line="240" w:lineRule="auto"/>
              <w:rPr>
                <w:rFonts w:ascii="Calibri" w:hAnsi="Calibri" w:cs="Calibri"/>
                <w:b/>
                <w:bCs/>
              </w:rPr>
            </w:pPr>
            <w:r w:rsidRPr="003C58FA">
              <w:rPr>
                <w:rFonts w:ascii="Calibri" w:hAnsi="Calibri" w:cs="Calibri"/>
                <w:b/>
                <w:bCs/>
              </w:rPr>
              <w:t xml:space="preserve">Table </w:t>
            </w:r>
            <w:r w:rsidR="00CB1567">
              <w:rPr>
                <w:rFonts w:ascii="Calibri" w:hAnsi="Calibri" w:cs="Calibri"/>
                <w:b/>
                <w:bCs/>
              </w:rPr>
              <w:t>B2.</w:t>
            </w:r>
            <w:r w:rsidRPr="003C58FA">
              <w:rPr>
                <w:rFonts w:ascii="Calibri" w:hAnsi="Calibri" w:cs="Calibri"/>
                <w:b/>
                <w:bCs/>
              </w:rPr>
              <w:t>1</w:t>
            </w:r>
            <w:r>
              <w:rPr>
                <w:rFonts w:ascii="Calibri" w:hAnsi="Calibri" w:cs="Calibri"/>
                <w:b/>
                <w:bCs/>
              </w:rPr>
              <w:t>A</w:t>
            </w:r>
            <w:r w:rsidRPr="003C58FA">
              <w:rPr>
                <w:rFonts w:ascii="Calibri" w:hAnsi="Calibri" w:cs="Calibri"/>
                <w:b/>
                <w:bCs/>
              </w:rPr>
              <w:t xml:space="preserve"> </w:t>
            </w:r>
            <w:r>
              <w:rPr>
                <w:rFonts w:ascii="Calibri" w:hAnsi="Calibri" w:cs="Calibri"/>
                <w:b/>
                <w:bCs/>
              </w:rPr>
              <w:t>– Outcomes and Expenditure</w:t>
            </w:r>
          </w:p>
        </w:tc>
      </w:tr>
      <w:tr w:rsidR="00047EF0" w:rsidRPr="00BC364F" w14:paraId="21758B65" w14:textId="77777777" w:rsidTr="00047EF0">
        <w:trPr>
          <w:gridAfter w:val="3"/>
          <w:wAfter w:w="1945" w:type="dxa"/>
          <w:trHeight w:val="291"/>
        </w:trPr>
        <w:tc>
          <w:tcPr>
            <w:tcW w:w="1183" w:type="dxa"/>
            <w:tcBorders>
              <w:top w:val="nil"/>
              <w:left w:val="nil"/>
              <w:bottom w:val="single" w:sz="4" w:space="0" w:color="auto"/>
              <w:right w:val="nil"/>
            </w:tcBorders>
          </w:tcPr>
          <w:p w14:paraId="0B1A469C" w14:textId="77777777" w:rsidR="00047EF0" w:rsidRPr="00BC364F" w:rsidRDefault="00047EF0" w:rsidP="00FB7F0E">
            <w:pPr>
              <w:spacing w:after="0" w:line="240" w:lineRule="auto"/>
              <w:rPr>
                <w:rFonts w:ascii="Calibri" w:hAnsi="Calibri" w:cs="Calibri"/>
              </w:rPr>
            </w:pPr>
          </w:p>
        </w:tc>
        <w:tc>
          <w:tcPr>
            <w:tcW w:w="4605" w:type="dxa"/>
            <w:gridSpan w:val="3"/>
            <w:tcBorders>
              <w:top w:val="nil"/>
              <w:left w:val="nil"/>
              <w:bottom w:val="single" w:sz="4" w:space="0" w:color="auto"/>
              <w:right w:val="nil"/>
            </w:tcBorders>
            <w:shd w:val="clear" w:color="auto" w:fill="auto"/>
            <w:noWrap/>
            <w:vAlign w:val="bottom"/>
            <w:hideMark/>
          </w:tcPr>
          <w:p w14:paraId="0A137E1B" w14:textId="77777777" w:rsidR="00047EF0" w:rsidRPr="00BC364F" w:rsidRDefault="00047EF0" w:rsidP="00FB7F0E">
            <w:pPr>
              <w:spacing w:after="0" w:line="240" w:lineRule="auto"/>
              <w:rPr>
                <w:rFonts w:ascii="Calibri" w:hAnsi="Calibri" w:cs="Calibri"/>
              </w:rPr>
            </w:pPr>
          </w:p>
        </w:tc>
        <w:tc>
          <w:tcPr>
            <w:tcW w:w="2564" w:type="dxa"/>
            <w:gridSpan w:val="3"/>
            <w:tcBorders>
              <w:top w:val="nil"/>
              <w:left w:val="nil"/>
              <w:bottom w:val="single" w:sz="4" w:space="0" w:color="auto"/>
              <w:right w:val="nil"/>
            </w:tcBorders>
          </w:tcPr>
          <w:p w14:paraId="28D98476" w14:textId="77777777" w:rsidR="00047EF0" w:rsidRPr="00BC364F" w:rsidRDefault="00047EF0" w:rsidP="00FB7F0E">
            <w:pPr>
              <w:spacing w:after="0" w:line="240" w:lineRule="auto"/>
              <w:rPr>
                <w:rFonts w:ascii="Calibri" w:hAnsi="Calibri" w:cs="Calibri"/>
              </w:rPr>
            </w:pPr>
          </w:p>
        </w:tc>
        <w:tc>
          <w:tcPr>
            <w:tcW w:w="818" w:type="dxa"/>
            <w:tcBorders>
              <w:top w:val="nil"/>
              <w:left w:val="nil"/>
              <w:bottom w:val="single" w:sz="4" w:space="0" w:color="auto"/>
              <w:right w:val="nil"/>
            </w:tcBorders>
          </w:tcPr>
          <w:p w14:paraId="3BBB749D" w14:textId="77777777" w:rsidR="00047EF0" w:rsidRPr="00BC364F" w:rsidRDefault="00047EF0" w:rsidP="00FB7F0E">
            <w:pPr>
              <w:spacing w:after="0" w:line="240" w:lineRule="auto"/>
              <w:rPr>
                <w:rFonts w:ascii="Calibri" w:hAnsi="Calibri" w:cs="Calibri"/>
              </w:rPr>
            </w:pPr>
          </w:p>
        </w:tc>
      </w:tr>
      <w:tr w:rsidR="00047EF0" w:rsidRPr="00BC364F" w14:paraId="0B75CC07" w14:textId="77777777" w:rsidTr="00047EF0">
        <w:trPr>
          <w:trHeight w:val="291"/>
        </w:trPr>
        <w:tc>
          <w:tcPr>
            <w:tcW w:w="1183" w:type="dxa"/>
            <w:tcBorders>
              <w:top w:val="single" w:sz="4" w:space="0" w:color="auto"/>
              <w:left w:val="single" w:sz="4" w:space="0" w:color="auto"/>
              <w:right w:val="single" w:sz="4" w:space="0" w:color="auto"/>
            </w:tcBorders>
          </w:tcPr>
          <w:p w14:paraId="35716BCC" w14:textId="77777777" w:rsidR="00047EF0" w:rsidRPr="003C58FA" w:rsidRDefault="00047EF0" w:rsidP="006B5B58">
            <w:pPr>
              <w:spacing w:after="0" w:line="240" w:lineRule="auto"/>
              <w:jc w:val="left"/>
              <w:rPr>
                <w:rFonts w:asciiTheme="minorHAnsi" w:hAnsiTheme="minorHAnsi" w:cstheme="minorHAnsi"/>
                <w:sz w:val="20"/>
              </w:rPr>
            </w:pPr>
          </w:p>
        </w:tc>
        <w:tc>
          <w:tcPr>
            <w:tcW w:w="4394" w:type="dxa"/>
            <w:tcBorders>
              <w:top w:val="single" w:sz="4" w:space="0" w:color="auto"/>
              <w:left w:val="single" w:sz="4" w:space="0" w:color="auto"/>
              <w:right w:val="single" w:sz="4" w:space="0" w:color="auto"/>
            </w:tcBorders>
            <w:shd w:val="clear" w:color="auto" w:fill="auto"/>
            <w:noWrap/>
            <w:vAlign w:val="bottom"/>
            <w:hideMark/>
          </w:tcPr>
          <w:p w14:paraId="5B413D3C" w14:textId="77777777" w:rsidR="00047EF0" w:rsidRPr="003C58FA" w:rsidRDefault="00047EF0" w:rsidP="006B5B58">
            <w:pPr>
              <w:spacing w:after="0" w:line="240" w:lineRule="auto"/>
              <w:jc w:val="left"/>
              <w:rPr>
                <w:rFonts w:asciiTheme="minorHAnsi" w:hAnsiTheme="minorHAnsi" w:cstheme="minorHAnsi"/>
                <w:sz w:val="20"/>
              </w:rPr>
            </w:pPr>
          </w:p>
        </w:tc>
        <w:tc>
          <w:tcPr>
            <w:tcW w:w="2410" w:type="dxa"/>
            <w:gridSpan w:val="4"/>
            <w:vMerge w:val="restart"/>
            <w:tcBorders>
              <w:top w:val="single" w:sz="4" w:space="0" w:color="auto"/>
              <w:left w:val="single" w:sz="4" w:space="0" w:color="auto"/>
              <w:right w:val="single" w:sz="4" w:space="0" w:color="auto"/>
            </w:tcBorders>
            <w:shd w:val="clear" w:color="auto" w:fill="auto"/>
            <w:noWrap/>
            <w:vAlign w:val="bottom"/>
          </w:tcPr>
          <w:p w14:paraId="70D7159D" w14:textId="77777777" w:rsidR="00047EF0" w:rsidRPr="003C58FA" w:rsidRDefault="00047EF0" w:rsidP="006B5B58">
            <w:pPr>
              <w:spacing w:after="0" w:line="240" w:lineRule="auto"/>
              <w:jc w:val="left"/>
              <w:rPr>
                <w:rFonts w:asciiTheme="minorHAnsi" w:hAnsiTheme="minorHAnsi" w:cstheme="minorHAnsi"/>
                <w:b/>
                <w:bCs/>
              </w:rPr>
            </w:pPr>
          </w:p>
        </w:tc>
        <w:tc>
          <w:tcPr>
            <w:tcW w:w="1608" w:type="dxa"/>
            <w:gridSpan w:val="3"/>
            <w:vMerge w:val="restart"/>
            <w:tcBorders>
              <w:top w:val="single" w:sz="4" w:space="0" w:color="auto"/>
              <w:left w:val="single" w:sz="4" w:space="0" w:color="auto"/>
              <w:right w:val="single" w:sz="4" w:space="0" w:color="auto"/>
            </w:tcBorders>
            <w:vAlign w:val="bottom"/>
          </w:tcPr>
          <w:p w14:paraId="06651AAE" w14:textId="77777777" w:rsidR="00047EF0" w:rsidRDefault="00047EF0" w:rsidP="006B5B58">
            <w:pPr>
              <w:spacing w:after="0" w:line="240" w:lineRule="auto"/>
              <w:jc w:val="left"/>
              <w:rPr>
                <w:rFonts w:asciiTheme="minorHAnsi" w:hAnsiTheme="minorHAnsi" w:cstheme="minorHAnsi"/>
                <w:b/>
                <w:bCs/>
              </w:rPr>
            </w:pPr>
            <w:r>
              <w:rPr>
                <w:rFonts w:asciiTheme="minorHAnsi" w:hAnsiTheme="minorHAnsi" w:cstheme="minorHAnsi"/>
                <w:b/>
                <w:bCs/>
              </w:rPr>
              <w:t>Baseline (previous year)</w:t>
            </w:r>
          </w:p>
        </w:tc>
        <w:tc>
          <w:tcPr>
            <w:tcW w:w="1520"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6FBD3563" w14:textId="77777777" w:rsidR="00047EF0" w:rsidRPr="003C58FA" w:rsidRDefault="00047EF0" w:rsidP="006B5B58">
            <w:pPr>
              <w:spacing w:after="0" w:line="240" w:lineRule="auto"/>
              <w:jc w:val="left"/>
              <w:rPr>
                <w:rFonts w:asciiTheme="minorHAnsi" w:hAnsiTheme="minorHAnsi" w:cstheme="minorHAnsi"/>
                <w:b/>
                <w:bCs/>
              </w:rPr>
            </w:pPr>
            <w:r>
              <w:rPr>
                <w:rFonts w:asciiTheme="minorHAnsi" w:hAnsiTheme="minorHAnsi" w:cstheme="minorHAnsi"/>
                <w:b/>
                <w:bCs/>
              </w:rPr>
              <w:t>Current year</w:t>
            </w:r>
          </w:p>
        </w:tc>
      </w:tr>
      <w:tr w:rsidR="00047EF0" w:rsidRPr="00BC364F" w14:paraId="27197749" w14:textId="77777777" w:rsidTr="00047EF0">
        <w:trPr>
          <w:trHeight w:val="291"/>
        </w:trPr>
        <w:tc>
          <w:tcPr>
            <w:tcW w:w="1183" w:type="dxa"/>
            <w:tcBorders>
              <w:left w:val="single" w:sz="4" w:space="0" w:color="auto"/>
              <w:right w:val="single" w:sz="4" w:space="0" w:color="auto"/>
            </w:tcBorders>
          </w:tcPr>
          <w:p w14:paraId="4120CDDC" w14:textId="77777777" w:rsidR="00047EF0" w:rsidRPr="003C58FA" w:rsidRDefault="00047EF0" w:rsidP="006B5B58">
            <w:pPr>
              <w:spacing w:after="0" w:line="240" w:lineRule="auto"/>
              <w:jc w:val="left"/>
              <w:rPr>
                <w:rFonts w:asciiTheme="minorHAnsi" w:hAnsiTheme="minorHAnsi" w:cstheme="minorHAnsi"/>
                <w:sz w:val="20"/>
              </w:rPr>
            </w:pPr>
          </w:p>
        </w:tc>
        <w:tc>
          <w:tcPr>
            <w:tcW w:w="4394" w:type="dxa"/>
            <w:tcBorders>
              <w:left w:val="single" w:sz="4" w:space="0" w:color="auto"/>
              <w:right w:val="single" w:sz="4" w:space="0" w:color="auto"/>
            </w:tcBorders>
            <w:shd w:val="clear" w:color="auto" w:fill="auto"/>
            <w:noWrap/>
            <w:vAlign w:val="bottom"/>
            <w:hideMark/>
          </w:tcPr>
          <w:p w14:paraId="228635EF" w14:textId="77777777" w:rsidR="00047EF0" w:rsidRPr="003C58FA" w:rsidRDefault="00047EF0" w:rsidP="006B5B58">
            <w:pPr>
              <w:spacing w:after="0" w:line="240" w:lineRule="auto"/>
              <w:jc w:val="left"/>
              <w:rPr>
                <w:rFonts w:asciiTheme="minorHAnsi" w:hAnsiTheme="minorHAnsi" w:cstheme="minorHAnsi"/>
                <w:sz w:val="20"/>
              </w:rPr>
            </w:pPr>
          </w:p>
        </w:tc>
        <w:tc>
          <w:tcPr>
            <w:tcW w:w="2410" w:type="dxa"/>
            <w:gridSpan w:val="4"/>
            <w:vMerge/>
            <w:tcBorders>
              <w:left w:val="single" w:sz="4" w:space="0" w:color="auto"/>
              <w:bottom w:val="single" w:sz="4" w:space="0" w:color="auto"/>
              <w:right w:val="single" w:sz="4" w:space="0" w:color="auto"/>
            </w:tcBorders>
            <w:shd w:val="clear" w:color="auto" w:fill="auto"/>
            <w:noWrap/>
            <w:vAlign w:val="bottom"/>
          </w:tcPr>
          <w:p w14:paraId="11CFD078" w14:textId="77777777" w:rsidR="00047EF0" w:rsidRPr="003C58FA" w:rsidRDefault="00047EF0" w:rsidP="006B5B58">
            <w:pPr>
              <w:spacing w:after="0" w:line="240" w:lineRule="auto"/>
              <w:jc w:val="left"/>
              <w:rPr>
                <w:rFonts w:asciiTheme="minorHAnsi" w:hAnsiTheme="minorHAnsi" w:cstheme="minorHAnsi"/>
                <w:b/>
                <w:bCs/>
              </w:rPr>
            </w:pPr>
          </w:p>
        </w:tc>
        <w:tc>
          <w:tcPr>
            <w:tcW w:w="1608" w:type="dxa"/>
            <w:gridSpan w:val="3"/>
            <w:vMerge/>
            <w:tcBorders>
              <w:left w:val="single" w:sz="4" w:space="0" w:color="auto"/>
              <w:bottom w:val="single" w:sz="4" w:space="0" w:color="auto"/>
              <w:right w:val="single" w:sz="4" w:space="0" w:color="auto"/>
            </w:tcBorders>
            <w:vAlign w:val="bottom"/>
          </w:tcPr>
          <w:p w14:paraId="6C7D395F" w14:textId="77777777" w:rsidR="00047EF0" w:rsidRPr="003C58FA" w:rsidRDefault="00047EF0" w:rsidP="006B5B58">
            <w:pPr>
              <w:spacing w:after="0" w:line="240" w:lineRule="auto"/>
              <w:jc w:val="left"/>
              <w:rPr>
                <w:rFonts w:asciiTheme="minorHAnsi" w:hAnsiTheme="minorHAnsi" w:cstheme="minorHAnsi"/>
                <w:b/>
                <w:bCs/>
              </w:rPr>
            </w:pPr>
          </w:p>
        </w:tc>
        <w:tc>
          <w:tcPr>
            <w:tcW w:w="1520" w:type="dxa"/>
            <w:gridSpan w:val="2"/>
            <w:vMerge/>
            <w:tcBorders>
              <w:left w:val="single" w:sz="4" w:space="0" w:color="auto"/>
              <w:bottom w:val="single" w:sz="4" w:space="0" w:color="auto"/>
              <w:right w:val="single" w:sz="4" w:space="0" w:color="auto"/>
            </w:tcBorders>
            <w:shd w:val="clear" w:color="auto" w:fill="auto"/>
            <w:noWrap/>
            <w:vAlign w:val="bottom"/>
            <w:hideMark/>
          </w:tcPr>
          <w:p w14:paraId="1B0EF10B" w14:textId="77777777" w:rsidR="00047EF0" w:rsidRPr="003C58FA" w:rsidRDefault="00047EF0" w:rsidP="006B5B58">
            <w:pPr>
              <w:spacing w:after="0" w:line="240" w:lineRule="auto"/>
              <w:jc w:val="left"/>
              <w:rPr>
                <w:rFonts w:asciiTheme="minorHAnsi" w:hAnsiTheme="minorHAnsi" w:cstheme="minorHAnsi"/>
                <w:b/>
                <w:bCs/>
              </w:rPr>
            </w:pPr>
          </w:p>
        </w:tc>
      </w:tr>
      <w:tr w:rsidR="00047EF0" w:rsidRPr="00BC364F" w14:paraId="1D0B9E5A" w14:textId="77777777" w:rsidTr="002576D7">
        <w:trPr>
          <w:trHeight w:val="322"/>
        </w:trPr>
        <w:tc>
          <w:tcPr>
            <w:tcW w:w="1183" w:type="dxa"/>
            <w:tcBorders>
              <w:left w:val="single" w:sz="4" w:space="0" w:color="auto"/>
              <w:bottom w:val="single" w:sz="4" w:space="0" w:color="auto"/>
              <w:right w:val="single" w:sz="4" w:space="0" w:color="auto"/>
            </w:tcBorders>
          </w:tcPr>
          <w:p w14:paraId="1701EE22" w14:textId="77777777" w:rsidR="00047EF0" w:rsidRPr="003C58FA" w:rsidRDefault="00047EF0" w:rsidP="006B5B58">
            <w:pPr>
              <w:spacing w:after="0" w:line="240" w:lineRule="auto"/>
              <w:jc w:val="left"/>
              <w:rPr>
                <w:rFonts w:asciiTheme="minorHAnsi" w:hAnsiTheme="minorHAnsi" w:cstheme="minorHAnsi"/>
                <w:b/>
                <w:bCs/>
                <w:i/>
                <w:iCs/>
                <w:sz w:val="24"/>
                <w:szCs w:val="24"/>
              </w:rPr>
            </w:pPr>
          </w:p>
        </w:tc>
        <w:tc>
          <w:tcPr>
            <w:tcW w:w="4394" w:type="dxa"/>
            <w:tcBorders>
              <w:left w:val="single" w:sz="4" w:space="0" w:color="auto"/>
              <w:bottom w:val="single" w:sz="4" w:space="0" w:color="auto"/>
              <w:right w:val="single" w:sz="4" w:space="0" w:color="auto"/>
            </w:tcBorders>
            <w:shd w:val="clear" w:color="auto" w:fill="auto"/>
            <w:noWrap/>
            <w:vAlign w:val="bottom"/>
            <w:hideMark/>
          </w:tcPr>
          <w:p w14:paraId="4019542F" w14:textId="77777777" w:rsidR="00047EF0" w:rsidRPr="003C58FA" w:rsidRDefault="00047EF0" w:rsidP="006B5B58">
            <w:pPr>
              <w:spacing w:after="0" w:line="240" w:lineRule="auto"/>
              <w:jc w:val="left"/>
              <w:rPr>
                <w:rFonts w:asciiTheme="minorHAnsi" w:hAnsiTheme="minorHAnsi" w:cstheme="minorHAnsi"/>
                <w:b/>
                <w:bCs/>
                <w:i/>
                <w:iCs/>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6BF7401" w14:textId="77777777" w:rsidR="00047EF0" w:rsidRPr="003C58FA" w:rsidRDefault="00047EF0" w:rsidP="006B5B58">
            <w:pPr>
              <w:spacing w:after="0" w:line="240" w:lineRule="auto"/>
              <w:jc w:val="left"/>
              <w:rPr>
                <w:rFonts w:asciiTheme="minorHAnsi" w:hAnsiTheme="minorHAnsi" w:cstheme="minorHAnsi"/>
                <w:b/>
                <w:bCs/>
              </w:rPr>
            </w:pPr>
            <w:r>
              <w:rPr>
                <w:rFonts w:asciiTheme="minorHAnsi" w:hAnsiTheme="minorHAnsi" w:cstheme="minorHAnsi"/>
                <w:b/>
                <w:bCs/>
              </w:rPr>
              <w:t>Measure/Indicator</w:t>
            </w:r>
          </w:p>
        </w:tc>
        <w:tc>
          <w:tcPr>
            <w:tcW w:w="1608" w:type="dxa"/>
            <w:gridSpan w:val="3"/>
            <w:tcBorders>
              <w:top w:val="single" w:sz="4" w:space="0" w:color="auto"/>
              <w:left w:val="single" w:sz="4" w:space="0" w:color="auto"/>
              <w:bottom w:val="single" w:sz="4" w:space="0" w:color="auto"/>
              <w:right w:val="single" w:sz="4" w:space="0" w:color="auto"/>
            </w:tcBorders>
            <w:vAlign w:val="center"/>
          </w:tcPr>
          <w:p w14:paraId="19D2178B" w14:textId="77777777" w:rsidR="00047EF0" w:rsidRPr="003C58FA" w:rsidRDefault="00047EF0" w:rsidP="006B5B58">
            <w:pPr>
              <w:spacing w:after="0" w:line="240" w:lineRule="auto"/>
              <w:jc w:val="left"/>
              <w:rPr>
                <w:rFonts w:asciiTheme="minorHAnsi" w:hAnsiTheme="minorHAnsi" w:cstheme="minorHAnsi"/>
                <w:b/>
                <w:bCs/>
              </w:rPr>
            </w:pPr>
            <w:r>
              <w:rPr>
                <w:rFonts w:asciiTheme="minorHAnsi" w:hAnsiTheme="minorHAnsi" w:cstheme="minorHAnsi"/>
                <w:b/>
                <w:bCs/>
              </w:rPr>
              <w:t>2023-24</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DE66C" w14:textId="77777777" w:rsidR="00047EF0" w:rsidRPr="003C58FA" w:rsidRDefault="00047EF0" w:rsidP="006B5B58">
            <w:pPr>
              <w:spacing w:after="0" w:line="240" w:lineRule="auto"/>
              <w:jc w:val="left"/>
              <w:rPr>
                <w:rFonts w:asciiTheme="minorHAnsi" w:hAnsiTheme="minorHAnsi" w:cstheme="minorHAnsi"/>
                <w:b/>
                <w:bCs/>
              </w:rPr>
            </w:pPr>
            <w:r w:rsidRPr="003C58FA">
              <w:rPr>
                <w:rFonts w:asciiTheme="minorHAnsi" w:hAnsiTheme="minorHAnsi" w:cstheme="minorHAnsi"/>
                <w:b/>
                <w:bCs/>
              </w:rPr>
              <w:t>202</w:t>
            </w:r>
            <w:r>
              <w:rPr>
                <w:rFonts w:asciiTheme="minorHAnsi" w:hAnsiTheme="minorHAnsi" w:cstheme="minorHAnsi"/>
                <w:b/>
                <w:bCs/>
              </w:rPr>
              <w:t>4</w:t>
            </w:r>
            <w:r w:rsidRPr="003C58FA">
              <w:rPr>
                <w:rFonts w:asciiTheme="minorHAnsi" w:hAnsiTheme="minorHAnsi" w:cstheme="minorHAnsi"/>
                <w:b/>
                <w:bCs/>
              </w:rPr>
              <w:t>-2</w:t>
            </w:r>
            <w:r>
              <w:rPr>
                <w:rFonts w:asciiTheme="minorHAnsi" w:hAnsiTheme="minorHAnsi" w:cstheme="minorHAnsi"/>
                <w:b/>
                <w:bCs/>
              </w:rPr>
              <w:t>5</w:t>
            </w:r>
          </w:p>
        </w:tc>
      </w:tr>
      <w:tr w:rsidR="00047EF0" w:rsidRPr="00BC364F" w14:paraId="31407E48" w14:textId="77777777" w:rsidTr="002576D7">
        <w:trPr>
          <w:trHeight w:val="499"/>
        </w:trPr>
        <w:tc>
          <w:tcPr>
            <w:tcW w:w="1183" w:type="dxa"/>
            <w:tcBorders>
              <w:top w:val="single" w:sz="4" w:space="0" w:color="auto"/>
              <w:left w:val="single" w:sz="4" w:space="0" w:color="auto"/>
              <w:bottom w:val="single" w:sz="4" w:space="0" w:color="auto"/>
            </w:tcBorders>
            <w:shd w:val="clear" w:color="auto" w:fill="D9D9D9" w:themeFill="background1" w:themeFillShade="D9"/>
          </w:tcPr>
          <w:p w14:paraId="61C69BDD" w14:textId="77777777" w:rsidR="00047EF0" w:rsidRPr="00522067" w:rsidRDefault="00047EF0" w:rsidP="006B5B58">
            <w:pPr>
              <w:spacing w:after="0" w:line="240" w:lineRule="auto"/>
              <w:jc w:val="left"/>
              <w:rPr>
                <w:rFonts w:asciiTheme="minorHAnsi" w:hAnsiTheme="minorHAnsi" w:cstheme="minorHAnsi"/>
                <w:b/>
                <w:bCs/>
              </w:rPr>
            </w:pPr>
            <w:r w:rsidRPr="00522067">
              <w:rPr>
                <w:rFonts w:asciiTheme="minorHAnsi" w:hAnsiTheme="minorHAnsi" w:cstheme="minorHAnsi"/>
                <w:b/>
                <w:bCs/>
              </w:rPr>
              <w:t>Outcome Reference</w:t>
            </w:r>
          </w:p>
        </w:tc>
        <w:tc>
          <w:tcPr>
            <w:tcW w:w="4394" w:type="dxa"/>
            <w:tcBorders>
              <w:top w:val="single" w:sz="4" w:space="0" w:color="auto"/>
              <w:left w:val="single" w:sz="4" w:space="0" w:color="auto"/>
              <w:bottom w:val="single" w:sz="4" w:space="0" w:color="auto"/>
            </w:tcBorders>
            <w:shd w:val="clear" w:color="auto" w:fill="D9D9D9" w:themeFill="background1" w:themeFillShade="D9"/>
            <w:noWrap/>
            <w:vAlign w:val="bottom"/>
          </w:tcPr>
          <w:p w14:paraId="1B565DD4" w14:textId="77777777" w:rsidR="00047EF0" w:rsidRPr="00B86267" w:rsidRDefault="00047EF0" w:rsidP="006B5B58">
            <w:pPr>
              <w:spacing w:after="0" w:line="240" w:lineRule="auto"/>
              <w:jc w:val="left"/>
              <w:rPr>
                <w:rFonts w:asciiTheme="minorHAnsi" w:hAnsiTheme="minorHAnsi" w:cstheme="minorHAnsi"/>
                <w:b/>
                <w:bCs/>
                <w:i/>
                <w:iCs/>
              </w:rPr>
            </w:pPr>
            <w:r>
              <w:rPr>
                <w:rFonts w:asciiTheme="minorHAnsi" w:hAnsiTheme="minorHAnsi" w:cstheme="minorHAnsi"/>
                <w:b/>
                <w:bCs/>
                <w:i/>
                <w:iCs/>
              </w:rPr>
              <w:t>Outcome</w:t>
            </w:r>
          </w:p>
        </w:tc>
        <w:tc>
          <w:tcPr>
            <w:tcW w:w="2410" w:type="dxa"/>
            <w:gridSpan w:val="4"/>
            <w:tcBorders>
              <w:top w:val="single" w:sz="4" w:space="0" w:color="auto"/>
              <w:bottom w:val="single" w:sz="4" w:space="0" w:color="auto"/>
            </w:tcBorders>
            <w:shd w:val="clear" w:color="auto" w:fill="D9D9D9" w:themeFill="background1" w:themeFillShade="D9"/>
            <w:noWrap/>
            <w:vAlign w:val="bottom"/>
          </w:tcPr>
          <w:p w14:paraId="5B5A611C" w14:textId="77777777" w:rsidR="00047EF0" w:rsidRPr="003C58FA" w:rsidRDefault="00047EF0" w:rsidP="006B5B58">
            <w:pPr>
              <w:spacing w:after="0" w:line="240" w:lineRule="auto"/>
              <w:jc w:val="left"/>
              <w:rPr>
                <w:rFonts w:asciiTheme="minorHAnsi" w:hAnsiTheme="minorHAnsi" w:cstheme="minorHAnsi"/>
                <w:b/>
                <w:bCs/>
              </w:rPr>
            </w:pPr>
          </w:p>
        </w:tc>
        <w:tc>
          <w:tcPr>
            <w:tcW w:w="1608" w:type="dxa"/>
            <w:gridSpan w:val="3"/>
            <w:tcBorders>
              <w:top w:val="single" w:sz="4" w:space="0" w:color="auto"/>
              <w:bottom w:val="single" w:sz="4" w:space="0" w:color="auto"/>
            </w:tcBorders>
            <w:shd w:val="clear" w:color="auto" w:fill="D9D9D9" w:themeFill="background1" w:themeFillShade="D9"/>
          </w:tcPr>
          <w:p w14:paraId="354C59DF" w14:textId="77777777" w:rsidR="00047EF0" w:rsidRPr="003C58FA" w:rsidRDefault="00047EF0" w:rsidP="006B5B58">
            <w:pPr>
              <w:spacing w:after="0" w:line="240" w:lineRule="auto"/>
              <w:jc w:val="left"/>
              <w:rPr>
                <w:rFonts w:asciiTheme="minorHAnsi" w:hAnsiTheme="minorHAnsi" w:cstheme="minorHAnsi"/>
                <w:b/>
                <w:bCs/>
              </w:rPr>
            </w:pPr>
          </w:p>
        </w:tc>
        <w:tc>
          <w:tcPr>
            <w:tcW w:w="1520" w:type="dxa"/>
            <w:gridSpan w:val="2"/>
            <w:tcBorders>
              <w:top w:val="single" w:sz="4" w:space="0" w:color="auto"/>
              <w:bottom w:val="single" w:sz="4" w:space="0" w:color="auto"/>
              <w:right w:val="single" w:sz="4" w:space="0" w:color="auto"/>
            </w:tcBorders>
            <w:shd w:val="clear" w:color="auto" w:fill="D9D9D9" w:themeFill="background1" w:themeFillShade="D9"/>
            <w:noWrap/>
            <w:vAlign w:val="bottom"/>
          </w:tcPr>
          <w:p w14:paraId="4D208CAA" w14:textId="77777777" w:rsidR="00047EF0" w:rsidRPr="003C58FA" w:rsidRDefault="00047EF0" w:rsidP="006B5B58">
            <w:pPr>
              <w:spacing w:after="0" w:line="240" w:lineRule="auto"/>
              <w:jc w:val="left"/>
              <w:rPr>
                <w:rFonts w:asciiTheme="minorHAnsi" w:hAnsiTheme="minorHAnsi" w:cstheme="minorHAnsi"/>
                <w:b/>
                <w:bCs/>
              </w:rPr>
            </w:pPr>
          </w:p>
        </w:tc>
      </w:tr>
      <w:tr w:rsidR="00047EF0" w:rsidRPr="00BC364F" w14:paraId="1039109B" w14:textId="77777777" w:rsidTr="00047EF0">
        <w:trPr>
          <w:trHeight w:val="291"/>
        </w:trPr>
        <w:tc>
          <w:tcPr>
            <w:tcW w:w="1183" w:type="dxa"/>
            <w:tcBorders>
              <w:top w:val="single" w:sz="4" w:space="0" w:color="auto"/>
              <w:left w:val="single" w:sz="4" w:space="0" w:color="auto"/>
              <w:bottom w:val="single" w:sz="4" w:space="0" w:color="auto"/>
              <w:right w:val="single" w:sz="4" w:space="0" w:color="auto"/>
            </w:tcBorders>
          </w:tcPr>
          <w:p w14:paraId="12396940" w14:textId="77777777" w:rsidR="00047EF0" w:rsidRPr="002614C1" w:rsidRDefault="00047EF0" w:rsidP="006B5B58">
            <w:pPr>
              <w:spacing w:after="0" w:line="240" w:lineRule="auto"/>
              <w:jc w:val="left"/>
              <w:rPr>
                <w:rFonts w:asciiTheme="minorHAnsi" w:hAnsiTheme="minorHAnsi" w:cstheme="minorHAnsi"/>
              </w:rPr>
            </w:pPr>
            <w:r>
              <w:rPr>
                <w:rFonts w:asciiTheme="minorHAnsi" w:hAnsiTheme="minorHAnsi" w:cstheme="minorHAnsi"/>
              </w:rPr>
              <w:t>1</w:t>
            </w:r>
          </w:p>
        </w:tc>
        <w:tc>
          <w:tcPr>
            <w:tcW w:w="4394" w:type="dxa"/>
            <w:tcBorders>
              <w:top w:val="single" w:sz="4" w:space="0" w:color="auto"/>
              <w:left w:val="single" w:sz="4" w:space="0" w:color="auto"/>
              <w:bottom w:val="single" w:sz="4" w:space="0" w:color="auto"/>
              <w:right w:val="single" w:sz="4" w:space="0" w:color="auto"/>
            </w:tcBorders>
            <w:shd w:val="clear" w:color="auto" w:fill="auto"/>
            <w:noWrap/>
            <w:hideMark/>
          </w:tcPr>
          <w:p w14:paraId="3F876E9A" w14:textId="7B26A9B4" w:rsidR="00047EF0" w:rsidRPr="003C58FA" w:rsidRDefault="00047EF0" w:rsidP="006B5B58">
            <w:pPr>
              <w:spacing w:after="0" w:line="240" w:lineRule="auto"/>
              <w:jc w:val="left"/>
              <w:rPr>
                <w:rFonts w:asciiTheme="minorHAnsi" w:hAnsiTheme="minorHAnsi" w:cstheme="minorHAnsi"/>
              </w:rPr>
            </w:pPr>
            <w:r>
              <w:rPr>
                <w:rFonts w:asciiTheme="minorHAnsi" w:hAnsiTheme="minorHAnsi" w:cstheme="minorHAnsi"/>
              </w:rPr>
              <w:t>I</w:t>
            </w:r>
            <w:r w:rsidRPr="002614C1">
              <w:rPr>
                <w:rFonts w:asciiTheme="minorHAnsi" w:hAnsiTheme="minorHAnsi" w:cstheme="minorHAnsi"/>
              </w:rPr>
              <w:t>ncrease the proportion of Aboriginal and Torres Strait Islander people living in appropriately sized</w:t>
            </w:r>
            <w:r>
              <w:rPr>
                <w:rFonts w:asciiTheme="minorHAnsi" w:hAnsiTheme="minorHAnsi" w:cstheme="minorHAnsi"/>
              </w:rPr>
              <w:t xml:space="preserve"> (not overcrowded) housing (CTG Target 9a)</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AE62F" w14:textId="5B361829" w:rsidR="00047EF0" w:rsidRPr="003C58FA" w:rsidRDefault="00047EF0" w:rsidP="006B5B58">
            <w:pPr>
              <w:spacing w:after="0" w:line="240" w:lineRule="auto"/>
              <w:jc w:val="left"/>
              <w:rPr>
                <w:rFonts w:asciiTheme="minorHAnsi" w:hAnsiTheme="minorHAnsi" w:cstheme="minorHAnsi"/>
                <w:sz w:val="20"/>
              </w:rPr>
            </w:pPr>
            <w:r>
              <w:rPr>
                <w:rFonts w:asciiTheme="minorHAnsi" w:hAnsiTheme="minorHAnsi" w:cstheme="minorHAnsi"/>
              </w:rPr>
              <w:t>Proportion</w:t>
            </w:r>
            <w:r w:rsidRPr="00522067">
              <w:rPr>
                <w:rFonts w:asciiTheme="minorHAnsi" w:hAnsiTheme="minorHAnsi" w:cstheme="minorHAnsi"/>
              </w:rPr>
              <w:t xml:space="preserve"> of </w:t>
            </w:r>
            <w:r>
              <w:rPr>
                <w:rFonts w:asciiTheme="minorHAnsi" w:hAnsiTheme="minorHAnsi" w:cstheme="minorHAnsi"/>
              </w:rPr>
              <w:t>Aboriginal and Torres Strait Islander</w:t>
            </w:r>
            <w:r w:rsidRPr="00522067">
              <w:rPr>
                <w:rFonts w:asciiTheme="minorHAnsi" w:hAnsiTheme="minorHAnsi" w:cstheme="minorHAnsi"/>
              </w:rPr>
              <w:t xml:space="preserve"> households requiring </w:t>
            </w:r>
            <w:r>
              <w:rPr>
                <w:rFonts w:asciiTheme="minorHAnsi" w:hAnsiTheme="minorHAnsi" w:cstheme="minorHAnsi"/>
              </w:rPr>
              <w:t>no</w:t>
            </w:r>
            <w:r w:rsidRPr="00522067">
              <w:rPr>
                <w:rFonts w:asciiTheme="minorHAnsi" w:hAnsiTheme="minorHAnsi" w:cstheme="minorHAnsi"/>
              </w:rPr>
              <w:t xml:space="preserve"> additional bedrooms</w:t>
            </w:r>
          </w:p>
        </w:tc>
        <w:tc>
          <w:tcPr>
            <w:tcW w:w="1608" w:type="dxa"/>
            <w:gridSpan w:val="3"/>
            <w:tcBorders>
              <w:top w:val="single" w:sz="4" w:space="0" w:color="auto"/>
              <w:left w:val="single" w:sz="4" w:space="0" w:color="auto"/>
              <w:bottom w:val="single" w:sz="4" w:space="0" w:color="auto"/>
              <w:right w:val="single" w:sz="4" w:space="0" w:color="auto"/>
            </w:tcBorders>
            <w:vAlign w:val="center"/>
          </w:tcPr>
          <w:p w14:paraId="3C4D638E" w14:textId="77777777" w:rsidR="00047EF0" w:rsidRPr="003C58FA" w:rsidRDefault="00047EF0" w:rsidP="006B5B58">
            <w:pPr>
              <w:spacing w:after="0" w:line="240" w:lineRule="auto"/>
              <w:jc w:val="left"/>
              <w:rPr>
                <w:rFonts w:asciiTheme="minorHAnsi" w:hAnsiTheme="minorHAnsi" w:cstheme="minorHAnsi"/>
              </w:rPr>
            </w:pPr>
            <w:r>
              <w:rPr>
                <w:rFonts w:asciiTheme="minorHAnsi" w:hAnsiTheme="minorHAnsi" w:cstheme="minorHAnsi"/>
              </w:rPr>
              <w:t>XX,XXX</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10730" w14:textId="77777777" w:rsidR="00047EF0" w:rsidRPr="003C58FA" w:rsidRDefault="00047EF0" w:rsidP="006B5B58">
            <w:pPr>
              <w:spacing w:after="0" w:line="240" w:lineRule="auto"/>
              <w:jc w:val="left"/>
              <w:rPr>
                <w:rFonts w:asciiTheme="minorHAnsi" w:hAnsiTheme="minorHAnsi" w:cstheme="minorHAnsi"/>
              </w:rPr>
            </w:pPr>
            <w:r>
              <w:rPr>
                <w:rFonts w:asciiTheme="minorHAnsi" w:hAnsiTheme="minorHAnsi" w:cstheme="minorHAnsi"/>
              </w:rPr>
              <w:t>X,XXX</w:t>
            </w:r>
          </w:p>
        </w:tc>
      </w:tr>
      <w:tr w:rsidR="00047EF0" w:rsidRPr="00BC364F" w14:paraId="3FEE1BEC" w14:textId="77777777" w:rsidTr="00047EF0">
        <w:trPr>
          <w:trHeight w:val="291"/>
        </w:trPr>
        <w:tc>
          <w:tcPr>
            <w:tcW w:w="1183" w:type="dxa"/>
            <w:tcBorders>
              <w:top w:val="single" w:sz="4" w:space="0" w:color="auto"/>
              <w:left w:val="single" w:sz="4" w:space="0" w:color="auto"/>
              <w:bottom w:val="single" w:sz="4" w:space="0" w:color="auto"/>
              <w:right w:val="single" w:sz="4" w:space="0" w:color="auto"/>
            </w:tcBorders>
          </w:tcPr>
          <w:p w14:paraId="783ECF17" w14:textId="77777777" w:rsidR="00047EF0" w:rsidRPr="002614C1" w:rsidRDefault="00047EF0" w:rsidP="006B5B58">
            <w:pPr>
              <w:spacing w:after="0" w:line="240" w:lineRule="auto"/>
              <w:jc w:val="left"/>
              <w:rPr>
                <w:rFonts w:asciiTheme="minorHAnsi" w:hAnsiTheme="minorHAnsi" w:cstheme="minorHAnsi"/>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B9BD2" w14:textId="77777777" w:rsidR="00047EF0" w:rsidRDefault="00047EF0" w:rsidP="006B5B58">
            <w:pPr>
              <w:spacing w:after="0" w:line="240" w:lineRule="auto"/>
              <w:jc w:val="left"/>
              <w:rPr>
                <w:rFonts w:asciiTheme="minorHAnsi" w:hAnsiTheme="minorHAnsi" w:cstheme="minorHAnsi"/>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8B58183" w14:textId="77777777" w:rsidR="00047EF0" w:rsidRDefault="00047EF0" w:rsidP="006B5B58">
            <w:pPr>
              <w:spacing w:after="0" w:line="240" w:lineRule="auto"/>
              <w:jc w:val="left"/>
              <w:rPr>
                <w:rFonts w:asciiTheme="minorHAnsi" w:hAnsiTheme="minorHAnsi" w:cstheme="minorHAnsi"/>
                <w:sz w:val="20"/>
              </w:rPr>
            </w:pPr>
          </w:p>
        </w:tc>
        <w:tc>
          <w:tcPr>
            <w:tcW w:w="1608" w:type="dxa"/>
            <w:gridSpan w:val="3"/>
            <w:tcBorders>
              <w:top w:val="single" w:sz="4" w:space="0" w:color="auto"/>
              <w:left w:val="single" w:sz="4" w:space="0" w:color="auto"/>
              <w:bottom w:val="single" w:sz="4" w:space="0" w:color="auto"/>
              <w:right w:val="single" w:sz="4" w:space="0" w:color="auto"/>
            </w:tcBorders>
          </w:tcPr>
          <w:p w14:paraId="0636373D" w14:textId="77777777" w:rsidR="00047EF0" w:rsidRPr="003C58FA" w:rsidRDefault="00047EF0" w:rsidP="006B5B58">
            <w:pPr>
              <w:spacing w:after="0" w:line="240" w:lineRule="auto"/>
              <w:jc w:val="left"/>
              <w:rPr>
                <w:rFonts w:asciiTheme="minorHAnsi" w:hAnsiTheme="minorHAnsi" w:cstheme="minorHAnsi"/>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F1DEEC" w14:textId="77777777" w:rsidR="00047EF0" w:rsidRPr="003C58FA" w:rsidRDefault="00047EF0" w:rsidP="006B5B58">
            <w:pPr>
              <w:spacing w:after="0" w:line="240" w:lineRule="auto"/>
              <w:jc w:val="left"/>
              <w:rPr>
                <w:rFonts w:asciiTheme="minorHAnsi" w:hAnsiTheme="minorHAnsi" w:cstheme="minorHAnsi"/>
              </w:rPr>
            </w:pPr>
          </w:p>
        </w:tc>
      </w:tr>
    </w:tbl>
    <w:p w14:paraId="2CB2120A" w14:textId="77777777" w:rsidR="00354A6D" w:rsidRDefault="00354A6D" w:rsidP="00354A6D">
      <w:pPr>
        <w:rPr>
          <w:rFonts w:asciiTheme="minorHAnsi" w:hAnsiTheme="minorHAnsi" w:cstheme="minorHAnsi"/>
        </w:rPr>
      </w:pPr>
    </w:p>
    <w:p w14:paraId="466AD34A" w14:textId="118EF408" w:rsidR="00354A6D" w:rsidRDefault="00354A6D" w:rsidP="00354A6D">
      <w:pPr>
        <w:keepNext/>
        <w:keepLines/>
        <w:rPr>
          <w:rFonts w:ascii="Calibri" w:hAnsi="Calibri" w:cs="Calibri"/>
          <w:b/>
          <w:bCs/>
        </w:rPr>
      </w:pPr>
      <w:r w:rsidRPr="003C58FA">
        <w:rPr>
          <w:rFonts w:ascii="Calibri" w:hAnsi="Calibri" w:cs="Calibri"/>
          <w:b/>
          <w:bCs/>
        </w:rPr>
        <w:t xml:space="preserve">Table </w:t>
      </w:r>
      <w:r w:rsidR="00CB1567">
        <w:rPr>
          <w:rFonts w:ascii="Calibri" w:hAnsi="Calibri" w:cs="Calibri"/>
          <w:b/>
          <w:bCs/>
        </w:rPr>
        <w:t>B2.</w:t>
      </w:r>
      <w:r w:rsidRPr="003C58FA">
        <w:rPr>
          <w:rFonts w:ascii="Calibri" w:hAnsi="Calibri" w:cs="Calibri"/>
          <w:b/>
          <w:bCs/>
        </w:rPr>
        <w:t>1</w:t>
      </w:r>
      <w:r>
        <w:rPr>
          <w:rFonts w:ascii="Calibri" w:hAnsi="Calibri" w:cs="Calibri"/>
          <w:b/>
          <w:bCs/>
        </w:rPr>
        <w:t>B</w:t>
      </w:r>
      <w:r w:rsidRPr="003C58FA">
        <w:rPr>
          <w:rFonts w:ascii="Calibri" w:hAnsi="Calibri" w:cs="Calibri"/>
          <w:b/>
          <w:bCs/>
        </w:rPr>
        <w:t xml:space="preserve"> </w:t>
      </w:r>
      <w:r>
        <w:rPr>
          <w:rFonts w:ascii="Calibri" w:hAnsi="Calibri" w:cs="Calibri"/>
          <w:b/>
          <w:bCs/>
        </w:rPr>
        <w:t>– Program information</w:t>
      </w:r>
    </w:p>
    <w:tbl>
      <w:tblPr>
        <w:tblW w:w="12401" w:type="dxa"/>
        <w:tblLook w:val="04A0" w:firstRow="1" w:lastRow="0" w:firstColumn="1" w:lastColumn="0" w:noHBand="0" w:noVBand="1"/>
      </w:tblPr>
      <w:tblGrid>
        <w:gridCol w:w="2547"/>
        <w:gridCol w:w="2214"/>
        <w:gridCol w:w="1378"/>
        <w:gridCol w:w="1090"/>
        <w:gridCol w:w="1378"/>
        <w:gridCol w:w="1403"/>
        <w:gridCol w:w="2391"/>
      </w:tblGrid>
      <w:tr w:rsidR="00354A6D" w14:paraId="652D45F0" w14:textId="77777777" w:rsidTr="00FB7F0E">
        <w:trPr>
          <w:trHeight w:val="660"/>
        </w:trPr>
        <w:tc>
          <w:tcPr>
            <w:tcW w:w="4761" w:type="dxa"/>
            <w:gridSpan w:val="2"/>
            <w:vMerge w:val="restart"/>
            <w:tcBorders>
              <w:top w:val="single" w:sz="4" w:space="0" w:color="auto"/>
              <w:left w:val="single" w:sz="4" w:space="0" w:color="auto"/>
              <w:bottom w:val="nil"/>
              <w:right w:val="single" w:sz="4" w:space="0" w:color="auto"/>
            </w:tcBorders>
            <w:noWrap/>
            <w:vAlign w:val="bottom"/>
            <w:hideMark/>
          </w:tcPr>
          <w:p w14:paraId="0B388691" w14:textId="77777777" w:rsidR="00354A6D" w:rsidRDefault="00354A6D" w:rsidP="006B5B58">
            <w:pPr>
              <w:keepNext/>
              <w:keepLines/>
              <w:spacing w:after="0"/>
              <w:jc w:val="left"/>
              <w:rPr>
                <w:rFonts w:asciiTheme="minorHAnsi" w:hAnsiTheme="minorHAnsi" w:cstheme="minorHAnsi"/>
                <w:b/>
                <w:bCs/>
              </w:rPr>
            </w:pPr>
          </w:p>
        </w:tc>
        <w:tc>
          <w:tcPr>
            <w:tcW w:w="2474" w:type="dxa"/>
            <w:gridSpan w:val="2"/>
            <w:tcBorders>
              <w:top w:val="single" w:sz="4" w:space="0" w:color="auto"/>
              <w:left w:val="single" w:sz="4" w:space="0" w:color="auto"/>
              <w:bottom w:val="nil"/>
              <w:right w:val="single" w:sz="4" w:space="0" w:color="auto"/>
            </w:tcBorders>
            <w:vAlign w:val="bottom"/>
          </w:tcPr>
          <w:p w14:paraId="128F237F" w14:textId="77777777" w:rsidR="00354A6D" w:rsidRDefault="00354A6D" w:rsidP="006B5B58">
            <w:pPr>
              <w:keepNext/>
              <w:keepLines/>
              <w:spacing w:after="0" w:line="240" w:lineRule="auto"/>
              <w:jc w:val="left"/>
              <w:rPr>
                <w:rFonts w:asciiTheme="minorHAnsi" w:hAnsiTheme="minorHAnsi" w:cstheme="minorHAnsi"/>
                <w:b/>
                <w:bCs/>
              </w:rPr>
            </w:pPr>
            <w:r>
              <w:rPr>
                <w:rFonts w:asciiTheme="minorHAnsi" w:hAnsiTheme="minorHAnsi" w:cstheme="minorHAnsi"/>
                <w:b/>
                <w:bCs/>
              </w:rPr>
              <w:t xml:space="preserve">Actual (current year) </w:t>
            </w:r>
          </w:p>
          <w:p w14:paraId="1851892B" w14:textId="77777777" w:rsidR="00354A6D" w:rsidRDefault="00354A6D" w:rsidP="006B5B58">
            <w:pPr>
              <w:keepNext/>
              <w:keepLines/>
              <w:spacing w:after="0" w:line="240" w:lineRule="auto"/>
              <w:jc w:val="left"/>
              <w:rPr>
                <w:rFonts w:asciiTheme="minorHAnsi" w:hAnsiTheme="minorHAnsi" w:cstheme="minorHAnsi"/>
                <w:b/>
                <w:bCs/>
              </w:rPr>
            </w:pPr>
            <w:r>
              <w:rPr>
                <w:rFonts w:asciiTheme="minorHAnsi" w:hAnsiTheme="minorHAnsi" w:cstheme="minorHAnsi"/>
                <w:b/>
                <w:bCs/>
              </w:rPr>
              <w:t>2024-25</w:t>
            </w:r>
          </w:p>
        </w:tc>
        <w:tc>
          <w:tcPr>
            <w:tcW w:w="2775" w:type="dxa"/>
            <w:gridSpan w:val="2"/>
            <w:tcBorders>
              <w:top w:val="single" w:sz="4" w:space="0" w:color="auto"/>
              <w:left w:val="single" w:sz="4" w:space="0" w:color="auto"/>
              <w:bottom w:val="nil"/>
              <w:right w:val="single" w:sz="4" w:space="0" w:color="auto"/>
            </w:tcBorders>
            <w:noWrap/>
            <w:vAlign w:val="bottom"/>
            <w:hideMark/>
          </w:tcPr>
          <w:p w14:paraId="0B07FBC9" w14:textId="77777777" w:rsidR="00354A6D" w:rsidRDefault="00354A6D" w:rsidP="006B5B58">
            <w:pPr>
              <w:keepNext/>
              <w:keepLines/>
              <w:spacing w:after="0" w:line="240" w:lineRule="auto"/>
              <w:jc w:val="left"/>
              <w:rPr>
                <w:rFonts w:asciiTheme="minorHAnsi" w:hAnsiTheme="minorHAnsi" w:cstheme="minorHAnsi"/>
                <w:b/>
                <w:bCs/>
              </w:rPr>
            </w:pPr>
            <w:r>
              <w:rPr>
                <w:rFonts w:asciiTheme="minorHAnsi" w:hAnsiTheme="minorHAnsi" w:cstheme="minorHAnsi"/>
                <w:b/>
                <w:bCs/>
              </w:rPr>
              <w:t>Forecast (Total)</w:t>
            </w:r>
          </w:p>
          <w:p w14:paraId="4C52F43C" w14:textId="77777777" w:rsidR="00354A6D" w:rsidRDefault="00354A6D" w:rsidP="006B5B58">
            <w:pPr>
              <w:keepNext/>
              <w:keepLines/>
              <w:spacing w:after="0" w:line="240" w:lineRule="auto"/>
              <w:jc w:val="left"/>
              <w:rPr>
                <w:rFonts w:asciiTheme="minorHAnsi" w:hAnsiTheme="minorHAnsi" w:cstheme="minorHAnsi"/>
                <w:b/>
                <w:bCs/>
              </w:rPr>
            </w:pPr>
          </w:p>
        </w:tc>
        <w:tc>
          <w:tcPr>
            <w:tcW w:w="2391" w:type="dxa"/>
            <w:vMerge w:val="restart"/>
            <w:tcBorders>
              <w:top w:val="single" w:sz="4" w:space="0" w:color="auto"/>
              <w:left w:val="single" w:sz="4" w:space="0" w:color="auto"/>
              <w:bottom w:val="nil"/>
              <w:right w:val="single" w:sz="4" w:space="0" w:color="auto"/>
            </w:tcBorders>
            <w:noWrap/>
            <w:vAlign w:val="bottom"/>
            <w:hideMark/>
          </w:tcPr>
          <w:p w14:paraId="25706DB4" w14:textId="77777777" w:rsidR="00354A6D" w:rsidRDefault="00354A6D" w:rsidP="006B5B58">
            <w:pPr>
              <w:keepNext/>
              <w:keepLines/>
              <w:spacing w:after="0" w:line="240" w:lineRule="auto"/>
              <w:jc w:val="left"/>
              <w:rPr>
                <w:rFonts w:asciiTheme="minorHAnsi" w:hAnsiTheme="minorHAnsi" w:cstheme="minorHAnsi"/>
                <w:b/>
                <w:bCs/>
              </w:rPr>
            </w:pPr>
            <w:r>
              <w:rPr>
                <w:rFonts w:asciiTheme="minorHAnsi" w:hAnsiTheme="minorHAnsi" w:cstheme="minorHAnsi"/>
                <w:b/>
                <w:bCs/>
              </w:rPr>
              <w:t>Outcome Reference and Progress</w:t>
            </w:r>
          </w:p>
        </w:tc>
      </w:tr>
      <w:tr w:rsidR="00354A6D" w14:paraId="6748F77C" w14:textId="77777777" w:rsidTr="00FB7F0E">
        <w:trPr>
          <w:trHeight w:val="434"/>
        </w:trPr>
        <w:tc>
          <w:tcPr>
            <w:tcW w:w="4761" w:type="dxa"/>
            <w:gridSpan w:val="2"/>
            <w:vMerge/>
            <w:tcBorders>
              <w:left w:val="single" w:sz="4" w:space="0" w:color="auto"/>
              <w:bottom w:val="single" w:sz="4" w:space="0" w:color="auto"/>
              <w:right w:val="single" w:sz="4" w:space="0" w:color="auto"/>
            </w:tcBorders>
            <w:shd w:val="clear" w:color="auto" w:fill="auto"/>
            <w:noWrap/>
          </w:tcPr>
          <w:p w14:paraId="14E10732" w14:textId="77777777" w:rsidR="00354A6D" w:rsidRDefault="00354A6D" w:rsidP="006B5B58">
            <w:pPr>
              <w:keepNext/>
              <w:keepLines/>
              <w:spacing w:after="0"/>
              <w:jc w:val="left"/>
              <w:rPr>
                <w:rFonts w:asciiTheme="minorHAnsi" w:hAnsiTheme="minorHAnsi" w:cstheme="minorHAnsi"/>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17DDB812" w14:textId="77777777" w:rsidR="00354A6D" w:rsidRPr="001B2A1D" w:rsidRDefault="00354A6D" w:rsidP="006B5B58">
            <w:pPr>
              <w:keepNext/>
              <w:keepLines/>
              <w:spacing w:after="0" w:line="240" w:lineRule="auto"/>
              <w:jc w:val="left"/>
              <w:rPr>
                <w:rFonts w:asciiTheme="minorHAnsi" w:hAnsiTheme="minorHAnsi" w:cstheme="minorHAnsi"/>
                <w:b/>
                <w:bCs/>
              </w:rPr>
            </w:pPr>
            <w:r w:rsidRPr="001B2A1D">
              <w:rPr>
                <w:rFonts w:asciiTheme="minorHAnsi" w:hAnsiTheme="minorHAnsi" w:cstheme="minorHAnsi"/>
                <w:b/>
                <w:bCs/>
              </w:rPr>
              <w:t>Expenditure</w:t>
            </w:r>
          </w:p>
        </w:tc>
        <w:tc>
          <w:tcPr>
            <w:tcW w:w="1147" w:type="dxa"/>
            <w:tcBorders>
              <w:top w:val="single" w:sz="4" w:space="0" w:color="auto"/>
              <w:left w:val="single" w:sz="4" w:space="0" w:color="auto"/>
              <w:bottom w:val="single" w:sz="4" w:space="0" w:color="auto"/>
              <w:right w:val="single" w:sz="4" w:space="0" w:color="auto"/>
            </w:tcBorders>
          </w:tcPr>
          <w:p w14:paraId="2FEB5924" w14:textId="77777777" w:rsidR="00354A6D" w:rsidRPr="001B2A1D" w:rsidRDefault="00354A6D" w:rsidP="006B5B58">
            <w:pPr>
              <w:keepNext/>
              <w:keepLines/>
              <w:spacing w:after="0"/>
              <w:jc w:val="left"/>
              <w:rPr>
                <w:rFonts w:asciiTheme="minorHAnsi" w:hAnsiTheme="minorHAnsi" w:cstheme="minorHAnsi"/>
                <w:b/>
                <w:bCs/>
              </w:rPr>
            </w:pPr>
            <w:r w:rsidRPr="001B2A1D">
              <w:rPr>
                <w:rFonts w:asciiTheme="minorHAnsi" w:hAnsiTheme="minorHAnsi" w:cstheme="minorHAnsi"/>
                <w:b/>
                <w:bCs/>
              </w:rPr>
              <w:t xml:space="preserve">Outputs </w:t>
            </w:r>
          </w:p>
        </w:tc>
        <w:tc>
          <w:tcPr>
            <w:tcW w:w="1369" w:type="dxa"/>
            <w:tcBorders>
              <w:top w:val="single" w:sz="4" w:space="0" w:color="auto"/>
              <w:left w:val="single" w:sz="4" w:space="0" w:color="auto"/>
              <w:bottom w:val="single" w:sz="4" w:space="0" w:color="auto"/>
              <w:right w:val="single" w:sz="4" w:space="0" w:color="auto"/>
            </w:tcBorders>
            <w:shd w:val="clear" w:color="auto" w:fill="auto"/>
            <w:noWrap/>
          </w:tcPr>
          <w:p w14:paraId="72C7824E" w14:textId="77777777" w:rsidR="00354A6D" w:rsidRPr="001B2A1D" w:rsidRDefault="00354A6D" w:rsidP="006B5B58">
            <w:pPr>
              <w:keepNext/>
              <w:keepLines/>
              <w:spacing w:after="0"/>
              <w:jc w:val="left"/>
              <w:rPr>
                <w:rFonts w:asciiTheme="minorHAnsi" w:hAnsiTheme="minorHAnsi" w:cstheme="minorHAnsi"/>
                <w:b/>
                <w:bCs/>
              </w:rPr>
            </w:pPr>
            <w:r w:rsidRPr="001B2A1D">
              <w:rPr>
                <w:rFonts w:asciiTheme="minorHAnsi" w:hAnsiTheme="minorHAnsi" w:cstheme="minorHAnsi"/>
                <w:b/>
                <w:bCs/>
              </w:rPr>
              <w:t>Expenditure</w:t>
            </w:r>
          </w:p>
        </w:tc>
        <w:tc>
          <w:tcPr>
            <w:tcW w:w="1406" w:type="dxa"/>
            <w:tcBorders>
              <w:top w:val="single" w:sz="4" w:space="0" w:color="auto"/>
              <w:left w:val="single" w:sz="4" w:space="0" w:color="auto"/>
              <w:bottom w:val="single" w:sz="4" w:space="0" w:color="auto"/>
              <w:right w:val="single" w:sz="4" w:space="0" w:color="auto"/>
            </w:tcBorders>
          </w:tcPr>
          <w:p w14:paraId="6ADEEE6F" w14:textId="77777777" w:rsidR="00354A6D" w:rsidRPr="001B2A1D" w:rsidRDefault="00354A6D" w:rsidP="006B5B58">
            <w:pPr>
              <w:keepNext/>
              <w:keepLines/>
              <w:spacing w:after="0"/>
              <w:jc w:val="left"/>
              <w:rPr>
                <w:rFonts w:asciiTheme="minorHAnsi" w:hAnsiTheme="minorHAnsi" w:cstheme="minorHAnsi"/>
                <w:b/>
                <w:bCs/>
              </w:rPr>
            </w:pPr>
            <w:r w:rsidRPr="001B2A1D">
              <w:rPr>
                <w:rFonts w:asciiTheme="minorHAnsi" w:hAnsiTheme="minorHAnsi" w:cstheme="minorHAnsi"/>
                <w:b/>
                <w:bCs/>
              </w:rPr>
              <w:t xml:space="preserve">Outputs </w:t>
            </w:r>
          </w:p>
        </w:tc>
        <w:tc>
          <w:tcPr>
            <w:tcW w:w="2391" w:type="dxa"/>
            <w:vMerge/>
            <w:tcBorders>
              <w:left w:val="single" w:sz="4" w:space="0" w:color="auto"/>
              <w:bottom w:val="single" w:sz="4" w:space="0" w:color="auto"/>
              <w:right w:val="single" w:sz="4" w:space="0" w:color="auto"/>
            </w:tcBorders>
            <w:shd w:val="clear" w:color="auto" w:fill="auto"/>
            <w:noWrap/>
          </w:tcPr>
          <w:p w14:paraId="056DFB29" w14:textId="77777777" w:rsidR="00354A6D" w:rsidRPr="001B2A1D" w:rsidRDefault="00354A6D" w:rsidP="006B5B58">
            <w:pPr>
              <w:keepNext/>
              <w:keepLines/>
              <w:spacing w:after="0"/>
              <w:jc w:val="left"/>
              <w:rPr>
                <w:rFonts w:asciiTheme="minorHAnsi" w:hAnsiTheme="minorHAnsi" w:cstheme="minorHAnsi"/>
                <w:b/>
                <w:bCs/>
              </w:rPr>
            </w:pPr>
          </w:p>
        </w:tc>
      </w:tr>
      <w:tr w:rsidR="00354A6D" w14:paraId="2DAF84F0" w14:textId="77777777" w:rsidTr="00FB7F0E">
        <w:trPr>
          <w:trHeight w:val="488"/>
        </w:trPr>
        <w:tc>
          <w:tcPr>
            <w:tcW w:w="2547"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754B3499" w14:textId="77777777" w:rsidR="00354A6D" w:rsidRDefault="00354A6D" w:rsidP="006B5B58">
            <w:pPr>
              <w:keepNext/>
              <w:keepLines/>
              <w:spacing w:after="0" w:line="240" w:lineRule="auto"/>
              <w:jc w:val="left"/>
              <w:rPr>
                <w:rFonts w:asciiTheme="minorHAnsi" w:hAnsiTheme="minorHAnsi" w:cstheme="minorHAnsi"/>
              </w:rPr>
            </w:pPr>
            <w:r>
              <w:rPr>
                <w:rFonts w:asciiTheme="minorHAnsi" w:hAnsiTheme="minorHAnsi" w:cstheme="minorHAnsi"/>
                <w:b/>
                <w:bCs/>
              </w:rPr>
              <w:t>Program/Project Name</w:t>
            </w:r>
          </w:p>
        </w:tc>
        <w:tc>
          <w:tcPr>
            <w:tcW w:w="2214" w:type="dxa"/>
            <w:tcBorders>
              <w:top w:val="single" w:sz="4" w:space="0" w:color="auto"/>
              <w:left w:val="nil"/>
              <w:bottom w:val="single" w:sz="4" w:space="0" w:color="auto"/>
              <w:right w:val="nil"/>
            </w:tcBorders>
            <w:shd w:val="clear" w:color="auto" w:fill="D9D9D9" w:themeFill="background1" w:themeFillShade="D9"/>
            <w:noWrap/>
            <w:vAlign w:val="bottom"/>
            <w:hideMark/>
          </w:tcPr>
          <w:p w14:paraId="612DC8A4" w14:textId="77777777" w:rsidR="00354A6D" w:rsidRDefault="00354A6D" w:rsidP="006B5B58">
            <w:pPr>
              <w:keepNext/>
              <w:keepLines/>
              <w:spacing w:after="0"/>
              <w:jc w:val="left"/>
              <w:rPr>
                <w:rFonts w:asciiTheme="minorHAnsi" w:hAnsiTheme="minorHAnsi" w:cstheme="minorHAnsi"/>
              </w:rPr>
            </w:pPr>
            <w:r w:rsidRPr="001B2A1D">
              <w:rPr>
                <w:rFonts w:asciiTheme="minorHAnsi" w:hAnsiTheme="minorHAnsi" w:cstheme="minorHAnsi"/>
                <w:b/>
                <w:bCs/>
              </w:rPr>
              <w:t>Description</w:t>
            </w:r>
          </w:p>
        </w:tc>
        <w:tc>
          <w:tcPr>
            <w:tcW w:w="1327" w:type="dxa"/>
            <w:tcBorders>
              <w:top w:val="single" w:sz="4" w:space="0" w:color="auto"/>
              <w:left w:val="nil"/>
              <w:bottom w:val="single" w:sz="4" w:space="0" w:color="auto"/>
              <w:right w:val="nil"/>
            </w:tcBorders>
            <w:shd w:val="clear" w:color="auto" w:fill="D9D9D9" w:themeFill="background1" w:themeFillShade="D9"/>
          </w:tcPr>
          <w:p w14:paraId="34772D8C" w14:textId="77777777" w:rsidR="00354A6D" w:rsidRDefault="00354A6D" w:rsidP="006B5B58">
            <w:pPr>
              <w:keepNext/>
              <w:keepLines/>
              <w:spacing w:after="0" w:line="240" w:lineRule="auto"/>
              <w:jc w:val="left"/>
              <w:rPr>
                <w:rFonts w:asciiTheme="minorHAnsi" w:hAnsiTheme="minorHAnsi" w:cstheme="minorHAnsi"/>
                <w:sz w:val="20"/>
              </w:rPr>
            </w:pPr>
          </w:p>
        </w:tc>
        <w:tc>
          <w:tcPr>
            <w:tcW w:w="1147" w:type="dxa"/>
            <w:tcBorders>
              <w:top w:val="single" w:sz="4" w:space="0" w:color="auto"/>
              <w:left w:val="nil"/>
              <w:bottom w:val="single" w:sz="4" w:space="0" w:color="auto"/>
              <w:right w:val="nil"/>
            </w:tcBorders>
            <w:shd w:val="clear" w:color="auto" w:fill="D9D9D9" w:themeFill="background1" w:themeFillShade="D9"/>
          </w:tcPr>
          <w:p w14:paraId="5B1B11E6" w14:textId="77777777" w:rsidR="00354A6D" w:rsidRDefault="00354A6D" w:rsidP="006B5B58">
            <w:pPr>
              <w:keepNext/>
              <w:keepLines/>
              <w:spacing w:after="0"/>
              <w:jc w:val="left"/>
              <w:rPr>
                <w:rFonts w:asciiTheme="minorHAnsi" w:hAnsiTheme="minorHAnsi" w:cstheme="minorHAnsi"/>
                <w:sz w:val="20"/>
              </w:rPr>
            </w:pPr>
          </w:p>
        </w:tc>
        <w:tc>
          <w:tcPr>
            <w:tcW w:w="1369" w:type="dxa"/>
            <w:tcBorders>
              <w:top w:val="single" w:sz="4" w:space="0" w:color="auto"/>
              <w:left w:val="nil"/>
              <w:bottom w:val="single" w:sz="4" w:space="0" w:color="auto"/>
              <w:right w:val="nil"/>
            </w:tcBorders>
            <w:shd w:val="clear" w:color="auto" w:fill="D9D9D9" w:themeFill="background1" w:themeFillShade="D9"/>
            <w:noWrap/>
            <w:vAlign w:val="bottom"/>
            <w:hideMark/>
          </w:tcPr>
          <w:p w14:paraId="388A8DAE" w14:textId="77777777" w:rsidR="00354A6D" w:rsidRDefault="00354A6D" w:rsidP="006B5B58">
            <w:pPr>
              <w:keepNext/>
              <w:keepLines/>
              <w:spacing w:after="0"/>
              <w:jc w:val="left"/>
              <w:rPr>
                <w:rFonts w:asciiTheme="minorHAnsi" w:hAnsiTheme="minorHAnsi" w:cstheme="minorHAnsi"/>
                <w:sz w:val="20"/>
              </w:rPr>
            </w:pPr>
          </w:p>
        </w:tc>
        <w:tc>
          <w:tcPr>
            <w:tcW w:w="1406" w:type="dxa"/>
            <w:tcBorders>
              <w:top w:val="single" w:sz="4" w:space="0" w:color="auto"/>
              <w:left w:val="nil"/>
              <w:bottom w:val="single" w:sz="4" w:space="0" w:color="auto"/>
              <w:right w:val="nil"/>
            </w:tcBorders>
            <w:shd w:val="clear" w:color="auto" w:fill="D9D9D9" w:themeFill="background1" w:themeFillShade="D9"/>
          </w:tcPr>
          <w:p w14:paraId="366A1FFB" w14:textId="77777777" w:rsidR="00354A6D" w:rsidRDefault="00354A6D" w:rsidP="006B5B58">
            <w:pPr>
              <w:keepNext/>
              <w:keepLines/>
              <w:spacing w:after="0"/>
              <w:jc w:val="left"/>
              <w:rPr>
                <w:rFonts w:asciiTheme="minorHAnsi" w:hAnsiTheme="minorHAnsi"/>
                <w:sz w:val="20"/>
              </w:rPr>
            </w:pPr>
          </w:p>
        </w:tc>
        <w:tc>
          <w:tcPr>
            <w:tcW w:w="239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059BCDF" w14:textId="77777777" w:rsidR="00354A6D" w:rsidRDefault="00354A6D" w:rsidP="006B5B58">
            <w:pPr>
              <w:keepNext/>
              <w:keepLines/>
              <w:spacing w:after="0"/>
              <w:jc w:val="left"/>
              <w:rPr>
                <w:rFonts w:asciiTheme="minorHAnsi" w:hAnsiTheme="minorHAnsi"/>
                <w:sz w:val="20"/>
              </w:rPr>
            </w:pPr>
          </w:p>
        </w:tc>
      </w:tr>
      <w:tr w:rsidR="00354A6D" w14:paraId="6BC9D369" w14:textId="77777777" w:rsidTr="00FB7F0E">
        <w:trPr>
          <w:trHeight w:val="285"/>
        </w:trPr>
        <w:tc>
          <w:tcPr>
            <w:tcW w:w="2547" w:type="dxa"/>
            <w:tcBorders>
              <w:top w:val="single" w:sz="4" w:space="0" w:color="auto"/>
              <w:left w:val="single" w:sz="4" w:space="0" w:color="auto"/>
              <w:bottom w:val="single" w:sz="4" w:space="0" w:color="auto"/>
              <w:right w:val="single" w:sz="4" w:space="0" w:color="auto"/>
            </w:tcBorders>
            <w:noWrap/>
            <w:hideMark/>
          </w:tcPr>
          <w:p w14:paraId="418BC16E" w14:textId="653DBC3C" w:rsidR="00354A6D" w:rsidRPr="00F176F2" w:rsidRDefault="009867ED" w:rsidP="006B5B58">
            <w:pPr>
              <w:keepNext/>
              <w:keepLines/>
              <w:spacing w:after="0" w:line="240" w:lineRule="auto"/>
              <w:ind w:left="306"/>
              <w:jc w:val="left"/>
              <w:rPr>
                <w:rFonts w:asciiTheme="minorHAnsi" w:hAnsiTheme="minorHAnsi" w:cstheme="minorHAnsi"/>
                <w:i/>
                <w:iCs/>
              </w:rPr>
            </w:pPr>
            <w:r>
              <w:rPr>
                <w:rFonts w:asciiTheme="minorHAnsi" w:hAnsiTheme="minorHAnsi" w:cstheme="minorHAnsi"/>
              </w:rPr>
              <w:t>e.g.</w:t>
            </w:r>
            <w:r w:rsidR="00354A6D">
              <w:rPr>
                <w:rFonts w:asciiTheme="minorHAnsi" w:hAnsiTheme="minorHAnsi" w:cstheme="minorHAnsi"/>
              </w:rPr>
              <w:t xml:space="preserve"> Social Housing Uplift (South Katherine)</w:t>
            </w:r>
          </w:p>
        </w:tc>
        <w:tc>
          <w:tcPr>
            <w:tcW w:w="2214" w:type="dxa"/>
            <w:tcBorders>
              <w:top w:val="single" w:sz="4" w:space="0" w:color="auto"/>
              <w:left w:val="single" w:sz="4" w:space="0" w:color="auto"/>
              <w:bottom w:val="single" w:sz="4" w:space="0" w:color="auto"/>
              <w:right w:val="single" w:sz="4" w:space="0" w:color="auto"/>
            </w:tcBorders>
            <w:noWrap/>
          </w:tcPr>
          <w:p w14:paraId="2988756D" w14:textId="77777777" w:rsidR="00354A6D" w:rsidRPr="00F176F2" w:rsidRDefault="00354A6D" w:rsidP="006B5B58">
            <w:pPr>
              <w:keepNext/>
              <w:keepLines/>
              <w:spacing w:after="0" w:line="240" w:lineRule="auto"/>
              <w:jc w:val="left"/>
              <w:rPr>
                <w:rFonts w:asciiTheme="minorHAnsi" w:hAnsiTheme="minorHAnsi" w:cstheme="minorHAnsi"/>
                <w:i/>
                <w:iCs/>
              </w:rPr>
            </w:pPr>
          </w:p>
        </w:tc>
        <w:tc>
          <w:tcPr>
            <w:tcW w:w="1327" w:type="dxa"/>
            <w:tcBorders>
              <w:top w:val="single" w:sz="4" w:space="0" w:color="auto"/>
              <w:left w:val="single" w:sz="4" w:space="0" w:color="auto"/>
              <w:bottom w:val="single" w:sz="4" w:space="0" w:color="auto"/>
              <w:right w:val="single" w:sz="4" w:space="0" w:color="auto"/>
            </w:tcBorders>
          </w:tcPr>
          <w:p w14:paraId="730D8F9E" w14:textId="77777777" w:rsidR="00354A6D" w:rsidRPr="001B2A1D" w:rsidRDefault="00354A6D" w:rsidP="006B5B58">
            <w:pPr>
              <w:keepNext/>
              <w:keepLines/>
              <w:spacing w:after="0" w:line="240" w:lineRule="auto"/>
              <w:jc w:val="left"/>
              <w:rPr>
                <w:rFonts w:asciiTheme="minorHAnsi" w:hAnsiTheme="minorHAnsi" w:cstheme="minorHAnsi"/>
                <w:i/>
                <w:iCs/>
              </w:rPr>
            </w:pPr>
          </w:p>
        </w:tc>
        <w:tc>
          <w:tcPr>
            <w:tcW w:w="1147" w:type="dxa"/>
            <w:tcBorders>
              <w:top w:val="single" w:sz="4" w:space="0" w:color="auto"/>
              <w:left w:val="single" w:sz="4" w:space="0" w:color="auto"/>
              <w:bottom w:val="single" w:sz="4" w:space="0" w:color="auto"/>
              <w:right w:val="single" w:sz="4" w:space="0" w:color="auto"/>
            </w:tcBorders>
          </w:tcPr>
          <w:p w14:paraId="6A4B8300" w14:textId="77777777" w:rsidR="00354A6D" w:rsidRPr="001B2A1D" w:rsidRDefault="00354A6D" w:rsidP="006B5B58">
            <w:pPr>
              <w:keepNext/>
              <w:keepLines/>
              <w:spacing w:after="0" w:line="240" w:lineRule="auto"/>
              <w:jc w:val="left"/>
              <w:rPr>
                <w:rFonts w:asciiTheme="minorHAnsi" w:hAnsiTheme="minorHAnsi" w:cstheme="minorHAnsi"/>
                <w:i/>
                <w:iCs/>
              </w:rPr>
            </w:pPr>
          </w:p>
        </w:tc>
        <w:tc>
          <w:tcPr>
            <w:tcW w:w="1369" w:type="dxa"/>
            <w:tcBorders>
              <w:top w:val="single" w:sz="4" w:space="0" w:color="auto"/>
              <w:left w:val="single" w:sz="4" w:space="0" w:color="auto"/>
              <w:bottom w:val="single" w:sz="4" w:space="0" w:color="auto"/>
              <w:right w:val="single" w:sz="4" w:space="0" w:color="auto"/>
            </w:tcBorders>
            <w:noWrap/>
          </w:tcPr>
          <w:p w14:paraId="6DED98B3" w14:textId="77777777" w:rsidR="00354A6D" w:rsidRPr="001B2A1D" w:rsidRDefault="00354A6D" w:rsidP="006B5B58">
            <w:pPr>
              <w:keepNext/>
              <w:keepLines/>
              <w:spacing w:after="0" w:line="240" w:lineRule="auto"/>
              <w:jc w:val="left"/>
              <w:rPr>
                <w:rFonts w:asciiTheme="minorHAnsi" w:hAnsiTheme="minorHAnsi" w:cstheme="minorHAnsi"/>
                <w:i/>
                <w:iCs/>
              </w:rPr>
            </w:pPr>
          </w:p>
        </w:tc>
        <w:tc>
          <w:tcPr>
            <w:tcW w:w="1406" w:type="dxa"/>
            <w:tcBorders>
              <w:top w:val="single" w:sz="4" w:space="0" w:color="auto"/>
              <w:left w:val="single" w:sz="4" w:space="0" w:color="auto"/>
              <w:bottom w:val="single" w:sz="4" w:space="0" w:color="auto"/>
              <w:right w:val="single" w:sz="4" w:space="0" w:color="auto"/>
            </w:tcBorders>
          </w:tcPr>
          <w:p w14:paraId="4F07F4FA" w14:textId="77777777" w:rsidR="00354A6D" w:rsidRPr="001B2A1D" w:rsidRDefault="00354A6D" w:rsidP="006B5B58">
            <w:pPr>
              <w:keepNext/>
              <w:keepLines/>
              <w:spacing w:after="0" w:line="240" w:lineRule="auto"/>
              <w:jc w:val="left"/>
              <w:rPr>
                <w:rFonts w:asciiTheme="minorHAnsi" w:hAnsiTheme="minorHAnsi" w:cstheme="minorHAnsi"/>
                <w:i/>
                <w:iCs/>
              </w:rPr>
            </w:pPr>
          </w:p>
        </w:tc>
        <w:tc>
          <w:tcPr>
            <w:tcW w:w="2391" w:type="dxa"/>
            <w:tcBorders>
              <w:top w:val="single" w:sz="4" w:space="0" w:color="auto"/>
              <w:left w:val="single" w:sz="4" w:space="0" w:color="auto"/>
              <w:bottom w:val="single" w:sz="4" w:space="0" w:color="auto"/>
              <w:right w:val="single" w:sz="4" w:space="0" w:color="auto"/>
            </w:tcBorders>
            <w:noWrap/>
          </w:tcPr>
          <w:p w14:paraId="7F4DEEA9" w14:textId="77777777" w:rsidR="00354A6D" w:rsidRPr="001B2A1D" w:rsidRDefault="00354A6D" w:rsidP="006B5B58">
            <w:pPr>
              <w:keepNext/>
              <w:keepLines/>
              <w:spacing w:after="0" w:line="240" w:lineRule="auto"/>
              <w:jc w:val="left"/>
              <w:rPr>
                <w:rFonts w:asciiTheme="minorHAnsi" w:hAnsiTheme="minorHAnsi" w:cstheme="minorHAnsi"/>
                <w:i/>
                <w:iCs/>
              </w:rPr>
            </w:pPr>
          </w:p>
        </w:tc>
      </w:tr>
    </w:tbl>
    <w:p w14:paraId="38C05376" w14:textId="77777777" w:rsidR="00354A6D" w:rsidRDefault="00354A6D" w:rsidP="00354A6D">
      <w:pPr>
        <w:keepNext/>
        <w:keepLines/>
        <w:rPr>
          <w:rFonts w:asciiTheme="minorHAnsi" w:hAnsiTheme="minorHAnsi" w:cstheme="minorHAnsi"/>
        </w:rPr>
      </w:pPr>
    </w:p>
    <w:p w14:paraId="454EBA7F" w14:textId="77777777" w:rsidR="00354A6D" w:rsidRPr="003C58FA" w:rsidRDefault="00354A6D" w:rsidP="00354A6D">
      <w:pPr>
        <w:rPr>
          <w:rFonts w:asciiTheme="minorHAnsi" w:hAnsiTheme="minorHAnsi" w:cstheme="minorHAnsi"/>
        </w:rPr>
      </w:pPr>
    </w:p>
    <w:p w14:paraId="4D5787F0" w14:textId="550AC035" w:rsidR="00B03B50" w:rsidRDefault="00B03B50" w:rsidP="009F724D">
      <w:pPr>
        <w:pStyle w:val="Heading1"/>
        <w:rPr>
          <w:highlight w:val="yellow"/>
        </w:rPr>
        <w:sectPr w:rsidR="00B03B50" w:rsidSect="00F42F0F">
          <w:pgSz w:w="16838" w:h="11906" w:orient="landscape" w:code="9"/>
          <w:pgMar w:top="1134" w:right="1134" w:bottom="1134" w:left="1134" w:header="709" w:footer="709" w:gutter="0"/>
          <w:pgNumType w:chapStyle="9"/>
          <w:cols w:space="708"/>
          <w:titlePg/>
          <w:docGrid w:linePitch="360"/>
        </w:sectPr>
      </w:pPr>
    </w:p>
    <w:p w14:paraId="55DBBD05" w14:textId="50BC8AD6" w:rsidR="004631EC" w:rsidRPr="00113FAB" w:rsidRDefault="00D45283" w:rsidP="004631EC">
      <w:pPr>
        <w:pStyle w:val="Heading1"/>
        <w:rPr>
          <w:szCs w:val="32"/>
        </w:rPr>
      </w:pPr>
      <w:r w:rsidRPr="00113FAB">
        <w:rPr>
          <w:caps w:val="0"/>
          <w:szCs w:val="32"/>
        </w:rPr>
        <w:lastRenderedPageBreak/>
        <w:t>SCHEDULE</w:t>
      </w:r>
      <w:r w:rsidR="004631EC" w:rsidRPr="00113FAB">
        <w:rPr>
          <w:szCs w:val="32"/>
        </w:rPr>
        <w:t xml:space="preserve"> C </w:t>
      </w:r>
      <w:r w:rsidR="00AB2908" w:rsidRPr="00113FAB">
        <w:rPr>
          <w:szCs w:val="32"/>
        </w:rPr>
        <w:t>–</w:t>
      </w:r>
      <w:r w:rsidR="004631EC" w:rsidRPr="00113FAB">
        <w:rPr>
          <w:szCs w:val="32"/>
        </w:rPr>
        <w:t xml:space="preserve"> Data Collection and Governance of Data Improvements</w:t>
      </w:r>
    </w:p>
    <w:p w14:paraId="5656BAD0" w14:textId="77777777" w:rsidR="00B23453" w:rsidRPr="00AB2908" w:rsidRDefault="00B23453" w:rsidP="00B76FD6">
      <w:pPr>
        <w:pStyle w:val="Heading2"/>
        <w:rPr>
          <w:color w:val="auto"/>
        </w:rPr>
      </w:pPr>
      <w:r w:rsidRPr="00AB2908">
        <w:rPr>
          <w:rFonts w:ascii="Consolas" w:hAnsi="Consolas"/>
          <w:b w:val="0"/>
          <w:caps/>
          <w:color w:val="auto"/>
          <w:kern w:val="32"/>
          <w:sz w:val="32"/>
          <w:szCs w:val="32"/>
        </w:rPr>
        <w:t>Preliminaries</w:t>
      </w:r>
    </w:p>
    <w:p w14:paraId="088CC33F" w14:textId="41B238B2" w:rsidR="00E5760F" w:rsidRPr="007A4F52" w:rsidRDefault="00E5760F" w:rsidP="004F3EA2">
      <w:pPr>
        <w:numPr>
          <w:ilvl w:val="0"/>
          <w:numId w:val="22"/>
        </w:numPr>
        <w:spacing w:line="240" w:lineRule="auto"/>
        <w:jc w:val="left"/>
        <w:rPr>
          <w:color w:val="auto"/>
        </w:rPr>
      </w:pPr>
      <w:r w:rsidRPr="00C811E9">
        <w:rPr>
          <w:color w:val="auto"/>
        </w:rPr>
        <w:t>This</w:t>
      </w:r>
      <w:r w:rsidR="009E5F68" w:rsidRPr="007A4F52">
        <w:rPr>
          <w:color w:val="auto"/>
        </w:rPr>
        <w:t xml:space="preserve"> s</w:t>
      </w:r>
      <w:r w:rsidRPr="007A4F52">
        <w:rPr>
          <w:color w:val="auto"/>
        </w:rPr>
        <w:t xml:space="preserve">chedule outlines how the </w:t>
      </w:r>
      <w:r w:rsidR="001C5116">
        <w:rPr>
          <w:color w:val="auto"/>
        </w:rPr>
        <w:t>Parties</w:t>
      </w:r>
      <w:r w:rsidRPr="007A4F52">
        <w:rPr>
          <w:color w:val="auto"/>
        </w:rPr>
        <w:t xml:space="preserve"> will contribute to the development and implementation of an improved, nationally consistent housing and homelessness data set. </w:t>
      </w:r>
    </w:p>
    <w:p w14:paraId="1B2B0F72" w14:textId="4D9670E2" w:rsidR="00E5760F" w:rsidRDefault="00E5760F" w:rsidP="004F3EA2">
      <w:pPr>
        <w:numPr>
          <w:ilvl w:val="0"/>
          <w:numId w:val="22"/>
        </w:numPr>
        <w:spacing w:line="240" w:lineRule="auto"/>
        <w:jc w:val="left"/>
        <w:rPr>
          <w:color w:val="auto"/>
        </w:rPr>
      </w:pPr>
      <w:r w:rsidRPr="007A4F52">
        <w:rPr>
          <w:color w:val="auto"/>
        </w:rPr>
        <w:t>This improved and nationally consistent data will serve three purposes:</w:t>
      </w:r>
    </w:p>
    <w:p w14:paraId="3221A9DB" w14:textId="3CBA85B3" w:rsidR="001644D0" w:rsidRPr="00C811E9" w:rsidRDefault="001644D0" w:rsidP="004F3EA2">
      <w:pPr>
        <w:numPr>
          <w:ilvl w:val="0"/>
          <w:numId w:val="23"/>
        </w:numPr>
        <w:spacing w:line="240" w:lineRule="auto"/>
        <w:jc w:val="left"/>
        <w:rPr>
          <w:color w:val="auto"/>
        </w:rPr>
      </w:pPr>
      <w:r w:rsidRPr="00C811E9">
        <w:rPr>
          <w:color w:val="auto"/>
        </w:rPr>
        <w:t xml:space="preserve">facilitate </w:t>
      </w:r>
      <w:r>
        <w:rPr>
          <w:color w:val="auto"/>
        </w:rPr>
        <w:t xml:space="preserve">comprehensive </w:t>
      </w:r>
      <w:r w:rsidR="006B01E3">
        <w:rPr>
          <w:color w:val="auto"/>
        </w:rPr>
        <w:t>monitoring</w:t>
      </w:r>
      <w:r w:rsidRPr="00C811E9">
        <w:rPr>
          <w:color w:val="auto"/>
        </w:rPr>
        <w:t xml:space="preserve"> </w:t>
      </w:r>
      <w:r>
        <w:rPr>
          <w:color w:val="auto"/>
        </w:rPr>
        <w:t>and analysis of</w:t>
      </w:r>
      <w:r w:rsidRPr="00C811E9">
        <w:rPr>
          <w:color w:val="auto"/>
        </w:rPr>
        <w:t xml:space="preserve"> national and </w:t>
      </w:r>
      <w:r w:rsidR="004E757E">
        <w:rPr>
          <w:color w:val="auto"/>
        </w:rPr>
        <w:t>State</w:t>
      </w:r>
      <w:r w:rsidR="004E757E" w:rsidRPr="00C811E9">
        <w:rPr>
          <w:color w:val="auto"/>
        </w:rPr>
        <w:t xml:space="preserve"> </w:t>
      </w:r>
      <w:r w:rsidRPr="00C811E9">
        <w:rPr>
          <w:color w:val="auto"/>
        </w:rPr>
        <w:t>housing and homelessness outcomes;</w:t>
      </w:r>
    </w:p>
    <w:p w14:paraId="507DFB31" w14:textId="37447DC2" w:rsidR="001644D0" w:rsidRPr="00C811E9" w:rsidRDefault="001644D0" w:rsidP="004F3EA2">
      <w:pPr>
        <w:numPr>
          <w:ilvl w:val="0"/>
          <w:numId w:val="23"/>
        </w:numPr>
        <w:spacing w:line="240" w:lineRule="auto"/>
        <w:jc w:val="left"/>
        <w:rPr>
          <w:color w:val="auto"/>
        </w:rPr>
      </w:pPr>
      <w:r w:rsidRPr="00C811E9">
        <w:rPr>
          <w:color w:val="auto"/>
        </w:rPr>
        <w:t xml:space="preserve">contribute to publicly available national </w:t>
      </w:r>
      <w:r w:rsidR="00984EB2" w:rsidRPr="00C811E9">
        <w:rPr>
          <w:color w:val="auto"/>
        </w:rPr>
        <w:t>dat</w:t>
      </w:r>
      <w:r w:rsidR="00984EB2">
        <w:rPr>
          <w:color w:val="auto"/>
        </w:rPr>
        <w:t>a</w:t>
      </w:r>
      <w:r w:rsidRPr="00C811E9">
        <w:rPr>
          <w:color w:val="auto"/>
        </w:rPr>
        <w:t xml:space="preserve"> o</w:t>
      </w:r>
      <w:r w:rsidR="00984EB2">
        <w:rPr>
          <w:color w:val="auto"/>
        </w:rPr>
        <w:t>n</w:t>
      </w:r>
      <w:r w:rsidRPr="00C811E9">
        <w:rPr>
          <w:color w:val="auto"/>
        </w:rPr>
        <w:t xml:space="preserve"> housing and homelessness; and</w:t>
      </w:r>
    </w:p>
    <w:p w14:paraId="0C1A6F54" w14:textId="77777777" w:rsidR="001644D0" w:rsidRPr="001644D0" w:rsidRDefault="001644D0" w:rsidP="004F3EA2">
      <w:pPr>
        <w:numPr>
          <w:ilvl w:val="0"/>
          <w:numId w:val="23"/>
        </w:numPr>
        <w:spacing w:line="240" w:lineRule="auto"/>
        <w:jc w:val="left"/>
        <w:rPr>
          <w:color w:val="auto"/>
        </w:rPr>
      </w:pPr>
      <w:r w:rsidRPr="00C811E9">
        <w:rPr>
          <w:color w:val="auto"/>
        </w:rPr>
        <w:t xml:space="preserve">support future housing and homelessness research, policy </w:t>
      </w:r>
      <w:r>
        <w:rPr>
          <w:color w:val="auto"/>
        </w:rPr>
        <w:t xml:space="preserve">development </w:t>
      </w:r>
      <w:r w:rsidRPr="00C811E9">
        <w:rPr>
          <w:color w:val="auto"/>
        </w:rPr>
        <w:t>and policy evaluation.</w:t>
      </w:r>
    </w:p>
    <w:p w14:paraId="7EFFA61D" w14:textId="224C42E0" w:rsidR="001C5116" w:rsidRPr="000E6C2C" w:rsidRDefault="001C5116" w:rsidP="000E6C2C">
      <w:pPr>
        <w:pStyle w:val="Heading2"/>
        <w:rPr>
          <w:rFonts w:ascii="Consolas" w:hAnsi="Consolas"/>
          <w:b w:val="0"/>
          <w:caps/>
          <w:kern w:val="32"/>
          <w:sz w:val="32"/>
          <w:szCs w:val="32"/>
        </w:rPr>
      </w:pPr>
      <w:bookmarkStart w:id="14" w:name="_Toc504492473"/>
      <w:r w:rsidRPr="000E6C2C">
        <w:rPr>
          <w:rFonts w:ascii="Consolas" w:hAnsi="Consolas"/>
          <w:b w:val="0"/>
          <w:caps/>
          <w:kern w:val="32"/>
          <w:sz w:val="32"/>
          <w:szCs w:val="32"/>
        </w:rPr>
        <w:t>N</w:t>
      </w:r>
      <w:r w:rsidR="00A24ADC" w:rsidRPr="000E6C2C">
        <w:rPr>
          <w:rFonts w:ascii="Consolas" w:hAnsi="Consolas"/>
          <w:b w:val="0"/>
          <w:caps/>
          <w:kern w:val="32"/>
          <w:sz w:val="32"/>
          <w:szCs w:val="32"/>
        </w:rPr>
        <w:t>a</w:t>
      </w:r>
      <w:r w:rsidRPr="000E6C2C">
        <w:rPr>
          <w:rFonts w:ascii="Consolas" w:hAnsi="Consolas"/>
          <w:b w:val="0"/>
          <w:caps/>
          <w:kern w:val="32"/>
          <w:sz w:val="32"/>
          <w:szCs w:val="32"/>
        </w:rPr>
        <w:t>tional Data Collection</w:t>
      </w:r>
      <w:r w:rsidR="000E6C2C">
        <w:rPr>
          <w:rFonts w:ascii="Consolas" w:hAnsi="Consolas"/>
          <w:b w:val="0"/>
          <w:caps/>
          <w:kern w:val="32"/>
          <w:sz w:val="32"/>
          <w:szCs w:val="32"/>
        </w:rPr>
        <w:t>s</w:t>
      </w:r>
    </w:p>
    <w:p w14:paraId="6B9B9809" w14:textId="56A7A189" w:rsidR="001C5116" w:rsidRPr="000E6C2C" w:rsidRDefault="001C5116" w:rsidP="00201459">
      <w:pPr>
        <w:pStyle w:val="Heading3"/>
        <w:spacing w:before="0" w:after="200"/>
        <w:rPr>
          <w:spacing w:val="0"/>
          <w:sz w:val="29"/>
          <w:szCs w:val="29"/>
        </w:rPr>
      </w:pPr>
      <w:r w:rsidRPr="000E6C2C">
        <w:rPr>
          <w:spacing w:val="0"/>
          <w:sz w:val="29"/>
          <w:szCs w:val="29"/>
        </w:rPr>
        <w:t>Homelessness Data</w:t>
      </w:r>
    </w:p>
    <w:p w14:paraId="4B248A47" w14:textId="4E831308" w:rsidR="001C5116" w:rsidRPr="00984EB2" w:rsidRDefault="001C5116" w:rsidP="004F3EA2">
      <w:pPr>
        <w:pStyle w:val="ListParagraph"/>
        <w:numPr>
          <w:ilvl w:val="0"/>
          <w:numId w:val="33"/>
        </w:numPr>
        <w:spacing w:after="240"/>
        <w:contextualSpacing/>
        <w:rPr>
          <w:rFonts w:ascii="Corbel" w:hAnsi="Corbel"/>
          <w:color w:val="000000"/>
          <w:sz w:val="23"/>
          <w:szCs w:val="20"/>
        </w:rPr>
      </w:pPr>
      <w:r w:rsidRPr="00984EB2">
        <w:rPr>
          <w:rFonts w:ascii="Corbel" w:hAnsi="Corbel"/>
          <w:color w:val="000000"/>
          <w:sz w:val="23"/>
          <w:szCs w:val="20"/>
        </w:rPr>
        <w:t xml:space="preserve">Parties to the Agreement will continue to facilitate, collect, compile and supply homelessness agency, client and support period data to the </w:t>
      </w:r>
      <w:r w:rsidR="00232757">
        <w:rPr>
          <w:rFonts w:ascii="Corbel" w:hAnsi="Corbel"/>
          <w:color w:val="000000"/>
          <w:sz w:val="23"/>
          <w:szCs w:val="20"/>
        </w:rPr>
        <w:t xml:space="preserve">relevant Commonwealth Minister </w:t>
      </w:r>
      <w:r w:rsidR="00232757" w:rsidRPr="00232757">
        <w:rPr>
          <w:rFonts w:ascii="Corbel" w:hAnsi="Corbel"/>
          <w:color w:val="000000"/>
          <w:sz w:val="23"/>
          <w:szCs w:val="20"/>
        </w:rPr>
        <w:t>by giving this data to the agency nominated by the Minister,</w:t>
      </w:r>
      <w:r w:rsidR="00232757">
        <w:rPr>
          <w:rFonts w:ascii="Corbel" w:hAnsi="Corbel"/>
          <w:color w:val="000000"/>
          <w:sz w:val="23"/>
          <w:szCs w:val="20"/>
        </w:rPr>
        <w:t xml:space="preserve"> </w:t>
      </w:r>
      <w:r w:rsidRPr="00984EB2">
        <w:rPr>
          <w:rFonts w:ascii="Corbel" w:hAnsi="Corbel"/>
          <w:color w:val="000000"/>
          <w:sz w:val="23"/>
          <w:szCs w:val="20"/>
        </w:rPr>
        <w:t xml:space="preserve">Australian Institute of Health and Welfare (AIHW) consistent with nationally agreed standards and specifications. </w:t>
      </w:r>
    </w:p>
    <w:p w14:paraId="53D9AD1E" w14:textId="77777777" w:rsidR="001C5116" w:rsidRPr="00C811E9" w:rsidRDefault="001C5116" w:rsidP="004F3EA2">
      <w:pPr>
        <w:pStyle w:val="Normalnumbered"/>
        <w:numPr>
          <w:ilvl w:val="0"/>
          <w:numId w:val="33"/>
        </w:numPr>
        <w:spacing w:line="240" w:lineRule="auto"/>
        <w:jc w:val="left"/>
      </w:pPr>
      <w:r w:rsidRPr="00984EB2">
        <w:t xml:space="preserve">Client outcomes will be reported using data from the Specialist Homelessness Services Collection </w:t>
      </w:r>
      <w:r w:rsidRPr="007A4F52">
        <w:t xml:space="preserve">(SHSC) held by the AIHW. </w:t>
      </w:r>
    </w:p>
    <w:p w14:paraId="6E7FC078" w14:textId="77777777" w:rsidR="00E32100" w:rsidRDefault="001C5116" w:rsidP="004F3EA2">
      <w:pPr>
        <w:pStyle w:val="Normalnumbered"/>
        <w:numPr>
          <w:ilvl w:val="0"/>
          <w:numId w:val="33"/>
        </w:numPr>
        <w:spacing w:line="240" w:lineRule="auto"/>
        <w:jc w:val="left"/>
      </w:pPr>
      <w:r w:rsidRPr="00C811E9">
        <w:t>All funded specialist homelessness services must participate in the SHSC unless an exemption is provided by the Commonwealth.</w:t>
      </w:r>
    </w:p>
    <w:p w14:paraId="55CB7E61" w14:textId="435CE69A" w:rsidR="004C7345" w:rsidRDefault="001C5116" w:rsidP="004F3EA2">
      <w:pPr>
        <w:pStyle w:val="Normalnumbered"/>
        <w:numPr>
          <w:ilvl w:val="0"/>
          <w:numId w:val="33"/>
        </w:numPr>
        <w:spacing w:line="240" w:lineRule="auto"/>
        <w:jc w:val="left"/>
      </w:pPr>
      <w:r w:rsidRPr="00C811E9">
        <w:t xml:space="preserve">The States and </w:t>
      </w:r>
      <w:r w:rsidR="003F4F73">
        <w:t xml:space="preserve">the </w:t>
      </w:r>
      <w:r w:rsidRPr="00C811E9">
        <w:t xml:space="preserve">Commonwealth agree </w:t>
      </w:r>
      <w:r w:rsidR="004C7345" w:rsidRPr="00C811E9">
        <w:t>to share SHSC data</w:t>
      </w:r>
      <w:r w:rsidR="00FA4957" w:rsidRPr="00FA4957">
        <w:rPr>
          <w:color w:val="auto"/>
        </w:rPr>
        <w:t xml:space="preserve"> </w:t>
      </w:r>
      <w:r w:rsidR="00FA4957">
        <w:rPr>
          <w:color w:val="auto"/>
        </w:rPr>
        <w:t>for the purpose</w:t>
      </w:r>
      <w:r w:rsidR="003F4F73">
        <w:rPr>
          <w:color w:val="auto"/>
        </w:rPr>
        <w:t>s</w:t>
      </w:r>
      <w:r w:rsidR="00FA4957">
        <w:rPr>
          <w:color w:val="auto"/>
        </w:rPr>
        <w:t xml:space="preserve"> </w:t>
      </w:r>
      <w:r w:rsidR="00274F5B">
        <w:rPr>
          <w:color w:val="auto"/>
        </w:rPr>
        <w:t xml:space="preserve">of </w:t>
      </w:r>
      <w:r w:rsidR="006B01E3">
        <w:rPr>
          <w:szCs w:val="23"/>
        </w:rPr>
        <w:t>monitoring</w:t>
      </w:r>
      <w:r w:rsidR="00D01C8B">
        <w:rPr>
          <w:szCs w:val="23"/>
        </w:rPr>
        <w:t xml:space="preserve"> </w:t>
      </w:r>
      <w:r w:rsidR="003F4F73">
        <w:rPr>
          <w:szCs w:val="23"/>
        </w:rPr>
        <w:t xml:space="preserve">and </w:t>
      </w:r>
      <w:r w:rsidR="00FA4957">
        <w:rPr>
          <w:szCs w:val="23"/>
        </w:rPr>
        <w:t>analysis</w:t>
      </w:r>
      <w:r w:rsidR="007E22A9">
        <w:rPr>
          <w:szCs w:val="23"/>
        </w:rPr>
        <w:t>, policy development,</w:t>
      </w:r>
      <w:r w:rsidR="00FA4957">
        <w:rPr>
          <w:szCs w:val="23"/>
        </w:rPr>
        <w:t xml:space="preserve"> and delivering improved </w:t>
      </w:r>
      <w:r w:rsidR="007E22A9">
        <w:rPr>
          <w:szCs w:val="23"/>
        </w:rPr>
        <w:t xml:space="preserve">housing and homelessness </w:t>
      </w:r>
      <w:r w:rsidR="00FA4957">
        <w:rPr>
          <w:szCs w:val="23"/>
        </w:rPr>
        <w:t>outcomes</w:t>
      </w:r>
      <w:r w:rsidR="004C7345" w:rsidRPr="00C811E9">
        <w:t xml:space="preserve">. </w:t>
      </w:r>
    </w:p>
    <w:p w14:paraId="7A524E42" w14:textId="166AA682" w:rsidR="001C5116" w:rsidRPr="00634B58" w:rsidRDefault="001C5116" w:rsidP="004F3EA2">
      <w:pPr>
        <w:pStyle w:val="Normalnumbered"/>
        <w:numPr>
          <w:ilvl w:val="1"/>
          <w:numId w:val="32"/>
        </w:numPr>
        <w:spacing w:line="240" w:lineRule="auto"/>
        <w:jc w:val="left"/>
      </w:pPr>
      <w:r w:rsidRPr="004C7345">
        <w:rPr>
          <w:color w:val="auto"/>
        </w:rPr>
        <w:t>The AIHW will provide the States and Commonwealth with access to SHSC data holdings consistent with legislative and privacy arrangements.</w:t>
      </w:r>
      <w:r w:rsidR="00AD6A13">
        <w:rPr>
          <w:color w:val="auto"/>
        </w:rPr>
        <w:t xml:space="preserve"> </w:t>
      </w:r>
    </w:p>
    <w:p w14:paraId="42913E60" w14:textId="5AA7FFE3" w:rsidR="001C5116" w:rsidRPr="00626429" w:rsidRDefault="001C5116" w:rsidP="004F3EA2">
      <w:pPr>
        <w:pStyle w:val="Normalnumbered"/>
        <w:numPr>
          <w:ilvl w:val="1"/>
          <w:numId w:val="32"/>
        </w:numPr>
        <w:spacing w:line="240" w:lineRule="auto"/>
        <w:jc w:val="left"/>
      </w:pPr>
      <w:r w:rsidRPr="00626429">
        <w:rPr>
          <w:color w:val="auto"/>
        </w:rPr>
        <w:t xml:space="preserve">States agree for the Commonwealth to be provided access to </w:t>
      </w:r>
      <w:r w:rsidR="00626429">
        <w:rPr>
          <w:color w:val="auto"/>
        </w:rPr>
        <w:t xml:space="preserve">de-identified </w:t>
      </w:r>
      <w:r w:rsidRPr="00626429">
        <w:rPr>
          <w:color w:val="auto"/>
        </w:rPr>
        <w:t>unit</w:t>
      </w:r>
      <w:r w:rsidR="00C97F62" w:rsidRPr="00626429">
        <w:rPr>
          <w:color w:val="auto"/>
        </w:rPr>
        <w:t xml:space="preserve"> </w:t>
      </w:r>
      <w:r w:rsidRPr="00626429">
        <w:rPr>
          <w:color w:val="auto"/>
        </w:rPr>
        <w:t xml:space="preserve">record homelessness related data held by AIHW, including but not limited to the SHSC. </w:t>
      </w:r>
    </w:p>
    <w:p w14:paraId="5912C137" w14:textId="7A109BD3" w:rsidR="001C5116" w:rsidRPr="00626429" w:rsidRDefault="001C5116" w:rsidP="004F3EA2">
      <w:pPr>
        <w:pStyle w:val="Normalnumbered"/>
        <w:numPr>
          <w:ilvl w:val="1"/>
          <w:numId w:val="32"/>
        </w:numPr>
        <w:spacing w:line="240" w:lineRule="auto"/>
        <w:jc w:val="left"/>
      </w:pPr>
      <w:r w:rsidRPr="00626429">
        <w:rPr>
          <w:color w:val="auto"/>
        </w:rPr>
        <w:t>For the avoidance of doubt, and for the purposes of fulfilling AIHW’s data governance requirements, this paragraph constitutes explicit data supplier and State agreement</w:t>
      </w:r>
      <w:r w:rsidR="00675FD4" w:rsidRPr="00626429">
        <w:rPr>
          <w:color w:val="auto"/>
        </w:rPr>
        <w:t xml:space="preserve"> to share unit</w:t>
      </w:r>
      <w:r w:rsidR="00C97F62" w:rsidRPr="00626429">
        <w:rPr>
          <w:color w:val="auto"/>
        </w:rPr>
        <w:t xml:space="preserve"> </w:t>
      </w:r>
      <w:r w:rsidR="00675FD4" w:rsidRPr="00626429">
        <w:rPr>
          <w:color w:val="auto"/>
        </w:rPr>
        <w:t xml:space="preserve">record SHSC data with </w:t>
      </w:r>
      <w:r w:rsidR="00765F3D" w:rsidRPr="00626429">
        <w:rPr>
          <w:color w:val="auto"/>
        </w:rPr>
        <w:t xml:space="preserve">Parties to the </w:t>
      </w:r>
      <w:r w:rsidR="00C62D04">
        <w:rPr>
          <w:color w:val="auto"/>
        </w:rPr>
        <w:t>A</w:t>
      </w:r>
      <w:r w:rsidR="00765F3D" w:rsidRPr="00626429">
        <w:rPr>
          <w:color w:val="auto"/>
        </w:rPr>
        <w:t>greement</w:t>
      </w:r>
      <w:r w:rsidR="00CF0046" w:rsidRPr="00626429">
        <w:rPr>
          <w:color w:val="auto"/>
        </w:rPr>
        <w:t xml:space="preserve"> </w:t>
      </w:r>
      <w:r w:rsidRPr="00626429">
        <w:rPr>
          <w:color w:val="auto"/>
        </w:rPr>
        <w:t>.</w:t>
      </w:r>
    </w:p>
    <w:p w14:paraId="3F8B3ABD" w14:textId="1FB427FF" w:rsidR="001C5116" w:rsidRPr="000E6C2C" w:rsidRDefault="001C5116" w:rsidP="00F17FE2">
      <w:pPr>
        <w:pStyle w:val="Heading3"/>
        <w:spacing w:before="0" w:after="200"/>
        <w:rPr>
          <w:spacing w:val="0"/>
          <w:sz w:val="29"/>
          <w:szCs w:val="29"/>
        </w:rPr>
      </w:pPr>
      <w:r w:rsidRPr="000E6C2C">
        <w:rPr>
          <w:spacing w:val="0"/>
          <w:sz w:val="29"/>
          <w:szCs w:val="29"/>
        </w:rPr>
        <w:t xml:space="preserve">Social Housing </w:t>
      </w:r>
      <w:r w:rsidR="00B23453" w:rsidRPr="000E6C2C">
        <w:rPr>
          <w:spacing w:val="0"/>
          <w:sz w:val="29"/>
          <w:szCs w:val="29"/>
        </w:rPr>
        <w:t>Data</w:t>
      </w:r>
      <w:r w:rsidRPr="000E6C2C">
        <w:rPr>
          <w:spacing w:val="0"/>
          <w:sz w:val="29"/>
          <w:szCs w:val="29"/>
        </w:rPr>
        <w:t xml:space="preserve"> </w:t>
      </w:r>
    </w:p>
    <w:p w14:paraId="032168F0" w14:textId="505848BA" w:rsidR="003C5504" w:rsidRPr="003C5504" w:rsidRDefault="001C5116" w:rsidP="004F3EA2">
      <w:pPr>
        <w:pStyle w:val="ListParagraph"/>
        <w:numPr>
          <w:ilvl w:val="0"/>
          <w:numId w:val="33"/>
        </w:numPr>
        <w:spacing w:after="240"/>
        <w:rPr>
          <w:rFonts w:ascii="Corbel" w:hAnsi="Corbel"/>
          <w:sz w:val="23"/>
          <w:szCs w:val="23"/>
        </w:rPr>
      </w:pPr>
      <w:r w:rsidRPr="003C5504">
        <w:rPr>
          <w:rFonts w:ascii="Corbel" w:hAnsi="Corbel"/>
          <w:sz w:val="23"/>
          <w:szCs w:val="23"/>
        </w:rPr>
        <w:t xml:space="preserve">Parties to the Agreement will continue to facilitate, collect, compile and supply social housing (public and community housing) dwelling, waitlist and client data to </w:t>
      </w:r>
      <w:r w:rsidR="003147AB" w:rsidRPr="003C5504">
        <w:rPr>
          <w:rFonts w:ascii="Corbel" w:hAnsi="Corbel"/>
          <w:sz w:val="23"/>
          <w:szCs w:val="23"/>
        </w:rPr>
        <w:t xml:space="preserve">a Commonwealth statistical agency </w:t>
      </w:r>
      <w:r w:rsidRPr="003C5504">
        <w:rPr>
          <w:rFonts w:ascii="Corbel" w:hAnsi="Corbel"/>
          <w:sz w:val="23"/>
          <w:szCs w:val="23"/>
        </w:rPr>
        <w:t xml:space="preserve">consistent with nationally agreed standards and specifications. </w:t>
      </w:r>
    </w:p>
    <w:p w14:paraId="60FE3578" w14:textId="6218523B" w:rsidR="003C5504" w:rsidRPr="003C5504" w:rsidRDefault="001C5116" w:rsidP="004F3EA2">
      <w:pPr>
        <w:pStyle w:val="ListParagraph"/>
        <w:numPr>
          <w:ilvl w:val="0"/>
          <w:numId w:val="33"/>
        </w:numPr>
        <w:spacing w:after="240"/>
        <w:rPr>
          <w:rFonts w:ascii="Corbel" w:hAnsi="Corbel"/>
          <w:sz w:val="23"/>
          <w:szCs w:val="23"/>
        </w:rPr>
      </w:pPr>
      <w:r w:rsidRPr="00634B58">
        <w:rPr>
          <w:rFonts w:ascii="Corbel" w:hAnsi="Corbel"/>
          <w:sz w:val="23"/>
          <w:szCs w:val="23"/>
        </w:rPr>
        <w:lastRenderedPageBreak/>
        <w:t xml:space="preserve">Client outcomes will be reported using data </w:t>
      </w:r>
      <w:r>
        <w:rPr>
          <w:rFonts w:ascii="Corbel" w:hAnsi="Corbel"/>
          <w:sz w:val="23"/>
          <w:szCs w:val="23"/>
        </w:rPr>
        <w:t>compiled into a national</w:t>
      </w:r>
      <w:r w:rsidRPr="00634B58">
        <w:rPr>
          <w:rFonts w:ascii="Corbel" w:hAnsi="Corbel"/>
          <w:sz w:val="23"/>
          <w:szCs w:val="23"/>
        </w:rPr>
        <w:t xml:space="preserve"> </w:t>
      </w:r>
      <w:r>
        <w:rPr>
          <w:rFonts w:ascii="Corbel" w:hAnsi="Corbel"/>
          <w:sz w:val="23"/>
          <w:szCs w:val="23"/>
        </w:rPr>
        <w:t>s</w:t>
      </w:r>
      <w:r w:rsidRPr="00634B58">
        <w:rPr>
          <w:rFonts w:ascii="Corbel" w:hAnsi="Corbel"/>
          <w:sz w:val="23"/>
          <w:szCs w:val="23"/>
        </w:rPr>
        <w:t xml:space="preserve">ocial </w:t>
      </w:r>
      <w:r>
        <w:rPr>
          <w:rFonts w:ascii="Corbel" w:hAnsi="Corbel"/>
          <w:sz w:val="23"/>
          <w:szCs w:val="23"/>
        </w:rPr>
        <w:t>h</w:t>
      </w:r>
      <w:r w:rsidRPr="00634B58">
        <w:rPr>
          <w:rFonts w:ascii="Corbel" w:hAnsi="Corbel"/>
          <w:sz w:val="23"/>
          <w:szCs w:val="23"/>
        </w:rPr>
        <w:t>ousing data</w:t>
      </w:r>
      <w:r>
        <w:rPr>
          <w:rFonts w:ascii="Corbel" w:hAnsi="Corbel"/>
          <w:sz w:val="23"/>
          <w:szCs w:val="23"/>
        </w:rPr>
        <w:t xml:space="preserve"> set</w:t>
      </w:r>
      <w:r w:rsidRPr="00634B58">
        <w:rPr>
          <w:rFonts w:ascii="Corbel" w:hAnsi="Corbel"/>
          <w:sz w:val="23"/>
          <w:szCs w:val="23"/>
        </w:rPr>
        <w:t xml:space="preserve"> held by </w:t>
      </w:r>
      <w:r w:rsidR="003147AB">
        <w:rPr>
          <w:rFonts w:ascii="Corbel" w:hAnsi="Corbel"/>
          <w:sz w:val="23"/>
          <w:szCs w:val="23"/>
        </w:rPr>
        <w:t>the Commonwealth statistical agency</w:t>
      </w:r>
      <w:r w:rsidRPr="00634B58">
        <w:rPr>
          <w:rFonts w:ascii="Corbel" w:hAnsi="Corbel"/>
          <w:sz w:val="23"/>
          <w:szCs w:val="23"/>
        </w:rPr>
        <w:t>.</w:t>
      </w:r>
    </w:p>
    <w:p w14:paraId="3ACC13B9" w14:textId="28D42FC2" w:rsidR="001C5116" w:rsidRDefault="001C5116" w:rsidP="004F3EA2">
      <w:pPr>
        <w:pStyle w:val="ListParagraph"/>
        <w:numPr>
          <w:ilvl w:val="0"/>
          <w:numId w:val="33"/>
        </w:numPr>
        <w:spacing w:after="240"/>
        <w:rPr>
          <w:rFonts w:ascii="Corbel" w:hAnsi="Corbel"/>
          <w:sz w:val="23"/>
          <w:szCs w:val="23"/>
        </w:rPr>
      </w:pPr>
      <w:r>
        <w:rPr>
          <w:rFonts w:ascii="Corbel" w:hAnsi="Corbel"/>
          <w:sz w:val="23"/>
          <w:szCs w:val="23"/>
        </w:rPr>
        <w:t>All</w:t>
      </w:r>
      <w:r w:rsidR="00512398">
        <w:rPr>
          <w:rFonts w:ascii="Corbel" w:hAnsi="Corbel"/>
          <w:sz w:val="23"/>
          <w:szCs w:val="23"/>
        </w:rPr>
        <w:t xml:space="preserve"> government</w:t>
      </w:r>
      <w:r>
        <w:rPr>
          <w:rFonts w:ascii="Corbel" w:hAnsi="Corbel"/>
          <w:sz w:val="23"/>
          <w:szCs w:val="23"/>
        </w:rPr>
        <w:t xml:space="preserve"> funded social housing providers must supply data</w:t>
      </w:r>
      <w:r w:rsidR="00512398">
        <w:rPr>
          <w:rFonts w:ascii="Corbel" w:hAnsi="Corbel"/>
          <w:sz w:val="23"/>
          <w:szCs w:val="23"/>
        </w:rPr>
        <w:t xml:space="preserve"> in accordance with the data improvement plan</w:t>
      </w:r>
      <w:r>
        <w:rPr>
          <w:rFonts w:ascii="Corbel" w:hAnsi="Corbel"/>
          <w:sz w:val="23"/>
          <w:szCs w:val="23"/>
        </w:rPr>
        <w:t xml:space="preserve"> unless an exemption is provided by the Commonwealth.</w:t>
      </w:r>
    </w:p>
    <w:p w14:paraId="421D624B" w14:textId="61606968" w:rsidR="001C5116" w:rsidRPr="00634B58" w:rsidRDefault="001C5116" w:rsidP="004F3EA2">
      <w:pPr>
        <w:pStyle w:val="ListParagraph"/>
        <w:numPr>
          <w:ilvl w:val="0"/>
          <w:numId w:val="33"/>
        </w:numPr>
        <w:spacing w:after="240"/>
      </w:pPr>
      <w:r>
        <w:rPr>
          <w:rFonts w:ascii="Corbel" w:hAnsi="Corbel"/>
          <w:sz w:val="23"/>
          <w:szCs w:val="23"/>
        </w:rPr>
        <w:t xml:space="preserve">The </w:t>
      </w:r>
      <w:r w:rsidRPr="00634B58">
        <w:rPr>
          <w:rFonts w:ascii="Corbel" w:hAnsi="Corbel"/>
          <w:sz w:val="23"/>
          <w:szCs w:val="23"/>
        </w:rPr>
        <w:t xml:space="preserve">States </w:t>
      </w:r>
      <w:r>
        <w:rPr>
          <w:rFonts w:ascii="Corbel" w:hAnsi="Corbel"/>
          <w:sz w:val="23"/>
          <w:szCs w:val="23"/>
        </w:rPr>
        <w:t xml:space="preserve">and </w:t>
      </w:r>
      <w:r w:rsidR="00C62D04">
        <w:rPr>
          <w:rFonts w:ascii="Corbel" w:hAnsi="Corbel"/>
          <w:sz w:val="23"/>
          <w:szCs w:val="23"/>
        </w:rPr>
        <w:t xml:space="preserve">the </w:t>
      </w:r>
      <w:r w:rsidRPr="00634B58">
        <w:rPr>
          <w:rFonts w:ascii="Corbel" w:hAnsi="Corbel"/>
          <w:sz w:val="23"/>
          <w:szCs w:val="23"/>
        </w:rPr>
        <w:t xml:space="preserve">Commonwealth </w:t>
      </w:r>
      <w:r>
        <w:rPr>
          <w:rFonts w:ascii="Corbel" w:hAnsi="Corbel"/>
          <w:sz w:val="23"/>
          <w:szCs w:val="23"/>
        </w:rPr>
        <w:t xml:space="preserve">agree to share social housing </w:t>
      </w:r>
      <w:r w:rsidR="00B23453">
        <w:rPr>
          <w:rFonts w:ascii="Corbel" w:hAnsi="Corbel"/>
          <w:sz w:val="23"/>
          <w:szCs w:val="23"/>
        </w:rPr>
        <w:t>data</w:t>
      </w:r>
      <w:r w:rsidR="00FA4957" w:rsidRPr="00FA4957">
        <w:t xml:space="preserve"> </w:t>
      </w:r>
      <w:r w:rsidR="00FA4957" w:rsidRPr="00FA4957">
        <w:rPr>
          <w:rFonts w:ascii="Corbel" w:hAnsi="Corbel"/>
          <w:sz w:val="23"/>
          <w:szCs w:val="23"/>
        </w:rPr>
        <w:t xml:space="preserve">for the purposes of </w:t>
      </w:r>
      <w:r w:rsidR="0045653F">
        <w:rPr>
          <w:rFonts w:ascii="Corbel" w:hAnsi="Corbel"/>
          <w:sz w:val="23"/>
          <w:szCs w:val="23"/>
        </w:rPr>
        <w:t>monitoring</w:t>
      </w:r>
      <w:r w:rsidR="00FA4957">
        <w:rPr>
          <w:rFonts w:ascii="Corbel" w:hAnsi="Corbel"/>
          <w:sz w:val="23"/>
          <w:szCs w:val="23"/>
        </w:rPr>
        <w:t xml:space="preserve"> and analysis,</w:t>
      </w:r>
      <w:r w:rsidR="00765F3D">
        <w:rPr>
          <w:rFonts w:ascii="Corbel" w:hAnsi="Corbel"/>
          <w:sz w:val="23"/>
          <w:szCs w:val="23"/>
        </w:rPr>
        <w:t xml:space="preserve"> policy development,</w:t>
      </w:r>
      <w:r w:rsidR="00FA4957">
        <w:rPr>
          <w:rFonts w:ascii="Corbel" w:hAnsi="Corbel"/>
          <w:sz w:val="23"/>
          <w:szCs w:val="23"/>
        </w:rPr>
        <w:t xml:space="preserve"> and delivering improved outcomes</w:t>
      </w:r>
      <w:r w:rsidR="00B23453">
        <w:rPr>
          <w:rFonts w:ascii="Corbel" w:hAnsi="Corbel"/>
          <w:sz w:val="23"/>
          <w:szCs w:val="23"/>
        </w:rPr>
        <w:t>.</w:t>
      </w:r>
    </w:p>
    <w:p w14:paraId="7C50B906" w14:textId="03882B9B" w:rsidR="001C5116" w:rsidRPr="00634B58" w:rsidRDefault="001C5116" w:rsidP="004F3EA2">
      <w:pPr>
        <w:pStyle w:val="Normalnumbered"/>
        <w:numPr>
          <w:ilvl w:val="0"/>
          <w:numId w:val="41"/>
        </w:numPr>
        <w:spacing w:line="240" w:lineRule="auto"/>
        <w:jc w:val="left"/>
        <w:rPr>
          <w:color w:val="auto"/>
          <w:szCs w:val="23"/>
        </w:rPr>
      </w:pPr>
      <w:r w:rsidRPr="0072137C">
        <w:rPr>
          <w:color w:val="auto"/>
        </w:rPr>
        <w:t xml:space="preserve">The </w:t>
      </w:r>
      <w:r w:rsidR="003147AB">
        <w:rPr>
          <w:color w:val="auto"/>
        </w:rPr>
        <w:t>Commonwealth agency holding the data</w:t>
      </w:r>
      <w:r w:rsidR="003147AB" w:rsidRPr="0072137C">
        <w:rPr>
          <w:color w:val="auto"/>
        </w:rPr>
        <w:t xml:space="preserve"> </w:t>
      </w:r>
      <w:r w:rsidRPr="0072137C">
        <w:rPr>
          <w:color w:val="auto"/>
        </w:rPr>
        <w:t xml:space="preserve">will provide the States and Commonwealth with access to </w:t>
      </w:r>
      <w:r w:rsidR="00455332">
        <w:rPr>
          <w:color w:val="auto"/>
        </w:rPr>
        <w:t xml:space="preserve">social housing </w:t>
      </w:r>
      <w:r w:rsidRPr="0072137C">
        <w:rPr>
          <w:color w:val="auto"/>
        </w:rPr>
        <w:t>data holdings consistent with legislative and privacy arrangements.</w:t>
      </w:r>
    </w:p>
    <w:p w14:paraId="3FD71CF5" w14:textId="685599E7" w:rsidR="001C5116" w:rsidRPr="00626429" w:rsidRDefault="2FA72EC1" w:rsidP="004F3EA2">
      <w:pPr>
        <w:pStyle w:val="Normalnumbered"/>
        <w:numPr>
          <w:ilvl w:val="0"/>
          <w:numId w:val="41"/>
        </w:numPr>
        <w:spacing w:line="240" w:lineRule="auto"/>
        <w:jc w:val="left"/>
        <w:rPr>
          <w:color w:val="auto"/>
        </w:rPr>
      </w:pPr>
      <w:r w:rsidRPr="00626429">
        <w:rPr>
          <w:color w:val="auto"/>
        </w:rPr>
        <w:t xml:space="preserve">States agree for the Commonwealth to be provided access to </w:t>
      </w:r>
      <w:r w:rsidR="00626429">
        <w:rPr>
          <w:color w:val="auto"/>
        </w:rPr>
        <w:t xml:space="preserve">de-identified </w:t>
      </w:r>
      <w:r w:rsidR="001C5116" w:rsidRPr="00626429">
        <w:rPr>
          <w:color w:val="auto"/>
        </w:rPr>
        <w:t>unit</w:t>
      </w:r>
      <w:r w:rsidR="00C97F62" w:rsidRPr="00626429">
        <w:rPr>
          <w:color w:val="auto"/>
        </w:rPr>
        <w:t xml:space="preserve"> </w:t>
      </w:r>
      <w:r w:rsidR="001C5116" w:rsidRPr="00626429">
        <w:rPr>
          <w:color w:val="auto"/>
        </w:rPr>
        <w:t>record</w:t>
      </w:r>
      <w:r w:rsidRPr="00626429">
        <w:rPr>
          <w:color w:val="auto"/>
        </w:rPr>
        <w:t xml:space="preserve"> social housing related data held by the Commonwealth statistical agency.</w:t>
      </w:r>
    </w:p>
    <w:p w14:paraId="3A7EAD8F" w14:textId="4C057718" w:rsidR="001C5116" w:rsidRPr="00626429" w:rsidRDefault="2FA72EC1" w:rsidP="004F3EA2">
      <w:pPr>
        <w:pStyle w:val="Normalnumbered"/>
        <w:numPr>
          <w:ilvl w:val="0"/>
          <w:numId w:val="41"/>
        </w:numPr>
        <w:spacing w:line="240" w:lineRule="auto"/>
        <w:jc w:val="left"/>
        <w:rPr>
          <w:color w:val="auto"/>
        </w:rPr>
      </w:pPr>
      <w:r w:rsidRPr="00626429">
        <w:rPr>
          <w:color w:val="auto"/>
        </w:rPr>
        <w:t>For the avoidance of doubt, and for the purposes of fulfilling the Commonwealth statistical agency’s data governance requirements, this paragraph constitutes explicit data supplier and State agreement to share unit</w:t>
      </w:r>
      <w:r w:rsidR="00C97F62" w:rsidRPr="00626429">
        <w:rPr>
          <w:color w:val="auto"/>
        </w:rPr>
        <w:t xml:space="preserve"> </w:t>
      </w:r>
      <w:r w:rsidRPr="00626429">
        <w:rPr>
          <w:color w:val="auto"/>
        </w:rPr>
        <w:t xml:space="preserve">record social housing data with </w:t>
      </w:r>
      <w:r w:rsidR="00765F3D" w:rsidRPr="00626429">
        <w:rPr>
          <w:color w:val="auto"/>
        </w:rPr>
        <w:t xml:space="preserve">Parties to the </w:t>
      </w:r>
      <w:r w:rsidR="00C62D04">
        <w:rPr>
          <w:color w:val="auto"/>
        </w:rPr>
        <w:t>A</w:t>
      </w:r>
      <w:r w:rsidR="00765F3D" w:rsidRPr="00626429">
        <w:rPr>
          <w:color w:val="auto"/>
        </w:rPr>
        <w:t>greement</w:t>
      </w:r>
      <w:r w:rsidRPr="00626429">
        <w:rPr>
          <w:color w:val="auto"/>
        </w:rPr>
        <w:t>.</w:t>
      </w:r>
    </w:p>
    <w:p w14:paraId="5429A5B0" w14:textId="7D10CABA" w:rsidR="0076415F" w:rsidRPr="00201459" w:rsidRDefault="00741AF0" w:rsidP="00201459">
      <w:pPr>
        <w:pStyle w:val="Heading2"/>
        <w:rPr>
          <w:rFonts w:ascii="Consolas" w:hAnsi="Consolas"/>
          <w:b w:val="0"/>
          <w:caps/>
          <w:kern w:val="32"/>
          <w:sz w:val="32"/>
          <w:szCs w:val="32"/>
        </w:rPr>
      </w:pPr>
      <w:r w:rsidRPr="00201459">
        <w:rPr>
          <w:rFonts w:ascii="Consolas" w:hAnsi="Consolas"/>
          <w:b w:val="0"/>
          <w:caps/>
          <w:kern w:val="32"/>
          <w:sz w:val="32"/>
          <w:szCs w:val="32"/>
        </w:rPr>
        <w:t xml:space="preserve">Governance of </w:t>
      </w:r>
      <w:r w:rsidR="004C65BD" w:rsidRPr="00201459">
        <w:rPr>
          <w:rFonts w:ascii="Consolas" w:hAnsi="Consolas"/>
          <w:b w:val="0"/>
          <w:caps/>
          <w:kern w:val="32"/>
          <w:sz w:val="32"/>
          <w:szCs w:val="32"/>
        </w:rPr>
        <w:t>d</w:t>
      </w:r>
      <w:r w:rsidR="0076415F" w:rsidRPr="00201459">
        <w:rPr>
          <w:rFonts w:ascii="Consolas" w:hAnsi="Consolas"/>
          <w:b w:val="0"/>
          <w:caps/>
          <w:kern w:val="32"/>
          <w:sz w:val="32"/>
          <w:szCs w:val="32"/>
        </w:rPr>
        <w:t>ata improvements</w:t>
      </w:r>
    </w:p>
    <w:p w14:paraId="5CC63BA2" w14:textId="340127C8" w:rsidR="0076415F" w:rsidRDefault="0076415F" w:rsidP="004F3EA2">
      <w:pPr>
        <w:pStyle w:val="ListParagraph"/>
        <w:numPr>
          <w:ilvl w:val="0"/>
          <w:numId w:val="33"/>
        </w:numPr>
        <w:spacing w:after="240"/>
        <w:rPr>
          <w:rFonts w:ascii="Corbel" w:hAnsi="Corbel"/>
          <w:sz w:val="23"/>
          <w:szCs w:val="23"/>
        </w:rPr>
      </w:pPr>
      <w:r>
        <w:rPr>
          <w:rFonts w:ascii="Corbel" w:hAnsi="Corbel"/>
          <w:sz w:val="23"/>
          <w:szCs w:val="23"/>
        </w:rPr>
        <w:t xml:space="preserve">Data improvements will be pursued in line with the principles for performance indicators outlined in Schedule C of the </w:t>
      </w:r>
      <w:r w:rsidR="00B23453">
        <w:rPr>
          <w:rFonts w:ascii="Corbel" w:hAnsi="Corbel"/>
          <w:sz w:val="23"/>
          <w:szCs w:val="23"/>
        </w:rPr>
        <w:t>IGA FFR.</w:t>
      </w:r>
      <w:r>
        <w:rPr>
          <w:rFonts w:ascii="Corbel" w:hAnsi="Corbel"/>
          <w:sz w:val="23"/>
          <w:szCs w:val="23"/>
        </w:rPr>
        <w:t xml:space="preserve"> These include:</w:t>
      </w:r>
    </w:p>
    <w:p w14:paraId="3BEAA8DE" w14:textId="77777777" w:rsidR="0076415F" w:rsidRDefault="0076415F" w:rsidP="004F3EA2">
      <w:pPr>
        <w:pStyle w:val="ListParagraph"/>
        <w:numPr>
          <w:ilvl w:val="1"/>
          <w:numId w:val="30"/>
        </w:numPr>
        <w:spacing w:after="240"/>
        <w:rPr>
          <w:rFonts w:ascii="Corbel" w:hAnsi="Corbel"/>
          <w:sz w:val="23"/>
          <w:szCs w:val="23"/>
        </w:rPr>
      </w:pPr>
      <w:r>
        <w:rPr>
          <w:rFonts w:ascii="Corbel" w:hAnsi="Corbel"/>
          <w:sz w:val="23"/>
          <w:szCs w:val="23"/>
        </w:rPr>
        <w:t>Comparable – data must be comparable across jurisdictions and over time;</w:t>
      </w:r>
    </w:p>
    <w:p w14:paraId="345D1F85" w14:textId="77777777" w:rsidR="0076415F" w:rsidRDefault="0076415F" w:rsidP="004F3EA2">
      <w:pPr>
        <w:pStyle w:val="ListParagraph"/>
        <w:numPr>
          <w:ilvl w:val="1"/>
          <w:numId w:val="30"/>
        </w:numPr>
        <w:spacing w:after="240"/>
        <w:rPr>
          <w:rFonts w:ascii="Corbel" w:hAnsi="Corbel"/>
          <w:sz w:val="23"/>
          <w:szCs w:val="23"/>
        </w:rPr>
      </w:pPr>
      <w:r>
        <w:rPr>
          <w:rFonts w:ascii="Corbel" w:hAnsi="Corbel"/>
          <w:sz w:val="23"/>
          <w:szCs w:val="23"/>
        </w:rPr>
        <w:t>Accurate – data published will be of sufficient accuracy so that the community has confidence in the information; and</w:t>
      </w:r>
    </w:p>
    <w:p w14:paraId="1CA095FE" w14:textId="74C2A214" w:rsidR="00990F46" w:rsidRPr="00866BE2" w:rsidRDefault="0076415F" w:rsidP="004F3EA2">
      <w:pPr>
        <w:pStyle w:val="ListParagraph"/>
        <w:numPr>
          <w:ilvl w:val="1"/>
          <w:numId w:val="30"/>
        </w:numPr>
        <w:spacing w:after="240"/>
        <w:rPr>
          <w:rFonts w:ascii="Corbel" w:hAnsi="Corbel"/>
          <w:sz w:val="23"/>
          <w:szCs w:val="23"/>
        </w:rPr>
      </w:pPr>
      <w:r>
        <w:rPr>
          <w:rFonts w:ascii="Corbel" w:hAnsi="Corbel"/>
          <w:sz w:val="23"/>
          <w:szCs w:val="23"/>
        </w:rPr>
        <w:t>Administratively simple and cost effective.</w:t>
      </w:r>
    </w:p>
    <w:p w14:paraId="51109630" w14:textId="4AA2E0F7" w:rsidR="0076415F" w:rsidRPr="00F17FE2" w:rsidRDefault="0076415F" w:rsidP="00F17FE2">
      <w:pPr>
        <w:pStyle w:val="Heading3"/>
        <w:spacing w:before="0" w:after="200"/>
        <w:rPr>
          <w:spacing w:val="0"/>
          <w:sz w:val="29"/>
          <w:szCs w:val="29"/>
        </w:rPr>
      </w:pPr>
      <w:r w:rsidRPr="00F17FE2">
        <w:rPr>
          <w:spacing w:val="0"/>
          <w:sz w:val="29"/>
          <w:szCs w:val="29"/>
        </w:rPr>
        <w:t xml:space="preserve">The Data Improvement </w:t>
      </w:r>
      <w:r w:rsidR="00A248F2" w:rsidRPr="00F17FE2">
        <w:rPr>
          <w:spacing w:val="0"/>
          <w:sz w:val="29"/>
          <w:szCs w:val="29"/>
        </w:rPr>
        <w:t>Work</w:t>
      </w:r>
      <w:r w:rsidRPr="00F17FE2">
        <w:rPr>
          <w:spacing w:val="0"/>
          <w:sz w:val="29"/>
          <w:szCs w:val="29"/>
        </w:rPr>
        <w:t xml:space="preserve"> Plan</w:t>
      </w:r>
    </w:p>
    <w:p w14:paraId="388EC86F" w14:textId="6CED051E" w:rsidR="0076415F" w:rsidRPr="007A4F52" w:rsidRDefault="0076415F" w:rsidP="004F3EA2">
      <w:pPr>
        <w:numPr>
          <w:ilvl w:val="0"/>
          <w:numId w:val="33"/>
        </w:numPr>
        <w:spacing w:line="240" w:lineRule="auto"/>
        <w:jc w:val="left"/>
        <w:rPr>
          <w:color w:val="auto"/>
        </w:rPr>
      </w:pPr>
      <w:r w:rsidRPr="007A4F52">
        <w:rPr>
          <w:rFonts w:eastAsia="Calibri"/>
          <w:color w:val="auto"/>
          <w:lang w:eastAsia="en-US"/>
        </w:rPr>
        <w:t>The purpose of the</w:t>
      </w:r>
      <w:r>
        <w:rPr>
          <w:rFonts w:eastAsia="Calibri"/>
          <w:color w:val="auto"/>
          <w:lang w:eastAsia="en-US"/>
        </w:rPr>
        <w:t xml:space="preserve"> Data Improvement</w:t>
      </w:r>
      <w:r w:rsidRPr="007A4F52">
        <w:rPr>
          <w:rFonts w:eastAsia="Calibri"/>
          <w:color w:val="auto"/>
          <w:lang w:eastAsia="en-US"/>
        </w:rPr>
        <w:t xml:space="preserve"> </w:t>
      </w:r>
      <w:r w:rsidR="003147AB">
        <w:rPr>
          <w:rFonts w:eastAsia="Calibri"/>
          <w:color w:val="auto"/>
          <w:lang w:eastAsia="en-US"/>
        </w:rPr>
        <w:t xml:space="preserve">Work </w:t>
      </w:r>
      <w:r w:rsidRPr="007A4F52">
        <w:rPr>
          <w:rFonts w:eastAsia="Calibri"/>
          <w:color w:val="auto"/>
          <w:lang w:eastAsia="en-US"/>
        </w:rPr>
        <w:t>Plan</w:t>
      </w:r>
      <w:r>
        <w:rPr>
          <w:rFonts w:eastAsia="Calibri"/>
          <w:color w:val="auto"/>
          <w:lang w:eastAsia="en-US"/>
        </w:rPr>
        <w:t xml:space="preserve"> </w:t>
      </w:r>
      <w:r w:rsidRPr="007A4F52">
        <w:rPr>
          <w:rFonts w:eastAsia="Calibri"/>
          <w:color w:val="auto"/>
          <w:lang w:eastAsia="en-US"/>
        </w:rPr>
        <w:t xml:space="preserve">is to </w:t>
      </w:r>
      <w:r w:rsidRPr="007A4F52">
        <w:rPr>
          <w:color w:val="auto"/>
        </w:rPr>
        <w:t xml:space="preserve">improve and develop the </w:t>
      </w:r>
      <w:r w:rsidRPr="004F7688">
        <w:rPr>
          <w:color w:val="auto"/>
        </w:rPr>
        <w:t xml:space="preserve">evidence base and data to inform future policy, research and evaluation. </w:t>
      </w:r>
      <w:r w:rsidR="00984EB2" w:rsidRPr="004F7688">
        <w:rPr>
          <w:rFonts w:eastAsia="Calibri"/>
          <w:color w:val="auto"/>
          <w:lang w:eastAsia="en-US"/>
        </w:rPr>
        <w:t xml:space="preserve">An initial Work Plan is at Schedule </w:t>
      </w:r>
      <w:r w:rsidR="004F7688">
        <w:rPr>
          <w:rFonts w:eastAsia="Calibri"/>
          <w:color w:val="auto"/>
          <w:lang w:eastAsia="en-US"/>
        </w:rPr>
        <w:t>D</w:t>
      </w:r>
      <w:r w:rsidR="00984EB2">
        <w:rPr>
          <w:rFonts w:eastAsia="Calibri"/>
          <w:color w:val="auto"/>
          <w:lang w:eastAsia="en-US"/>
        </w:rPr>
        <w:t>.</w:t>
      </w:r>
    </w:p>
    <w:p w14:paraId="58AC146D" w14:textId="08B6BF8B" w:rsidR="0076415F" w:rsidRDefault="0076415F" w:rsidP="004F3EA2">
      <w:pPr>
        <w:numPr>
          <w:ilvl w:val="0"/>
          <w:numId w:val="33"/>
        </w:numPr>
        <w:spacing w:line="240" w:lineRule="auto"/>
        <w:jc w:val="left"/>
        <w:rPr>
          <w:color w:val="auto"/>
        </w:rPr>
      </w:pPr>
      <w:r w:rsidRPr="007A4F52">
        <w:rPr>
          <w:color w:val="auto"/>
        </w:rPr>
        <w:t xml:space="preserve">The </w:t>
      </w:r>
      <w:r w:rsidR="00A248F2">
        <w:rPr>
          <w:color w:val="auto"/>
        </w:rPr>
        <w:t>Work</w:t>
      </w:r>
      <w:r w:rsidRPr="007A4F52">
        <w:rPr>
          <w:color w:val="auto"/>
        </w:rPr>
        <w:t xml:space="preserve"> Plan will provide for new data resources, improvements to existing data sets, linkages between datasets, as well as additional or improved indicators</w:t>
      </w:r>
      <w:r w:rsidR="00BE3163">
        <w:rPr>
          <w:color w:val="auto"/>
        </w:rPr>
        <w:t xml:space="preserve"> and measures</w:t>
      </w:r>
      <w:r w:rsidRPr="007A4F52">
        <w:rPr>
          <w:color w:val="auto"/>
        </w:rPr>
        <w:t xml:space="preserve">. </w:t>
      </w:r>
    </w:p>
    <w:p w14:paraId="5C988C16" w14:textId="68E7FC32" w:rsidR="0076415F" w:rsidRPr="007A4F52" w:rsidRDefault="0076415F" w:rsidP="004F3EA2">
      <w:pPr>
        <w:numPr>
          <w:ilvl w:val="0"/>
          <w:numId w:val="33"/>
        </w:numPr>
        <w:spacing w:line="240" w:lineRule="auto"/>
        <w:jc w:val="left"/>
        <w:rPr>
          <w:color w:val="auto"/>
        </w:rPr>
      </w:pPr>
      <w:r>
        <w:rPr>
          <w:color w:val="auto"/>
        </w:rPr>
        <w:t xml:space="preserve">The </w:t>
      </w:r>
      <w:r w:rsidR="00A248F2">
        <w:rPr>
          <w:color w:val="auto"/>
        </w:rPr>
        <w:t>Work</w:t>
      </w:r>
      <w:r>
        <w:rPr>
          <w:color w:val="auto"/>
        </w:rPr>
        <w:t xml:space="preserve"> Plan will be a living document, updated over the life of the </w:t>
      </w:r>
      <w:r w:rsidR="00BE2E6E">
        <w:rPr>
          <w:color w:val="auto"/>
        </w:rPr>
        <w:t>A</w:t>
      </w:r>
      <w:r>
        <w:rPr>
          <w:color w:val="auto"/>
        </w:rPr>
        <w:t>greement as opportunities arise.</w:t>
      </w:r>
      <w:r w:rsidRPr="007A4F52">
        <w:rPr>
          <w:color w:val="auto"/>
        </w:rPr>
        <w:t xml:space="preserve"> </w:t>
      </w:r>
    </w:p>
    <w:p w14:paraId="4536E038" w14:textId="75E64247" w:rsidR="0076415F" w:rsidRPr="001C5116" w:rsidRDefault="0076415F" w:rsidP="00F17FE2">
      <w:pPr>
        <w:pStyle w:val="Heading3"/>
        <w:spacing w:before="0" w:after="200"/>
      </w:pPr>
      <w:r w:rsidRPr="00F17FE2">
        <w:rPr>
          <w:spacing w:val="0"/>
          <w:sz w:val="29"/>
          <w:szCs w:val="29"/>
        </w:rPr>
        <w:t>Governance</w:t>
      </w:r>
      <w:r w:rsidR="00741AF0" w:rsidRPr="00F17FE2">
        <w:rPr>
          <w:spacing w:val="0"/>
          <w:sz w:val="29"/>
          <w:szCs w:val="29"/>
        </w:rPr>
        <w:t xml:space="preserve"> Arrangements</w:t>
      </w:r>
    </w:p>
    <w:p w14:paraId="68668577" w14:textId="305D0312" w:rsidR="003147AB" w:rsidRDefault="003147AB" w:rsidP="004F3EA2">
      <w:pPr>
        <w:keepNext/>
        <w:keepLines/>
        <w:numPr>
          <w:ilvl w:val="0"/>
          <w:numId w:val="33"/>
        </w:numPr>
        <w:spacing w:line="240" w:lineRule="auto"/>
        <w:jc w:val="left"/>
        <w:rPr>
          <w:color w:val="auto"/>
        </w:rPr>
      </w:pPr>
      <w:r>
        <w:rPr>
          <w:color w:val="auto"/>
        </w:rPr>
        <w:t>The Housing and Homelessness Ministerial Council will</w:t>
      </w:r>
      <w:r w:rsidR="00A248F2">
        <w:rPr>
          <w:color w:val="auto"/>
        </w:rPr>
        <w:t xml:space="preserve"> </w:t>
      </w:r>
      <w:r w:rsidR="00A82422">
        <w:rPr>
          <w:color w:val="auto"/>
        </w:rPr>
        <w:t>endorse</w:t>
      </w:r>
      <w:r w:rsidR="00A248F2">
        <w:rPr>
          <w:color w:val="auto"/>
        </w:rPr>
        <w:t xml:space="preserve"> the Work Plan, </w:t>
      </w:r>
      <w:r w:rsidR="00A82422">
        <w:rPr>
          <w:color w:val="auto"/>
        </w:rPr>
        <w:t>with funding and project selection agreed by the Housing and Homelessness Senior Official Meeting (SOM).</w:t>
      </w:r>
    </w:p>
    <w:p w14:paraId="686B064F" w14:textId="68C1DCA0" w:rsidR="00990F46" w:rsidRDefault="0076415F" w:rsidP="004F3EA2">
      <w:pPr>
        <w:numPr>
          <w:ilvl w:val="0"/>
          <w:numId w:val="33"/>
        </w:numPr>
        <w:spacing w:line="240" w:lineRule="auto"/>
        <w:jc w:val="left"/>
        <w:rPr>
          <w:color w:val="auto"/>
        </w:rPr>
      </w:pPr>
      <w:r>
        <w:rPr>
          <w:color w:val="auto"/>
        </w:rPr>
        <w:t xml:space="preserve">The Housing Coordination Group (HCG) will oversee the </w:t>
      </w:r>
      <w:r w:rsidR="00990F46">
        <w:rPr>
          <w:color w:val="auto"/>
        </w:rPr>
        <w:t xml:space="preserve">development and </w:t>
      </w:r>
      <w:r>
        <w:rPr>
          <w:color w:val="auto"/>
        </w:rPr>
        <w:t xml:space="preserve">implementation of the </w:t>
      </w:r>
      <w:r w:rsidR="00AE119A">
        <w:rPr>
          <w:color w:val="auto"/>
        </w:rPr>
        <w:t>Work</w:t>
      </w:r>
      <w:r>
        <w:rPr>
          <w:color w:val="auto"/>
        </w:rPr>
        <w:t xml:space="preserve"> Plan. </w:t>
      </w:r>
      <w:r w:rsidR="00990F46">
        <w:rPr>
          <w:color w:val="auto"/>
        </w:rPr>
        <w:t>T</w:t>
      </w:r>
      <w:r w:rsidR="00990F46" w:rsidRPr="007A4F52">
        <w:rPr>
          <w:color w:val="auto"/>
        </w:rPr>
        <w:t xml:space="preserve">he Commonwealth </w:t>
      </w:r>
      <w:r w:rsidR="00A82422">
        <w:rPr>
          <w:color w:val="auto"/>
        </w:rPr>
        <w:t xml:space="preserve">will </w:t>
      </w:r>
      <w:r w:rsidR="00741AF0">
        <w:rPr>
          <w:color w:val="auto"/>
        </w:rPr>
        <w:t>chair</w:t>
      </w:r>
      <w:r w:rsidR="00990F46" w:rsidRPr="007A4F52">
        <w:rPr>
          <w:color w:val="auto"/>
        </w:rPr>
        <w:t xml:space="preserve"> the</w:t>
      </w:r>
      <w:r w:rsidR="00990F46">
        <w:rPr>
          <w:color w:val="auto"/>
        </w:rPr>
        <w:t xml:space="preserve"> HCG a</w:t>
      </w:r>
      <w:r w:rsidR="00990F46" w:rsidRPr="007A4F52">
        <w:rPr>
          <w:color w:val="auto"/>
        </w:rPr>
        <w:t xml:space="preserve">nd provide secretariat support. </w:t>
      </w:r>
    </w:p>
    <w:p w14:paraId="063A9563" w14:textId="5191DBEA" w:rsidR="00BE2E6E" w:rsidRPr="000331C3" w:rsidRDefault="002A40B6" w:rsidP="004F3EA2">
      <w:pPr>
        <w:numPr>
          <w:ilvl w:val="0"/>
          <w:numId w:val="24"/>
        </w:numPr>
        <w:tabs>
          <w:tab w:val="clear" w:pos="1080"/>
          <w:tab w:val="num" w:pos="1134"/>
        </w:tabs>
        <w:spacing w:line="240" w:lineRule="auto"/>
        <w:ind w:left="1134"/>
        <w:jc w:val="left"/>
        <w:rPr>
          <w:color w:val="auto"/>
        </w:rPr>
      </w:pPr>
      <w:r w:rsidRPr="002A40B6">
        <w:rPr>
          <w:color w:val="auto"/>
        </w:rPr>
        <w:lastRenderedPageBreak/>
        <w:t xml:space="preserve">The HCG will identify, recommend and support implementation of data improvements that contribute to appropriate, nationally consistent and comparable data to support the Agreement and inform future housing and homelessness policy and research. </w:t>
      </w:r>
    </w:p>
    <w:p w14:paraId="43F9CB5E" w14:textId="3619AAE9" w:rsidR="002A40B6" w:rsidRDefault="00765F3D" w:rsidP="004F3EA2">
      <w:pPr>
        <w:numPr>
          <w:ilvl w:val="0"/>
          <w:numId w:val="24"/>
        </w:numPr>
        <w:spacing w:line="240" w:lineRule="auto"/>
        <w:jc w:val="left"/>
        <w:rPr>
          <w:color w:val="auto"/>
        </w:rPr>
      </w:pPr>
      <w:r>
        <w:rPr>
          <w:color w:val="auto"/>
        </w:rPr>
        <w:t>W</w:t>
      </w:r>
      <w:r w:rsidR="002A40B6" w:rsidRPr="007A4F52">
        <w:rPr>
          <w:color w:val="auto"/>
        </w:rPr>
        <w:t>orking group</w:t>
      </w:r>
      <w:r w:rsidR="002A40B6">
        <w:rPr>
          <w:color w:val="auto"/>
        </w:rPr>
        <w:t xml:space="preserve">s may be established by the HCG </w:t>
      </w:r>
      <w:r w:rsidR="002A40B6" w:rsidRPr="007A4F52">
        <w:rPr>
          <w:color w:val="auto"/>
        </w:rPr>
        <w:t xml:space="preserve">to pursue </w:t>
      </w:r>
      <w:r w:rsidR="002A40B6">
        <w:rPr>
          <w:color w:val="auto"/>
        </w:rPr>
        <w:t>data</w:t>
      </w:r>
      <w:r w:rsidR="002A40B6" w:rsidRPr="007A4F52">
        <w:rPr>
          <w:color w:val="auto"/>
        </w:rPr>
        <w:t xml:space="preserve"> improvements</w:t>
      </w:r>
      <w:r w:rsidR="002A40B6">
        <w:rPr>
          <w:color w:val="auto"/>
        </w:rPr>
        <w:t xml:space="preserve"> over the life of the Agreement and with consideration of the housing and homelessness evidence base as a whole. </w:t>
      </w:r>
    </w:p>
    <w:p w14:paraId="50D94379" w14:textId="3F232B70" w:rsidR="00D2410D" w:rsidRPr="007A4F52" w:rsidRDefault="002A40B6" w:rsidP="004F3EA2">
      <w:pPr>
        <w:numPr>
          <w:ilvl w:val="0"/>
          <w:numId w:val="24"/>
        </w:numPr>
        <w:spacing w:line="240" w:lineRule="auto"/>
        <w:jc w:val="left"/>
        <w:rPr>
          <w:color w:val="auto"/>
        </w:rPr>
      </w:pPr>
      <w:r w:rsidRPr="0076415F">
        <w:rPr>
          <w:color w:val="auto"/>
        </w:rPr>
        <w:t xml:space="preserve">The HCG will be the advisory body responsible for ensuring working groups are appropriately scoped and resourced. </w:t>
      </w:r>
      <w:r>
        <w:rPr>
          <w:color w:val="auto"/>
        </w:rPr>
        <w:t>T</w:t>
      </w:r>
      <w:r w:rsidRPr="007A4F52">
        <w:rPr>
          <w:color w:val="auto"/>
        </w:rPr>
        <w:t xml:space="preserve">he scope of </w:t>
      </w:r>
      <w:r>
        <w:rPr>
          <w:color w:val="auto"/>
        </w:rPr>
        <w:t>the working</w:t>
      </w:r>
      <w:r w:rsidRPr="007A4F52">
        <w:rPr>
          <w:color w:val="auto"/>
        </w:rPr>
        <w:t xml:space="preserve"> groups</w:t>
      </w:r>
      <w:r>
        <w:rPr>
          <w:color w:val="auto"/>
        </w:rPr>
        <w:t>’</w:t>
      </w:r>
      <w:r w:rsidRPr="007A4F52">
        <w:rPr>
          <w:color w:val="auto"/>
        </w:rPr>
        <w:t xml:space="preserve"> activities, deliverables, governance</w:t>
      </w:r>
      <w:r>
        <w:rPr>
          <w:color w:val="auto"/>
        </w:rPr>
        <w:t>, costs,</w:t>
      </w:r>
      <w:r w:rsidRPr="007A4F52">
        <w:rPr>
          <w:color w:val="auto"/>
        </w:rPr>
        <w:t xml:space="preserve"> and timelines for the completion of its work program</w:t>
      </w:r>
      <w:r>
        <w:rPr>
          <w:color w:val="auto"/>
        </w:rPr>
        <w:t xml:space="preserve"> will be determined by HCG on a project-by-project basis</w:t>
      </w:r>
      <w:r w:rsidRPr="007A4F52">
        <w:rPr>
          <w:color w:val="auto"/>
        </w:rPr>
        <w:t>.</w:t>
      </w:r>
    </w:p>
    <w:p w14:paraId="017B30BB" w14:textId="63927B23" w:rsidR="002A40B6" w:rsidRPr="00D2410D" w:rsidRDefault="002A40B6" w:rsidP="004F3EA2">
      <w:pPr>
        <w:numPr>
          <w:ilvl w:val="0"/>
          <w:numId w:val="24"/>
        </w:numPr>
        <w:spacing w:line="240" w:lineRule="auto"/>
        <w:jc w:val="left"/>
        <w:rPr>
          <w:color w:val="auto"/>
        </w:rPr>
      </w:pPr>
      <w:r w:rsidRPr="00D2410D">
        <w:rPr>
          <w:color w:val="auto"/>
        </w:rPr>
        <w:t xml:space="preserve">Expert advisors may be requested to provide expert advice to the HCG or working groups undertaking specific data activities. Expert advisors may include the Productivity Commission, Australian Bureau of Statistics, Australian Institute of Health and Welfare, Australian Housing and Urban Research Institute or related groups, agencies, organisations or individuals, as required. </w:t>
      </w:r>
    </w:p>
    <w:p w14:paraId="4DA7988E" w14:textId="1239C91B" w:rsidR="00BE2E6E" w:rsidRPr="00F17FE2" w:rsidRDefault="00BE2E6E" w:rsidP="00F17FE2">
      <w:pPr>
        <w:pStyle w:val="Heading3"/>
        <w:spacing w:before="0" w:after="200"/>
        <w:rPr>
          <w:spacing w:val="0"/>
          <w:sz w:val="29"/>
          <w:szCs w:val="29"/>
        </w:rPr>
      </w:pPr>
      <w:r w:rsidRPr="00F17FE2">
        <w:rPr>
          <w:spacing w:val="0"/>
          <w:sz w:val="29"/>
          <w:szCs w:val="29"/>
        </w:rPr>
        <w:t>Reporting</w:t>
      </w:r>
    </w:p>
    <w:p w14:paraId="386CD4E8" w14:textId="727B2AA5" w:rsidR="00BE2E6E" w:rsidRPr="00D2410D" w:rsidRDefault="00BE2E6E" w:rsidP="004F3EA2">
      <w:pPr>
        <w:numPr>
          <w:ilvl w:val="0"/>
          <w:numId w:val="33"/>
        </w:numPr>
        <w:spacing w:line="240" w:lineRule="auto"/>
        <w:jc w:val="left"/>
      </w:pPr>
      <w:r w:rsidRPr="00984EB2">
        <w:t xml:space="preserve">The HCG will </w:t>
      </w:r>
      <w:r w:rsidR="00990F46" w:rsidRPr="00984EB2">
        <w:t xml:space="preserve">be responsible for monitoring and </w:t>
      </w:r>
      <w:r w:rsidRPr="00984EB2">
        <w:t>report</w:t>
      </w:r>
      <w:r w:rsidR="00990F46" w:rsidRPr="00984EB2">
        <w:t>ing</w:t>
      </w:r>
      <w:r w:rsidRPr="00984EB2">
        <w:t xml:space="preserve"> annually to the </w:t>
      </w:r>
      <w:r w:rsidR="00922133" w:rsidRPr="00984EB2">
        <w:t>SOM</w:t>
      </w:r>
      <w:r w:rsidR="00AD4F78" w:rsidRPr="00984EB2">
        <w:t xml:space="preserve"> </w:t>
      </w:r>
      <w:r w:rsidRPr="00984EB2">
        <w:t xml:space="preserve">on the progress towards implementing data improvement activities specified in the </w:t>
      </w:r>
      <w:r w:rsidR="00FD1755" w:rsidRPr="00984EB2">
        <w:t xml:space="preserve">Work </w:t>
      </w:r>
      <w:r w:rsidRPr="00984EB2">
        <w:t xml:space="preserve">Plan. </w:t>
      </w:r>
    </w:p>
    <w:p w14:paraId="1C76D4D1" w14:textId="1493730F" w:rsidR="000C5AF7" w:rsidRPr="00D2410D" w:rsidRDefault="000C5AF7" w:rsidP="004F3EA2">
      <w:pPr>
        <w:numPr>
          <w:ilvl w:val="0"/>
          <w:numId w:val="33"/>
        </w:numPr>
        <w:spacing w:line="240" w:lineRule="auto"/>
        <w:jc w:val="left"/>
      </w:pPr>
      <w:r w:rsidRPr="00D2410D">
        <w:t xml:space="preserve">Reporting on the </w:t>
      </w:r>
      <w:r w:rsidR="00FD1755" w:rsidRPr="00D2410D">
        <w:t xml:space="preserve">Work </w:t>
      </w:r>
      <w:r w:rsidRPr="00D2410D">
        <w:t xml:space="preserve">Plan will cover: </w:t>
      </w:r>
    </w:p>
    <w:p w14:paraId="15CF268D" w14:textId="11BE880F" w:rsidR="000C5AF7" w:rsidRPr="00C811E9" w:rsidRDefault="000C5AF7" w:rsidP="004F3EA2">
      <w:pPr>
        <w:numPr>
          <w:ilvl w:val="0"/>
          <w:numId w:val="43"/>
        </w:numPr>
        <w:spacing w:line="240" w:lineRule="auto"/>
        <w:jc w:val="left"/>
        <w:rPr>
          <w:color w:val="auto"/>
        </w:rPr>
      </w:pPr>
      <w:r w:rsidRPr="007A4F52">
        <w:rPr>
          <w:rFonts w:eastAsia="Calibri"/>
          <w:color w:val="auto"/>
          <w:lang w:eastAsia="en-US"/>
        </w:rPr>
        <w:t xml:space="preserve">data </w:t>
      </w:r>
      <w:r w:rsidRPr="00C811E9">
        <w:rPr>
          <w:color w:val="auto"/>
        </w:rPr>
        <w:t>improvements</w:t>
      </w:r>
    </w:p>
    <w:p w14:paraId="4706B3C8" w14:textId="55767200" w:rsidR="000C5AF7" w:rsidRPr="00C811E9" w:rsidRDefault="000C5AF7" w:rsidP="004F3EA2">
      <w:pPr>
        <w:numPr>
          <w:ilvl w:val="0"/>
          <w:numId w:val="43"/>
        </w:numPr>
        <w:spacing w:line="240" w:lineRule="auto"/>
        <w:jc w:val="left"/>
        <w:rPr>
          <w:color w:val="auto"/>
        </w:rPr>
      </w:pPr>
      <w:r w:rsidRPr="00C811E9">
        <w:rPr>
          <w:color w:val="auto"/>
        </w:rPr>
        <w:t>practical timelines for completing the data improvement activities</w:t>
      </w:r>
    </w:p>
    <w:p w14:paraId="672BE136" w14:textId="3C005FF0" w:rsidR="000C5AF7" w:rsidRPr="00C811E9" w:rsidRDefault="000C5AF7" w:rsidP="004F3EA2">
      <w:pPr>
        <w:numPr>
          <w:ilvl w:val="0"/>
          <w:numId w:val="43"/>
        </w:numPr>
        <w:spacing w:line="240" w:lineRule="auto"/>
        <w:jc w:val="left"/>
        <w:rPr>
          <w:color w:val="auto"/>
        </w:rPr>
      </w:pPr>
      <w:r w:rsidRPr="00C811E9">
        <w:rPr>
          <w:color w:val="auto"/>
        </w:rPr>
        <w:t xml:space="preserve">expected costs of improvement and implementation </w:t>
      </w:r>
    </w:p>
    <w:p w14:paraId="190786E0" w14:textId="756D5047" w:rsidR="000C5AF7" w:rsidRDefault="000C5AF7" w:rsidP="004F3EA2">
      <w:pPr>
        <w:numPr>
          <w:ilvl w:val="0"/>
          <w:numId w:val="43"/>
        </w:numPr>
        <w:spacing w:line="240" w:lineRule="auto"/>
        <w:jc w:val="left"/>
        <w:rPr>
          <w:color w:val="auto"/>
        </w:rPr>
      </w:pPr>
      <w:r w:rsidRPr="00C811E9">
        <w:rPr>
          <w:color w:val="auto"/>
        </w:rPr>
        <w:t>the Parties or agencies that will carry out the work</w:t>
      </w:r>
      <w:r w:rsidR="00C62D04">
        <w:rPr>
          <w:color w:val="auto"/>
        </w:rPr>
        <w:t>,</w:t>
      </w:r>
      <w:r>
        <w:rPr>
          <w:color w:val="auto"/>
        </w:rPr>
        <w:t xml:space="preserve"> and</w:t>
      </w:r>
    </w:p>
    <w:p w14:paraId="19524FFB" w14:textId="2F415C1D" w:rsidR="000C5AF7" w:rsidRPr="000C5AF7" w:rsidRDefault="000C5AF7" w:rsidP="004F3EA2">
      <w:pPr>
        <w:numPr>
          <w:ilvl w:val="0"/>
          <w:numId w:val="43"/>
        </w:numPr>
        <w:spacing w:line="240" w:lineRule="auto"/>
        <w:jc w:val="left"/>
        <w:rPr>
          <w:color w:val="auto"/>
        </w:rPr>
      </w:pPr>
      <w:r w:rsidRPr="00C811E9">
        <w:rPr>
          <w:color w:val="auto"/>
        </w:rPr>
        <w:t xml:space="preserve"> </w:t>
      </w:r>
      <w:r>
        <w:rPr>
          <w:color w:val="auto"/>
        </w:rPr>
        <w:t>implementation progress.</w:t>
      </w:r>
    </w:p>
    <w:p w14:paraId="4301A1AA" w14:textId="4BCFF118" w:rsidR="00990F46" w:rsidRPr="00F17FE2" w:rsidRDefault="00990F46" w:rsidP="00F17FE2">
      <w:pPr>
        <w:pStyle w:val="Heading3"/>
        <w:spacing w:before="0" w:after="200"/>
        <w:rPr>
          <w:spacing w:val="0"/>
          <w:sz w:val="29"/>
          <w:szCs w:val="29"/>
        </w:rPr>
      </w:pPr>
      <w:r w:rsidRPr="00F17FE2">
        <w:rPr>
          <w:spacing w:val="0"/>
          <w:sz w:val="29"/>
          <w:szCs w:val="29"/>
        </w:rPr>
        <w:t>Funding</w:t>
      </w:r>
    </w:p>
    <w:p w14:paraId="30A3BFF7" w14:textId="7BD2ADAC" w:rsidR="00990F46" w:rsidRPr="007A4F52" w:rsidRDefault="00E03C0F" w:rsidP="004F3EA2">
      <w:pPr>
        <w:numPr>
          <w:ilvl w:val="0"/>
          <w:numId w:val="33"/>
        </w:numPr>
        <w:spacing w:line="240" w:lineRule="auto"/>
        <w:jc w:val="left"/>
        <w:rPr>
          <w:color w:val="auto"/>
        </w:rPr>
      </w:pPr>
      <w:r>
        <w:rPr>
          <w:color w:val="auto"/>
        </w:rPr>
        <w:t>Parties to this Agreement agree to carry forward any unspent funding</w:t>
      </w:r>
      <w:r w:rsidR="00162BCD">
        <w:rPr>
          <w:color w:val="auto"/>
        </w:rPr>
        <w:t xml:space="preserve"> remaining</w:t>
      </w:r>
      <w:r>
        <w:rPr>
          <w:color w:val="auto"/>
        </w:rPr>
        <w:t xml:space="preserve"> from </w:t>
      </w:r>
      <w:r w:rsidR="00162BCD">
        <w:rPr>
          <w:color w:val="auto"/>
        </w:rPr>
        <w:t>th</w:t>
      </w:r>
      <w:r w:rsidR="00B7792B">
        <w:rPr>
          <w:color w:val="auto"/>
        </w:rPr>
        <w:t>e pooled fund committed to activities under the</w:t>
      </w:r>
      <w:r w:rsidR="00B7792B" w:rsidRPr="00B7792B">
        <w:rPr>
          <w:color w:val="auto"/>
        </w:rPr>
        <w:t xml:space="preserve"> </w:t>
      </w:r>
      <w:r w:rsidR="00B7792B" w:rsidRPr="009D6FD8">
        <w:rPr>
          <w:color w:val="auto"/>
        </w:rPr>
        <w:t>National Housing and Homelessness Agreement</w:t>
      </w:r>
      <w:r w:rsidR="00B7792B">
        <w:rPr>
          <w:color w:val="auto"/>
        </w:rPr>
        <w:t xml:space="preserve"> (</w:t>
      </w:r>
      <w:r>
        <w:rPr>
          <w:color w:val="auto"/>
        </w:rPr>
        <w:t>NHHA</w:t>
      </w:r>
      <w:r w:rsidR="00B7792B">
        <w:rPr>
          <w:color w:val="auto"/>
        </w:rPr>
        <w:t>) Data Improvement Plan 2019-2023</w:t>
      </w:r>
      <w:r w:rsidR="00162BCD">
        <w:rPr>
          <w:color w:val="auto"/>
        </w:rPr>
        <w:t xml:space="preserve"> (</w:t>
      </w:r>
      <w:r w:rsidR="00162BCD" w:rsidRPr="00162BCD">
        <w:rPr>
          <w:b/>
          <w:bCs/>
          <w:color w:val="auto"/>
        </w:rPr>
        <w:t>Schedule E</w:t>
      </w:r>
      <w:r w:rsidR="00162BCD">
        <w:rPr>
          <w:color w:val="auto"/>
        </w:rPr>
        <w:t xml:space="preserve"> of the NHHA refers)</w:t>
      </w:r>
      <w:r w:rsidR="00B7792B">
        <w:rPr>
          <w:color w:val="auto"/>
        </w:rPr>
        <w:t>,</w:t>
      </w:r>
      <w:r>
        <w:rPr>
          <w:color w:val="auto"/>
        </w:rPr>
        <w:t xml:space="preserve"> in order to undertake data improvement activities set out in the relevant parts of this Agreement. </w:t>
      </w:r>
    </w:p>
    <w:p w14:paraId="28D51686" w14:textId="717C85FA" w:rsidR="001C5116" w:rsidRPr="00F17FE2" w:rsidRDefault="001C5116" w:rsidP="00F17FE2">
      <w:pPr>
        <w:pStyle w:val="Heading3"/>
        <w:spacing w:before="0" w:after="200"/>
        <w:rPr>
          <w:spacing w:val="0"/>
          <w:sz w:val="29"/>
          <w:szCs w:val="29"/>
        </w:rPr>
      </w:pPr>
      <w:r w:rsidRPr="00F17FE2">
        <w:rPr>
          <w:spacing w:val="0"/>
          <w:sz w:val="29"/>
          <w:szCs w:val="29"/>
        </w:rPr>
        <w:t>Roles and responsibilities</w:t>
      </w:r>
    </w:p>
    <w:p w14:paraId="11CDE8C7" w14:textId="77777777" w:rsidR="001C5116" w:rsidRPr="00C811E9" w:rsidRDefault="001C5116" w:rsidP="004F3EA2">
      <w:pPr>
        <w:numPr>
          <w:ilvl w:val="0"/>
          <w:numId w:val="33"/>
        </w:numPr>
        <w:spacing w:line="240" w:lineRule="auto"/>
        <w:jc w:val="left"/>
      </w:pPr>
      <w:r w:rsidRPr="00C811E9">
        <w:t>The States agree to be responsible for:</w:t>
      </w:r>
    </w:p>
    <w:p w14:paraId="2367C275" w14:textId="10BE4045" w:rsidR="001C5116" w:rsidRDefault="001C5116" w:rsidP="004F3EA2">
      <w:pPr>
        <w:pStyle w:val="Normalnumbered"/>
        <w:numPr>
          <w:ilvl w:val="1"/>
          <w:numId w:val="20"/>
        </w:numPr>
        <w:spacing w:line="240" w:lineRule="auto"/>
        <w:jc w:val="left"/>
      </w:pPr>
      <w:r>
        <w:t>supplying social housing data</w:t>
      </w:r>
    </w:p>
    <w:p w14:paraId="5E9BC3C4" w14:textId="6DB460CB" w:rsidR="001C5116" w:rsidRPr="00C811E9" w:rsidRDefault="001C5116" w:rsidP="004F3EA2">
      <w:pPr>
        <w:pStyle w:val="Normalnumbered"/>
        <w:numPr>
          <w:ilvl w:val="1"/>
          <w:numId w:val="20"/>
        </w:numPr>
        <w:spacing w:line="240" w:lineRule="auto"/>
        <w:jc w:val="left"/>
      </w:pPr>
      <w:r>
        <w:t xml:space="preserve">ensuring all </w:t>
      </w:r>
      <w:r w:rsidR="000C02B5">
        <w:t xml:space="preserve">homelessness and social housing </w:t>
      </w:r>
      <w:r>
        <w:t xml:space="preserve">data is consistent with </w:t>
      </w:r>
      <w:r w:rsidR="00B23453">
        <w:t>national standards</w:t>
      </w:r>
    </w:p>
    <w:p w14:paraId="18B21810" w14:textId="3BF241C2" w:rsidR="001C5116" w:rsidRPr="00C811E9" w:rsidRDefault="001C5116" w:rsidP="004F3EA2">
      <w:pPr>
        <w:pStyle w:val="Normalnumbered"/>
        <w:numPr>
          <w:ilvl w:val="1"/>
          <w:numId w:val="20"/>
        </w:numPr>
        <w:spacing w:line="240" w:lineRule="auto"/>
        <w:jc w:val="left"/>
      </w:pPr>
      <w:r w:rsidRPr="007A4F52">
        <w:lastRenderedPageBreak/>
        <w:t>advising the Commonwealth of potential exemptions to participate in the</w:t>
      </w:r>
      <w:r>
        <w:t xml:space="preserve"> supply of data for the</w:t>
      </w:r>
      <w:r w:rsidRPr="007A4F52">
        <w:t xml:space="preserve"> SHSC</w:t>
      </w:r>
      <w:r>
        <w:t xml:space="preserve"> and social housing database</w:t>
      </w:r>
      <w:r w:rsidRPr="007A4F52">
        <w:t xml:space="preserve"> </w:t>
      </w:r>
    </w:p>
    <w:p w14:paraId="0351D9D6" w14:textId="57D18C9C" w:rsidR="001C5116" w:rsidRDefault="001C5116" w:rsidP="004F3EA2">
      <w:pPr>
        <w:pStyle w:val="Normalnumbered"/>
        <w:numPr>
          <w:ilvl w:val="1"/>
          <w:numId w:val="20"/>
        </w:numPr>
        <w:spacing w:line="240" w:lineRule="auto"/>
        <w:jc w:val="left"/>
      </w:pPr>
      <w:r w:rsidRPr="007A4F52">
        <w:t>ensuring funded homelessness services and initiatives that are in-scope for the SHSC participate in the SHSC, or have an exemption from participation agreed by the Commonwealth</w:t>
      </w:r>
    </w:p>
    <w:p w14:paraId="761E86CF" w14:textId="77777777" w:rsidR="001C5116" w:rsidRPr="00C811E9" w:rsidRDefault="001C5116" w:rsidP="004F3EA2">
      <w:pPr>
        <w:pStyle w:val="Normalnumbered"/>
        <w:numPr>
          <w:ilvl w:val="1"/>
          <w:numId w:val="20"/>
        </w:numPr>
        <w:spacing w:line="240" w:lineRule="auto"/>
        <w:jc w:val="left"/>
      </w:pPr>
      <w:r>
        <w:t>ensuring funded social housing services and initiatives that are in-scope for the social housing database participate in supplying data, or have an exemption from participation agreed by the Commonwealth.</w:t>
      </w:r>
    </w:p>
    <w:p w14:paraId="6097EAB5" w14:textId="576B3DC1" w:rsidR="00E47C86" w:rsidRPr="00C811E9" w:rsidRDefault="001C5116" w:rsidP="004F3EA2">
      <w:pPr>
        <w:numPr>
          <w:ilvl w:val="0"/>
          <w:numId w:val="33"/>
        </w:numPr>
        <w:spacing w:line="240" w:lineRule="auto"/>
        <w:jc w:val="left"/>
      </w:pPr>
      <w:r w:rsidRPr="00C811E9">
        <w:t>The Commonwealth agrees to be responsible for:</w:t>
      </w:r>
    </w:p>
    <w:p w14:paraId="5D2804C4" w14:textId="2CAD7527" w:rsidR="00E47C86" w:rsidRDefault="001C5116" w:rsidP="004F3EA2">
      <w:pPr>
        <w:pStyle w:val="Normalnumbered"/>
        <w:numPr>
          <w:ilvl w:val="0"/>
          <w:numId w:val="35"/>
        </w:numPr>
        <w:tabs>
          <w:tab w:val="clear" w:pos="1854"/>
          <w:tab w:val="num" w:pos="1418"/>
        </w:tabs>
        <w:spacing w:line="240" w:lineRule="auto"/>
        <w:jc w:val="left"/>
      </w:pPr>
      <w:r>
        <w:t>compil</w:t>
      </w:r>
      <w:r w:rsidR="009D6FD8">
        <w:t>ing</w:t>
      </w:r>
      <w:r>
        <w:t xml:space="preserve"> national data sets in line with national standards</w:t>
      </w:r>
    </w:p>
    <w:p w14:paraId="3907FB89" w14:textId="60681729" w:rsidR="00E47C86" w:rsidRPr="00C811E9" w:rsidRDefault="00741AF0" w:rsidP="004F3EA2">
      <w:pPr>
        <w:pStyle w:val="Normalnumbered"/>
        <w:numPr>
          <w:ilvl w:val="0"/>
          <w:numId w:val="35"/>
        </w:numPr>
        <w:tabs>
          <w:tab w:val="clear" w:pos="1854"/>
          <w:tab w:val="num" w:pos="1418"/>
        </w:tabs>
        <w:spacing w:line="240" w:lineRule="auto"/>
        <w:jc w:val="left"/>
      </w:pPr>
      <w:r>
        <w:t xml:space="preserve">chairing and providing </w:t>
      </w:r>
      <w:r w:rsidR="009D6FD8">
        <w:t xml:space="preserve">the </w:t>
      </w:r>
      <w:r>
        <w:t>secretariat for the HCG.</w:t>
      </w:r>
    </w:p>
    <w:p w14:paraId="206ECF59" w14:textId="4F940BC6" w:rsidR="00E47C86" w:rsidRDefault="001C5116" w:rsidP="004F3EA2">
      <w:pPr>
        <w:numPr>
          <w:ilvl w:val="0"/>
          <w:numId w:val="33"/>
        </w:numPr>
        <w:spacing w:line="240" w:lineRule="auto"/>
        <w:jc w:val="left"/>
      </w:pPr>
      <w:r w:rsidRPr="00C811E9">
        <w:t>The Commonwealth and the States agree to be jointly responsible for</w:t>
      </w:r>
      <w:r>
        <w:t>:</w:t>
      </w:r>
    </w:p>
    <w:p w14:paraId="405A25F6" w14:textId="395D3D30" w:rsidR="00E47C86" w:rsidRDefault="001C5116" w:rsidP="004F3EA2">
      <w:pPr>
        <w:pStyle w:val="Normalnumbered"/>
        <w:numPr>
          <w:ilvl w:val="0"/>
          <w:numId w:val="21"/>
        </w:numPr>
        <w:spacing w:line="240" w:lineRule="auto"/>
        <w:jc w:val="left"/>
      </w:pPr>
      <w:r w:rsidRPr="007A4F52">
        <w:t>coordinat</w:t>
      </w:r>
      <w:r>
        <w:t>ing</w:t>
      </w:r>
      <w:r w:rsidRPr="007A4F52">
        <w:t xml:space="preserve"> homelessness </w:t>
      </w:r>
      <w:r w:rsidR="00243488">
        <w:t xml:space="preserve">services </w:t>
      </w:r>
      <w:r w:rsidRPr="007A4F52">
        <w:t>data collection from SHS</w:t>
      </w:r>
      <w:r>
        <w:t xml:space="preserve"> providers</w:t>
      </w:r>
      <w:r w:rsidRPr="007A4F52">
        <w:t xml:space="preserve"> in collaboration with the AIHW</w:t>
      </w:r>
    </w:p>
    <w:p w14:paraId="6F1FA3CE" w14:textId="4901310E" w:rsidR="00E47C86" w:rsidRDefault="001C5116" w:rsidP="004F3EA2">
      <w:pPr>
        <w:pStyle w:val="Normalnumbered"/>
        <w:numPr>
          <w:ilvl w:val="0"/>
          <w:numId w:val="21"/>
        </w:numPr>
        <w:spacing w:line="240" w:lineRule="auto"/>
        <w:jc w:val="left"/>
      </w:pPr>
      <w:r w:rsidRPr="00C811E9">
        <w:t>negotiating exemptions for services to participate in the SHSC if necessary</w:t>
      </w:r>
    </w:p>
    <w:p w14:paraId="23E264E8" w14:textId="4DC3BF06" w:rsidR="00E47C86" w:rsidRDefault="001C5116" w:rsidP="004F3EA2">
      <w:pPr>
        <w:pStyle w:val="Normalnumbered"/>
        <w:numPr>
          <w:ilvl w:val="0"/>
          <w:numId w:val="21"/>
        </w:numPr>
        <w:spacing w:line="240" w:lineRule="auto"/>
        <w:jc w:val="left"/>
      </w:pPr>
      <w:r>
        <w:t>negotiating exemptions for providers to participate in the social housing data set, if necessary</w:t>
      </w:r>
    </w:p>
    <w:p w14:paraId="6A8ED185" w14:textId="69843A52" w:rsidR="00E47C86" w:rsidRDefault="00741AF0" w:rsidP="004F3EA2">
      <w:pPr>
        <w:pStyle w:val="Normalnumbered"/>
        <w:numPr>
          <w:ilvl w:val="0"/>
          <w:numId w:val="21"/>
        </w:numPr>
        <w:spacing w:line="240" w:lineRule="auto"/>
        <w:jc w:val="left"/>
      </w:pPr>
      <w:r>
        <w:t>identifying, recommending and supporting implementation of data improvements</w:t>
      </w:r>
    </w:p>
    <w:p w14:paraId="6EA2507A" w14:textId="2077B895" w:rsidR="00741AF0" w:rsidRDefault="00741AF0" w:rsidP="004F3EA2">
      <w:pPr>
        <w:pStyle w:val="Normalnumbered"/>
        <w:numPr>
          <w:ilvl w:val="0"/>
          <w:numId w:val="21"/>
        </w:numPr>
        <w:spacing w:line="240" w:lineRule="auto"/>
        <w:jc w:val="left"/>
      </w:pPr>
      <w:r>
        <w:t>funding data improvements.</w:t>
      </w:r>
    </w:p>
    <w:bookmarkEnd w:id="14"/>
    <w:p w14:paraId="387AF266" w14:textId="677DD538" w:rsidR="00244C92" w:rsidRPr="00C811E9" w:rsidRDefault="00244C92" w:rsidP="002F7F18">
      <w:pPr>
        <w:pStyle w:val="Normalnumbered"/>
        <w:tabs>
          <w:tab w:val="clear" w:pos="360"/>
        </w:tabs>
        <w:ind w:left="567" w:firstLine="0"/>
        <w:jc w:val="left"/>
        <w:rPr>
          <w:rFonts w:cs="Arial"/>
          <w:b/>
          <w:bCs/>
          <w:iCs/>
          <w:color w:val="auto"/>
          <w:sz w:val="29"/>
          <w:szCs w:val="28"/>
        </w:rPr>
      </w:pPr>
      <w:r w:rsidRPr="00C811E9">
        <w:rPr>
          <w:rFonts w:cs="Arial"/>
          <w:b/>
          <w:bCs/>
          <w:iCs/>
          <w:color w:val="auto"/>
          <w:sz w:val="29"/>
          <w:szCs w:val="28"/>
        </w:rPr>
        <w:br w:type="page"/>
      </w:r>
    </w:p>
    <w:p w14:paraId="23FA63F3" w14:textId="1CBC6905" w:rsidR="00F17FE2" w:rsidRPr="00D45283" w:rsidRDefault="00D45283" w:rsidP="00D45283">
      <w:pPr>
        <w:pStyle w:val="Heading1"/>
        <w:rPr>
          <w:szCs w:val="32"/>
        </w:rPr>
      </w:pPr>
      <w:bookmarkStart w:id="15" w:name="_MailEndCompose"/>
      <w:bookmarkStart w:id="16" w:name="_Hlk164697438"/>
      <w:bookmarkEnd w:id="15"/>
      <w:r w:rsidRPr="00D45283">
        <w:rPr>
          <w:szCs w:val="32"/>
        </w:rPr>
        <w:lastRenderedPageBreak/>
        <w:t xml:space="preserve">SCHEDULE </w:t>
      </w:r>
      <w:r w:rsidR="00F17FE2" w:rsidRPr="00D45283">
        <w:rPr>
          <w:szCs w:val="32"/>
        </w:rPr>
        <w:t>D</w:t>
      </w:r>
      <w:r w:rsidRPr="00D45283">
        <w:rPr>
          <w:szCs w:val="32"/>
        </w:rPr>
        <w:t xml:space="preserve"> – </w:t>
      </w:r>
      <w:r w:rsidR="00F17FE2" w:rsidRPr="00D45283">
        <w:rPr>
          <w:szCs w:val="32"/>
        </w:rPr>
        <w:t>Initial Data Improvement Work Plan</w:t>
      </w:r>
    </w:p>
    <w:p w14:paraId="05F41AA8" w14:textId="64A6AB60" w:rsidR="00866BE2" w:rsidRPr="001F0A38" w:rsidRDefault="00D319F4" w:rsidP="004F3EA2">
      <w:pPr>
        <w:numPr>
          <w:ilvl w:val="0"/>
          <w:numId w:val="31"/>
        </w:numPr>
        <w:spacing w:line="240" w:lineRule="auto"/>
        <w:jc w:val="left"/>
        <w:rPr>
          <w:color w:val="auto"/>
        </w:rPr>
      </w:pPr>
      <w:r w:rsidRPr="001F0A38">
        <w:rPr>
          <w:color w:val="auto"/>
        </w:rPr>
        <w:t xml:space="preserve">This </w:t>
      </w:r>
      <w:r w:rsidRPr="00AA4A75">
        <w:rPr>
          <w:color w:val="auto"/>
        </w:rPr>
        <w:t xml:space="preserve">schedule outlines </w:t>
      </w:r>
      <w:r w:rsidR="004A40DD" w:rsidRPr="00AA4A75">
        <w:rPr>
          <w:color w:val="auto"/>
        </w:rPr>
        <w:t>a</w:t>
      </w:r>
      <w:r w:rsidR="00486726" w:rsidRPr="00AA4A75">
        <w:rPr>
          <w:color w:val="auto"/>
        </w:rPr>
        <w:t xml:space="preserve"> summary of the</w:t>
      </w:r>
      <w:r w:rsidR="004A40DD" w:rsidRPr="00AA4A75">
        <w:rPr>
          <w:color w:val="auto"/>
        </w:rPr>
        <w:t xml:space="preserve"> initial</w:t>
      </w:r>
      <w:r w:rsidRPr="00AA4A75">
        <w:rPr>
          <w:color w:val="auto"/>
        </w:rPr>
        <w:t xml:space="preserve"> Data Improvement </w:t>
      </w:r>
      <w:r w:rsidR="004A40DD" w:rsidRPr="00AA4A75">
        <w:rPr>
          <w:color w:val="auto"/>
        </w:rPr>
        <w:t>Work</w:t>
      </w:r>
      <w:r w:rsidRPr="00AA4A75">
        <w:rPr>
          <w:color w:val="auto"/>
        </w:rPr>
        <w:t xml:space="preserve"> Plan (</w:t>
      </w:r>
      <w:r w:rsidR="004A40DD" w:rsidRPr="00AA4A75">
        <w:rPr>
          <w:color w:val="auto"/>
        </w:rPr>
        <w:t xml:space="preserve">the Work </w:t>
      </w:r>
      <w:r w:rsidR="00741AF0" w:rsidRPr="00AA4A75">
        <w:rPr>
          <w:color w:val="auto"/>
        </w:rPr>
        <w:t>Plan</w:t>
      </w:r>
      <w:r w:rsidRPr="00AA4A75">
        <w:rPr>
          <w:color w:val="auto"/>
        </w:rPr>
        <w:t>)</w:t>
      </w:r>
      <w:r w:rsidR="00741AF0" w:rsidRPr="00AA4A75">
        <w:rPr>
          <w:color w:val="auto"/>
        </w:rPr>
        <w:t xml:space="preserve"> </w:t>
      </w:r>
      <w:r w:rsidRPr="00AA4A75">
        <w:rPr>
          <w:color w:val="auto"/>
        </w:rPr>
        <w:t xml:space="preserve">as prescribed in Schedule </w:t>
      </w:r>
      <w:r w:rsidR="00AA4A75" w:rsidRPr="00AA4A75">
        <w:rPr>
          <w:color w:val="auto"/>
        </w:rPr>
        <w:t>C</w:t>
      </w:r>
      <w:r w:rsidRPr="00AA4A75">
        <w:rPr>
          <w:color w:val="auto"/>
        </w:rPr>
        <w:t xml:space="preserve"> of the</w:t>
      </w:r>
      <w:r w:rsidRPr="001F0A38">
        <w:rPr>
          <w:color w:val="auto"/>
        </w:rPr>
        <w:t xml:space="preserve"> Agreement.</w:t>
      </w:r>
      <w:r w:rsidR="001F0A38" w:rsidRPr="001F0A38">
        <w:rPr>
          <w:color w:val="auto"/>
        </w:rPr>
        <w:t xml:space="preserve"> </w:t>
      </w:r>
      <w:r w:rsidRPr="001F0A38">
        <w:rPr>
          <w:color w:val="auto"/>
        </w:rPr>
        <w:t xml:space="preserve">The </w:t>
      </w:r>
      <w:r w:rsidR="00C23090" w:rsidRPr="001F0A38">
        <w:rPr>
          <w:color w:val="auto"/>
        </w:rPr>
        <w:t>agreed</w:t>
      </w:r>
      <w:r w:rsidRPr="001F0A38">
        <w:rPr>
          <w:color w:val="auto"/>
        </w:rPr>
        <w:t xml:space="preserve"> data improvements </w:t>
      </w:r>
      <w:r w:rsidR="00C23090" w:rsidRPr="001F0A38">
        <w:rPr>
          <w:color w:val="auto"/>
        </w:rPr>
        <w:t>are summarised at Table 1</w:t>
      </w:r>
      <w:r w:rsidRPr="001F0A38">
        <w:rPr>
          <w:color w:val="auto"/>
        </w:rPr>
        <w:t>.</w:t>
      </w:r>
    </w:p>
    <w:p w14:paraId="225F95E7" w14:textId="0B6F2126" w:rsidR="00C23090" w:rsidRPr="00EA499A" w:rsidRDefault="00C23090" w:rsidP="00C23090">
      <w:pPr>
        <w:pStyle w:val="Normalnumbered"/>
        <w:keepNext/>
        <w:keepLines/>
        <w:tabs>
          <w:tab w:val="clear" w:pos="360"/>
        </w:tabs>
        <w:spacing w:after="120"/>
        <w:ind w:left="0" w:firstLine="0"/>
        <w:jc w:val="left"/>
        <w:rPr>
          <w:b/>
          <w:color w:val="auto"/>
        </w:rPr>
      </w:pPr>
      <w:r w:rsidRPr="00EA499A">
        <w:rPr>
          <w:b/>
          <w:color w:val="auto"/>
        </w:rPr>
        <w:t xml:space="preserve">Table </w:t>
      </w:r>
      <w:r>
        <w:rPr>
          <w:b/>
          <w:color w:val="auto"/>
        </w:rPr>
        <w:t>1</w:t>
      </w:r>
      <w:r w:rsidRPr="00EA499A">
        <w:rPr>
          <w:b/>
          <w:color w:val="auto"/>
        </w:rPr>
        <w:t xml:space="preserve">: </w:t>
      </w:r>
      <w:r>
        <w:rPr>
          <w:b/>
          <w:color w:val="auto"/>
        </w:rPr>
        <w:t>Agreed data improvements</w:t>
      </w:r>
      <w:r w:rsidRPr="00EA499A">
        <w:rPr>
          <w:b/>
          <w:color w:val="auto"/>
        </w:rPr>
        <w:t xml:space="preserve"> </w:t>
      </w:r>
    </w:p>
    <w:tbl>
      <w:tblPr>
        <w:tblStyle w:val="TableGrid"/>
        <w:tblW w:w="0" w:type="auto"/>
        <w:tblLook w:val="04A0" w:firstRow="1" w:lastRow="0" w:firstColumn="1" w:lastColumn="0" w:noHBand="0" w:noVBand="1"/>
      </w:tblPr>
      <w:tblGrid>
        <w:gridCol w:w="4813"/>
        <w:gridCol w:w="4815"/>
      </w:tblGrid>
      <w:tr w:rsidR="00C23090" w14:paraId="61C6A04E" w14:textId="77777777" w:rsidTr="00866BE2">
        <w:tc>
          <w:tcPr>
            <w:tcW w:w="4813" w:type="dxa"/>
            <w:tcBorders>
              <w:top w:val="single" w:sz="4" w:space="0" w:color="auto"/>
              <w:left w:val="single" w:sz="4" w:space="0" w:color="auto"/>
              <w:bottom w:val="single" w:sz="4" w:space="0" w:color="auto"/>
              <w:right w:val="single" w:sz="4" w:space="0" w:color="auto"/>
            </w:tcBorders>
          </w:tcPr>
          <w:p w14:paraId="1D0D920D" w14:textId="4B2696DA" w:rsidR="00C23090" w:rsidRPr="00866BE2" w:rsidRDefault="00C23090" w:rsidP="00C23090">
            <w:pPr>
              <w:spacing w:after="200" w:line="276" w:lineRule="auto"/>
              <w:jc w:val="left"/>
              <w:rPr>
                <w:b/>
                <w:bCs/>
                <w:color w:val="auto"/>
              </w:rPr>
            </w:pPr>
            <w:r w:rsidRPr="00866BE2">
              <w:rPr>
                <w:b/>
                <w:bCs/>
                <w:color w:val="auto"/>
              </w:rPr>
              <w:t xml:space="preserve">Data </w:t>
            </w:r>
            <w:r>
              <w:rPr>
                <w:b/>
                <w:bCs/>
                <w:color w:val="auto"/>
              </w:rPr>
              <w:t>I</w:t>
            </w:r>
            <w:r w:rsidRPr="00866BE2">
              <w:rPr>
                <w:b/>
                <w:bCs/>
                <w:color w:val="auto"/>
              </w:rPr>
              <w:t>mprovement</w:t>
            </w:r>
          </w:p>
        </w:tc>
        <w:tc>
          <w:tcPr>
            <w:tcW w:w="4815" w:type="dxa"/>
            <w:tcBorders>
              <w:top w:val="single" w:sz="4" w:space="0" w:color="auto"/>
              <w:left w:val="single" w:sz="4" w:space="0" w:color="auto"/>
              <w:bottom w:val="single" w:sz="4" w:space="0" w:color="auto"/>
              <w:right w:val="single" w:sz="4" w:space="0" w:color="auto"/>
            </w:tcBorders>
          </w:tcPr>
          <w:p w14:paraId="2CA8C627" w14:textId="087F9323" w:rsidR="00C23090" w:rsidRPr="00106A25" w:rsidRDefault="00C23090" w:rsidP="00C23090">
            <w:pPr>
              <w:spacing w:after="200" w:line="276" w:lineRule="auto"/>
              <w:jc w:val="left"/>
              <w:rPr>
                <w:b/>
                <w:bCs/>
                <w:color w:val="auto"/>
              </w:rPr>
            </w:pPr>
            <w:r>
              <w:rPr>
                <w:b/>
                <w:bCs/>
                <w:color w:val="auto"/>
              </w:rPr>
              <w:t>Summary</w:t>
            </w:r>
          </w:p>
        </w:tc>
      </w:tr>
      <w:tr w:rsidR="00C23090" w14:paraId="72E72C73" w14:textId="77777777" w:rsidTr="00866BE2">
        <w:tc>
          <w:tcPr>
            <w:tcW w:w="4813" w:type="dxa"/>
            <w:tcBorders>
              <w:top w:val="single" w:sz="4" w:space="0" w:color="auto"/>
              <w:left w:val="single" w:sz="4" w:space="0" w:color="auto"/>
              <w:bottom w:val="single" w:sz="4" w:space="0" w:color="auto"/>
              <w:right w:val="single" w:sz="4" w:space="0" w:color="auto"/>
            </w:tcBorders>
          </w:tcPr>
          <w:p w14:paraId="1C00BDE2" w14:textId="52C4D8AE" w:rsidR="00C23090" w:rsidRDefault="001A60B8" w:rsidP="00C23090">
            <w:pPr>
              <w:spacing w:after="200" w:line="276" w:lineRule="auto"/>
              <w:jc w:val="left"/>
              <w:rPr>
                <w:color w:val="auto"/>
              </w:rPr>
            </w:pPr>
            <w:r>
              <w:rPr>
                <w:color w:val="auto"/>
              </w:rPr>
              <w:t xml:space="preserve">Establish a research data set for the Social Housing sector, similar to the </w:t>
            </w:r>
            <w:r w:rsidR="00B23453">
              <w:rPr>
                <w:color w:val="auto"/>
              </w:rPr>
              <w:t>SHSC.</w:t>
            </w:r>
          </w:p>
        </w:tc>
        <w:tc>
          <w:tcPr>
            <w:tcW w:w="4815" w:type="dxa"/>
            <w:tcBorders>
              <w:top w:val="single" w:sz="4" w:space="0" w:color="auto"/>
              <w:left w:val="single" w:sz="4" w:space="0" w:color="auto"/>
              <w:bottom w:val="single" w:sz="4" w:space="0" w:color="auto"/>
              <w:right w:val="single" w:sz="4" w:space="0" w:color="auto"/>
            </w:tcBorders>
          </w:tcPr>
          <w:p w14:paraId="72D246E8" w14:textId="66CBA2E9" w:rsidR="001A60B8" w:rsidRDefault="001A60B8" w:rsidP="001A60B8">
            <w:pPr>
              <w:spacing w:after="200" w:line="276" w:lineRule="auto"/>
              <w:contextualSpacing/>
              <w:rPr>
                <w:color w:val="auto"/>
              </w:rPr>
            </w:pPr>
            <w:r>
              <w:rPr>
                <w:color w:val="auto"/>
              </w:rPr>
              <w:t xml:space="preserve">Unlike with the SHSC, there are no national minimum data specifications for </w:t>
            </w:r>
            <w:r w:rsidR="00322CC4">
              <w:rPr>
                <w:color w:val="auto"/>
              </w:rPr>
              <w:t>social housing (public and</w:t>
            </w:r>
            <w:r>
              <w:rPr>
                <w:color w:val="auto"/>
              </w:rPr>
              <w:t xml:space="preserve"> community housing</w:t>
            </w:r>
            <w:r w:rsidR="00322CC4">
              <w:rPr>
                <w:color w:val="auto"/>
              </w:rPr>
              <w:t>)</w:t>
            </w:r>
            <w:r>
              <w:rPr>
                <w:color w:val="auto"/>
              </w:rPr>
              <w:t>.</w:t>
            </w:r>
            <w:r w:rsidR="00322CC4">
              <w:rPr>
                <w:color w:val="auto"/>
              </w:rPr>
              <w:t xml:space="preserve"> </w:t>
            </w:r>
            <w:r>
              <w:rPr>
                <w:color w:val="auto"/>
              </w:rPr>
              <w:t>This results in lower quality data and means national reporting and analysis of data, community housing data in particular, is of limited use.</w:t>
            </w:r>
          </w:p>
          <w:p w14:paraId="7104DAC2" w14:textId="77777777" w:rsidR="001A60B8" w:rsidRDefault="001A60B8" w:rsidP="001A60B8">
            <w:pPr>
              <w:spacing w:after="200" w:line="276" w:lineRule="auto"/>
              <w:contextualSpacing/>
              <w:rPr>
                <w:color w:val="auto"/>
              </w:rPr>
            </w:pPr>
          </w:p>
          <w:p w14:paraId="7D573F42" w14:textId="72830B5A" w:rsidR="001A60B8" w:rsidRDefault="001A60B8" w:rsidP="001A60B8">
            <w:pPr>
              <w:spacing w:after="200" w:line="276" w:lineRule="auto"/>
              <w:contextualSpacing/>
              <w:rPr>
                <w:color w:val="auto"/>
              </w:rPr>
            </w:pPr>
            <w:r>
              <w:rPr>
                <w:color w:val="auto"/>
              </w:rPr>
              <w:t>This project will explore options to improve the quality and comparability of social housing data, particularly community housing data, by establishing a national dataset for social housing.</w:t>
            </w:r>
          </w:p>
          <w:p w14:paraId="7EE03A71" w14:textId="77777777" w:rsidR="001A60B8" w:rsidRDefault="001A60B8" w:rsidP="001A60B8">
            <w:pPr>
              <w:spacing w:after="200" w:line="276" w:lineRule="auto"/>
              <w:contextualSpacing/>
              <w:rPr>
                <w:color w:val="auto"/>
              </w:rPr>
            </w:pPr>
          </w:p>
          <w:p w14:paraId="77390EA8" w14:textId="2474279E" w:rsidR="001A60B8" w:rsidRPr="001A60B8" w:rsidRDefault="001A60B8" w:rsidP="00866BE2">
            <w:pPr>
              <w:spacing w:after="200" w:line="276" w:lineRule="auto"/>
              <w:contextualSpacing/>
              <w:rPr>
                <w:szCs w:val="23"/>
              </w:rPr>
            </w:pPr>
            <w:r w:rsidRPr="4A8D1852">
              <w:t>The work will build on work commissioned under the NHHA DIP to improve reporting and reduce burden on community housing providers.</w:t>
            </w:r>
          </w:p>
          <w:p w14:paraId="63815001" w14:textId="77777777" w:rsidR="00C23090" w:rsidRDefault="00C23090" w:rsidP="00866BE2">
            <w:pPr>
              <w:spacing w:after="200" w:line="276" w:lineRule="auto"/>
              <w:contextualSpacing/>
            </w:pPr>
          </w:p>
        </w:tc>
      </w:tr>
      <w:tr w:rsidR="00C23090" w14:paraId="3F9A28EE" w14:textId="77777777" w:rsidTr="00866BE2">
        <w:tc>
          <w:tcPr>
            <w:tcW w:w="4813" w:type="dxa"/>
            <w:tcBorders>
              <w:top w:val="single" w:sz="4" w:space="0" w:color="auto"/>
              <w:left w:val="single" w:sz="4" w:space="0" w:color="auto"/>
              <w:bottom w:val="single" w:sz="4" w:space="0" w:color="auto"/>
              <w:right w:val="single" w:sz="4" w:space="0" w:color="auto"/>
            </w:tcBorders>
          </w:tcPr>
          <w:p w14:paraId="29A11BCF" w14:textId="285782B8" w:rsidR="00C23090" w:rsidRDefault="0035168E" w:rsidP="00C23090">
            <w:pPr>
              <w:spacing w:after="200" w:line="276" w:lineRule="auto"/>
              <w:jc w:val="left"/>
              <w:rPr>
                <w:color w:val="auto"/>
              </w:rPr>
            </w:pPr>
            <w:r>
              <w:rPr>
                <w:color w:val="auto"/>
              </w:rPr>
              <w:t xml:space="preserve">Service-based housing and homelessness datasets are able to be </w:t>
            </w:r>
            <w:r w:rsidR="00E2590E">
              <w:rPr>
                <w:color w:val="auto"/>
              </w:rPr>
              <w:t>linked</w:t>
            </w:r>
            <w:r>
              <w:rPr>
                <w:color w:val="auto"/>
              </w:rPr>
              <w:t xml:space="preserve"> </w:t>
            </w:r>
            <w:r w:rsidR="00F26324">
              <w:rPr>
                <w:color w:val="auto"/>
              </w:rPr>
              <w:t>to produce a person-centred view.</w:t>
            </w:r>
          </w:p>
        </w:tc>
        <w:tc>
          <w:tcPr>
            <w:tcW w:w="4815" w:type="dxa"/>
            <w:tcBorders>
              <w:top w:val="single" w:sz="4" w:space="0" w:color="auto"/>
              <w:left w:val="single" w:sz="4" w:space="0" w:color="auto"/>
              <w:bottom w:val="single" w:sz="4" w:space="0" w:color="auto"/>
              <w:right w:val="single" w:sz="4" w:space="0" w:color="auto"/>
            </w:tcBorders>
          </w:tcPr>
          <w:p w14:paraId="59945D0B" w14:textId="039D1AE0" w:rsidR="0035168E" w:rsidRDefault="0035168E" w:rsidP="00C23090">
            <w:pPr>
              <w:spacing w:after="200" w:line="276" w:lineRule="auto"/>
              <w:jc w:val="left"/>
              <w:rPr>
                <w:color w:val="auto"/>
              </w:rPr>
            </w:pPr>
            <w:r>
              <w:rPr>
                <w:color w:val="auto"/>
              </w:rPr>
              <w:t xml:space="preserve">The ability to </w:t>
            </w:r>
            <w:r w:rsidR="00E2590E">
              <w:rPr>
                <w:color w:val="auto"/>
              </w:rPr>
              <w:t>link</w:t>
            </w:r>
            <w:r>
              <w:rPr>
                <w:color w:val="auto"/>
              </w:rPr>
              <w:t xml:space="preserve"> data would </w:t>
            </w:r>
            <w:r w:rsidR="00106A25">
              <w:rPr>
                <w:color w:val="auto"/>
              </w:rPr>
              <w:t>improve</w:t>
            </w:r>
            <w:r>
              <w:rPr>
                <w:color w:val="auto"/>
              </w:rPr>
              <w:t xml:space="preserve"> understand</w:t>
            </w:r>
            <w:r w:rsidR="00106A25">
              <w:rPr>
                <w:color w:val="auto"/>
              </w:rPr>
              <w:t>ing of</w:t>
            </w:r>
            <w:r>
              <w:rPr>
                <w:color w:val="auto"/>
              </w:rPr>
              <w:t xml:space="preserve"> the pathways people take </w:t>
            </w:r>
            <w:r w:rsidR="00E2590E">
              <w:rPr>
                <w:color w:val="auto"/>
              </w:rPr>
              <w:t>when they access housing and homelessness servi</w:t>
            </w:r>
            <w:r w:rsidR="007C5FCE">
              <w:rPr>
                <w:color w:val="auto"/>
              </w:rPr>
              <w:t>c</w:t>
            </w:r>
            <w:r w:rsidR="00E2590E">
              <w:rPr>
                <w:color w:val="auto"/>
              </w:rPr>
              <w:t>es</w:t>
            </w:r>
            <w:r>
              <w:rPr>
                <w:color w:val="auto"/>
              </w:rPr>
              <w:t>.</w:t>
            </w:r>
          </w:p>
          <w:p w14:paraId="24B49A8F" w14:textId="5E86A182" w:rsidR="004547EA" w:rsidRPr="004547EA" w:rsidRDefault="0035168E" w:rsidP="00B76FD6">
            <w:pPr>
              <w:spacing w:after="200" w:line="276" w:lineRule="auto"/>
              <w:jc w:val="left"/>
            </w:pPr>
            <w:r>
              <w:rPr>
                <w:color w:val="auto"/>
              </w:rPr>
              <w:t xml:space="preserve">AIHW to work with all jurisdictions to </w:t>
            </w:r>
            <w:r w:rsidR="00D2410D">
              <w:rPr>
                <w:color w:val="auto"/>
              </w:rPr>
              <w:t xml:space="preserve">ensure there are </w:t>
            </w:r>
            <w:r>
              <w:rPr>
                <w:color w:val="auto"/>
              </w:rPr>
              <w:t xml:space="preserve">nationally consistent Statistical Linkage Keys (SLKs) for the SHSC and social housing data </w:t>
            </w:r>
            <w:r w:rsidR="00B23453">
              <w:rPr>
                <w:color w:val="auto"/>
              </w:rPr>
              <w:t>collections.</w:t>
            </w:r>
          </w:p>
        </w:tc>
      </w:tr>
      <w:tr w:rsidR="00C23090" w14:paraId="44C1AEEC" w14:textId="77777777" w:rsidTr="00866BE2">
        <w:tc>
          <w:tcPr>
            <w:tcW w:w="4813" w:type="dxa"/>
            <w:tcBorders>
              <w:top w:val="single" w:sz="4" w:space="0" w:color="auto"/>
              <w:left w:val="single" w:sz="4" w:space="0" w:color="auto"/>
              <w:bottom w:val="single" w:sz="4" w:space="0" w:color="auto"/>
              <w:right w:val="single" w:sz="4" w:space="0" w:color="auto"/>
            </w:tcBorders>
          </w:tcPr>
          <w:p w14:paraId="18210928" w14:textId="70F64314" w:rsidR="00C23090" w:rsidRDefault="00F26324" w:rsidP="00C23090">
            <w:pPr>
              <w:spacing w:after="200" w:line="276" w:lineRule="auto"/>
              <w:jc w:val="left"/>
              <w:rPr>
                <w:color w:val="auto"/>
              </w:rPr>
            </w:pPr>
            <w:r>
              <w:rPr>
                <w:color w:val="auto"/>
              </w:rPr>
              <w:lastRenderedPageBreak/>
              <w:t>Investigate the suitability of the Canadian National Occupancy Standard (CNOS) in the Australian context.</w:t>
            </w:r>
          </w:p>
        </w:tc>
        <w:tc>
          <w:tcPr>
            <w:tcW w:w="4815" w:type="dxa"/>
            <w:tcBorders>
              <w:top w:val="single" w:sz="4" w:space="0" w:color="auto"/>
              <w:left w:val="single" w:sz="4" w:space="0" w:color="auto"/>
              <w:bottom w:val="single" w:sz="4" w:space="0" w:color="auto"/>
              <w:right w:val="single" w:sz="4" w:space="0" w:color="auto"/>
            </w:tcBorders>
          </w:tcPr>
          <w:p w14:paraId="098FA7D9" w14:textId="56ED1CF0" w:rsidR="00F26324" w:rsidRDefault="00F26324" w:rsidP="00C23090">
            <w:pPr>
              <w:spacing w:after="200" w:line="276" w:lineRule="auto"/>
              <w:jc w:val="left"/>
              <w:rPr>
                <w:color w:val="auto"/>
              </w:rPr>
            </w:pPr>
            <w:r w:rsidRPr="00F26324">
              <w:rPr>
                <w:color w:val="auto"/>
              </w:rPr>
              <w:t xml:space="preserve">Housing </w:t>
            </w:r>
            <w:r w:rsidR="00BE3FBC">
              <w:rPr>
                <w:color w:val="auto"/>
              </w:rPr>
              <w:t>overcrowding and underutilisation</w:t>
            </w:r>
            <w:r w:rsidRPr="00F26324">
              <w:rPr>
                <w:color w:val="auto"/>
              </w:rPr>
              <w:t xml:space="preserve"> is currently </w:t>
            </w:r>
            <w:r w:rsidR="00BE3FBC">
              <w:rPr>
                <w:color w:val="auto"/>
              </w:rPr>
              <w:t xml:space="preserve">based on the </w:t>
            </w:r>
            <w:r w:rsidRPr="00F26324">
              <w:rPr>
                <w:color w:val="auto"/>
              </w:rPr>
              <w:t xml:space="preserve">CNOS. There are </w:t>
            </w:r>
            <w:r>
              <w:rPr>
                <w:color w:val="auto"/>
              </w:rPr>
              <w:t>questions about the</w:t>
            </w:r>
            <w:r w:rsidR="001A60B8">
              <w:rPr>
                <w:color w:val="auto"/>
              </w:rPr>
              <w:t xml:space="preserve"> </w:t>
            </w:r>
            <w:r>
              <w:rPr>
                <w:color w:val="auto"/>
              </w:rPr>
              <w:t xml:space="preserve">validity of using CNOS </w:t>
            </w:r>
            <w:r w:rsidRPr="00F26324">
              <w:rPr>
                <w:color w:val="auto"/>
              </w:rPr>
              <w:t>as a measure of overcrowding</w:t>
            </w:r>
            <w:r w:rsidR="001A60B8">
              <w:rPr>
                <w:color w:val="auto"/>
              </w:rPr>
              <w:t>. This is</w:t>
            </w:r>
            <w:r>
              <w:rPr>
                <w:color w:val="auto"/>
              </w:rPr>
              <w:t xml:space="preserve"> because </w:t>
            </w:r>
            <w:r w:rsidR="001A60B8">
              <w:rPr>
                <w:color w:val="auto"/>
              </w:rPr>
              <w:t xml:space="preserve">(a) </w:t>
            </w:r>
            <w:r w:rsidRPr="00F26324">
              <w:rPr>
                <w:color w:val="auto"/>
              </w:rPr>
              <w:t xml:space="preserve">needs/suitability is broader than </w:t>
            </w:r>
            <w:r>
              <w:rPr>
                <w:color w:val="auto"/>
              </w:rPr>
              <w:t xml:space="preserve">number of bedrooms; and </w:t>
            </w:r>
            <w:r w:rsidR="001A60B8">
              <w:rPr>
                <w:color w:val="auto"/>
              </w:rPr>
              <w:t>(b)</w:t>
            </w:r>
            <w:r>
              <w:rPr>
                <w:color w:val="auto"/>
              </w:rPr>
              <w:t xml:space="preserve"> because of cultural appropriateness of the definition of overcrowding in the context of Aboriginal and Torres Strait Islander culture.</w:t>
            </w:r>
          </w:p>
          <w:p w14:paraId="4668FD13" w14:textId="7EB681E2" w:rsidR="001A60B8" w:rsidRDefault="001A60B8" w:rsidP="00C23090">
            <w:pPr>
              <w:spacing w:after="200" w:line="276" w:lineRule="auto"/>
              <w:jc w:val="left"/>
              <w:rPr>
                <w:color w:val="auto"/>
              </w:rPr>
            </w:pPr>
            <w:r>
              <w:rPr>
                <w:color w:val="auto"/>
              </w:rPr>
              <w:t xml:space="preserve">This work would </w:t>
            </w:r>
            <w:r w:rsidR="00D2410D">
              <w:rPr>
                <w:color w:val="auto"/>
              </w:rPr>
              <w:t xml:space="preserve">build </w:t>
            </w:r>
            <w:r>
              <w:rPr>
                <w:color w:val="auto"/>
              </w:rPr>
              <w:t xml:space="preserve">on </w:t>
            </w:r>
            <w:r w:rsidR="00D2410D">
              <w:rPr>
                <w:color w:val="auto"/>
              </w:rPr>
              <w:t xml:space="preserve">research undertaken by </w:t>
            </w:r>
            <w:r w:rsidR="004C7345">
              <w:rPr>
                <w:color w:val="auto"/>
              </w:rPr>
              <w:t xml:space="preserve">the </w:t>
            </w:r>
            <w:r w:rsidR="003C5504">
              <w:rPr>
                <w:color w:val="auto"/>
              </w:rPr>
              <w:t>Australian Housing and Urban Research Institute (</w:t>
            </w:r>
            <w:r w:rsidR="004C7345">
              <w:rPr>
                <w:color w:val="auto"/>
              </w:rPr>
              <w:t>AHURI</w:t>
            </w:r>
            <w:r w:rsidR="003C5504">
              <w:rPr>
                <w:color w:val="auto"/>
              </w:rPr>
              <w:t>)</w:t>
            </w:r>
            <w:r w:rsidR="004C7345">
              <w:rPr>
                <w:color w:val="auto"/>
              </w:rPr>
              <w:t xml:space="preserve"> </w:t>
            </w:r>
            <w:r>
              <w:rPr>
                <w:color w:val="auto"/>
              </w:rPr>
              <w:t>on overcrowding measures commissioned under the NHHA DIP</w:t>
            </w:r>
            <w:r w:rsidR="00BE3FBC">
              <w:rPr>
                <w:color w:val="auto"/>
              </w:rPr>
              <w:t xml:space="preserve"> (Dockery et al. </w:t>
            </w:r>
            <w:r w:rsidR="00B23453">
              <w:rPr>
                <w:color w:val="auto"/>
              </w:rPr>
              <w:t>2022).</w:t>
            </w:r>
          </w:p>
        </w:tc>
      </w:tr>
      <w:tr w:rsidR="00C23090" w14:paraId="018BEA39" w14:textId="77777777" w:rsidTr="00866BE2">
        <w:tc>
          <w:tcPr>
            <w:tcW w:w="4813" w:type="dxa"/>
            <w:tcBorders>
              <w:top w:val="single" w:sz="4" w:space="0" w:color="auto"/>
              <w:left w:val="single" w:sz="4" w:space="0" w:color="auto"/>
              <w:bottom w:val="single" w:sz="4" w:space="0" w:color="auto"/>
              <w:right w:val="single" w:sz="4" w:space="0" w:color="auto"/>
            </w:tcBorders>
          </w:tcPr>
          <w:p w14:paraId="55607896" w14:textId="766E7C6F" w:rsidR="00C23090" w:rsidRDefault="00E2590E" w:rsidP="00C23090">
            <w:pPr>
              <w:spacing w:after="200" w:line="276" w:lineRule="auto"/>
              <w:jc w:val="left"/>
              <w:rPr>
                <w:color w:val="auto"/>
              </w:rPr>
            </w:pPr>
            <w:r>
              <w:rPr>
                <w:color w:val="auto"/>
              </w:rPr>
              <w:t>Improve</w:t>
            </w:r>
            <w:r w:rsidR="00F26324">
              <w:rPr>
                <w:color w:val="auto"/>
              </w:rPr>
              <w:t xml:space="preserve"> measure</w:t>
            </w:r>
            <w:r>
              <w:rPr>
                <w:color w:val="auto"/>
              </w:rPr>
              <w:t>ment</w:t>
            </w:r>
            <w:r w:rsidR="00F26324">
              <w:rPr>
                <w:color w:val="auto"/>
              </w:rPr>
              <w:t xml:space="preserve"> of </w:t>
            </w:r>
            <w:r>
              <w:rPr>
                <w:color w:val="auto"/>
              </w:rPr>
              <w:t xml:space="preserve">people experiencing </w:t>
            </w:r>
            <w:r w:rsidR="00F26324">
              <w:rPr>
                <w:color w:val="auto"/>
              </w:rPr>
              <w:t>homelessness.</w:t>
            </w:r>
          </w:p>
        </w:tc>
        <w:tc>
          <w:tcPr>
            <w:tcW w:w="4815" w:type="dxa"/>
            <w:tcBorders>
              <w:top w:val="single" w:sz="4" w:space="0" w:color="auto"/>
              <w:left w:val="single" w:sz="4" w:space="0" w:color="auto"/>
              <w:bottom w:val="single" w:sz="4" w:space="0" w:color="auto"/>
              <w:right w:val="single" w:sz="4" w:space="0" w:color="auto"/>
            </w:tcBorders>
          </w:tcPr>
          <w:p w14:paraId="6F0C84ED" w14:textId="3885D54F" w:rsidR="00F26324" w:rsidRDefault="00E2590E" w:rsidP="00C23090">
            <w:pPr>
              <w:spacing w:after="200" w:line="276" w:lineRule="auto"/>
              <w:jc w:val="left"/>
              <w:rPr>
                <w:color w:val="auto"/>
              </w:rPr>
            </w:pPr>
            <w:r>
              <w:rPr>
                <w:color w:val="auto"/>
              </w:rPr>
              <w:t>E</w:t>
            </w:r>
            <w:r w:rsidR="00F26324">
              <w:rPr>
                <w:color w:val="auto"/>
              </w:rPr>
              <w:t xml:space="preserve">stimates of the number of </w:t>
            </w:r>
            <w:r w:rsidR="00106A25">
              <w:rPr>
                <w:color w:val="auto"/>
              </w:rPr>
              <w:t>people</w:t>
            </w:r>
            <w:r w:rsidR="00F26324">
              <w:rPr>
                <w:color w:val="auto"/>
              </w:rPr>
              <w:t xml:space="preserve"> </w:t>
            </w:r>
            <w:r>
              <w:rPr>
                <w:color w:val="auto"/>
              </w:rPr>
              <w:t xml:space="preserve">experiencing homelessness </w:t>
            </w:r>
            <w:r w:rsidR="00F26324">
              <w:rPr>
                <w:color w:val="auto"/>
              </w:rPr>
              <w:t xml:space="preserve">are currently only available every 5 years </w:t>
            </w:r>
            <w:r>
              <w:rPr>
                <w:color w:val="auto"/>
              </w:rPr>
              <w:t>from</w:t>
            </w:r>
            <w:r w:rsidR="00F26324">
              <w:rPr>
                <w:color w:val="auto"/>
              </w:rPr>
              <w:t xml:space="preserve"> the ABS Census</w:t>
            </w:r>
            <w:r w:rsidR="00106A25">
              <w:rPr>
                <w:color w:val="auto"/>
              </w:rPr>
              <w:t xml:space="preserve"> of Population and Housing</w:t>
            </w:r>
            <w:r w:rsidR="00F26324">
              <w:rPr>
                <w:color w:val="auto"/>
              </w:rPr>
              <w:t>.</w:t>
            </w:r>
          </w:p>
          <w:p w14:paraId="70FEFF10" w14:textId="3AA1AF2B" w:rsidR="00C23090" w:rsidRDefault="00D2410D" w:rsidP="00C23090">
            <w:pPr>
              <w:spacing w:after="200" w:line="276" w:lineRule="auto"/>
              <w:jc w:val="left"/>
              <w:rPr>
                <w:color w:val="auto"/>
              </w:rPr>
            </w:pPr>
            <w:r>
              <w:rPr>
                <w:color w:val="auto"/>
              </w:rPr>
              <w:t>I</w:t>
            </w:r>
            <w:r w:rsidR="00F26324">
              <w:rPr>
                <w:color w:val="auto"/>
              </w:rPr>
              <w:t xml:space="preserve">nvestigate the feasibility of producing more frequent estimates of homelessness based on administrative </w:t>
            </w:r>
            <w:r w:rsidR="00B23453">
              <w:rPr>
                <w:color w:val="auto"/>
              </w:rPr>
              <w:t>data.</w:t>
            </w:r>
          </w:p>
        </w:tc>
      </w:tr>
      <w:tr w:rsidR="00AA3B84" w14:paraId="2A7EF0CC" w14:textId="77777777" w:rsidTr="00866BE2">
        <w:tc>
          <w:tcPr>
            <w:tcW w:w="4813" w:type="dxa"/>
            <w:tcBorders>
              <w:top w:val="single" w:sz="4" w:space="0" w:color="auto"/>
              <w:left w:val="single" w:sz="4" w:space="0" w:color="auto"/>
              <w:bottom w:val="single" w:sz="4" w:space="0" w:color="auto"/>
              <w:right w:val="single" w:sz="4" w:space="0" w:color="auto"/>
            </w:tcBorders>
          </w:tcPr>
          <w:p w14:paraId="0CF488D0" w14:textId="11A2C80D" w:rsidR="00AA3B84" w:rsidRDefault="00AA3B84" w:rsidP="00C23090">
            <w:pPr>
              <w:spacing w:after="200" w:line="276" w:lineRule="auto"/>
              <w:jc w:val="left"/>
              <w:rPr>
                <w:color w:val="auto"/>
              </w:rPr>
            </w:pPr>
            <w:r>
              <w:rPr>
                <w:color w:val="auto"/>
              </w:rPr>
              <w:t>Investigate feasibility of collecting information on social housing dwelling stock condition.</w:t>
            </w:r>
          </w:p>
        </w:tc>
        <w:tc>
          <w:tcPr>
            <w:tcW w:w="4815" w:type="dxa"/>
            <w:tcBorders>
              <w:top w:val="single" w:sz="4" w:space="0" w:color="auto"/>
              <w:left w:val="single" w:sz="4" w:space="0" w:color="auto"/>
              <w:bottom w:val="single" w:sz="4" w:space="0" w:color="auto"/>
              <w:right w:val="single" w:sz="4" w:space="0" w:color="auto"/>
            </w:tcBorders>
          </w:tcPr>
          <w:p w14:paraId="211F7299" w14:textId="77777777" w:rsidR="00AA3B84" w:rsidRDefault="00AA3B84" w:rsidP="00C23090">
            <w:pPr>
              <w:spacing w:after="200" w:line="276" w:lineRule="auto"/>
              <w:jc w:val="left"/>
              <w:rPr>
                <w:color w:val="auto"/>
              </w:rPr>
            </w:pPr>
            <w:r>
              <w:rPr>
                <w:color w:val="auto"/>
              </w:rPr>
              <w:t xml:space="preserve">Satisfaction with maintenance services as a standalone measure does not tell the full story about whether social housing stock is being maintained to an acceptable standard. </w:t>
            </w:r>
          </w:p>
          <w:p w14:paraId="1C314DB6" w14:textId="206E75B6" w:rsidR="00AA3B84" w:rsidRDefault="00AA3B84" w:rsidP="00C23090">
            <w:pPr>
              <w:spacing w:after="200" w:line="276" w:lineRule="auto"/>
              <w:jc w:val="left"/>
              <w:rPr>
                <w:color w:val="auto"/>
              </w:rPr>
            </w:pPr>
            <w:r>
              <w:rPr>
                <w:color w:val="auto"/>
              </w:rPr>
              <w:t>Some jurisdictions have previously undertaken stock condition surveys to assess the condition of their stock. This work would investigate the feasibility of a national survey of social housing stock condition.</w:t>
            </w:r>
          </w:p>
        </w:tc>
      </w:tr>
    </w:tbl>
    <w:p w14:paraId="7F1A8F59" w14:textId="48068F9E" w:rsidR="00741AF0" w:rsidRPr="007A4F52" w:rsidRDefault="00741AF0" w:rsidP="00106A25">
      <w:pPr>
        <w:spacing w:after="200" w:line="276" w:lineRule="auto"/>
        <w:jc w:val="left"/>
        <w:rPr>
          <w:color w:val="auto"/>
        </w:rPr>
      </w:pPr>
    </w:p>
    <w:bookmarkEnd w:id="16"/>
    <w:p w14:paraId="44224867" w14:textId="70C19AA3" w:rsidR="009346D2" w:rsidRDefault="009346D2">
      <w:pPr>
        <w:spacing w:after="0" w:line="240" w:lineRule="auto"/>
        <w:jc w:val="left"/>
      </w:pPr>
      <w:r>
        <w:br w:type="page"/>
      </w:r>
    </w:p>
    <w:p w14:paraId="15D85C1C" w14:textId="58AC336D" w:rsidR="009346D2" w:rsidRPr="00D45283" w:rsidRDefault="0084083E" w:rsidP="00D45283">
      <w:pPr>
        <w:pStyle w:val="Heading1"/>
        <w:rPr>
          <w:szCs w:val="32"/>
        </w:rPr>
      </w:pPr>
      <w:r w:rsidRPr="00D45283">
        <w:rPr>
          <w:caps w:val="0"/>
          <w:szCs w:val="32"/>
        </w:rPr>
        <w:lastRenderedPageBreak/>
        <w:t xml:space="preserve">SCHEDULE </w:t>
      </w:r>
      <w:r w:rsidR="00F17FE2" w:rsidRPr="00D45283">
        <w:rPr>
          <w:szCs w:val="32"/>
        </w:rPr>
        <w:t>E</w:t>
      </w:r>
      <w:r w:rsidR="00D45283" w:rsidRPr="00D45283">
        <w:rPr>
          <w:szCs w:val="32"/>
        </w:rPr>
        <w:t xml:space="preserve"> – </w:t>
      </w:r>
      <w:r w:rsidR="009346D2" w:rsidRPr="00D45283">
        <w:rPr>
          <w:szCs w:val="32"/>
        </w:rPr>
        <w:t xml:space="preserve">Policy </w:t>
      </w:r>
      <w:r w:rsidR="00D45283">
        <w:rPr>
          <w:szCs w:val="32"/>
        </w:rPr>
        <w:t>R</w:t>
      </w:r>
      <w:r w:rsidR="009346D2" w:rsidRPr="00D45283">
        <w:rPr>
          <w:szCs w:val="32"/>
        </w:rPr>
        <w:t>esponsibilities of the Parties</w:t>
      </w:r>
    </w:p>
    <w:p w14:paraId="31CCB896" w14:textId="6DEEDCC7" w:rsidR="009346D2" w:rsidRPr="00C811E9" w:rsidRDefault="009346D2" w:rsidP="004F3EA2">
      <w:pPr>
        <w:pStyle w:val="Normalnumbered"/>
        <w:keepNext/>
        <w:numPr>
          <w:ilvl w:val="0"/>
          <w:numId w:val="34"/>
        </w:numPr>
        <w:jc w:val="left"/>
        <w:rPr>
          <w:color w:val="auto"/>
        </w:rPr>
      </w:pPr>
      <w:r>
        <w:rPr>
          <w:color w:val="auto"/>
        </w:rPr>
        <w:t>Policy responsibilities of the Commonwealth relevant to the housing sector and to this Agreement include</w:t>
      </w:r>
      <w:r w:rsidRPr="00C811E9">
        <w:rPr>
          <w:color w:val="auto"/>
        </w:rPr>
        <w:t>:</w:t>
      </w:r>
    </w:p>
    <w:p w14:paraId="15D223F1" w14:textId="64508D41" w:rsidR="009346D2" w:rsidRPr="007A4F52" w:rsidRDefault="009346D2" w:rsidP="004F3EA2">
      <w:pPr>
        <w:pStyle w:val="AlphaParagraph"/>
        <w:numPr>
          <w:ilvl w:val="0"/>
          <w:numId w:val="19"/>
        </w:numPr>
        <w:tabs>
          <w:tab w:val="clear" w:pos="283"/>
          <w:tab w:val="clear" w:pos="567"/>
          <w:tab w:val="clear" w:pos="1418"/>
          <w:tab w:val="clear" w:pos="1701"/>
        </w:tabs>
        <w:ind w:left="1134" w:hanging="567"/>
        <w:jc w:val="left"/>
        <w:rPr>
          <w:rFonts w:cs="Corbel"/>
          <w:color w:val="auto"/>
        </w:rPr>
      </w:pPr>
      <w:r w:rsidRPr="007A4F52">
        <w:rPr>
          <w:rFonts w:cs="Corbel"/>
          <w:color w:val="auto"/>
        </w:rPr>
        <w:t>income support and Commonwealth Rent Assistance</w:t>
      </w:r>
    </w:p>
    <w:p w14:paraId="39B99909" w14:textId="0147D840" w:rsidR="009346D2" w:rsidRPr="007A4F52" w:rsidRDefault="009346D2" w:rsidP="004F3EA2">
      <w:pPr>
        <w:pStyle w:val="AlphaParagraph"/>
        <w:numPr>
          <w:ilvl w:val="0"/>
          <w:numId w:val="19"/>
        </w:numPr>
        <w:tabs>
          <w:tab w:val="clear" w:pos="283"/>
          <w:tab w:val="clear" w:pos="567"/>
          <w:tab w:val="clear" w:pos="1418"/>
          <w:tab w:val="clear" w:pos="1701"/>
        </w:tabs>
        <w:ind w:left="1134" w:hanging="567"/>
        <w:jc w:val="left"/>
        <w:rPr>
          <w:rFonts w:cs="Corbel"/>
          <w:color w:val="auto"/>
        </w:rPr>
      </w:pPr>
      <w:r w:rsidRPr="007A4F52">
        <w:rPr>
          <w:rFonts w:cs="Corbel"/>
          <w:color w:val="auto"/>
        </w:rPr>
        <w:t>provision of Commonwealth own-purpose housing and homelessness related programs and services</w:t>
      </w:r>
      <w:r>
        <w:rPr>
          <w:rFonts w:cs="Corbel"/>
          <w:color w:val="auto"/>
        </w:rPr>
        <w:t>, including home ownership support</w:t>
      </w:r>
    </w:p>
    <w:p w14:paraId="2030C8DC" w14:textId="3C3FB65D" w:rsidR="009346D2" w:rsidRPr="007A4F52" w:rsidRDefault="009346D2" w:rsidP="004F3EA2">
      <w:pPr>
        <w:pStyle w:val="AlphaParagraph"/>
        <w:numPr>
          <w:ilvl w:val="0"/>
          <w:numId w:val="19"/>
        </w:numPr>
        <w:tabs>
          <w:tab w:val="clear" w:pos="283"/>
          <w:tab w:val="clear" w:pos="567"/>
          <w:tab w:val="clear" w:pos="1418"/>
          <w:tab w:val="clear" w:pos="1701"/>
        </w:tabs>
        <w:ind w:left="1134" w:hanging="567"/>
        <w:jc w:val="left"/>
        <w:rPr>
          <w:rFonts w:cs="Corbel"/>
          <w:color w:val="auto"/>
        </w:rPr>
      </w:pPr>
      <w:r w:rsidRPr="007A4F52">
        <w:rPr>
          <w:rFonts w:cs="Corbel"/>
          <w:color w:val="auto"/>
        </w:rPr>
        <w:t>immigration and settlement policy and programs</w:t>
      </w:r>
    </w:p>
    <w:p w14:paraId="0A966A8E" w14:textId="0B63C99C" w:rsidR="009346D2" w:rsidRPr="007A4F52" w:rsidRDefault="009346D2" w:rsidP="004F3EA2">
      <w:pPr>
        <w:pStyle w:val="AlphaParagraph"/>
        <w:numPr>
          <w:ilvl w:val="0"/>
          <w:numId w:val="19"/>
        </w:numPr>
        <w:tabs>
          <w:tab w:val="clear" w:pos="283"/>
          <w:tab w:val="clear" w:pos="567"/>
          <w:tab w:val="clear" w:pos="1418"/>
          <w:tab w:val="clear" w:pos="1701"/>
        </w:tabs>
        <w:ind w:left="1134" w:hanging="567"/>
        <w:jc w:val="left"/>
        <w:rPr>
          <w:rFonts w:cs="Corbel"/>
          <w:color w:val="auto"/>
        </w:rPr>
      </w:pPr>
      <w:r w:rsidRPr="007A4F52">
        <w:rPr>
          <w:rFonts w:cs="Corbel"/>
          <w:color w:val="auto"/>
        </w:rPr>
        <w:t xml:space="preserve">financial sector regulations and Commonwealth taxation settings that influence housing </w:t>
      </w:r>
      <w:r w:rsidR="00D05854">
        <w:rPr>
          <w:rFonts w:cs="Corbel"/>
          <w:color w:val="auto"/>
        </w:rPr>
        <w:t xml:space="preserve">supply and </w:t>
      </w:r>
      <w:r w:rsidRPr="007A4F52">
        <w:rPr>
          <w:rFonts w:cs="Corbel"/>
          <w:color w:val="auto"/>
        </w:rPr>
        <w:t>affordability</w:t>
      </w:r>
    </w:p>
    <w:p w14:paraId="478279C4" w14:textId="0E3A09CA" w:rsidR="009346D2" w:rsidRPr="007A4F52" w:rsidRDefault="009346D2" w:rsidP="004F3EA2">
      <w:pPr>
        <w:pStyle w:val="AlphaParagraph"/>
        <w:numPr>
          <w:ilvl w:val="0"/>
          <w:numId w:val="19"/>
        </w:numPr>
        <w:tabs>
          <w:tab w:val="clear" w:pos="283"/>
          <w:tab w:val="clear" w:pos="567"/>
          <w:tab w:val="clear" w:pos="1418"/>
          <w:tab w:val="clear" w:pos="1701"/>
        </w:tabs>
        <w:ind w:left="1134" w:hanging="567"/>
        <w:jc w:val="left"/>
        <w:rPr>
          <w:rFonts w:cs="Corbel"/>
          <w:color w:val="auto"/>
        </w:rPr>
      </w:pPr>
      <w:r>
        <w:rPr>
          <w:rFonts w:cs="Corbel"/>
          <w:color w:val="auto"/>
        </w:rPr>
        <w:t>building regulation</w:t>
      </w:r>
    </w:p>
    <w:p w14:paraId="7386262C" w14:textId="639652FD" w:rsidR="009346D2" w:rsidRDefault="009346D2" w:rsidP="004F3EA2">
      <w:pPr>
        <w:pStyle w:val="AlphaParagraph"/>
        <w:numPr>
          <w:ilvl w:val="0"/>
          <w:numId w:val="19"/>
        </w:numPr>
        <w:tabs>
          <w:tab w:val="clear" w:pos="283"/>
          <w:tab w:val="clear" w:pos="567"/>
          <w:tab w:val="clear" w:pos="1418"/>
          <w:tab w:val="clear" w:pos="1701"/>
        </w:tabs>
        <w:ind w:left="1134" w:hanging="567"/>
        <w:jc w:val="left"/>
        <w:rPr>
          <w:rFonts w:cs="Corbel"/>
          <w:color w:val="auto"/>
        </w:rPr>
      </w:pPr>
      <w:r>
        <w:rPr>
          <w:rFonts w:cs="Corbel"/>
          <w:color w:val="auto"/>
        </w:rPr>
        <w:t>population and migration settings</w:t>
      </w:r>
    </w:p>
    <w:p w14:paraId="7C735B3E" w14:textId="18FA8E20" w:rsidR="009346D2" w:rsidRDefault="009346D2" w:rsidP="004F3EA2">
      <w:pPr>
        <w:pStyle w:val="AlphaParagraph"/>
        <w:numPr>
          <w:ilvl w:val="0"/>
          <w:numId w:val="19"/>
        </w:numPr>
        <w:tabs>
          <w:tab w:val="clear" w:pos="283"/>
          <w:tab w:val="clear" w:pos="567"/>
          <w:tab w:val="clear" w:pos="1418"/>
          <w:tab w:val="clear" w:pos="1701"/>
        </w:tabs>
        <w:ind w:left="1134" w:hanging="567"/>
        <w:jc w:val="left"/>
        <w:rPr>
          <w:rFonts w:cs="Corbel"/>
          <w:color w:val="auto"/>
        </w:rPr>
      </w:pPr>
      <w:r>
        <w:rPr>
          <w:rFonts w:cs="Corbel"/>
          <w:color w:val="auto"/>
        </w:rPr>
        <w:t>financing for community and affordable housing</w:t>
      </w:r>
    </w:p>
    <w:p w14:paraId="7790F679" w14:textId="25E5CF6B" w:rsidR="002A4EDA" w:rsidRDefault="009346D2" w:rsidP="004F3EA2">
      <w:pPr>
        <w:pStyle w:val="AlphaParagraph"/>
        <w:numPr>
          <w:ilvl w:val="0"/>
          <w:numId w:val="19"/>
        </w:numPr>
        <w:tabs>
          <w:tab w:val="clear" w:pos="283"/>
          <w:tab w:val="clear" w:pos="567"/>
          <w:tab w:val="clear" w:pos="1418"/>
          <w:tab w:val="clear" w:pos="1701"/>
        </w:tabs>
        <w:ind w:left="1134" w:hanging="567"/>
        <w:jc w:val="left"/>
        <w:rPr>
          <w:rFonts w:cs="Corbel"/>
          <w:color w:val="auto"/>
        </w:rPr>
      </w:pPr>
      <w:r>
        <w:rPr>
          <w:rFonts w:cs="Corbel"/>
          <w:color w:val="auto"/>
        </w:rPr>
        <w:t>major infrastructure funding</w:t>
      </w:r>
    </w:p>
    <w:p w14:paraId="70806410" w14:textId="50305B7E" w:rsidR="009346D2" w:rsidRPr="007A4F52" w:rsidRDefault="002A4EDA" w:rsidP="004F3EA2">
      <w:pPr>
        <w:pStyle w:val="AlphaParagraph"/>
        <w:numPr>
          <w:ilvl w:val="0"/>
          <w:numId w:val="19"/>
        </w:numPr>
        <w:tabs>
          <w:tab w:val="clear" w:pos="283"/>
          <w:tab w:val="clear" w:pos="567"/>
          <w:tab w:val="clear" w:pos="1418"/>
          <w:tab w:val="clear" w:pos="1701"/>
        </w:tabs>
        <w:ind w:left="1134" w:hanging="567"/>
        <w:jc w:val="left"/>
        <w:rPr>
          <w:rFonts w:cs="Corbel"/>
          <w:color w:val="auto"/>
        </w:rPr>
      </w:pPr>
      <w:r>
        <w:rPr>
          <w:rFonts w:cs="Corbel"/>
          <w:color w:val="auto"/>
        </w:rPr>
        <w:t>aged care</w:t>
      </w:r>
      <w:r w:rsidR="009346D2">
        <w:rPr>
          <w:rFonts w:cs="Corbel"/>
          <w:color w:val="auto"/>
        </w:rPr>
        <w:t>.</w:t>
      </w:r>
    </w:p>
    <w:p w14:paraId="088BB479" w14:textId="6499D5F2" w:rsidR="009346D2" w:rsidRPr="007A4F52" w:rsidRDefault="009346D2" w:rsidP="004F3EA2">
      <w:pPr>
        <w:pStyle w:val="AlphaParagraph"/>
        <w:numPr>
          <w:ilvl w:val="0"/>
          <w:numId w:val="34"/>
        </w:numPr>
        <w:tabs>
          <w:tab w:val="clear" w:pos="283"/>
          <w:tab w:val="clear" w:pos="1134"/>
          <w:tab w:val="clear" w:pos="1418"/>
          <w:tab w:val="clear" w:pos="1701"/>
        </w:tabs>
        <w:jc w:val="left"/>
        <w:rPr>
          <w:rFonts w:cs="Corbel"/>
          <w:color w:val="auto"/>
        </w:rPr>
      </w:pPr>
      <w:r>
        <w:rPr>
          <w:rFonts w:cs="Corbel"/>
          <w:color w:val="auto"/>
        </w:rPr>
        <w:t>Relevant policy responsibilities of the States include:</w:t>
      </w:r>
    </w:p>
    <w:p w14:paraId="729746C4" w14:textId="1F86DCF6" w:rsidR="009346D2" w:rsidRDefault="009346D2" w:rsidP="004F3EA2">
      <w:pPr>
        <w:pStyle w:val="AlphaParagraph"/>
        <w:numPr>
          <w:ilvl w:val="1"/>
          <w:numId w:val="34"/>
        </w:numPr>
        <w:tabs>
          <w:tab w:val="clear" w:pos="283"/>
          <w:tab w:val="clear" w:pos="567"/>
          <w:tab w:val="clear" w:pos="1134"/>
          <w:tab w:val="clear" w:pos="1418"/>
          <w:tab w:val="clear" w:pos="1701"/>
        </w:tabs>
        <w:ind w:left="1134"/>
        <w:jc w:val="left"/>
        <w:rPr>
          <w:rFonts w:cs="Corbel"/>
          <w:color w:val="auto"/>
        </w:rPr>
      </w:pPr>
      <w:r>
        <w:rPr>
          <w:rFonts w:cs="Corbel"/>
          <w:color w:val="auto"/>
        </w:rPr>
        <w:t>public housing provision</w:t>
      </w:r>
    </w:p>
    <w:p w14:paraId="3082D1FA" w14:textId="13D79C51" w:rsidR="009346D2" w:rsidRDefault="009346D2" w:rsidP="004F3EA2">
      <w:pPr>
        <w:pStyle w:val="AlphaParagraph"/>
        <w:numPr>
          <w:ilvl w:val="1"/>
          <w:numId w:val="34"/>
        </w:numPr>
        <w:tabs>
          <w:tab w:val="clear" w:pos="283"/>
          <w:tab w:val="clear" w:pos="567"/>
          <w:tab w:val="clear" w:pos="1134"/>
          <w:tab w:val="clear" w:pos="1418"/>
          <w:tab w:val="clear" w:pos="1701"/>
        </w:tabs>
        <w:ind w:left="1134"/>
        <w:jc w:val="left"/>
        <w:rPr>
          <w:rFonts w:cs="Corbel"/>
          <w:color w:val="auto"/>
        </w:rPr>
      </w:pPr>
      <w:r>
        <w:rPr>
          <w:rFonts w:cs="Corbel"/>
          <w:color w:val="auto"/>
        </w:rPr>
        <w:t>community housing support and legislation to support the operation of the national regulatory system for community housing</w:t>
      </w:r>
    </w:p>
    <w:p w14:paraId="25BE3891" w14:textId="4C6CE93B" w:rsidR="009346D2" w:rsidRDefault="002A4EDA" w:rsidP="004F3EA2">
      <w:pPr>
        <w:pStyle w:val="AlphaParagraph"/>
        <w:numPr>
          <w:ilvl w:val="1"/>
          <w:numId w:val="34"/>
        </w:numPr>
        <w:tabs>
          <w:tab w:val="clear" w:pos="283"/>
          <w:tab w:val="clear" w:pos="567"/>
          <w:tab w:val="clear" w:pos="1134"/>
          <w:tab w:val="clear" w:pos="1418"/>
          <w:tab w:val="clear" w:pos="1701"/>
        </w:tabs>
        <w:ind w:left="1134"/>
        <w:jc w:val="left"/>
        <w:rPr>
          <w:rFonts w:cs="Corbel"/>
          <w:color w:val="auto"/>
        </w:rPr>
      </w:pPr>
      <w:r>
        <w:rPr>
          <w:rFonts w:cs="Corbel"/>
          <w:color w:val="auto"/>
        </w:rPr>
        <w:t>provi</w:t>
      </w:r>
      <w:r w:rsidR="009D6FD8">
        <w:rPr>
          <w:rFonts w:cs="Corbel"/>
          <w:color w:val="auto"/>
        </w:rPr>
        <w:t>ding</w:t>
      </w:r>
      <w:r>
        <w:rPr>
          <w:rFonts w:cs="Corbel"/>
          <w:color w:val="auto"/>
        </w:rPr>
        <w:t xml:space="preserve"> crisis accommodation and </w:t>
      </w:r>
      <w:r w:rsidR="009346D2">
        <w:rPr>
          <w:rFonts w:cs="Corbel"/>
          <w:color w:val="auto"/>
        </w:rPr>
        <w:t xml:space="preserve">support services for </w:t>
      </w:r>
      <w:r>
        <w:rPr>
          <w:rFonts w:cs="Corbel"/>
          <w:color w:val="auto"/>
        </w:rPr>
        <w:t xml:space="preserve">people </w:t>
      </w:r>
      <w:r w:rsidR="009346D2">
        <w:rPr>
          <w:rFonts w:cs="Corbel"/>
          <w:color w:val="auto"/>
        </w:rPr>
        <w:t xml:space="preserve">experiencing or at risk of homelessness </w:t>
      </w:r>
    </w:p>
    <w:p w14:paraId="0D8CD6DD" w14:textId="6E32EDBE" w:rsidR="009346D2" w:rsidRDefault="009346D2" w:rsidP="004F3EA2">
      <w:pPr>
        <w:pStyle w:val="AlphaParagraph"/>
        <w:numPr>
          <w:ilvl w:val="1"/>
          <w:numId w:val="34"/>
        </w:numPr>
        <w:tabs>
          <w:tab w:val="clear" w:pos="283"/>
          <w:tab w:val="clear" w:pos="567"/>
          <w:tab w:val="clear" w:pos="1134"/>
          <w:tab w:val="clear" w:pos="1418"/>
          <w:tab w:val="clear" w:pos="1701"/>
        </w:tabs>
        <w:ind w:left="1134"/>
        <w:jc w:val="left"/>
        <w:rPr>
          <w:rFonts w:cs="Corbel"/>
          <w:color w:val="auto"/>
        </w:rPr>
      </w:pPr>
      <w:r>
        <w:rPr>
          <w:rFonts w:cs="Corbel"/>
          <w:color w:val="auto"/>
        </w:rPr>
        <w:t>land use, supply, and urban planning and development policy</w:t>
      </w:r>
    </w:p>
    <w:p w14:paraId="6F1B9AFF" w14:textId="77777777" w:rsidR="009346D2" w:rsidRDefault="009346D2" w:rsidP="004F3EA2">
      <w:pPr>
        <w:pStyle w:val="AlphaParagraph"/>
        <w:numPr>
          <w:ilvl w:val="1"/>
          <w:numId w:val="34"/>
        </w:numPr>
        <w:tabs>
          <w:tab w:val="clear" w:pos="283"/>
          <w:tab w:val="clear" w:pos="567"/>
          <w:tab w:val="clear" w:pos="1134"/>
          <w:tab w:val="clear" w:pos="1418"/>
          <w:tab w:val="clear" w:pos="1701"/>
        </w:tabs>
        <w:ind w:left="1134"/>
        <w:jc w:val="left"/>
        <w:rPr>
          <w:rFonts w:cs="Corbel"/>
          <w:color w:val="auto"/>
        </w:rPr>
      </w:pPr>
      <w:r>
        <w:rPr>
          <w:rFonts w:cs="Corbel"/>
          <w:color w:val="auto"/>
        </w:rPr>
        <w:t>rental tenancy legislation and regulation</w:t>
      </w:r>
    </w:p>
    <w:p w14:paraId="11162A1E" w14:textId="0A2DFD3F" w:rsidR="009346D2" w:rsidRDefault="009867ED" w:rsidP="004F3EA2">
      <w:pPr>
        <w:pStyle w:val="AlphaParagraph"/>
        <w:numPr>
          <w:ilvl w:val="1"/>
          <w:numId w:val="34"/>
        </w:numPr>
        <w:tabs>
          <w:tab w:val="clear" w:pos="283"/>
          <w:tab w:val="clear" w:pos="567"/>
          <w:tab w:val="clear" w:pos="1134"/>
          <w:tab w:val="clear" w:pos="1418"/>
          <w:tab w:val="clear" w:pos="1701"/>
        </w:tabs>
        <w:ind w:left="1134"/>
        <w:jc w:val="left"/>
        <w:rPr>
          <w:rFonts w:cs="Corbel"/>
          <w:color w:val="auto"/>
        </w:rPr>
      </w:pPr>
      <w:r>
        <w:rPr>
          <w:rFonts w:cs="Corbel"/>
          <w:color w:val="auto"/>
        </w:rPr>
        <w:t>homeowner</w:t>
      </w:r>
      <w:r w:rsidR="009346D2">
        <w:rPr>
          <w:rFonts w:cs="Corbel"/>
          <w:color w:val="auto"/>
        </w:rPr>
        <w:t xml:space="preserve"> support</w:t>
      </w:r>
    </w:p>
    <w:p w14:paraId="1A5A6F95" w14:textId="77777777" w:rsidR="009346D2" w:rsidRDefault="009346D2" w:rsidP="004F3EA2">
      <w:pPr>
        <w:pStyle w:val="AlphaParagraph"/>
        <w:numPr>
          <w:ilvl w:val="1"/>
          <w:numId w:val="34"/>
        </w:numPr>
        <w:tabs>
          <w:tab w:val="clear" w:pos="283"/>
          <w:tab w:val="clear" w:pos="567"/>
          <w:tab w:val="clear" w:pos="1134"/>
          <w:tab w:val="clear" w:pos="1418"/>
          <w:tab w:val="clear" w:pos="1701"/>
        </w:tabs>
        <w:ind w:left="1134"/>
        <w:jc w:val="left"/>
        <w:rPr>
          <w:rFonts w:cs="Corbel"/>
          <w:color w:val="auto"/>
        </w:rPr>
      </w:pPr>
      <w:r>
        <w:rPr>
          <w:rFonts w:cs="Corbel"/>
          <w:color w:val="auto"/>
        </w:rPr>
        <w:t>planning regulation</w:t>
      </w:r>
    </w:p>
    <w:p w14:paraId="608756CB" w14:textId="77777777" w:rsidR="009346D2" w:rsidRDefault="009346D2" w:rsidP="004F3EA2">
      <w:pPr>
        <w:pStyle w:val="AlphaParagraph"/>
        <w:numPr>
          <w:ilvl w:val="1"/>
          <w:numId w:val="34"/>
        </w:numPr>
        <w:tabs>
          <w:tab w:val="clear" w:pos="283"/>
          <w:tab w:val="clear" w:pos="567"/>
          <w:tab w:val="clear" w:pos="1134"/>
          <w:tab w:val="clear" w:pos="1418"/>
          <w:tab w:val="clear" w:pos="1701"/>
        </w:tabs>
        <w:ind w:left="1134"/>
        <w:jc w:val="left"/>
        <w:rPr>
          <w:rFonts w:cs="Corbel"/>
          <w:color w:val="auto"/>
        </w:rPr>
      </w:pPr>
      <w:r>
        <w:rPr>
          <w:rFonts w:cs="Corbel"/>
          <w:color w:val="auto"/>
        </w:rPr>
        <w:t>taxes and duties that influence housing affordability</w:t>
      </w:r>
    </w:p>
    <w:p w14:paraId="13F3801B" w14:textId="5E4036E8" w:rsidR="009346D2" w:rsidRDefault="009346D2" w:rsidP="004F3EA2">
      <w:pPr>
        <w:pStyle w:val="AlphaParagraph"/>
        <w:numPr>
          <w:ilvl w:val="1"/>
          <w:numId w:val="34"/>
        </w:numPr>
        <w:tabs>
          <w:tab w:val="clear" w:pos="283"/>
          <w:tab w:val="clear" w:pos="567"/>
          <w:tab w:val="clear" w:pos="1134"/>
          <w:tab w:val="clear" w:pos="1418"/>
          <w:tab w:val="clear" w:pos="1701"/>
        </w:tabs>
        <w:ind w:left="1134"/>
        <w:jc w:val="left"/>
        <w:rPr>
          <w:rFonts w:cs="Corbel"/>
          <w:color w:val="auto"/>
        </w:rPr>
      </w:pPr>
      <w:r w:rsidRPr="00FA50AC">
        <w:rPr>
          <w:rFonts w:cs="Corbel"/>
          <w:color w:val="auto"/>
        </w:rPr>
        <w:t>infrastructure funding and policy associated with residential development.</w:t>
      </w:r>
    </w:p>
    <w:sectPr w:rsidR="009346D2" w:rsidSect="00F42F0F">
      <w:headerReference w:type="even" r:id="rId12"/>
      <w:headerReference w:type="default" r:id="rId13"/>
      <w:headerReference w:type="first" r:id="rId14"/>
      <w:pgSz w:w="11906" w:h="16838" w:code="9"/>
      <w:pgMar w:top="1134" w:right="1134" w:bottom="1134" w:left="1134" w:header="709" w:footer="709"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0502" w14:textId="77777777" w:rsidR="00EF220F" w:rsidRDefault="00EF220F">
      <w:r>
        <w:separator/>
      </w:r>
    </w:p>
  </w:endnote>
  <w:endnote w:type="continuationSeparator" w:id="0">
    <w:p w14:paraId="41FF4FA0" w14:textId="77777777" w:rsidR="00EF220F" w:rsidRDefault="00EF220F">
      <w:r>
        <w:continuationSeparator/>
      </w:r>
    </w:p>
  </w:endnote>
  <w:endnote w:type="continuationNotice" w:id="1">
    <w:p w14:paraId="2DE34C75" w14:textId="77777777" w:rsidR="00EF220F" w:rsidRDefault="00EF2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935750"/>
      <w:docPartObj>
        <w:docPartGallery w:val="Page Numbers (Bottom of Page)"/>
        <w:docPartUnique/>
      </w:docPartObj>
    </w:sdtPr>
    <w:sdtEndPr>
      <w:rPr>
        <w:noProof/>
      </w:rPr>
    </w:sdtEndPr>
    <w:sdtContent>
      <w:p w14:paraId="236CFFA4" w14:textId="2AA7EEA1" w:rsidR="006B2C8E" w:rsidRDefault="006B2C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728F2E" w14:textId="77777777" w:rsidR="006B2C8E" w:rsidRDefault="006B2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01805"/>
      <w:docPartObj>
        <w:docPartGallery w:val="Page Numbers (Bottom of Page)"/>
        <w:docPartUnique/>
      </w:docPartObj>
    </w:sdtPr>
    <w:sdtEndPr/>
    <w:sdtContent>
      <w:p w14:paraId="7C5B9145" w14:textId="77777777" w:rsidR="00241C91" w:rsidRDefault="00241C91">
        <w:pPr>
          <w:pStyle w:val="Footer"/>
          <w:jc w:val="right"/>
        </w:pPr>
      </w:p>
      <w:p w14:paraId="792B37B1" w14:textId="7D9C69E1" w:rsidR="00241C91" w:rsidRDefault="00241C91">
        <w:pPr>
          <w:pStyle w:val="Footer"/>
          <w:jc w:val="right"/>
        </w:pPr>
        <w:r>
          <w:t xml:space="preserve">         Page | </w:t>
        </w:r>
        <w:r>
          <w:fldChar w:fldCharType="begin"/>
        </w:r>
        <w:r>
          <w:instrText xml:space="preserve"> PAGE   \* MERGEFORMAT </w:instrText>
        </w:r>
        <w:r>
          <w:fldChar w:fldCharType="separate"/>
        </w:r>
        <w:r w:rsidR="00011733">
          <w:rPr>
            <w:noProof/>
          </w:rPr>
          <w:t>12</w:t>
        </w:r>
        <w:r>
          <w:rPr>
            <w:noProof/>
          </w:rPr>
          <w:fldChar w:fldCharType="end"/>
        </w:r>
        <w:r>
          <w:t xml:space="preserve"> </w:t>
        </w:r>
      </w:p>
    </w:sdtContent>
  </w:sdt>
  <w:p w14:paraId="7CD10149" w14:textId="77777777" w:rsidR="00241C91" w:rsidRDefault="0024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482987"/>
      <w:docPartObj>
        <w:docPartGallery w:val="Page Numbers (Bottom of Page)"/>
        <w:docPartUnique/>
      </w:docPartObj>
    </w:sdtPr>
    <w:sdtEndPr>
      <w:rPr>
        <w:noProof/>
      </w:rPr>
    </w:sdtEndPr>
    <w:sdtContent>
      <w:p w14:paraId="76C6BF63" w14:textId="3A69EEC8" w:rsidR="006B2C8E" w:rsidRDefault="006B2C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F9FDCA" w14:textId="77777777" w:rsidR="00241C91" w:rsidRDefault="00241C91" w:rsidP="00FE1497">
    <w:pPr>
      <w:pStyle w:val="FooterEven"/>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FF25" w14:textId="77777777" w:rsidR="00EF220F" w:rsidRDefault="00EF220F">
      <w:r>
        <w:separator/>
      </w:r>
    </w:p>
  </w:footnote>
  <w:footnote w:type="continuationSeparator" w:id="0">
    <w:p w14:paraId="36F42CCF" w14:textId="77777777" w:rsidR="00EF220F" w:rsidRDefault="00EF220F">
      <w:r>
        <w:continuationSeparator/>
      </w:r>
    </w:p>
  </w:footnote>
  <w:footnote w:type="continuationNotice" w:id="1">
    <w:p w14:paraId="3A876919" w14:textId="77777777" w:rsidR="00EF220F" w:rsidRDefault="00EF22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C651" w14:textId="10FF1930" w:rsidR="00934A2B" w:rsidRPr="00E533E9" w:rsidRDefault="00921416" w:rsidP="00934A2B">
    <w:pPr>
      <w:pStyle w:val="HeaderOdd"/>
      <w:tabs>
        <w:tab w:val="num" w:pos="1134"/>
      </w:tabs>
      <w:rPr>
        <w:color w:val="auto"/>
      </w:rPr>
    </w:pPr>
    <w:r w:rsidRPr="00423BB8">
      <w:rPr>
        <w:color w:val="auto"/>
      </w:rPr>
      <w:t>National</w:t>
    </w:r>
    <w:r w:rsidR="00241C91" w:rsidRPr="00423BB8">
      <w:rPr>
        <w:color w:val="auto"/>
      </w:rPr>
      <w:t xml:space="preserve"> </w:t>
    </w:r>
    <w:r w:rsidR="00E533E9">
      <w:rPr>
        <w:color w:val="auto"/>
      </w:rPr>
      <w:t>Agreement</w:t>
    </w:r>
    <w:r w:rsidR="00934A2B">
      <w:rPr>
        <w:color w:val="auto"/>
      </w:rPr>
      <w:t xml:space="preserve"> on Social Housing and Homelessness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899F" w14:textId="02E4B6D7" w:rsidR="00C67B59" w:rsidRDefault="00C67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53" w14:textId="77777777" w:rsidR="00BA32AB" w:rsidRDefault="00BA32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1288" w14:textId="77777777" w:rsidR="00BA32AB" w:rsidRDefault="00BA32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4AB4" w14:textId="77777777" w:rsidR="00BA32AB" w:rsidRDefault="00BA3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15:restartNumberingAfterBreak="0">
    <w:nsid w:val="04B37A46"/>
    <w:multiLevelType w:val="hybridMultilevel"/>
    <w:tmpl w:val="D4160CEC"/>
    <w:lvl w:ilvl="0" w:tplc="02E09162">
      <w:start w:val="1"/>
      <w:numFmt w:val="lowerRoman"/>
      <w:lvlText w:val="%1."/>
      <w:lvlJc w:val="right"/>
      <w:pPr>
        <w:ind w:left="720" w:hanging="360"/>
      </w:pPr>
      <w:rPr>
        <w:rFonts w:ascii="Corbel" w:hAnsi="Corbe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E1A62"/>
    <w:multiLevelType w:val="hybridMultilevel"/>
    <w:tmpl w:val="A89ABEF0"/>
    <w:lvl w:ilvl="0" w:tplc="43C0987C">
      <w:start w:val="1"/>
      <w:numFmt w:val="lowerLetter"/>
      <w:lvlText w:val="(%1)"/>
      <w:lvlJc w:val="right"/>
      <w:pPr>
        <w:tabs>
          <w:tab w:val="num" w:pos="1440"/>
        </w:tabs>
        <w:ind w:left="1440" w:hanging="360"/>
      </w:pPr>
      <w:rPr>
        <w:rFonts w:ascii="Corbel" w:eastAsia="Times New Roman" w:hAnsi="Corbe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765BC8"/>
    <w:multiLevelType w:val="hybridMultilevel"/>
    <w:tmpl w:val="83A24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5" w15:restartNumberingAfterBreak="0">
    <w:nsid w:val="0F056D8A"/>
    <w:multiLevelType w:val="hybridMultilevel"/>
    <w:tmpl w:val="5816B7F8"/>
    <w:lvl w:ilvl="0" w:tplc="1F40578E">
      <w:start w:val="1"/>
      <w:numFmt w:val="decimal"/>
      <w:lvlText w:val="E%1."/>
      <w:lvlJc w:val="left"/>
      <w:pPr>
        <w:tabs>
          <w:tab w:val="num" w:pos="567"/>
        </w:tabs>
        <w:ind w:left="567" w:hanging="567"/>
      </w:pPr>
      <w:rPr>
        <w:rFonts w:cs="Times New Roman" w:hint="default"/>
        <w:b w:val="0"/>
        <w:color w:val="auto"/>
        <w:sz w:val="23"/>
        <w:szCs w:val="23"/>
      </w:rPr>
    </w:lvl>
    <w:lvl w:ilvl="1" w:tplc="43C0987C">
      <w:start w:val="1"/>
      <w:numFmt w:val="lowerLetter"/>
      <w:lvlText w:val="(%2)"/>
      <w:lvlJc w:val="right"/>
      <w:pPr>
        <w:ind w:left="1440" w:hanging="360"/>
      </w:pPr>
      <w:rPr>
        <w:rFonts w:ascii="Corbel" w:eastAsia="Times New Roman" w:hAnsi="Corbel"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B2187D"/>
    <w:multiLevelType w:val="multilevel"/>
    <w:tmpl w:val="6804EA1A"/>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960AED"/>
    <w:multiLevelType w:val="hybridMultilevel"/>
    <w:tmpl w:val="47E21A20"/>
    <w:lvl w:ilvl="0" w:tplc="E5069630">
      <w:start w:val="1"/>
      <w:numFmt w:val="decimal"/>
      <w:lvlText w:val="C%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189C8D72">
      <w:start w:val="1"/>
      <w:numFmt w:val="lowerRoman"/>
      <w:lvlText w:val="i.%4."/>
      <w:lvlJc w:val="left"/>
      <w:pPr>
        <w:tabs>
          <w:tab w:val="num" w:pos="2880"/>
        </w:tabs>
        <w:ind w:left="2880" w:hanging="360"/>
      </w:pPr>
      <w:rPr>
        <w:rFonts w:cs="Times New Roman" w:hint="default"/>
      </w:rPr>
    </w:lvl>
    <w:lvl w:ilvl="4" w:tplc="893A0FB6">
      <w:start w:val="426"/>
      <w:numFmt w:val="bullet"/>
      <w:lvlText w:val="–"/>
      <w:lvlJc w:val="left"/>
      <w:pPr>
        <w:ind w:left="3600" w:hanging="360"/>
      </w:pPr>
      <w:rPr>
        <w:rFonts w:ascii="Corbel" w:eastAsia="Times New Roman" w:hAnsi="Corbel" w:cs="Times New Roman" w:hint="default"/>
        <w:color w:val="000000"/>
        <w:sz w:val="23"/>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5743D8F"/>
    <w:multiLevelType w:val="multilevel"/>
    <w:tmpl w:val="5FBC495E"/>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cs="Times New Roman"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5E92E5D"/>
    <w:multiLevelType w:val="hybridMultilevel"/>
    <w:tmpl w:val="413CE978"/>
    <w:lvl w:ilvl="0" w:tplc="EC42698E">
      <w:start w:val="1"/>
      <w:numFmt w:val="lowerLetter"/>
      <w:lvlText w:val="(%1)"/>
      <w:lvlJc w:val="left"/>
      <w:pPr>
        <w:tabs>
          <w:tab w:val="num" w:pos="1080"/>
        </w:tabs>
        <w:ind w:left="1080" w:hanging="360"/>
      </w:pPr>
      <w:rPr>
        <w:rFonts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C960FD"/>
    <w:multiLevelType w:val="multilevel"/>
    <w:tmpl w:val="71BCA994"/>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3" w15:restartNumberingAfterBreak="0">
    <w:nsid w:val="22FA117C"/>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4"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6" w15:restartNumberingAfterBreak="0">
    <w:nsid w:val="27C72E2F"/>
    <w:multiLevelType w:val="hybridMultilevel"/>
    <w:tmpl w:val="20F4971C"/>
    <w:lvl w:ilvl="0" w:tplc="FFFFFFFF">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right"/>
      <w:pPr>
        <w:tabs>
          <w:tab w:val="num" w:pos="1440"/>
        </w:tabs>
        <w:ind w:left="1440" w:hanging="360"/>
      </w:pPr>
      <w:rPr>
        <w:rFonts w:ascii="Corbel" w:eastAsia="Times New Roman" w:hAnsi="Corbel"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lowerRoman"/>
      <w:lvlText w:val="i.%4."/>
      <w:lvlJc w:val="left"/>
      <w:pPr>
        <w:tabs>
          <w:tab w:val="num" w:pos="2880"/>
        </w:tabs>
        <w:ind w:left="2880" w:hanging="360"/>
      </w:pPr>
      <w:rPr>
        <w:rFonts w:cs="Times New Roman" w:hint="default"/>
      </w:rPr>
    </w:lvl>
    <w:lvl w:ilvl="4" w:tplc="B74C73E6">
      <w:numFmt w:val="bullet"/>
      <w:lvlText w:val=""/>
      <w:lvlJc w:val="left"/>
      <w:pPr>
        <w:ind w:left="3600" w:hanging="360"/>
      </w:pPr>
      <w:rPr>
        <w:rFonts w:ascii="Symbol" w:eastAsia="Times New Roman" w:hAnsi="Symbol" w:cs="Times New Roman" w:hint="default"/>
        <w:b/>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8"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359E324E"/>
    <w:multiLevelType w:val="hybridMultilevel"/>
    <w:tmpl w:val="D2688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364F65"/>
    <w:multiLevelType w:val="hybridMultilevel"/>
    <w:tmpl w:val="745C467E"/>
    <w:lvl w:ilvl="0" w:tplc="C7A20B22">
      <w:start w:val="1"/>
      <w:numFmt w:val="decimal"/>
      <w:lvlText w:val="D%1."/>
      <w:lvlJc w:val="left"/>
      <w:pPr>
        <w:tabs>
          <w:tab w:val="num" w:pos="567"/>
        </w:tabs>
        <w:ind w:left="567" w:hanging="567"/>
      </w:pPr>
      <w:rPr>
        <w:rFonts w:cs="Times New Roman" w:hint="default"/>
        <w:b w:val="0"/>
        <w:color w:val="auto"/>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EC1F62"/>
    <w:multiLevelType w:val="hybridMultilevel"/>
    <w:tmpl w:val="413CE978"/>
    <w:lvl w:ilvl="0" w:tplc="FFFFFFFF">
      <w:start w:val="1"/>
      <w:numFmt w:val="lowerLetter"/>
      <w:lvlText w:val="(%1)"/>
      <w:lvlJc w:val="left"/>
      <w:pPr>
        <w:tabs>
          <w:tab w:val="num" w:pos="1080"/>
        </w:tabs>
        <w:ind w:left="1080" w:hanging="360"/>
      </w:pPr>
      <w:rPr>
        <w:rFonts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3" w15:restartNumberingAfterBreak="0">
    <w:nsid w:val="53C910EC"/>
    <w:multiLevelType w:val="hybridMultilevel"/>
    <w:tmpl w:val="17903CA4"/>
    <w:lvl w:ilvl="0" w:tplc="4F783FF0">
      <w:start w:val="3"/>
      <w:numFmt w:val="decimal"/>
      <w:lvlText w:val="C%1."/>
      <w:lvlJc w:val="left"/>
      <w:pPr>
        <w:tabs>
          <w:tab w:val="num" w:pos="567"/>
        </w:tabs>
        <w:ind w:left="567" w:hanging="567"/>
      </w:pPr>
      <w:rPr>
        <w:rFonts w:ascii="Corbel" w:hAnsi="Corbel" w:cs="Times New Roman" w:hint="default"/>
        <w:b w:val="0"/>
        <w:color w:val="auto"/>
        <w:sz w:val="23"/>
        <w:szCs w:val="23"/>
      </w:rPr>
    </w:lvl>
    <w:lvl w:ilvl="1" w:tplc="0C090019">
      <w:start w:val="1"/>
      <w:numFmt w:val="lowerLetter"/>
      <w:lvlText w:val="%2."/>
      <w:lvlJc w:val="left"/>
      <w:pPr>
        <w:ind w:left="360" w:hanging="360"/>
      </w:pPr>
    </w:lvl>
    <w:lvl w:ilvl="2" w:tplc="0C09001B">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4" w15:restartNumberingAfterBreak="0">
    <w:nsid w:val="541E5D57"/>
    <w:multiLevelType w:val="hybridMultilevel"/>
    <w:tmpl w:val="52D8948E"/>
    <w:lvl w:ilvl="0" w:tplc="43C0987C">
      <w:start w:val="1"/>
      <w:numFmt w:val="lowerLetter"/>
      <w:lvlText w:val="(%1)"/>
      <w:lvlJc w:val="right"/>
      <w:pPr>
        <w:tabs>
          <w:tab w:val="num" w:pos="1854"/>
        </w:tabs>
        <w:ind w:left="1854" w:hanging="567"/>
      </w:pPr>
      <w:rPr>
        <w:rFonts w:ascii="Corbel" w:eastAsia="Times New Roman" w:hAnsi="Corbel" w:cs="Times New Roman" w:hint="default"/>
        <w:b w:val="0"/>
        <w:color w:val="auto"/>
        <w:sz w:val="23"/>
        <w:szCs w:val="23"/>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55597701"/>
    <w:multiLevelType w:val="hybridMultilevel"/>
    <w:tmpl w:val="51E05D06"/>
    <w:lvl w:ilvl="0" w:tplc="FFFFFFFF">
      <w:start w:val="1"/>
      <w:numFmt w:val="lowerLetter"/>
      <w:lvlText w:val="(%1)"/>
      <w:lvlJc w:val="right"/>
      <w:pPr>
        <w:ind w:left="1440" w:hanging="360"/>
      </w:pPr>
      <w:rPr>
        <w:rFonts w:ascii="Corbel" w:eastAsia="Times New Roman" w:hAnsi="Corbe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9" w15:restartNumberingAfterBreak="0">
    <w:nsid w:val="60A73A1E"/>
    <w:multiLevelType w:val="hybridMultilevel"/>
    <w:tmpl w:val="9AFC42BC"/>
    <w:lvl w:ilvl="0" w:tplc="7B82C67C">
      <w:start w:val="11"/>
      <w:numFmt w:val="decimal"/>
      <w:lvlText w:val="E%1."/>
      <w:lvlJc w:val="left"/>
      <w:pPr>
        <w:tabs>
          <w:tab w:val="num" w:pos="567"/>
        </w:tabs>
        <w:ind w:left="567" w:hanging="567"/>
      </w:pPr>
      <w:rPr>
        <w:rFonts w:cs="Times New Roman" w:hint="default"/>
        <w:b w:val="0"/>
        <w:color w:val="auto"/>
        <w:sz w:val="23"/>
        <w:szCs w:val="23"/>
      </w:rPr>
    </w:lvl>
    <w:lvl w:ilvl="1" w:tplc="43C0987C">
      <w:start w:val="1"/>
      <w:numFmt w:val="lowerLetter"/>
      <w:lvlText w:val="(%2)"/>
      <w:lvlJc w:val="right"/>
      <w:pPr>
        <w:ind w:left="1440" w:hanging="360"/>
      </w:pPr>
      <w:rPr>
        <w:rFonts w:ascii="Corbel" w:eastAsia="Times New Roman" w:hAnsi="Corbel"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38759E"/>
    <w:multiLevelType w:val="hybridMultilevel"/>
    <w:tmpl w:val="10421D64"/>
    <w:lvl w:ilvl="0" w:tplc="FFFFFFFF">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right"/>
      <w:pPr>
        <w:tabs>
          <w:tab w:val="num" w:pos="1440"/>
        </w:tabs>
        <w:ind w:left="1440" w:hanging="360"/>
      </w:pPr>
      <w:rPr>
        <w:rFonts w:ascii="Corbel" w:eastAsia="Times New Roman" w:hAnsi="Corbel"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lowerRoman"/>
      <w:lvlText w:val="i.%4."/>
      <w:lvlJc w:val="left"/>
      <w:pPr>
        <w:tabs>
          <w:tab w:val="num" w:pos="2880"/>
        </w:tabs>
        <w:ind w:left="2880" w:hanging="360"/>
      </w:pPr>
      <w:rPr>
        <w:rFonts w:cs="Times New Roman" w:hint="default"/>
      </w:rPr>
    </w:lvl>
    <w:lvl w:ilvl="4" w:tplc="071898FE">
      <w:start w:val="7"/>
      <w:numFmt w:val="bullet"/>
      <w:lvlText w:val=""/>
      <w:lvlJc w:val="left"/>
      <w:pPr>
        <w:ind w:left="3600" w:hanging="360"/>
      </w:pPr>
      <w:rPr>
        <w:rFonts w:ascii="Symbol" w:eastAsia="Times New Roman" w:hAnsi="Symbol" w:cstheme="minorHAnsi"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6462A4"/>
    <w:multiLevelType w:val="hybridMultilevel"/>
    <w:tmpl w:val="6EBA3BD6"/>
    <w:lvl w:ilvl="0" w:tplc="9384CA0E">
      <w:start w:val="1"/>
      <w:numFmt w:val="decimal"/>
      <w:lvlText w:val="B%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right"/>
      <w:pPr>
        <w:tabs>
          <w:tab w:val="num" w:pos="1440"/>
        </w:tabs>
        <w:ind w:left="1440" w:hanging="360"/>
      </w:pPr>
      <w:rPr>
        <w:rFonts w:ascii="Corbel" w:eastAsia="Times New Roman" w:hAnsi="Corbel"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lowerRoman"/>
      <w:lvlText w:val="i.%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33" w15:restartNumberingAfterBreak="0">
    <w:nsid w:val="6D5D4AD2"/>
    <w:multiLevelType w:val="multilevel"/>
    <w:tmpl w:val="4F640362"/>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5" w15:restartNumberingAfterBreak="0">
    <w:nsid w:val="6D907855"/>
    <w:multiLevelType w:val="hybridMultilevel"/>
    <w:tmpl w:val="4E0A2B5A"/>
    <w:lvl w:ilvl="0" w:tplc="EC42698E">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D9509F"/>
    <w:multiLevelType w:val="hybridMultilevel"/>
    <w:tmpl w:val="3642E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004094"/>
    <w:multiLevelType w:val="hybridMultilevel"/>
    <w:tmpl w:val="82ECF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224D93"/>
    <w:multiLevelType w:val="multilevel"/>
    <w:tmpl w:val="A1EC7458"/>
    <w:lvl w:ilvl="0">
      <w:start w:val="1"/>
      <w:numFmt w:val="lowerLetter"/>
      <w:lvlRestart w:val="0"/>
      <w:lvlText w:val="(%1)"/>
      <w:lvlJc w:val="left"/>
      <w:pPr>
        <w:tabs>
          <w:tab w:val="num" w:pos="1854"/>
        </w:tabs>
        <w:ind w:left="1287"/>
      </w:pPr>
      <w:rPr>
        <w:rFonts w:cs="Times New Roman" w:hint="default"/>
        <w:b w:val="0"/>
        <w:i w:val="0"/>
        <w:color w:val="000000"/>
      </w:rPr>
    </w:lvl>
    <w:lvl w:ilvl="1">
      <w:start w:val="1"/>
      <w:numFmt w:val="lowerRoman"/>
      <w:lvlText w:val="%2."/>
      <w:lvlJc w:val="right"/>
      <w:pPr>
        <w:ind w:left="1647" w:hanging="360"/>
      </w:pPr>
    </w:lvl>
    <w:lvl w:ilvl="2">
      <w:start w:val="1"/>
      <w:numFmt w:val="decimal"/>
      <w:lvlText w:val="%3"/>
      <w:lvlJc w:val="left"/>
      <w:pPr>
        <w:tabs>
          <w:tab w:val="num" w:pos="2421"/>
        </w:tabs>
        <w:ind w:left="2421" w:hanging="567"/>
      </w:pPr>
      <w:rPr>
        <w:rFonts w:cs="Times New Roman" w:hint="default"/>
        <w:b w:val="0"/>
        <w:i w:val="0"/>
        <w:color w:val="000000"/>
      </w:rPr>
    </w:lvl>
    <w:lvl w:ilvl="3">
      <w:start w:val="1"/>
      <w:numFmt w:val="decimal"/>
      <w:lvlText w:val="%4"/>
      <w:lvlJc w:val="left"/>
      <w:pPr>
        <w:tabs>
          <w:tab w:val="num" w:pos="2988"/>
        </w:tabs>
        <w:ind w:left="2988" w:hanging="567"/>
      </w:pPr>
      <w:rPr>
        <w:rFonts w:cs="Times New Roman" w:hint="default"/>
        <w:b w:val="0"/>
        <w:i w:val="0"/>
        <w:color w:val="000000"/>
      </w:rPr>
    </w:lvl>
    <w:lvl w:ilvl="4">
      <w:start w:val="1"/>
      <w:numFmt w:val="decimal"/>
      <w:lvlText w:val="%5"/>
      <w:lvlJc w:val="left"/>
      <w:pPr>
        <w:tabs>
          <w:tab w:val="num" w:pos="3555"/>
        </w:tabs>
        <w:ind w:left="3555" w:hanging="567"/>
      </w:pPr>
      <w:rPr>
        <w:rFonts w:cs="Times New Roman" w:hint="default"/>
        <w:b w:val="0"/>
        <w:i w:val="0"/>
        <w:color w:val="000000"/>
      </w:rPr>
    </w:lvl>
    <w:lvl w:ilvl="5">
      <w:start w:val="1"/>
      <w:numFmt w:val="decimal"/>
      <w:lvlText w:val="%6"/>
      <w:lvlJc w:val="left"/>
      <w:pPr>
        <w:tabs>
          <w:tab w:val="num" w:pos="4122"/>
        </w:tabs>
        <w:ind w:left="4122" w:hanging="567"/>
      </w:pPr>
      <w:rPr>
        <w:rFonts w:cs="Times New Roman" w:hint="default"/>
        <w:b w:val="0"/>
        <w:i w:val="0"/>
        <w:color w:val="000000"/>
      </w:rPr>
    </w:lvl>
    <w:lvl w:ilvl="6">
      <w:start w:val="1"/>
      <w:numFmt w:val="decimal"/>
      <w:lvlText w:val="%7"/>
      <w:lvlJc w:val="left"/>
      <w:pPr>
        <w:tabs>
          <w:tab w:val="num" w:pos="4689"/>
        </w:tabs>
        <w:ind w:left="4689" w:hanging="567"/>
      </w:pPr>
      <w:rPr>
        <w:rFonts w:cs="Times New Roman" w:hint="default"/>
        <w:b w:val="0"/>
        <w:i w:val="0"/>
        <w:color w:val="000000"/>
      </w:rPr>
    </w:lvl>
    <w:lvl w:ilvl="7">
      <w:start w:val="1"/>
      <w:numFmt w:val="decimal"/>
      <w:lvlText w:val="%8"/>
      <w:lvlJc w:val="left"/>
      <w:pPr>
        <w:tabs>
          <w:tab w:val="num" w:pos="5256"/>
        </w:tabs>
        <w:ind w:left="5256" w:hanging="567"/>
      </w:pPr>
      <w:rPr>
        <w:rFonts w:cs="Times New Roman" w:hint="default"/>
        <w:b w:val="0"/>
        <w:i w:val="0"/>
        <w:color w:val="000000"/>
      </w:rPr>
    </w:lvl>
    <w:lvl w:ilvl="8">
      <w:start w:val="1"/>
      <w:numFmt w:val="decimal"/>
      <w:lvlText w:val="%9"/>
      <w:lvlJc w:val="left"/>
      <w:pPr>
        <w:tabs>
          <w:tab w:val="num" w:pos="5823"/>
        </w:tabs>
        <w:ind w:left="5823" w:hanging="567"/>
      </w:pPr>
      <w:rPr>
        <w:rFonts w:cs="Times New Roman" w:hint="default"/>
        <w:b w:val="0"/>
        <w:i w:val="0"/>
        <w:color w:val="000000"/>
      </w:rPr>
    </w:lvl>
  </w:abstractNum>
  <w:abstractNum w:abstractNumId="39"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40" w15:restartNumberingAfterBreak="0">
    <w:nsid w:val="78854AAC"/>
    <w:multiLevelType w:val="hybridMultilevel"/>
    <w:tmpl w:val="5DFC2AFE"/>
    <w:lvl w:ilvl="0" w:tplc="1238741A">
      <w:start w:val="1"/>
      <w:numFmt w:val="decimal"/>
      <w:lvlText w:val="%1."/>
      <w:lvlJc w:val="left"/>
      <w:pPr>
        <w:tabs>
          <w:tab w:val="num" w:pos="567"/>
        </w:tabs>
        <w:ind w:left="567" w:hanging="567"/>
      </w:pPr>
      <w:rPr>
        <w:rFonts w:ascii="Corbel" w:hAnsi="Corbel" w:cs="Times New Roman" w:hint="default"/>
        <w:b w:val="0"/>
        <w:color w:val="auto"/>
        <w:sz w:val="23"/>
        <w:szCs w:val="23"/>
      </w:rPr>
    </w:lvl>
    <w:lvl w:ilvl="1" w:tplc="43C0987C">
      <w:start w:val="1"/>
      <w:numFmt w:val="lowerLetter"/>
      <w:lvlText w:val="(%2)"/>
      <w:lvlJc w:val="right"/>
      <w:pPr>
        <w:tabs>
          <w:tab w:val="num" w:pos="1440"/>
        </w:tabs>
        <w:ind w:left="1440" w:hanging="360"/>
      </w:pPr>
      <w:rPr>
        <w:rFonts w:ascii="Corbel" w:eastAsia="Times New Roman" w:hAnsi="Corbel" w:cs="Times New Roman"/>
      </w:rPr>
    </w:lvl>
    <w:lvl w:ilvl="2" w:tplc="FFFFFFFF">
      <w:start w:val="1"/>
      <w:numFmt w:val="lowerRoman"/>
      <w:lvlText w:val="%3."/>
      <w:lvlJc w:val="right"/>
      <w:pPr>
        <w:tabs>
          <w:tab w:val="num" w:pos="2160"/>
        </w:tabs>
        <w:ind w:left="2160" w:hanging="180"/>
      </w:pPr>
      <w:rPr>
        <w:rFonts w:cs="Times New Roman"/>
      </w:rPr>
    </w:lvl>
    <w:lvl w:ilvl="3" w:tplc="189C8D72">
      <w:start w:val="1"/>
      <w:numFmt w:val="lowerRoman"/>
      <w:lvlText w:val="i.%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7B9427FF"/>
    <w:multiLevelType w:val="hybridMultilevel"/>
    <w:tmpl w:val="7FF2C404"/>
    <w:lvl w:ilvl="0" w:tplc="EC42698E">
      <w:start w:val="1"/>
      <w:numFmt w:val="lowerLetter"/>
      <w:lvlText w:val="(%1)"/>
      <w:lvlJc w:val="left"/>
      <w:pPr>
        <w:tabs>
          <w:tab w:val="num" w:pos="1080"/>
        </w:tabs>
        <w:ind w:left="1080" w:hanging="360"/>
      </w:pPr>
      <w:rPr>
        <w:rFonts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ECE0424"/>
    <w:multiLevelType w:val="hybridMultilevel"/>
    <w:tmpl w:val="65305CEC"/>
    <w:lvl w:ilvl="0" w:tplc="FFFFFFFF">
      <w:start w:val="1"/>
      <w:numFmt w:val="decimal"/>
      <w:lvlText w:val="C%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right"/>
      <w:pPr>
        <w:ind w:left="1440" w:hanging="360"/>
      </w:pPr>
      <w:rPr>
        <w:rFonts w:ascii="Corbel" w:eastAsia="Times New Roman" w:hAnsi="Corbel" w:cs="Times New Roman"/>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abstractNumId w:val="0"/>
  </w:num>
  <w:num w:numId="2">
    <w:abstractNumId w:val="14"/>
  </w:num>
  <w:num w:numId="3">
    <w:abstractNumId w:val="27"/>
  </w:num>
  <w:num w:numId="4">
    <w:abstractNumId w:val="10"/>
  </w:num>
  <w:num w:numId="5">
    <w:abstractNumId w:val="28"/>
  </w:num>
  <w:num w:numId="6">
    <w:abstractNumId w:val="18"/>
  </w:num>
  <w:num w:numId="7">
    <w:abstractNumId w:val="11"/>
  </w:num>
  <w:num w:numId="8">
    <w:abstractNumId w:val="15"/>
  </w:num>
  <w:num w:numId="9">
    <w:abstractNumId w:val="40"/>
  </w:num>
  <w:num w:numId="10">
    <w:abstractNumId w:val="4"/>
  </w:num>
  <w:num w:numId="11">
    <w:abstractNumId w:val="26"/>
  </w:num>
  <w:num w:numId="12">
    <w:abstractNumId w:val="34"/>
  </w:num>
  <w:num w:numId="13">
    <w:abstractNumId w:val="22"/>
  </w:num>
  <w:num w:numId="14">
    <w:abstractNumId w:val="39"/>
  </w:num>
  <w:num w:numId="15">
    <w:abstractNumId w:val="12"/>
  </w:num>
  <w:num w:numId="16">
    <w:abstractNumId w:val="17"/>
  </w:num>
  <w:num w:numId="17">
    <w:abstractNumId w:val="6"/>
  </w:num>
  <w:num w:numId="18">
    <w:abstractNumId w:val="8"/>
  </w:num>
  <w:num w:numId="19">
    <w:abstractNumId w:val="13"/>
  </w:num>
  <w:num w:numId="20">
    <w:abstractNumId w:val="7"/>
  </w:num>
  <w:num w:numId="21">
    <w:abstractNumId w:val="35"/>
  </w:num>
  <w:num w:numId="22">
    <w:abstractNumId w:val="7"/>
  </w:num>
  <w:num w:numId="23">
    <w:abstractNumId w:val="4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6"/>
  </w:num>
  <w:num w:numId="27">
    <w:abstractNumId w:val="30"/>
  </w:num>
  <w:num w:numId="28">
    <w:abstractNumId w:val="3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0"/>
  </w:num>
  <w:num w:numId="32">
    <w:abstractNumId w:val="42"/>
  </w:num>
  <w:num w:numId="33">
    <w:abstractNumId w:val="23"/>
  </w:num>
  <w:num w:numId="34">
    <w:abstractNumId w:val="5"/>
  </w:num>
  <w:num w:numId="35">
    <w:abstractNumId w:val="24"/>
  </w:num>
  <w:num w:numId="36">
    <w:abstractNumId w:val="32"/>
  </w:num>
  <w:num w:numId="37">
    <w:abstractNumId w:val="3"/>
  </w:num>
  <w:num w:numId="38">
    <w:abstractNumId w:val="37"/>
  </w:num>
  <w:num w:numId="39">
    <w:abstractNumId w:val="36"/>
  </w:num>
  <w:num w:numId="40">
    <w:abstractNumId w:val="19"/>
  </w:num>
  <w:num w:numId="41">
    <w:abstractNumId w:val="25"/>
  </w:num>
  <w:num w:numId="42">
    <w:abstractNumId w:val="2"/>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CBB477-293D-42D2-810F-D37828A1565B}"/>
    <w:docVar w:name="dgnword-eventsink" w:val="551162336"/>
  </w:docVars>
  <w:rsids>
    <w:rsidRoot w:val="00814667"/>
    <w:rsid w:val="000014E8"/>
    <w:rsid w:val="000015F9"/>
    <w:rsid w:val="00001775"/>
    <w:rsid w:val="000026DE"/>
    <w:rsid w:val="00002DB8"/>
    <w:rsid w:val="00002DD2"/>
    <w:rsid w:val="00002E95"/>
    <w:rsid w:val="0000386B"/>
    <w:rsid w:val="00003FB4"/>
    <w:rsid w:val="00003FF9"/>
    <w:rsid w:val="00004788"/>
    <w:rsid w:val="00005A5D"/>
    <w:rsid w:val="00006E79"/>
    <w:rsid w:val="00006EA7"/>
    <w:rsid w:val="000076D9"/>
    <w:rsid w:val="00007BCE"/>
    <w:rsid w:val="0001007A"/>
    <w:rsid w:val="0001135F"/>
    <w:rsid w:val="000115A1"/>
    <w:rsid w:val="00011733"/>
    <w:rsid w:val="0001181D"/>
    <w:rsid w:val="00012088"/>
    <w:rsid w:val="000123B5"/>
    <w:rsid w:val="00012A88"/>
    <w:rsid w:val="00012C1B"/>
    <w:rsid w:val="000131DE"/>
    <w:rsid w:val="00013E59"/>
    <w:rsid w:val="0001407B"/>
    <w:rsid w:val="00014B4E"/>
    <w:rsid w:val="00015872"/>
    <w:rsid w:val="00015960"/>
    <w:rsid w:val="00015F2B"/>
    <w:rsid w:val="00016798"/>
    <w:rsid w:val="00016ABA"/>
    <w:rsid w:val="0001703E"/>
    <w:rsid w:val="00017351"/>
    <w:rsid w:val="000175B6"/>
    <w:rsid w:val="000176A1"/>
    <w:rsid w:val="00017E6B"/>
    <w:rsid w:val="000200EA"/>
    <w:rsid w:val="000205AF"/>
    <w:rsid w:val="00021207"/>
    <w:rsid w:val="00021708"/>
    <w:rsid w:val="00021A80"/>
    <w:rsid w:val="000223B2"/>
    <w:rsid w:val="00022884"/>
    <w:rsid w:val="00023112"/>
    <w:rsid w:val="00023756"/>
    <w:rsid w:val="00024137"/>
    <w:rsid w:val="000245C9"/>
    <w:rsid w:val="0002467E"/>
    <w:rsid w:val="000252A6"/>
    <w:rsid w:val="00025366"/>
    <w:rsid w:val="0002607D"/>
    <w:rsid w:val="00027160"/>
    <w:rsid w:val="000275AB"/>
    <w:rsid w:val="00030618"/>
    <w:rsid w:val="00030CB2"/>
    <w:rsid w:val="0003162A"/>
    <w:rsid w:val="00031CA6"/>
    <w:rsid w:val="00031EAE"/>
    <w:rsid w:val="000331C3"/>
    <w:rsid w:val="00033551"/>
    <w:rsid w:val="000341C0"/>
    <w:rsid w:val="000343F1"/>
    <w:rsid w:val="00034414"/>
    <w:rsid w:val="000347B4"/>
    <w:rsid w:val="00034F04"/>
    <w:rsid w:val="00035F60"/>
    <w:rsid w:val="00035F73"/>
    <w:rsid w:val="00036BED"/>
    <w:rsid w:val="000406F2"/>
    <w:rsid w:val="00040810"/>
    <w:rsid w:val="000413D4"/>
    <w:rsid w:val="000420E8"/>
    <w:rsid w:val="00042710"/>
    <w:rsid w:val="0004275C"/>
    <w:rsid w:val="00042ACD"/>
    <w:rsid w:val="00042D5B"/>
    <w:rsid w:val="000433AA"/>
    <w:rsid w:val="00043A1C"/>
    <w:rsid w:val="00043A3E"/>
    <w:rsid w:val="00044700"/>
    <w:rsid w:val="00044BB3"/>
    <w:rsid w:val="00044E93"/>
    <w:rsid w:val="00046510"/>
    <w:rsid w:val="00046783"/>
    <w:rsid w:val="00047AD7"/>
    <w:rsid w:val="00047EF0"/>
    <w:rsid w:val="00050446"/>
    <w:rsid w:val="00050683"/>
    <w:rsid w:val="000509A7"/>
    <w:rsid w:val="00050E5A"/>
    <w:rsid w:val="00051E83"/>
    <w:rsid w:val="00051F85"/>
    <w:rsid w:val="0005234E"/>
    <w:rsid w:val="000525D8"/>
    <w:rsid w:val="0005342A"/>
    <w:rsid w:val="000536CD"/>
    <w:rsid w:val="0005426C"/>
    <w:rsid w:val="00055551"/>
    <w:rsid w:val="00056C61"/>
    <w:rsid w:val="00056E75"/>
    <w:rsid w:val="00056F88"/>
    <w:rsid w:val="00057610"/>
    <w:rsid w:val="00057ADD"/>
    <w:rsid w:val="00057E1D"/>
    <w:rsid w:val="0006051B"/>
    <w:rsid w:val="00061276"/>
    <w:rsid w:val="000614F9"/>
    <w:rsid w:val="00062221"/>
    <w:rsid w:val="00062D90"/>
    <w:rsid w:val="00064223"/>
    <w:rsid w:val="0006451A"/>
    <w:rsid w:val="000645D9"/>
    <w:rsid w:val="0006551D"/>
    <w:rsid w:val="00065679"/>
    <w:rsid w:val="00065762"/>
    <w:rsid w:val="0006642D"/>
    <w:rsid w:val="00066E22"/>
    <w:rsid w:val="00067671"/>
    <w:rsid w:val="00067A54"/>
    <w:rsid w:val="0007004C"/>
    <w:rsid w:val="000700DC"/>
    <w:rsid w:val="00070931"/>
    <w:rsid w:val="00070997"/>
    <w:rsid w:val="00070F72"/>
    <w:rsid w:val="00070FA5"/>
    <w:rsid w:val="0007106D"/>
    <w:rsid w:val="00071296"/>
    <w:rsid w:val="00071D89"/>
    <w:rsid w:val="00071F3D"/>
    <w:rsid w:val="000724F6"/>
    <w:rsid w:val="00072AD3"/>
    <w:rsid w:val="00072DF3"/>
    <w:rsid w:val="00072ED1"/>
    <w:rsid w:val="00073253"/>
    <w:rsid w:val="00073B9F"/>
    <w:rsid w:val="00074611"/>
    <w:rsid w:val="00074A62"/>
    <w:rsid w:val="00074CBE"/>
    <w:rsid w:val="00075861"/>
    <w:rsid w:val="000770C3"/>
    <w:rsid w:val="00080587"/>
    <w:rsid w:val="000810D7"/>
    <w:rsid w:val="000814E7"/>
    <w:rsid w:val="00083068"/>
    <w:rsid w:val="00083CD1"/>
    <w:rsid w:val="000840EF"/>
    <w:rsid w:val="00084258"/>
    <w:rsid w:val="000854B3"/>
    <w:rsid w:val="00085791"/>
    <w:rsid w:val="00085F52"/>
    <w:rsid w:val="00086712"/>
    <w:rsid w:val="00086CD7"/>
    <w:rsid w:val="00086D25"/>
    <w:rsid w:val="00086D85"/>
    <w:rsid w:val="00087D50"/>
    <w:rsid w:val="00090269"/>
    <w:rsid w:val="00091A19"/>
    <w:rsid w:val="00091CC5"/>
    <w:rsid w:val="00091D5A"/>
    <w:rsid w:val="00091DF8"/>
    <w:rsid w:val="00091F2C"/>
    <w:rsid w:val="00092172"/>
    <w:rsid w:val="000927CF"/>
    <w:rsid w:val="00092F80"/>
    <w:rsid w:val="0009321C"/>
    <w:rsid w:val="00093899"/>
    <w:rsid w:val="00093CB6"/>
    <w:rsid w:val="00093DD8"/>
    <w:rsid w:val="00093FA3"/>
    <w:rsid w:val="000945E2"/>
    <w:rsid w:val="000955B1"/>
    <w:rsid w:val="00095A9D"/>
    <w:rsid w:val="00096770"/>
    <w:rsid w:val="00097300"/>
    <w:rsid w:val="00097794"/>
    <w:rsid w:val="000978C9"/>
    <w:rsid w:val="00097900"/>
    <w:rsid w:val="00097C83"/>
    <w:rsid w:val="00097E6F"/>
    <w:rsid w:val="000A039F"/>
    <w:rsid w:val="000A0C9E"/>
    <w:rsid w:val="000A247B"/>
    <w:rsid w:val="000A30CC"/>
    <w:rsid w:val="000A33A1"/>
    <w:rsid w:val="000A33F6"/>
    <w:rsid w:val="000A3A5D"/>
    <w:rsid w:val="000A4AF0"/>
    <w:rsid w:val="000A5191"/>
    <w:rsid w:val="000A5AAA"/>
    <w:rsid w:val="000A5FB0"/>
    <w:rsid w:val="000A69C0"/>
    <w:rsid w:val="000A6C9B"/>
    <w:rsid w:val="000A7103"/>
    <w:rsid w:val="000A7245"/>
    <w:rsid w:val="000A7386"/>
    <w:rsid w:val="000A7913"/>
    <w:rsid w:val="000A7A23"/>
    <w:rsid w:val="000B1041"/>
    <w:rsid w:val="000B1112"/>
    <w:rsid w:val="000B195E"/>
    <w:rsid w:val="000B2D73"/>
    <w:rsid w:val="000B3B1C"/>
    <w:rsid w:val="000B4080"/>
    <w:rsid w:val="000B6332"/>
    <w:rsid w:val="000B72CC"/>
    <w:rsid w:val="000B72ED"/>
    <w:rsid w:val="000B7385"/>
    <w:rsid w:val="000B7685"/>
    <w:rsid w:val="000B76B6"/>
    <w:rsid w:val="000C02B5"/>
    <w:rsid w:val="000C0B7F"/>
    <w:rsid w:val="000C13EF"/>
    <w:rsid w:val="000C143D"/>
    <w:rsid w:val="000C1617"/>
    <w:rsid w:val="000C1FEA"/>
    <w:rsid w:val="000C206C"/>
    <w:rsid w:val="000C22FD"/>
    <w:rsid w:val="000C3A36"/>
    <w:rsid w:val="000C4038"/>
    <w:rsid w:val="000C41C5"/>
    <w:rsid w:val="000C48D6"/>
    <w:rsid w:val="000C5335"/>
    <w:rsid w:val="000C53A5"/>
    <w:rsid w:val="000C57D9"/>
    <w:rsid w:val="000C5AF7"/>
    <w:rsid w:val="000C714F"/>
    <w:rsid w:val="000C7492"/>
    <w:rsid w:val="000C74E7"/>
    <w:rsid w:val="000C78BA"/>
    <w:rsid w:val="000D1832"/>
    <w:rsid w:val="000D19D8"/>
    <w:rsid w:val="000D1C37"/>
    <w:rsid w:val="000D2E17"/>
    <w:rsid w:val="000D3180"/>
    <w:rsid w:val="000D343D"/>
    <w:rsid w:val="000D37CB"/>
    <w:rsid w:val="000D3949"/>
    <w:rsid w:val="000D3A31"/>
    <w:rsid w:val="000D4159"/>
    <w:rsid w:val="000D4166"/>
    <w:rsid w:val="000D4377"/>
    <w:rsid w:val="000D5795"/>
    <w:rsid w:val="000D6026"/>
    <w:rsid w:val="000D65A1"/>
    <w:rsid w:val="000D7B17"/>
    <w:rsid w:val="000E075D"/>
    <w:rsid w:val="000E0952"/>
    <w:rsid w:val="000E1087"/>
    <w:rsid w:val="000E1203"/>
    <w:rsid w:val="000E1530"/>
    <w:rsid w:val="000E1AC1"/>
    <w:rsid w:val="000E2014"/>
    <w:rsid w:val="000E2AF6"/>
    <w:rsid w:val="000E2B92"/>
    <w:rsid w:val="000E36B7"/>
    <w:rsid w:val="000E38E7"/>
    <w:rsid w:val="000E3C70"/>
    <w:rsid w:val="000E426C"/>
    <w:rsid w:val="000E4848"/>
    <w:rsid w:val="000E48C3"/>
    <w:rsid w:val="000E4A3F"/>
    <w:rsid w:val="000E4ABD"/>
    <w:rsid w:val="000E514D"/>
    <w:rsid w:val="000E5525"/>
    <w:rsid w:val="000E5655"/>
    <w:rsid w:val="000E579C"/>
    <w:rsid w:val="000E6648"/>
    <w:rsid w:val="000E6C2C"/>
    <w:rsid w:val="000E7045"/>
    <w:rsid w:val="000E714F"/>
    <w:rsid w:val="000E74A7"/>
    <w:rsid w:val="000E75CE"/>
    <w:rsid w:val="000E7AAB"/>
    <w:rsid w:val="000E7F02"/>
    <w:rsid w:val="000F0880"/>
    <w:rsid w:val="000F0E66"/>
    <w:rsid w:val="000F0F99"/>
    <w:rsid w:val="000F1BC2"/>
    <w:rsid w:val="000F218A"/>
    <w:rsid w:val="000F25D5"/>
    <w:rsid w:val="000F29A3"/>
    <w:rsid w:val="000F3667"/>
    <w:rsid w:val="000F3874"/>
    <w:rsid w:val="000F4854"/>
    <w:rsid w:val="000F4C94"/>
    <w:rsid w:val="000F54AD"/>
    <w:rsid w:val="000F5729"/>
    <w:rsid w:val="000F5871"/>
    <w:rsid w:val="000F5B7B"/>
    <w:rsid w:val="000F62A5"/>
    <w:rsid w:val="000F69FD"/>
    <w:rsid w:val="000F6CF6"/>
    <w:rsid w:val="000F76B3"/>
    <w:rsid w:val="000F7757"/>
    <w:rsid w:val="000F7AB9"/>
    <w:rsid w:val="000F7ADF"/>
    <w:rsid w:val="00100185"/>
    <w:rsid w:val="00101600"/>
    <w:rsid w:val="0010228E"/>
    <w:rsid w:val="00102598"/>
    <w:rsid w:val="001027D0"/>
    <w:rsid w:val="001028DC"/>
    <w:rsid w:val="001035CC"/>
    <w:rsid w:val="0010397F"/>
    <w:rsid w:val="00103A97"/>
    <w:rsid w:val="00103BED"/>
    <w:rsid w:val="00103FD6"/>
    <w:rsid w:val="001040BF"/>
    <w:rsid w:val="00104206"/>
    <w:rsid w:val="0010441F"/>
    <w:rsid w:val="0010489F"/>
    <w:rsid w:val="001048F9"/>
    <w:rsid w:val="00104C59"/>
    <w:rsid w:val="00105458"/>
    <w:rsid w:val="001065EE"/>
    <w:rsid w:val="001066A0"/>
    <w:rsid w:val="00106A25"/>
    <w:rsid w:val="00106BCA"/>
    <w:rsid w:val="001076B8"/>
    <w:rsid w:val="00110025"/>
    <w:rsid w:val="00110380"/>
    <w:rsid w:val="00110511"/>
    <w:rsid w:val="0011091D"/>
    <w:rsid w:val="00110BE2"/>
    <w:rsid w:val="00110F5D"/>
    <w:rsid w:val="00111EE2"/>
    <w:rsid w:val="001134AC"/>
    <w:rsid w:val="00113772"/>
    <w:rsid w:val="00113FAB"/>
    <w:rsid w:val="001146C3"/>
    <w:rsid w:val="00115014"/>
    <w:rsid w:val="00115166"/>
    <w:rsid w:val="00115840"/>
    <w:rsid w:val="00115A97"/>
    <w:rsid w:val="00115D9B"/>
    <w:rsid w:val="00120358"/>
    <w:rsid w:val="00120BE9"/>
    <w:rsid w:val="00120E40"/>
    <w:rsid w:val="00120E7E"/>
    <w:rsid w:val="00121F98"/>
    <w:rsid w:val="00122112"/>
    <w:rsid w:val="0012232B"/>
    <w:rsid w:val="001227B6"/>
    <w:rsid w:val="00122BD1"/>
    <w:rsid w:val="00122CCE"/>
    <w:rsid w:val="00122D2A"/>
    <w:rsid w:val="00122D76"/>
    <w:rsid w:val="00122DBA"/>
    <w:rsid w:val="0012351D"/>
    <w:rsid w:val="0012387D"/>
    <w:rsid w:val="00123C7B"/>
    <w:rsid w:val="00124112"/>
    <w:rsid w:val="00124585"/>
    <w:rsid w:val="00124914"/>
    <w:rsid w:val="00124C5A"/>
    <w:rsid w:val="00125474"/>
    <w:rsid w:val="0012549D"/>
    <w:rsid w:val="001262B5"/>
    <w:rsid w:val="00126938"/>
    <w:rsid w:val="00126B85"/>
    <w:rsid w:val="00126E4E"/>
    <w:rsid w:val="00127513"/>
    <w:rsid w:val="00127AF8"/>
    <w:rsid w:val="00130254"/>
    <w:rsid w:val="00130F29"/>
    <w:rsid w:val="00130FD1"/>
    <w:rsid w:val="00131DE1"/>
    <w:rsid w:val="00131EAC"/>
    <w:rsid w:val="001323AD"/>
    <w:rsid w:val="00132587"/>
    <w:rsid w:val="00132D34"/>
    <w:rsid w:val="00134440"/>
    <w:rsid w:val="0013451B"/>
    <w:rsid w:val="0013469C"/>
    <w:rsid w:val="0013588F"/>
    <w:rsid w:val="00135E92"/>
    <w:rsid w:val="001366E6"/>
    <w:rsid w:val="00136875"/>
    <w:rsid w:val="0013755C"/>
    <w:rsid w:val="00137832"/>
    <w:rsid w:val="001404A9"/>
    <w:rsid w:val="00140DE7"/>
    <w:rsid w:val="00140F43"/>
    <w:rsid w:val="00141399"/>
    <w:rsid w:val="00141D2F"/>
    <w:rsid w:val="00142461"/>
    <w:rsid w:val="00142787"/>
    <w:rsid w:val="001427A5"/>
    <w:rsid w:val="00143B85"/>
    <w:rsid w:val="00143CC4"/>
    <w:rsid w:val="00143E47"/>
    <w:rsid w:val="001449DD"/>
    <w:rsid w:val="00145D5C"/>
    <w:rsid w:val="001467E5"/>
    <w:rsid w:val="00146800"/>
    <w:rsid w:val="00146CCE"/>
    <w:rsid w:val="00146F63"/>
    <w:rsid w:val="0014744D"/>
    <w:rsid w:val="0014788E"/>
    <w:rsid w:val="00151133"/>
    <w:rsid w:val="001515FB"/>
    <w:rsid w:val="0015176A"/>
    <w:rsid w:val="00153099"/>
    <w:rsid w:val="00153158"/>
    <w:rsid w:val="001537E5"/>
    <w:rsid w:val="00153A82"/>
    <w:rsid w:val="00153D12"/>
    <w:rsid w:val="001541FE"/>
    <w:rsid w:val="001550C3"/>
    <w:rsid w:val="00155981"/>
    <w:rsid w:val="00155E0B"/>
    <w:rsid w:val="00155FA6"/>
    <w:rsid w:val="00156ECB"/>
    <w:rsid w:val="0016017C"/>
    <w:rsid w:val="001603A0"/>
    <w:rsid w:val="00160506"/>
    <w:rsid w:val="00160F4D"/>
    <w:rsid w:val="001610C1"/>
    <w:rsid w:val="00161176"/>
    <w:rsid w:val="0016131F"/>
    <w:rsid w:val="001629FA"/>
    <w:rsid w:val="00162BCD"/>
    <w:rsid w:val="00162FD1"/>
    <w:rsid w:val="00163F01"/>
    <w:rsid w:val="001644D0"/>
    <w:rsid w:val="00164A44"/>
    <w:rsid w:val="00164BF4"/>
    <w:rsid w:val="00164C15"/>
    <w:rsid w:val="00165210"/>
    <w:rsid w:val="001652D9"/>
    <w:rsid w:val="00165AF7"/>
    <w:rsid w:val="00165CAB"/>
    <w:rsid w:val="00166192"/>
    <w:rsid w:val="00166312"/>
    <w:rsid w:val="001666E5"/>
    <w:rsid w:val="001667CE"/>
    <w:rsid w:val="00167685"/>
    <w:rsid w:val="001677E6"/>
    <w:rsid w:val="00167BB8"/>
    <w:rsid w:val="00170051"/>
    <w:rsid w:val="0017043E"/>
    <w:rsid w:val="001708DA"/>
    <w:rsid w:val="0017171E"/>
    <w:rsid w:val="00171882"/>
    <w:rsid w:val="00172360"/>
    <w:rsid w:val="00172941"/>
    <w:rsid w:val="00172CE3"/>
    <w:rsid w:val="00172E3A"/>
    <w:rsid w:val="00173308"/>
    <w:rsid w:val="00173554"/>
    <w:rsid w:val="00173F81"/>
    <w:rsid w:val="001747B2"/>
    <w:rsid w:val="0017495D"/>
    <w:rsid w:val="00174ADA"/>
    <w:rsid w:val="00174C1F"/>
    <w:rsid w:val="00174C2A"/>
    <w:rsid w:val="00174CC9"/>
    <w:rsid w:val="00174E03"/>
    <w:rsid w:val="001752F8"/>
    <w:rsid w:val="00175E32"/>
    <w:rsid w:val="00175FB9"/>
    <w:rsid w:val="001773A2"/>
    <w:rsid w:val="00177A0A"/>
    <w:rsid w:val="00177F29"/>
    <w:rsid w:val="0018001A"/>
    <w:rsid w:val="00180392"/>
    <w:rsid w:val="001805B6"/>
    <w:rsid w:val="00180DDF"/>
    <w:rsid w:val="00180F76"/>
    <w:rsid w:val="001810BA"/>
    <w:rsid w:val="00181A35"/>
    <w:rsid w:val="00182269"/>
    <w:rsid w:val="00182F0D"/>
    <w:rsid w:val="00183284"/>
    <w:rsid w:val="001835CF"/>
    <w:rsid w:val="0018395C"/>
    <w:rsid w:val="00183EAB"/>
    <w:rsid w:val="001845B0"/>
    <w:rsid w:val="00184A2D"/>
    <w:rsid w:val="00184B62"/>
    <w:rsid w:val="001856BE"/>
    <w:rsid w:val="00185974"/>
    <w:rsid w:val="00185AA1"/>
    <w:rsid w:val="00185CC1"/>
    <w:rsid w:val="00186245"/>
    <w:rsid w:val="0018640E"/>
    <w:rsid w:val="00186420"/>
    <w:rsid w:val="00186541"/>
    <w:rsid w:val="00186867"/>
    <w:rsid w:val="001869A7"/>
    <w:rsid w:val="0018731B"/>
    <w:rsid w:val="00187440"/>
    <w:rsid w:val="00187454"/>
    <w:rsid w:val="00187BEB"/>
    <w:rsid w:val="00190621"/>
    <w:rsid w:val="00190F97"/>
    <w:rsid w:val="0019184C"/>
    <w:rsid w:val="00191B41"/>
    <w:rsid w:val="00192016"/>
    <w:rsid w:val="001926D5"/>
    <w:rsid w:val="001931E8"/>
    <w:rsid w:val="00193457"/>
    <w:rsid w:val="00193ADC"/>
    <w:rsid w:val="00193AE9"/>
    <w:rsid w:val="00194232"/>
    <w:rsid w:val="0019453E"/>
    <w:rsid w:val="00194587"/>
    <w:rsid w:val="00194631"/>
    <w:rsid w:val="001947EF"/>
    <w:rsid w:val="00195B2E"/>
    <w:rsid w:val="00195CF4"/>
    <w:rsid w:val="001974A6"/>
    <w:rsid w:val="00197E15"/>
    <w:rsid w:val="001A121D"/>
    <w:rsid w:val="001A1422"/>
    <w:rsid w:val="001A14C1"/>
    <w:rsid w:val="001A1821"/>
    <w:rsid w:val="001A1E87"/>
    <w:rsid w:val="001A3207"/>
    <w:rsid w:val="001A3A9A"/>
    <w:rsid w:val="001A3F52"/>
    <w:rsid w:val="001A4093"/>
    <w:rsid w:val="001A4149"/>
    <w:rsid w:val="001A463D"/>
    <w:rsid w:val="001A54E8"/>
    <w:rsid w:val="001A5670"/>
    <w:rsid w:val="001A585D"/>
    <w:rsid w:val="001A60B8"/>
    <w:rsid w:val="001A623F"/>
    <w:rsid w:val="001A64CB"/>
    <w:rsid w:val="001A66B5"/>
    <w:rsid w:val="001A672D"/>
    <w:rsid w:val="001A708E"/>
    <w:rsid w:val="001A79C1"/>
    <w:rsid w:val="001A7A15"/>
    <w:rsid w:val="001A7C6A"/>
    <w:rsid w:val="001B02F7"/>
    <w:rsid w:val="001B0BB7"/>
    <w:rsid w:val="001B11DB"/>
    <w:rsid w:val="001B19A0"/>
    <w:rsid w:val="001B1CA3"/>
    <w:rsid w:val="001B1E99"/>
    <w:rsid w:val="001B2359"/>
    <w:rsid w:val="001B2C0B"/>
    <w:rsid w:val="001B2C80"/>
    <w:rsid w:val="001B3730"/>
    <w:rsid w:val="001B447F"/>
    <w:rsid w:val="001B47CD"/>
    <w:rsid w:val="001B5669"/>
    <w:rsid w:val="001B580E"/>
    <w:rsid w:val="001B5B79"/>
    <w:rsid w:val="001B60DC"/>
    <w:rsid w:val="001B6FC6"/>
    <w:rsid w:val="001B7933"/>
    <w:rsid w:val="001B7C3A"/>
    <w:rsid w:val="001C032C"/>
    <w:rsid w:val="001C07B8"/>
    <w:rsid w:val="001C0AD3"/>
    <w:rsid w:val="001C1269"/>
    <w:rsid w:val="001C201C"/>
    <w:rsid w:val="001C20C4"/>
    <w:rsid w:val="001C21EF"/>
    <w:rsid w:val="001C2522"/>
    <w:rsid w:val="001C2AAB"/>
    <w:rsid w:val="001C2DA8"/>
    <w:rsid w:val="001C30BD"/>
    <w:rsid w:val="001C346E"/>
    <w:rsid w:val="001C358F"/>
    <w:rsid w:val="001C3717"/>
    <w:rsid w:val="001C37D3"/>
    <w:rsid w:val="001C3908"/>
    <w:rsid w:val="001C45AB"/>
    <w:rsid w:val="001C4EBD"/>
    <w:rsid w:val="001C5116"/>
    <w:rsid w:val="001C5BBD"/>
    <w:rsid w:val="001C5CC5"/>
    <w:rsid w:val="001C5D74"/>
    <w:rsid w:val="001C5F17"/>
    <w:rsid w:val="001C650F"/>
    <w:rsid w:val="001C67BD"/>
    <w:rsid w:val="001C6EB7"/>
    <w:rsid w:val="001C75B3"/>
    <w:rsid w:val="001C7EC5"/>
    <w:rsid w:val="001D01BD"/>
    <w:rsid w:val="001D04CD"/>
    <w:rsid w:val="001D0DD2"/>
    <w:rsid w:val="001D117D"/>
    <w:rsid w:val="001D18A0"/>
    <w:rsid w:val="001D1FB0"/>
    <w:rsid w:val="001D219B"/>
    <w:rsid w:val="001D2200"/>
    <w:rsid w:val="001D25C4"/>
    <w:rsid w:val="001D2C27"/>
    <w:rsid w:val="001D3AC1"/>
    <w:rsid w:val="001D3CAD"/>
    <w:rsid w:val="001D469F"/>
    <w:rsid w:val="001D4A90"/>
    <w:rsid w:val="001D4AED"/>
    <w:rsid w:val="001D58A9"/>
    <w:rsid w:val="001D5D56"/>
    <w:rsid w:val="001D6E9A"/>
    <w:rsid w:val="001D6FD7"/>
    <w:rsid w:val="001D723A"/>
    <w:rsid w:val="001D767A"/>
    <w:rsid w:val="001D7BC1"/>
    <w:rsid w:val="001E04D5"/>
    <w:rsid w:val="001E08EA"/>
    <w:rsid w:val="001E0E29"/>
    <w:rsid w:val="001E19E9"/>
    <w:rsid w:val="001E20D6"/>
    <w:rsid w:val="001E20EC"/>
    <w:rsid w:val="001E2123"/>
    <w:rsid w:val="001E2822"/>
    <w:rsid w:val="001E2985"/>
    <w:rsid w:val="001E2C55"/>
    <w:rsid w:val="001E399F"/>
    <w:rsid w:val="001E39D1"/>
    <w:rsid w:val="001E3D48"/>
    <w:rsid w:val="001E3EBA"/>
    <w:rsid w:val="001E4479"/>
    <w:rsid w:val="001E4A82"/>
    <w:rsid w:val="001E4BC0"/>
    <w:rsid w:val="001E4C72"/>
    <w:rsid w:val="001E5016"/>
    <w:rsid w:val="001E5380"/>
    <w:rsid w:val="001E5744"/>
    <w:rsid w:val="001E5866"/>
    <w:rsid w:val="001E58BB"/>
    <w:rsid w:val="001E60B7"/>
    <w:rsid w:val="001E6151"/>
    <w:rsid w:val="001E69DB"/>
    <w:rsid w:val="001E7120"/>
    <w:rsid w:val="001E7173"/>
    <w:rsid w:val="001E74D0"/>
    <w:rsid w:val="001E75F9"/>
    <w:rsid w:val="001E7803"/>
    <w:rsid w:val="001E7D7F"/>
    <w:rsid w:val="001E7ED0"/>
    <w:rsid w:val="001F0A38"/>
    <w:rsid w:val="001F0D26"/>
    <w:rsid w:val="001F1D48"/>
    <w:rsid w:val="001F23DD"/>
    <w:rsid w:val="001F26EE"/>
    <w:rsid w:val="001F2C45"/>
    <w:rsid w:val="001F41EC"/>
    <w:rsid w:val="001F4D0F"/>
    <w:rsid w:val="001F5000"/>
    <w:rsid w:val="001F51A4"/>
    <w:rsid w:val="001F58A1"/>
    <w:rsid w:val="001F6B35"/>
    <w:rsid w:val="001F6B94"/>
    <w:rsid w:val="001F6E12"/>
    <w:rsid w:val="001F6F39"/>
    <w:rsid w:val="001F6FE8"/>
    <w:rsid w:val="001F7136"/>
    <w:rsid w:val="001F7E83"/>
    <w:rsid w:val="001F7F2D"/>
    <w:rsid w:val="00200344"/>
    <w:rsid w:val="0020109B"/>
    <w:rsid w:val="0020144E"/>
    <w:rsid w:val="00201459"/>
    <w:rsid w:val="00202239"/>
    <w:rsid w:val="00203008"/>
    <w:rsid w:val="00203371"/>
    <w:rsid w:val="002033E9"/>
    <w:rsid w:val="00203585"/>
    <w:rsid w:val="00203B02"/>
    <w:rsid w:val="00205E18"/>
    <w:rsid w:val="00206773"/>
    <w:rsid w:val="002069F9"/>
    <w:rsid w:val="0020726D"/>
    <w:rsid w:val="002108AF"/>
    <w:rsid w:val="002116A8"/>
    <w:rsid w:val="00212161"/>
    <w:rsid w:val="00212869"/>
    <w:rsid w:val="0021379B"/>
    <w:rsid w:val="00213DF2"/>
    <w:rsid w:val="00214055"/>
    <w:rsid w:val="0021431A"/>
    <w:rsid w:val="00217259"/>
    <w:rsid w:val="00217674"/>
    <w:rsid w:val="00217BD6"/>
    <w:rsid w:val="00217E93"/>
    <w:rsid w:val="00220A16"/>
    <w:rsid w:val="00221308"/>
    <w:rsid w:val="00221F38"/>
    <w:rsid w:val="00222424"/>
    <w:rsid w:val="00222629"/>
    <w:rsid w:val="00222C34"/>
    <w:rsid w:val="00222C97"/>
    <w:rsid w:val="00223876"/>
    <w:rsid w:val="0022389F"/>
    <w:rsid w:val="00223D23"/>
    <w:rsid w:val="00224659"/>
    <w:rsid w:val="002246FD"/>
    <w:rsid w:val="00224C98"/>
    <w:rsid w:val="0022532E"/>
    <w:rsid w:val="00225761"/>
    <w:rsid w:val="002258D9"/>
    <w:rsid w:val="00225D8F"/>
    <w:rsid w:val="0022602E"/>
    <w:rsid w:val="00226854"/>
    <w:rsid w:val="002269EB"/>
    <w:rsid w:val="00226BED"/>
    <w:rsid w:val="00227F9F"/>
    <w:rsid w:val="00230168"/>
    <w:rsid w:val="00230405"/>
    <w:rsid w:val="00230490"/>
    <w:rsid w:val="00230E7C"/>
    <w:rsid w:val="00231F3F"/>
    <w:rsid w:val="00232757"/>
    <w:rsid w:val="002328A9"/>
    <w:rsid w:val="002328CB"/>
    <w:rsid w:val="002329AC"/>
    <w:rsid w:val="00232AE2"/>
    <w:rsid w:val="00233835"/>
    <w:rsid w:val="002338DC"/>
    <w:rsid w:val="002339A1"/>
    <w:rsid w:val="00233BCC"/>
    <w:rsid w:val="00234246"/>
    <w:rsid w:val="00234D4C"/>
    <w:rsid w:val="00234FAB"/>
    <w:rsid w:val="00235FC3"/>
    <w:rsid w:val="002361C4"/>
    <w:rsid w:val="002400CD"/>
    <w:rsid w:val="00240438"/>
    <w:rsid w:val="0024188B"/>
    <w:rsid w:val="00241C91"/>
    <w:rsid w:val="00241EE9"/>
    <w:rsid w:val="00242006"/>
    <w:rsid w:val="0024233A"/>
    <w:rsid w:val="00243488"/>
    <w:rsid w:val="00243BF2"/>
    <w:rsid w:val="00244500"/>
    <w:rsid w:val="00244C92"/>
    <w:rsid w:val="00244D43"/>
    <w:rsid w:val="00244FCE"/>
    <w:rsid w:val="00245106"/>
    <w:rsid w:val="002454DD"/>
    <w:rsid w:val="002455EA"/>
    <w:rsid w:val="00245CA6"/>
    <w:rsid w:val="0024607A"/>
    <w:rsid w:val="002460CE"/>
    <w:rsid w:val="0024667D"/>
    <w:rsid w:val="00247D1D"/>
    <w:rsid w:val="00247D45"/>
    <w:rsid w:val="00250BFD"/>
    <w:rsid w:val="00251029"/>
    <w:rsid w:val="002510D3"/>
    <w:rsid w:val="00252551"/>
    <w:rsid w:val="0025258D"/>
    <w:rsid w:val="00252890"/>
    <w:rsid w:val="00252CF0"/>
    <w:rsid w:val="00253625"/>
    <w:rsid w:val="00253D93"/>
    <w:rsid w:val="00253FC5"/>
    <w:rsid w:val="002540AD"/>
    <w:rsid w:val="002550CD"/>
    <w:rsid w:val="002553D1"/>
    <w:rsid w:val="00255755"/>
    <w:rsid w:val="00255D34"/>
    <w:rsid w:val="0025617E"/>
    <w:rsid w:val="0025660B"/>
    <w:rsid w:val="00256A58"/>
    <w:rsid w:val="00256BC7"/>
    <w:rsid w:val="00256E79"/>
    <w:rsid w:val="00257194"/>
    <w:rsid w:val="00257201"/>
    <w:rsid w:val="002576D7"/>
    <w:rsid w:val="00257B89"/>
    <w:rsid w:val="00261ABA"/>
    <w:rsid w:val="00262BAE"/>
    <w:rsid w:val="00262E18"/>
    <w:rsid w:val="00263A98"/>
    <w:rsid w:val="00263B36"/>
    <w:rsid w:val="002640E1"/>
    <w:rsid w:val="0026457D"/>
    <w:rsid w:val="00264917"/>
    <w:rsid w:val="00264AC0"/>
    <w:rsid w:val="0026571E"/>
    <w:rsid w:val="00265954"/>
    <w:rsid w:val="00265C1B"/>
    <w:rsid w:val="0026629C"/>
    <w:rsid w:val="002679D1"/>
    <w:rsid w:val="00267D10"/>
    <w:rsid w:val="0027024B"/>
    <w:rsid w:val="00270B2E"/>
    <w:rsid w:val="00270C35"/>
    <w:rsid w:val="00271793"/>
    <w:rsid w:val="00271F64"/>
    <w:rsid w:val="0027339F"/>
    <w:rsid w:val="002734C3"/>
    <w:rsid w:val="00273D38"/>
    <w:rsid w:val="00274F5B"/>
    <w:rsid w:val="002752CC"/>
    <w:rsid w:val="00275965"/>
    <w:rsid w:val="00275F2C"/>
    <w:rsid w:val="00276681"/>
    <w:rsid w:val="002766A5"/>
    <w:rsid w:val="0027748F"/>
    <w:rsid w:val="0028011B"/>
    <w:rsid w:val="002804ED"/>
    <w:rsid w:val="002811CB"/>
    <w:rsid w:val="00281874"/>
    <w:rsid w:val="002819CB"/>
    <w:rsid w:val="00281F57"/>
    <w:rsid w:val="002821A6"/>
    <w:rsid w:val="0028237A"/>
    <w:rsid w:val="00282C25"/>
    <w:rsid w:val="00282DBE"/>
    <w:rsid w:val="00283282"/>
    <w:rsid w:val="00284884"/>
    <w:rsid w:val="00285003"/>
    <w:rsid w:val="00285AEF"/>
    <w:rsid w:val="00286987"/>
    <w:rsid w:val="002869F5"/>
    <w:rsid w:val="002869F6"/>
    <w:rsid w:val="00286E14"/>
    <w:rsid w:val="002873BB"/>
    <w:rsid w:val="002874BE"/>
    <w:rsid w:val="00287DCC"/>
    <w:rsid w:val="00290008"/>
    <w:rsid w:val="0029027B"/>
    <w:rsid w:val="00290C8B"/>
    <w:rsid w:val="00290FA9"/>
    <w:rsid w:val="0029101F"/>
    <w:rsid w:val="002911AF"/>
    <w:rsid w:val="002916FB"/>
    <w:rsid w:val="00291CDE"/>
    <w:rsid w:val="00291CF1"/>
    <w:rsid w:val="002920F7"/>
    <w:rsid w:val="0029210D"/>
    <w:rsid w:val="00292587"/>
    <w:rsid w:val="00292851"/>
    <w:rsid w:val="00293F14"/>
    <w:rsid w:val="00294146"/>
    <w:rsid w:val="00294B7A"/>
    <w:rsid w:val="00294D3B"/>
    <w:rsid w:val="00295855"/>
    <w:rsid w:val="00295DE9"/>
    <w:rsid w:val="00296930"/>
    <w:rsid w:val="00296B8E"/>
    <w:rsid w:val="00297406"/>
    <w:rsid w:val="0029795D"/>
    <w:rsid w:val="002A0307"/>
    <w:rsid w:val="002A143D"/>
    <w:rsid w:val="002A203F"/>
    <w:rsid w:val="002A27AD"/>
    <w:rsid w:val="002A3DE9"/>
    <w:rsid w:val="002A3E0F"/>
    <w:rsid w:val="002A40B6"/>
    <w:rsid w:val="002A419E"/>
    <w:rsid w:val="002A447A"/>
    <w:rsid w:val="002A466C"/>
    <w:rsid w:val="002A493A"/>
    <w:rsid w:val="002A4E73"/>
    <w:rsid w:val="002A4EDA"/>
    <w:rsid w:val="002A530A"/>
    <w:rsid w:val="002A5884"/>
    <w:rsid w:val="002A5EA9"/>
    <w:rsid w:val="002A6258"/>
    <w:rsid w:val="002A65E4"/>
    <w:rsid w:val="002A6981"/>
    <w:rsid w:val="002A6BA7"/>
    <w:rsid w:val="002A6E0D"/>
    <w:rsid w:val="002A7366"/>
    <w:rsid w:val="002A7668"/>
    <w:rsid w:val="002A7E56"/>
    <w:rsid w:val="002B1C42"/>
    <w:rsid w:val="002B1C50"/>
    <w:rsid w:val="002B207C"/>
    <w:rsid w:val="002B38AE"/>
    <w:rsid w:val="002B3CBA"/>
    <w:rsid w:val="002B4138"/>
    <w:rsid w:val="002B4379"/>
    <w:rsid w:val="002B44CF"/>
    <w:rsid w:val="002B562E"/>
    <w:rsid w:val="002B5B3D"/>
    <w:rsid w:val="002B5D13"/>
    <w:rsid w:val="002B5D18"/>
    <w:rsid w:val="002B61A1"/>
    <w:rsid w:val="002B7922"/>
    <w:rsid w:val="002B7E1B"/>
    <w:rsid w:val="002C01FA"/>
    <w:rsid w:val="002C107F"/>
    <w:rsid w:val="002C2529"/>
    <w:rsid w:val="002C2A03"/>
    <w:rsid w:val="002C2D48"/>
    <w:rsid w:val="002C2E5D"/>
    <w:rsid w:val="002C3238"/>
    <w:rsid w:val="002C3CEC"/>
    <w:rsid w:val="002C4299"/>
    <w:rsid w:val="002C4844"/>
    <w:rsid w:val="002C4D02"/>
    <w:rsid w:val="002C4F13"/>
    <w:rsid w:val="002C5318"/>
    <w:rsid w:val="002C54E9"/>
    <w:rsid w:val="002C54F0"/>
    <w:rsid w:val="002C5B11"/>
    <w:rsid w:val="002C6096"/>
    <w:rsid w:val="002C62B3"/>
    <w:rsid w:val="002C6441"/>
    <w:rsid w:val="002C65D6"/>
    <w:rsid w:val="002C6918"/>
    <w:rsid w:val="002C7620"/>
    <w:rsid w:val="002C779A"/>
    <w:rsid w:val="002C789A"/>
    <w:rsid w:val="002D0139"/>
    <w:rsid w:val="002D0A6C"/>
    <w:rsid w:val="002D122C"/>
    <w:rsid w:val="002D272A"/>
    <w:rsid w:val="002D27FB"/>
    <w:rsid w:val="002D2A9C"/>
    <w:rsid w:val="002D3233"/>
    <w:rsid w:val="002D33FF"/>
    <w:rsid w:val="002D3CE7"/>
    <w:rsid w:val="002D3D88"/>
    <w:rsid w:val="002D411F"/>
    <w:rsid w:val="002D44A6"/>
    <w:rsid w:val="002D4A87"/>
    <w:rsid w:val="002D4F9C"/>
    <w:rsid w:val="002D5A6A"/>
    <w:rsid w:val="002D5E8A"/>
    <w:rsid w:val="002D6DFC"/>
    <w:rsid w:val="002D73CA"/>
    <w:rsid w:val="002D777E"/>
    <w:rsid w:val="002D7CF9"/>
    <w:rsid w:val="002E144A"/>
    <w:rsid w:val="002E16F9"/>
    <w:rsid w:val="002E1BE8"/>
    <w:rsid w:val="002E288C"/>
    <w:rsid w:val="002E28B9"/>
    <w:rsid w:val="002E2DE2"/>
    <w:rsid w:val="002E4388"/>
    <w:rsid w:val="002E4A9C"/>
    <w:rsid w:val="002E4B66"/>
    <w:rsid w:val="002E4D26"/>
    <w:rsid w:val="002E5601"/>
    <w:rsid w:val="002E5AE6"/>
    <w:rsid w:val="002E6989"/>
    <w:rsid w:val="002E69F6"/>
    <w:rsid w:val="002E6AE7"/>
    <w:rsid w:val="002E6BEA"/>
    <w:rsid w:val="002E6D8A"/>
    <w:rsid w:val="002E6DE4"/>
    <w:rsid w:val="002E76DB"/>
    <w:rsid w:val="002F0F15"/>
    <w:rsid w:val="002F15B2"/>
    <w:rsid w:val="002F1B08"/>
    <w:rsid w:val="002F1B6B"/>
    <w:rsid w:val="002F307A"/>
    <w:rsid w:val="002F3232"/>
    <w:rsid w:val="002F4258"/>
    <w:rsid w:val="002F52BC"/>
    <w:rsid w:val="002F5511"/>
    <w:rsid w:val="002F576E"/>
    <w:rsid w:val="002F5B29"/>
    <w:rsid w:val="002F5B54"/>
    <w:rsid w:val="002F5C6C"/>
    <w:rsid w:val="002F707B"/>
    <w:rsid w:val="002F7511"/>
    <w:rsid w:val="002F79DD"/>
    <w:rsid w:val="002F7A0A"/>
    <w:rsid w:val="002F7B23"/>
    <w:rsid w:val="002F7E40"/>
    <w:rsid w:val="002F7F18"/>
    <w:rsid w:val="003012DA"/>
    <w:rsid w:val="00301BAD"/>
    <w:rsid w:val="00301D8E"/>
    <w:rsid w:val="00301F20"/>
    <w:rsid w:val="00302900"/>
    <w:rsid w:val="003049F6"/>
    <w:rsid w:val="00306444"/>
    <w:rsid w:val="00306B62"/>
    <w:rsid w:val="00306F65"/>
    <w:rsid w:val="00306F75"/>
    <w:rsid w:val="00307C5C"/>
    <w:rsid w:val="00310E6D"/>
    <w:rsid w:val="003110A3"/>
    <w:rsid w:val="003113D8"/>
    <w:rsid w:val="003121BD"/>
    <w:rsid w:val="0031296B"/>
    <w:rsid w:val="00312CFE"/>
    <w:rsid w:val="00313480"/>
    <w:rsid w:val="00313C98"/>
    <w:rsid w:val="00313FD9"/>
    <w:rsid w:val="003147AB"/>
    <w:rsid w:val="00314BC3"/>
    <w:rsid w:val="003155BD"/>
    <w:rsid w:val="003157B5"/>
    <w:rsid w:val="00316597"/>
    <w:rsid w:val="003167EF"/>
    <w:rsid w:val="003177B9"/>
    <w:rsid w:val="00317D58"/>
    <w:rsid w:val="00320211"/>
    <w:rsid w:val="00320338"/>
    <w:rsid w:val="00321E0A"/>
    <w:rsid w:val="003220CA"/>
    <w:rsid w:val="003221E5"/>
    <w:rsid w:val="00322C1E"/>
    <w:rsid w:val="00322CC4"/>
    <w:rsid w:val="00322E7F"/>
    <w:rsid w:val="003230DC"/>
    <w:rsid w:val="0032387F"/>
    <w:rsid w:val="00323965"/>
    <w:rsid w:val="00323BFB"/>
    <w:rsid w:val="00324130"/>
    <w:rsid w:val="0032496E"/>
    <w:rsid w:val="00324A06"/>
    <w:rsid w:val="00324E3D"/>
    <w:rsid w:val="00325141"/>
    <w:rsid w:val="003262B1"/>
    <w:rsid w:val="0032632E"/>
    <w:rsid w:val="00327397"/>
    <w:rsid w:val="0032765B"/>
    <w:rsid w:val="0033117B"/>
    <w:rsid w:val="003314CF"/>
    <w:rsid w:val="00332BD7"/>
    <w:rsid w:val="00333506"/>
    <w:rsid w:val="00333AFC"/>
    <w:rsid w:val="00333BDC"/>
    <w:rsid w:val="00333F6A"/>
    <w:rsid w:val="003341DB"/>
    <w:rsid w:val="00334B1B"/>
    <w:rsid w:val="00335D31"/>
    <w:rsid w:val="00336260"/>
    <w:rsid w:val="003374EE"/>
    <w:rsid w:val="00337587"/>
    <w:rsid w:val="003375C2"/>
    <w:rsid w:val="0034029F"/>
    <w:rsid w:val="003403C4"/>
    <w:rsid w:val="00340987"/>
    <w:rsid w:val="00340A17"/>
    <w:rsid w:val="003410AA"/>
    <w:rsid w:val="00342A14"/>
    <w:rsid w:val="00343BB2"/>
    <w:rsid w:val="0034465F"/>
    <w:rsid w:val="0034584D"/>
    <w:rsid w:val="0034601A"/>
    <w:rsid w:val="003460AD"/>
    <w:rsid w:val="003476CA"/>
    <w:rsid w:val="003479B1"/>
    <w:rsid w:val="00347E8E"/>
    <w:rsid w:val="00347EE5"/>
    <w:rsid w:val="00350505"/>
    <w:rsid w:val="0035168E"/>
    <w:rsid w:val="00351E03"/>
    <w:rsid w:val="003524BB"/>
    <w:rsid w:val="0035251D"/>
    <w:rsid w:val="00352A13"/>
    <w:rsid w:val="00352A6B"/>
    <w:rsid w:val="00352AC0"/>
    <w:rsid w:val="00352E32"/>
    <w:rsid w:val="00352EC1"/>
    <w:rsid w:val="0035307E"/>
    <w:rsid w:val="00354A6D"/>
    <w:rsid w:val="00354D9E"/>
    <w:rsid w:val="00354E37"/>
    <w:rsid w:val="003557FC"/>
    <w:rsid w:val="00355982"/>
    <w:rsid w:val="00355F05"/>
    <w:rsid w:val="00356119"/>
    <w:rsid w:val="0035649D"/>
    <w:rsid w:val="00356C6B"/>
    <w:rsid w:val="003608A5"/>
    <w:rsid w:val="00360AEB"/>
    <w:rsid w:val="00361054"/>
    <w:rsid w:val="0036119D"/>
    <w:rsid w:val="003619D5"/>
    <w:rsid w:val="00361E9F"/>
    <w:rsid w:val="00362BF3"/>
    <w:rsid w:val="00362E34"/>
    <w:rsid w:val="00362F5F"/>
    <w:rsid w:val="003630C9"/>
    <w:rsid w:val="003632EB"/>
    <w:rsid w:val="003637A0"/>
    <w:rsid w:val="00363E09"/>
    <w:rsid w:val="0036460D"/>
    <w:rsid w:val="0036474E"/>
    <w:rsid w:val="00364CF3"/>
    <w:rsid w:val="003652E3"/>
    <w:rsid w:val="00365CAA"/>
    <w:rsid w:val="003662DD"/>
    <w:rsid w:val="00366B5E"/>
    <w:rsid w:val="0036703D"/>
    <w:rsid w:val="00367EAB"/>
    <w:rsid w:val="00370D2C"/>
    <w:rsid w:val="00371309"/>
    <w:rsid w:val="00371F90"/>
    <w:rsid w:val="003723BF"/>
    <w:rsid w:val="00372573"/>
    <w:rsid w:val="00373C22"/>
    <w:rsid w:val="00373F1A"/>
    <w:rsid w:val="003742EF"/>
    <w:rsid w:val="00374794"/>
    <w:rsid w:val="00375247"/>
    <w:rsid w:val="003757B3"/>
    <w:rsid w:val="0037697D"/>
    <w:rsid w:val="00376990"/>
    <w:rsid w:val="003778DD"/>
    <w:rsid w:val="00377AB2"/>
    <w:rsid w:val="00377DB4"/>
    <w:rsid w:val="00380B30"/>
    <w:rsid w:val="00380BA1"/>
    <w:rsid w:val="00381639"/>
    <w:rsid w:val="003819A5"/>
    <w:rsid w:val="003824B5"/>
    <w:rsid w:val="00384D3C"/>
    <w:rsid w:val="00384D46"/>
    <w:rsid w:val="00386C89"/>
    <w:rsid w:val="003877C3"/>
    <w:rsid w:val="00387D7A"/>
    <w:rsid w:val="0039008F"/>
    <w:rsid w:val="003901D5"/>
    <w:rsid w:val="00390224"/>
    <w:rsid w:val="00390359"/>
    <w:rsid w:val="00390415"/>
    <w:rsid w:val="00390780"/>
    <w:rsid w:val="00391408"/>
    <w:rsid w:val="003919E6"/>
    <w:rsid w:val="0039283B"/>
    <w:rsid w:val="00392FE3"/>
    <w:rsid w:val="00393124"/>
    <w:rsid w:val="00393634"/>
    <w:rsid w:val="0039430A"/>
    <w:rsid w:val="0039450D"/>
    <w:rsid w:val="003946FB"/>
    <w:rsid w:val="00395C38"/>
    <w:rsid w:val="00395DE2"/>
    <w:rsid w:val="00395DF0"/>
    <w:rsid w:val="00396B7F"/>
    <w:rsid w:val="00396EA4"/>
    <w:rsid w:val="00396F2F"/>
    <w:rsid w:val="003976CD"/>
    <w:rsid w:val="00397C90"/>
    <w:rsid w:val="003A13D1"/>
    <w:rsid w:val="003A1779"/>
    <w:rsid w:val="003A1AD9"/>
    <w:rsid w:val="003A2053"/>
    <w:rsid w:val="003A2157"/>
    <w:rsid w:val="003A25B5"/>
    <w:rsid w:val="003A3363"/>
    <w:rsid w:val="003A387D"/>
    <w:rsid w:val="003A3905"/>
    <w:rsid w:val="003A3CC1"/>
    <w:rsid w:val="003A40BB"/>
    <w:rsid w:val="003A463E"/>
    <w:rsid w:val="003A52F3"/>
    <w:rsid w:val="003A540D"/>
    <w:rsid w:val="003A6635"/>
    <w:rsid w:val="003A6B0E"/>
    <w:rsid w:val="003A78C6"/>
    <w:rsid w:val="003A7AED"/>
    <w:rsid w:val="003A7B6C"/>
    <w:rsid w:val="003A7D5A"/>
    <w:rsid w:val="003B04B4"/>
    <w:rsid w:val="003B068B"/>
    <w:rsid w:val="003B07AE"/>
    <w:rsid w:val="003B0C5A"/>
    <w:rsid w:val="003B11E9"/>
    <w:rsid w:val="003B174F"/>
    <w:rsid w:val="003B1AB5"/>
    <w:rsid w:val="003B201B"/>
    <w:rsid w:val="003B20E4"/>
    <w:rsid w:val="003B24D1"/>
    <w:rsid w:val="003B27B5"/>
    <w:rsid w:val="003B2812"/>
    <w:rsid w:val="003B29D3"/>
    <w:rsid w:val="003B2A67"/>
    <w:rsid w:val="003B350D"/>
    <w:rsid w:val="003B36F5"/>
    <w:rsid w:val="003B456F"/>
    <w:rsid w:val="003B5562"/>
    <w:rsid w:val="003B56BE"/>
    <w:rsid w:val="003B6363"/>
    <w:rsid w:val="003B71E3"/>
    <w:rsid w:val="003B7364"/>
    <w:rsid w:val="003B737F"/>
    <w:rsid w:val="003B7F4C"/>
    <w:rsid w:val="003C04E4"/>
    <w:rsid w:val="003C07BB"/>
    <w:rsid w:val="003C0CF7"/>
    <w:rsid w:val="003C1324"/>
    <w:rsid w:val="003C2252"/>
    <w:rsid w:val="003C26A4"/>
    <w:rsid w:val="003C27EE"/>
    <w:rsid w:val="003C2E5D"/>
    <w:rsid w:val="003C36B0"/>
    <w:rsid w:val="003C36CD"/>
    <w:rsid w:val="003C3D13"/>
    <w:rsid w:val="003C4749"/>
    <w:rsid w:val="003C4868"/>
    <w:rsid w:val="003C4ABC"/>
    <w:rsid w:val="003C4B84"/>
    <w:rsid w:val="003C4F9D"/>
    <w:rsid w:val="003C5504"/>
    <w:rsid w:val="003C59E0"/>
    <w:rsid w:val="003C5A82"/>
    <w:rsid w:val="003C62C1"/>
    <w:rsid w:val="003C6F2A"/>
    <w:rsid w:val="003D1C93"/>
    <w:rsid w:val="003D23C4"/>
    <w:rsid w:val="003D25C5"/>
    <w:rsid w:val="003D2770"/>
    <w:rsid w:val="003D2F5C"/>
    <w:rsid w:val="003D39D7"/>
    <w:rsid w:val="003D3D18"/>
    <w:rsid w:val="003D3E6B"/>
    <w:rsid w:val="003D411F"/>
    <w:rsid w:val="003D4235"/>
    <w:rsid w:val="003D4B61"/>
    <w:rsid w:val="003D4C63"/>
    <w:rsid w:val="003D4E85"/>
    <w:rsid w:val="003D5614"/>
    <w:rsid w:val="003D60D7"/>
    <w:rsid w:val="003D62F5"/>
    <w:rsid w:val="003D6D14"/>
    <w:rsid w:val="003D743C"/>
    <w:rsid w:val="003D7600"/>
    <w:rsid w:val="003D7708"/>
    <w:rsid w:val="003D7F2E"/>
    <w:rsid w:val="003E02F6"/>
    <w:rsid w:val="003E0540"/>
    <w:rsid w:val="003E0A8B"/>
    <w:rsid w:val="003E11A7"/>
    <w:rsid w:val="003E153C"/>
    <w:rsid w:val="003E1A1B"/>
    <w:rsid w:val="003E2182"/>
    <w:rsid w:val="003E26E6"/>
    <w:rsid w:val="003E2722"/>
    <w:rsid w:val="003E2A6C"/>
    <w:rsid w:val="003E305B"/>
    <w:rsid w:val="003E33BA"/>
    <w:rsid w:val="003E3F1C"/>
    <w:rsid w:val="003E4F4C"/>
    <w:rsid w:val="003E5042"/>
    <w:rsid w:val="003E65ED"/>
    <w:rsid w:val="003E6BA0"/>
    <w:rsid w:val="003E6D0F"/>
    <w:rsid w:val="003E73DB"/>
    <w:rsid w:val="003F08CB"/>
    <w:rsid w:val="003F0ADC"/>
    <w:rsid w:val="003F1A51"/>
    <w:rsid w:val="003F1B7C"/>
    <w:rsid w:val="003F1C8B"/>
    <w:rsid w:val="003F2002"/>
    <w:rsid w:val="003F260B"/>
    <w:rsid w:val="003F2BF2"/>
    <w:rsid w:val="003F30D2"/>
    <w:rsid w:val="003F4A05"/>
    <w:rsid w:val="003F4AE6"/>
    <w:rsid w:val="003F4F73"/>
    <w:rsid w:val="003F5744"/>
    <w:rsid w:val="003F57DA"/>
    <w:rsid w:val="003F59E6"/>
    <w:rsid w:val="003F5A92"/>
    <w:rsid w:val="003F5BE6"/>
    <w:rsid w:val="003F6C00"/>
    <w:rsid w:val="003F6EA2"/>
    <w:rsid w:val="00400181"/>
    <w:rsid w:val="00401052"/>
    <w:rsid w:val="00401CF4"/>
    <w:rsid w:val="00402BCE"/>
    <w:rsid w:val="00402DBF"/>
    <w:rsid w:val="00402F24"/>
    <w:rsid w:val="00402FF5"/>
    <w:rsid w:val="004037E2"/>
    <w:rsid w:val="0040390D"/>
    <w:rsid w:val="00404B25"/>
    <w:rsid w:val="00404E04"/>
    <w:rsid w:val="00404E64"/>
    <w:rsid w:val="004057D7"/>
    <w:rsid w:val="0040596A"/>
    <w:rsid w:val="00405CA0"/>
    <w:rsid w:val="0040681D"/>
    <w:rsid w:val="00406B3B"/>
    <w:rsid w:val="00407C2A"/>
    <w:rsid w:val="00407E1E"/>
    <w:rsid w:val="004100B5"/>
    <w:rsid w:val="004105A6"/>
    <w:rsid w:val="00410FF1"/>
    <w:rsid w:val="0041123F"/>
    <w:rsid w:val="00411F31"/>
    <w:rsid w:val="004120B1"/>
    <w:rsid w:val="00412249"/>
    <w:rsid w:val="004122C3"/>
    <w:rsid w:val="004131E4"/>
    <w:rsid w:val="00413737"/>
    <w:rsid w:val="00413E74"/>
    <w:rsid w:val="0041421D"/>
    <w:rsid w:val="004148B9"/>
    <w:rsid w:val="0041490D"/>
    <w:rsid w:val="00414A0E"/>
    <w:rsid w:val="00414A5C"/>
    <w:rsid w:val="00414AA9"/>
    <w:rsid w:val="00414BB8"/>
    <w:rsid w:val="00414D9C"/>
    <w:rsid w:val="00415526"/>
    <w:rsid w:val="004156B4"/>
    <w:rsid w:val="004157C0"/>
    <w:rsid w:val="00415CDA"/>
    <w:rsid w:val="00415F94"/>
    <w:rsid w:val="004163E6"/>
    <w:rsid w:val="004165D6"/>
    <w:rsid w:val="0041697F"/>
    <w:rsid w:val="00420034"/>
    <w:rsid w:val="00420235"/>
    <w:rsid w:val="00421B67"/>
    <w:rsid w:val="00421E10"/>
    <w:rsid w:val="00421EB2"/>
    <w:rsid w:val="004223AA"/>
    <w:rsid w:val="00422D76"/>
    <w:rsid w:val="00423104"/>
    <w:rsid w:val="0042310D"/>
    <w:rsid w:val="00423BB8"/>
    <w:rsid w:val="00423CB3"/>
    <w:rsid w:val="00423E9C"/>
    <w:rsid w:val="004251BF"/>
    <w:rsid w:val="00425922"/>
    <w:rsid w:val="004267D3"/>
    <w:rsid w:val="00427E2A"/>
    <w:rsid w:val="00427E97"/>
    <w:rsid w:val="00427F6D"/>
    <w:rsid w:val="004317BB"/>
    <w:rsid w:val="00431FC9"/>
    <w:rsid w:val="004325CD"/>
    <w:rsid w:val="00432AB9"/>
    <w:rsid w:val="00432C96"/>
    <w:rsid w:val="00432F99"/>
    <w:rsid w:val="004333FA"/>
    <w:rsid w:val="00433C24"/>
    <w:rsid w:val="00433E65"/>
    <w:rsid w:val="0043444A"/>
    <w:rsid w:val="00434548"/>
    <w:rsid w:val="00435BDA"/>
    <w:rsid w:val="00436468"/>
    <w:rsid w:val="004374B2"/>
    <w:rsid w:val="0043760F"/>
    <w:rsid w:val="00437A6D"/>
    <w:rsid w:val="00437BB9"/>
    <w:rsid w:val="00440062"/>
    <w:rsid w:val="0044016E"/>
    <w:rsid w:val="00440301"/>
    <w:rsid w:val="00440A52"/>
    <w:rsid w:val="00440CFD"/>
    <w:rsid w:val="00440E44"/>
    <w:rsid w:val="00440F73"/>
    <w:rsid w:val="004410F4"/>
    <w:rsid w:val="004414B1"/>
    <w:rsid w:val="004421D6"/>
    <w:rsid w:val="00442AB8"/>
    <w:rsid w:val="004436EA"/>
    <w:rsid w:val="00443A62"/>
    <w:rsid w:val="00443D99"/>
    <w:rsid w:val="00444202"/>
    <w:rsid w:val="0044456C"/>
    <w:rsid w:val="0044473E"/>
    <w:rsid w:val="00444D26"/>
    <w:rsid w:val="00444F47"/>
    <w:rsid w:val="00445354"/>
    <w:rsid w:val="004456D6"/>
    <w:rsid w:val="0044582B"/>
    <w:rsid w:val="00446891"/>
    <w:rsid w:val="00447439"/>
    <w:rsid w:val="00447640"/>
    <w:rsid w:val="00447860"/>
    <w:rsid w:val="004479DD"/>
    <w:rsid w:val="00450B39"/>
    <w:rsid w:val="00450D2F"/>
    <w:rsid w:val="00451C0A"/>
    <w:rsid w:val="004521B9"/>
    <w:rsid w:val="00452300"/>
    <w:rsid w:val="004527AE"/>
    <w:rsid w:val="0045332B"/>
    <w:rsid w:val="00453352"/>
    <w:rsid w:val="00453BC6"/>
    <w:rsid w:val="00453D29"/>
    <w:rsid w:val="00454498"/>
    <w:rsid w:val="00454604"/>
    <w:rsid w:val="004547EA"/>
    <w:rsid w:val="00455332"/>
    <w:rsid w:val="0045597E"/>
    <w:rsid w:val="0045653F"/>
    <w:rsid w:val="00456C59"/>
    <w:rsid w:val="00456CC4"/>
    <w:rsid w:val="00456FB4"/>
    <w:rsid w:val="00457022"/>
    <w:rsid w:val="00457392"/>
    <w:rsid w:val="00457729"/>
    <w:rsid w:val="00457A4E"/>
    <w:rsid w:val="00457C1E"/>
    <w:rsid w:val="0046002A"/>
    <w:rsid w:val="0046085F"/>
    <w:rsid w:val="00460AD6"/>
    <w:rsid w:val="00460B99"/>
    <w:rsid w:val="00462121"/>
    <w:rsid w:val="00462134"/>
    <w:rsid w:val="0046247A"/>
    <w:rsid w:val="0046276B"/>
    <w:rsid w:val="00462988"/>
    <w:rsid w:val="00462D70"/>
    <w:rsid w:val="004631EC"/>
    <w:rsid w:val="004638F1"/>
    <w:rsid w:val="0046444E"/>
    <w:rsid w:val="004647FC"/>
    <w:rsid w:val="00465174"/>
    <w:rsid w:val="00465ACC"/>
    <w:rsid w:val="00465ED9"/>
    <w:rsid w:val="00466BB1"/>
    <w:rsid w:val="00466C19"/>
    <w:rsid w:val="00466C43"/>
    <w:rsid w:val="00466D9C"/>
    <w:rsid w:val="00467445"/>
    <w:rsid w:val="0046752C"/>
    <w:rsid w:val="0046795F"/>
    <w:rsid w:val="00470520"/>
    <w:rsid w:val="00470E85"/>
    <w:rsid w:val="0047135E"/>
    <w:rsid w:val="004717E2"/>
    <w:rsid w:val="004719B1"/>
    <w:rsid w:val="00472C93"/>
    <w:rsid w:val="004730F0"/>
    <w:rsid w:val="004733BC"/>
    <w:rsid w:val="0047371A"/>
    <w:rsid w:val="00473E28"/>
    <w:rsid w:val="00474091"/>
    <w:rsid w:val="00474C67"/>
    <w:rsid w:val="00476993"/>
    <w:rsid w:val="00476D19"/>
    <w:rsid w:val="00476F7C"/>
    <w:rsid w:val="004770D8"/>
    <w:rsid w:val="00477931"/>
    <w:rsid w:val="00480C04"/>
    <w:rsid w:val="004818A7"/>
    <w:rsid w:val="00481AFC"/>
    <w:rsid w:val="0048273E"/>
    <w:rsid w:val="00483213"/>
    <w:rsid w:val="00484452"/>
    <w:rsid w:val="00484CC6"/>
    <w:rsid w:val="0048545C"/>
    <w:rsid w:val="004858A5"/>
    <w:rsid w:val="00485EE5"/>
    <w:rsid w:val="00486726"/>
    <w:rsid w:val="0048679C"/>
    <w:rsid w:val="00486BE1"/>
    <w:rsid w:val="00487BB7"/>
    <w:rsid w:val="0049007C"/>
    <w:rsid w:val="00490198"/>
    <w:rsid w:val="00490E28"/>
    <w:rsid w:val="004911BD"/>
    <w:rsid w:val="004916E8"/>
    <w:rsid w:val="00491D6A"/>
    <w:rsid w:val="00491EB0"/>
    <w:rsid w:val="004924F3"/>
    <w:rsid w:val="0049303A"/>
    <w:rsid w:val="00493C79"/>
    <w:rsid w:val="00494091"/>
    <w:rsid w:val="00494EA9"/>
    <w:rsid w:val="00495845"/>
    <w:rsid w:val="004959F2"/>
    <w:rsid w:val="00496412"/>
    <w:rsid w:val="00496760"/>
    <w:rsid w:val="00496F13"/>
    <w:rsid w:val="00497362"/>
    <w:rsid w:val="00497577"/>
    <w:rsid w:val="004975BC"/>
    <w:rsid w:val="00497C77"/>
    <w:rsid w:val="004A00BE"/>
    <w:rsid w:val="004A0266"/>
    <w:rsid w:val="004A0AE7"/>
    <w:rsid w:val="004A0B6A"/>
    <w:rsid w:val="004A1A9E"/>
    <w:rsid w:val="004A1AFF"/>
    <w:rsid w:val="004A2300"/>
    <w:rsid w:val="004A3588"/>
    <w:rsid w:val="004A40DD"/>
    <w:rsid w:val="004A45FE"/>
    <w:rsid w:val="004A4A03"/>
    <w:rsid w:val="004A523F"/>
    <w:rsid w:val="004A597B"/>
    <w:rsid w:val="004A5D76"/>
    <w:rsid w:val="004A6062"/>
    <w:rsid w:val="004A6065"/>
    <w:rsid w:val="004A6345"/>
    <w:rsid w:val="004A673A"/>
    <w:rsid w:val="004A696B"/>
    <w:rsid w:val="004A7161"/>
    <w:rsid w:val="004A770F"/>
    <w:rsid w:val="004A7A3A"/>
    <w:rsid w:val="004A7D98"/>
    <w:rsid w:val="004B03B5"/>
    <w:rsid w:val="004B05EA"/>
    <w:rsid w:val="004B0813"/>
    <w:rsid w:val="004B136A"/>
    <w:rsid w:val="004B1F38"/>
    <w:rsid w:val="004B21C5"/>
    <w:rsid w:val="004B247F"/>
    <w:rsid w:val="004B24D1"/>
    <w:rsid w:val="004B2EF6"/>
    <w:rsid w:val="004B34A6"/>
    <w:rsid w:val="004B3E6D"/>
    <w:rsid w:val="004B4EFC"/>
    <w:rsid w:val="004B5612"/>
    <w:rsid w:val="004B5AA7"/>
    <w:rsid w:val="004B5ACA"/>
    <w:rsid w:val="004B5EAB"/>
    <w:rsid w:val="004B6083"/>
    <w:rsid w:val="004B61F9"/>
    <w:rsid w:val="004B678B"/>
    <w:rsid w:val="004B6927"/>
    <w:rsid w:val="004B703E"/>
    <w:rsid w:val="004B7384"/>
    <w:rsid w:val="004B73E9"/>
    <w:rsid w:val="004B74D4"/>
    <w:rsid w:val="004B777D"/>
    <w:rsid w:val="004B7E5C"/>
    <w:rsid w:val="004B7F77"/>
    <w:rsid w:val="004C12A4"/>
    <w:rsid w:val="004C17DD"/>
    <w:rsid w:val="004C1D5A"/>
    <w:rsid w:val="004C22F0"/>
    <w:rsid w:val="004C2A4B"/>
    <w:rsid w:val="004C2C07"/>
    <w:rsid w:val="004C2C20"/>
    <w:rsid w:val="004C2F1C"/>
    <w:rsid w:val="004C35D9"/>
    <w:rsid w:val="004C38E7"/>
    <w:rsid w:val="004C3CC4"/>
    <w:rsid w:val="004C4D5E"/>
    <w:rsid w:val="004C4E4C"/>
    <w:rsid w:val="004C537A"/>
    <w:rsid w:val="004C5682"/>
    <w:rsid w:val="004C5725"/>
    <w:rsid w:val="004C5F12"/>
    <w:rsid w:val="004C65BD"/>
    <w:rsid w:val="004C65CB"/>
    <w:rsid w:val="004C689C"/>
    <w:rsid w:val="004C732C"/>
    <w:rsid w:val="004C7345"/>
    <w:rsid w:val="004C78BF"/>
    <w:rsid w:val="004C7C9C"/>
    <w:rsid w:val="004D11ED"/>
    <w:rsid w:val="004D1AEC"/>
    <w:rsid w:val="004D241C"/>
    <w:rsid w:val="004D310E"/>
    <w:rsid w:val="004D37D8"/>
    <w:rsid w:val="004D38AF"/>
    <w:rsid w:val="004D4093"/>
    <w:rsid w:val="004D40A4"/>
    <w:rsid w:val="004D4561"/>
    <w:rsid w:val="004D4831"/>
    <w:rsid w:val="004D4B81"/>
    <w:rsid w:val="004D53C4"/>
    <w:rsid w:val="004D6D7F"/>
    <w:rsid w:val="004D7366"/>
    <w:rsid w:val="004D7468"/>
    <w:rsid w:val="004D7AF7"/>
    <w:rsid w:val="004E034C"/>
    <w:rsid w:val="004E0AAE"/>
    <w:rsid w:val="004E201C"/>
    <w:rsid w:val="004E2296"/>
    <w:rsid w:val="004E2708"/>
    <w:rsid w:val="004E28DD"/>
    <w:rsid w:val="004E2ACF"/>
    <w:rsid w:val="004E2C6A"/>
    <w:rsid w:val="004E2CB0"/>
    <w:rsid w:val="004E2F89"/>
    <w:rsid w:val="004E464C"/>
    <w:rsid w:val="004E4BC7"/>
    <w:rsid w:val="004E4FD5"/>
    <w:rsid w:val="004E5AA3"/>
    <w:rsid w:val="004E6249"/>
    <w:rsid w:val="004E6280"/>
    <w:rsid w:val="004E63B4"/>
    <w:rsid w:val="004E757E"/>
    <w:rsid w:val="004F0633"/>
    <w:rsid w:val="004F11F3"/>
    <w:rsid w:val="004F176D"/>
    <w:rsid w:val="004F1801"/>
    <w:rsid w:val="004F1929"/>
    <w:rsid w:val="004F1A0D"/>
    <w:rsid w:val="004F1F4E"/>
    <w:rsid w:val="004F2706"/>
    <w:rsid w:val="004F2F5D"/>
    <w:rsid w:val="004F2F89"/>
    <w:rsid w:val="004F3587"/>
    <w:rsid w:val="004F3B66"/>
    <w:rsid w:val="004F3EA2"/>
    <w:rsid w:val="004F44C3"/>
    <w:rsid w:val="004F4A1E"/>
    <w:rsid w:val="004F4A3E"/>
    <w:rsid w:val="004F5638"/>
    <w:rsid w:val="004F5DCD"/>
    <w:rsid w:val="004F5FDF"/>
    <w:rsid w:val="004F6B2B"/>
    <w:rsid w:val="004F6DB3"/>
    <w:rsid w:val="004F6F52"/>
    <w:rsid w:val="004F74C8"/>
    <w:rsid w:val="004F7688"/>
    <w:rsid w:val="00500490"/>
    <w:rsid w:val="005004CB"/>
    <w:rsid w:val="005005DF"/>
    <w:rsid w:val="0050136C"/>
    <w:rsid w:val="005017D0"/>
    <w:rsid w:val="005018E3"/>
    <w:rsid w:val="00501C4F"/>
    <w:rsid w:val="00501E5F"/>
    <w:rsid w:val="005031F7"/>
    <w:rsid w:val="00503ADA"/>
    <w:rsid w:val="00503DA9"/>
    <w:rsid w:val="00503F9D"/>
    <w:rsid w:val="0050478F"/>
    <w:rsid w:val="00505045"/>
    <w:rsid w:val="00505818"/>
    <w:rsid w:val="00505ADA"/>
    <w:rsid w:val="00505F26"/>
    <w:rsid w:val="005067B5"/>
    <w:rsid w:val="00506A52"/>
    <w:rsid w:val="00506F83"/>
    <w:rsid w:val="00507346"/>
    <w:rsid w:val="00507422"/>
    <w:rsid w:val="00507EC8"/>
    <w:rsid w:val="005100C2"/>
    <w:rsid w:val="005100E5"/>
    <w:rsid w:val="00510B96"/>
    <w:rsid w:val="00510E1F"/>
    <w:rsid w:val="00511501"/>
    <w:rsid w:val="00511B5B"/>
    <w:rsid w:val="00512398"/>
    <w:rsid w:val="005124E0"/>
    <w:rsid w:val="00512BED"/>
    <w:rsid w:val="00512C4D"/>
    <w:rsid w:val="00513979"/>
    <w:rsid w:val="00513FD7"/>
    <w:rsid w:val="005141C8"/>
    <w:rsid w:val="00514378"/>
    <w:rsid w:val="005145BF"/>
    <w:rsid w:val="00514F8E"/>
    <w:rsid w:val="005155DD"/>
    <w:rsid w:val="00515AF2"/>
    <w:rsid w:val="00515E4E"/>
    <w:rsid w:val="00515FF6"/>
    <w:rsid w:val="005163F8"/>
    <w:rsid w:val="0051640E"/>
    <w:rsid w:val="00516741"/>
    <w:rsid w:val="005167BD"/>
    <w:rsid w:val="0051684E"/>
    <w:rsid w:val="00516D0F"/>
    <w:rsid w:val="005174FC"/>
    <w:rsid w:val="0052087D"/>
    <w:rsid w:val="00520C9D"/>
    <w:rsid w:val="0052175D"/>
    <w:rsid w:val="00521B62"/>
    <w:rsid w:val="00521E72"/>
    <w:rsid w:val="00522636"/>
    <w:rsid w:val="005227D6"/>
    <w:rsid w:val="00523286"/>
    <w:rsid w:val="0052393C"/>
    <w:rsid w:val="00523AA4"/>
    <w:rsid w:val="005243BB"/>
    <w:rsid w:val="0052458D"/>
    <w:rsid w:val="00524694"/>
    <w:rsid w:val="00524834"/>
    <w:rsid w:val="00524B12"/>
    <w:rsid w:val="00524F48"/>
    <w:rsid w:val="005258D5"/>
    <w:rsid w:val="005265D5"/>
    <w:rsid w:val="00526BE6"/>
    <w:rsid w:val="00526F5B"/>
    <w:rsid w:val="00526FEE"/>
    <w:rsid w:val="005278C0"/>
    <w:rsid w:val="00527956"/>
    <w:rsid w:val="00527ABC"/>
    <w:rsid w:val="00527D58"/>
    <w:rsid w:val="00530011"/>
    <w:rsid w:val="00530602"/>
    <w:rsid w:val="005309F1"/>
    <w:rsid w:val="005311FD"/>
    <w:rsid w:val="0053128C"/>
    <w:rsid w:val="005320C3"/>
    <w:rsid w:val="00532161"/>
    <w:rsid w:val="00532EC6"/>
    <w:rsid w:val="0053357B"/>
    <w:rsid w:val="005335B9"/>
    <w:rsid w:val="00534772"/>
    <w:rsid w:val="00534B63"/>
    <w:rsid w:val="0053613E"/>
    <w:rsid w:val="00536787"/>
    <w:rsid w:val="00536931"/>
    <w:rsid w:val="00536B09"/>
    <w:rsid w:val="00537006"/>
    <w:rsid w:val="00537A69"/>
    <w:rsid w:val="00537DCF"/>
    <w:rsid w:val="00540238"/>
    <w:rsid w:val="00540CA9"/>
    <w:rsid w:val="005410C3"/>
    <w:rsid w:val="005411CD"/>
    <w:rsid w:val="0054120F"/>
    <w:rsid w:val="005412DC"/>
    <w:rsid w:val="0054193D"/>
    <w:rsid w:val="00542A8C"/>
    <w:rsid w:val="00542B5D"/>
    <w:rsid w:val="00542D59"/>
    <w:rsid w:val="00542E51"/>
    <w:rsid w:val="00543637"/>
    <w:rsid w:val="0054385E"/>
    <w:rsid w:val="00543B48"/>
    <w:rsid w:val="005440C9"/>
    <w:rsid w:val="00544E9D"/>
    <w:rsid w:val="00545502"/>
    <w:rsid w:val="00545989"/>
    <w:rsid w:val="00545D12"/>
    <w:rsid w:val="00545DF7"/>
    <w:rsid w:val="00546795"/>
    <w:rsid w:val="00546AA9"/>
    <w:rsid w:val="00546CA2"/>
    <w:rsid w:val="005474A0"/>
    <w:rsid w:val="005478EE"/>
    <w:rsid w:val="0055060E"/>
    <w:rsid w:val="00550C12"/>
    <w:rsid w:val="0055250E"/>
    <w:rsid w:val="00552BCD"/>
    <w:rsid w:val="005535F8"/>
    <w:rsid w:val="005539F5"/>
    <w:rsid w:val="00553C1E"/>
    <w:rsid w:val="0055415C"/>
    <w:rsid w:val="00554AAC"/>
    <w:rsid w:val="00554DDF"/>
    <w:rsid w:val="0055503F"/>
    <w:rsid w:val="00555B85"/>
    <w:rsid w:val="005572D7"/>
    <w:rsid w:val="005572EE"/>
    <w:rsid w:val="00557A94"/>
    <w:rsid w:val="0056049E"/>
    <w:rsid w:val="00560628"/>
    <w:rsid w:val="00560D7C"/>
    <w:rsid w:val="005612CB"/>
    <w:rsid w:val="005612D9"/>
    <w:rsid w:val="00561611"/>
    <w:rsid w:val="00561D7D"/>
    <w:rsid w:val="005620B6"/>
    <w:rsid w:val="00563797"/>
    <w:rsid w:val="00563B26"/>
    <w:rsid w:val="0056425E"/>
    <w:rsid w:val="005651B5"/>
    <w:rsid w:val="0056577B"/>
    <w:rsid w:val="00566234"/>
    <w:rsid w:val="00566505"/>
    <w:rsid w:val="005665EC"/>
    <w:rsid w:val="00566716"/>
    <w:rsid w:val="005668DE"/>
    <w:rsid w:val="00566ECC"/>
    <w:rsid w:val="00570165"/>
    <w:rsid w:val="00570762"/>
    <w:rsid w:val="0057144E"/>
    <w:rsid w:val="005718F9"/>
    <w:rsid w:val="00571D39"/>
    <w:rsid w:val="0057262B"/>
    <w:rsid w:val="00572C5E"/>
    <w:rsid w:val="00572E65"/>
    <w:rsid w:val="00573132"/>
    <w:rsid w:val="005734DC"/>
    <w:rsid w:val="00573E84"/>
    <w:rsid w:val="00574A54"/>
    <w:rsid w:val="00574C6D"/>
    <w:rsid w:val="0057552A"/>
    <w:rsid w:val="00575DFC"/>
    <w:rsid w:val="0057675A"/>
    <w:rsid w:val="00576D2A"/>
    <w:rsid w:val="0057768F"/>
    <w:rsid w:val="005779F2"/>
    <w:rsid w:val="00580902"/>
    <w:rsid w:val="00580981"/>
    <w:rsid w:val="00580DD1"/>
    <w:rsid w:val="00581453"/>
    <w:rsid w:val="005815B3"/>
    <w:rsid w:val="00581776"/>
    <w:rsid w:val="00581B0D"/>
    <w:rsid w:val="00581F27"/>
    <w:rsid w:val="00582912"/>
    <w:rsid w:val="00582A03"/>
    <w:rsid w:val="00583CD7"/>
    <w:rsid w:val="00583E37"/>
    <w:rsid w:val="00584002"/>
    <w:rsid w:val="005849B5"/>
    <w:rsid w:val="00584D98"/>
    <w:rsid w:val="00584EE6"/>
    <w:rsid w:val="0058546F"/>
    <w:rsid w:val="00586146"/>
    <w:rsid w:val="00586406"/>
    <w:rsid w:val="00587C52"/>
    <w:rsid w:val="00587E37"/>
    <w:rsid w:val="00587F11"/>
    <w:rsid w:val="00590374"/>
    <w:rsid w:val="00590AEE"/>
    <w:rsid w:val="00590BE8"/>
    <w:rsid w:val="00590DD4"/>
    <w:rsid w:val="0059137F"/>
    <w:rsid w:val="00591B57"/>
    <w:rsid w:val="00592329"/>
    <w:rsid w:val="00592D02"/>
    <w:rsid w:val="0059311A"/>
    <w:rsid w:val="00593399"/>
    <w:rsid w:val="00593821"/>
    <w:rsid w:val="00593F0E"/>
    <w:rsid w:val="00595282"/>
    <w:rsid w:val="00595786"/>
    <w:rsid w:val="00596E88"/>
    <w:rsid w:val="00597CBD"/>
    <w:rsid w:val="00597D7F"/>
    <w:rsid w:val="00597E5A"/>
    <w:rsid w:val="005A086F"/>
    <w:rsid w:val="005A0969"/>
    <w:rsid w:val="005A11B9"/>
    <w:rsid w:val="005A1CCE"/>
    <w:rsid w:val="005A2263"/>
    <w:rsid w:val="005A2553"/>
    <w:rsid w:val="005A26A1"/>
    <w:rsid w:val="005A2E3A"/>
    <w:rsid w:val="005A3C8B"/>
    <w:rsid w:val="005A3D38"/>
    <w:rsid w:val="005A3EE9"/>
    <w:rsid w:val="005A417A"/>
    <w:rsid w:val="005A47DB"/>
    <w:rsid w:val="005A497A"/>
    <w:rsid w:val="005A4AEE"/>
    <w:rsid w:val="005A4D57"/>
    <w:rsid w:val="005A5743"/>
    <w:rsid w:val="005A582C"/>
    <w:rsid w:val="005A5E7A"/>
    <w:rsid w:val="005A699F"/>
    <w:rsid w:val="005A7115"/>
    <w:rsid w:val="005A7506"/>
    <w:rsid w:val="005A78A6"/>
    <w:rsid w:val="005A7EEB"/>
    <w:rsid w:val="005B017C"/>
    <w:rsid w:val="005B08CD"/>
    <w:rsid w:val="005B0C8E"/>
    <w:rsid w:val="005B0DEF"/>
    <w:rsid w:val="005B0E7F"/>
    <w:rsid w:val="005B0F54"/>
    <w:rsid w:val="005B13A5"/>
    <w:rsid w:val="005B165C"/>
    <w:rsid w:val="005B1A75"/>
    <w:rsid w:val="005B2513"/>
    <w:rsid w:val="005B2A03"/>
    <w:rsid w:val="005B3468"/>
    <w:rsid w:val="005B3624"/>
    <w:rsid w:val="005B3722"/>
    <w:rsid w:val="005B37DD"/>
    <w:rsid w:val="005B392A"/>
    <w:rsid w:val="005B3AF7"/>
    <w:rsid w:val="005B445F"/>
    <w:rsid w:val="005B458E"/>
    <w:rsid w:val="005B4C1B"/>
    <w:rsid w:val="005B4D4E"/>
    <w:rsid w:val="005B4ED9"/>
    <w:rsid w:val="005B78D3"/>
    <w:rsid w:val="005B7E17"/>
    <w:rsid w:val="005C0083"/>
    <w:rsid w:val="005C0538"/>
    <w:rsid w:val="005C0C33"/>
    <w:rsid w:val="005C2684"/>
    <w:rsid w:val="005C2A19"/>
    <w:rsid w:val="005C2D50"/>
    <w:rsid w:val="005C2DDC"/>
    <w:rsid w:val="005C4191"/>
    <w:rsid w:val="005C421E"/>
    <w:rsid w:val="005C42D0"/>
    <w:rsid w:val="005C47F1"/>
    <w:rsid w:val="005C481B"/>
    <w:rsid w:val="005C49FB"/>
    <w:rsid w:val="005C51FC"/>
    <w:rsid w:val="005C551E"/>
    <w:rsid w:val="005C5620"/>
    <w:rsid w:val="005C578C"/>
    <w:rsid w:val="005C661F"/>
    <w:rsid w:val="005C66FF"/>
    <w:rsid w:val="005C6A40"/>
    <w:rsid w:val="005C6A99"/>
    <w:rsid w:val="005C6BFD"/>
    <w:rsid w:val="005C6DB6"/>
    <w:rsid w:val="005C76DB"/>
    <w:rsid w:val="005C7B14"/>
    <w:rsid w:val="005D011C"/>
    <w:rsid w:val="005D07A8"/>
    <w:rsid w:val="005D1F0F"/>
    <w:rsid w:val="005D29DB"/>
    <w:rsid w:val="005D2DDE"/>
    <w:rsid w:val="005D31CE"/>
    <w:rsid w:val="005D41F9"/>
    <w:rsid w:val="005D59C2"/>
    <w:rsid w:val="005D5A5B"/>
    <w:rsid w:val="005D5BB2"/>
    <w:rsid w:val="005D5E0F"/>
    <w:rsid w:val="005D6C65"/>
    <w:rsid w:val="005D7449"/>
    <w:rsid w:val="005D7D71"/>
    <w:rsid w:val="005E0087"/>
    <w:rsid w:val="005E10A7"/>
    <w:rsid w:val="005E1891"/>
    <w:rsid w:val="005E2188"/>
    <w:rsid w:val="005E261B"/>
    <w:rsid w:val="005E347D"/>
    <w:rsid w:val="005E4143"/>
    <w:rsid w:val="005E4220"/>
    <w:rsid w:val="005E4DEC"/>
    <w:rsid w:val="005E5288"/>
    <w:rsid w:val="005E6BD2"/>
    <w:rsid w:val="005E6E7D"/>
    <w:rsid w:val="005E724B"/>
    <w:rsid w:val="005F01A8"/>
    <w:rsid w:val="005F0B69"/>
    <w:rsid w:val="005F16A2"/>
    <w:rsid w:val="005F2253"/>
    <w:rsid w:val="005F39E7"/>
    <w:rsid w:val="005F4D9A"/>
    <w:rsid w:val="005F5411"/>
    <w:rsid w:val="005F592F"/>
    <w:rsid w:val="005F6389"/>
    <w:rsid w:val="005F6842"/>
    <w:rsid w:val="005F76AA"/>
    <w:rsid w:val="006000E9"/>
    <w:rsid w:val="00600590"/>
    <w:rsid w:val="006009EE"/>
    <w:rsid w:val="00600B61"/>
    <w:rsid w:val="00601400"/>
    <w:rsid w:val="00601508"/>
    <w:rsid w:val="006016DF"/>
    <w:rsid w:val="00601C28"/>
    <w:rsid w:val="00601F7C"/>
    <w:rsid w:val="006024E4"/>
    <w:rsid w:val="00602596"/>
    <w:rsid w:val="00602954"/>
    <w:rsid w:val="00602A48"/>
    <w:rsid w:val="00602EF7"/>
    <w:rsid w:val="00603274"/>
    <w:rsid w:val="006032F2"/>
    <w:rsid w:val="0060331A"/>
    <w:rsid w:val="00603878"/>
    <w:rsid w:val="006043CD"/>
    <w:rsid w:val="006045C5"/>
    <w:rsid w:val="00605393"/>
    <w:rsid w:val="006057B5"/>
    <w:rsid w:val="00605B1E"/>
    <w:rsid w:val="00605FC1"/>
    <w:rsid w:val="00606080"/>
    <w:rsid w:val="006061B3"/>
    <w:rsid w:val="00606E59"/>
    <w:rsid w:val="00606F11"/>
    <w:rsid w:val="0060767D"/>
    <w:rsid w:val="0060797E"/>
    <w:rsid w:val="00607B03"/>
    <w:rsid w:val="0061008F"/>
    <w:rsid w:val="0061059D"/>
    <w:rsid w:val="00610876"/>
    <w:rsid w:val="00610D3D"/>
    <w:rsid w:val="00611243"/>
    <w:rsid w:val="00611CD7"/>
    <w:rsid w:val="00612167"/>
    <w:rsid w:val="0061272C"/>
    <w:rsid w:val="00612DED"/>
    <w:rsid w:val="00612F77"/>
    <w:rsid w:val="0061326F"/>
    <w:rsid w:val="00613509"/>
    <w:rsid w:val="00613926"/>
    <w:rsid w:val="00613A4D"/>
    <w:rsid w:val="00613E82"/>
    <w:rsid w:val="00613F57"/>
    <w:rsid w:val="006140EA"/>
    <w:rsid w:val="00614393"/>
    <w:rsid w:val="006146F2"/>
    <w:rsid w:val="00614736"/>
    <w:rsid w:val="006149D6"/>
    <w:rsid w:val="00614C00"/>
    <w:rsid w:val="00614E9B"/>
    <w:rsid w:val="006150D0"/>
    <w:rsid w:val="006151CC"/>
    <w:rsid w:val="00615AE9"/>
    <w:rsid w:val="00615D4F"/>
    <w:rsid w:val="00615E16"/>
    <w:rsid w:val="00616AA7"/>
    <w:rsid w:val="00617028"/>
    <w:rsid w:val="006175D9"/>
    <w:rsid w:val="00617C14"/>
    <w:rsid w:val="00620061"/>
    <w:rsid w:val="00620291"/>
    <w:rsid w:val="00620395"/>
    <w:rsid w:val="0062091A"/>
    <w:rsid w:val="006219C4"/>
    <w:rsid w:val="00622097"/>
    <w:rsid w:val="00622348"/>
    <w:rsid w:val="00623567"/>
    <w:rsid w:val="00624253"/>
    <w:rsid w:val="00624319"/>
    <w:rsid w:val="00624B58"/>
    <w:rsid w:val="00624D23"/>
    <w:rsid w:val="006251D1"/>
    <w:rsid w:val="0062561E"/>
    <w:rsid w:val="0062573E"/>
    <w:rsid w:val="006257B5"/>
    <w:rsid w:val="0062636E"/>
    <w:rsid w:val="00626429"/>
    <w:rsid w:val="006264E9"/>
    <w:rsid w:val="0062718C"/>
    <w:rsid w:val="0062761C"/>
    <w:rsid w:val="006276BB"/>
    <w:rsid w:val="006279C0"/>
    <w:rsid w:val="0063053C"/>
    <w:rsid w:val="00630BAB"/>
    <w:rsid w:val="00630EE2"/>
    <w:rsid w:val="00631332"/>
    <w:rsid w:val="006319C4"/>
    <w:rsid w:val="006334E4"/>
    <w:rsid w:val="00633D46"/>
    <w:rsid w:val="00633EE5"/>
    <w:rsid w:val="00633FDC"/>
    <w:rsid w:val="00634085"/>
    <w:rsid w:val="006344C7"/>
    <w:rsid w:val="006346CE"/>
    <w:rsid w:val="00634E3F"/>
    <w:rsid w:val="0063514A"/>
    <w:rsid w:val="00635E2D"/>
    <w:rsid w:val="00636DF7"/>
    <w:rsid w:val="00636E36"/>
    <w:rsid w:val="006376A4"/>
    <w:rsid w:val="00637DAD"/>
    <w:rsid w:val="00640344"/>
    <w:rsid w:val="0064052C"/>
    <w:rsid w:val="00640F4E"/>
    <w:rsid w:val="006412B5"/>
    <w:rsid w:val="00641932"/>
    <w:rsid w:val="00641A77"/>
    <w:rsid w:val="00641C6C"/>
    <w:rsid w:val="00642D75"/>
    <w:rsid w:val="00643A31"/>
    <w:rsid w:val="00643B44"/>
    <w:rsid w:val="00643C20"/>
    <w:rsid w:val="00643D1F"/>
    <w:rsid w:val="00644083"/>
    <w:rsid w:val="0064429B"/>
    <w:rsid w:val="0064477C"/>
    <w:rsid w:val="00644CAB"/>
    <w:rsid w:val="00645148"/>
    <w:rsid w:val="0064584D"/>
    <w:rsid w:val="00645CFF"/>
    <w:rsid w:val="006465C5"/>
    <w:rsid w:val="00646E71"/>
    <w:rsid w:val="00647101"/>
    <w:rsid w:val="0064726B"/>
    <w:rsid w:val="006474D8"/>
    <w:rsid w:val="0065029E"/>
    <w:rsid w:val="00650903"/>
    <w:rsid w:val="006509B3"/>
    <w:rsid w:val="00650B71"/>
    <w:rsid w:val="00650F71"/>
    <w:rsid w:val="006512A0"/>
    <w:rsid w:val="00651C24"/>
    <w:rsid w:val="00652633"/>
    <w:rsid w:val="006526B5"/>
    <w:rsid w:val="00652EC1"/>
    <w:rsid w:val="00653981"/>
    <w:rsid w:val="00654F8B"/>
    <w:rsid w:val="00655A53"/>
    <w:rsid w:val="0065684D"/>
    <w:rsid w:val="006569FA"/>
    <w:rsid w:val="00657600"/>
    <w:rsid w:val="00660C40"/>
    <w:rsid w:val="00661339"/>
    <w:rsid w:val="0066197E"/>
    <w:rsid w:val="00661D6D"/>
    <w:rsid w:val="00661E14"/>
    <w:rsid w:val="00662A0D"/>
    <w:rsid w:val="00663E24"/>
    <w:rsid w:val="00664696"/>
    <w:rsid w:val="00664C1C"/>
    <w:rsid w:val="006650A8"/>
    <w:rsid w:val="006651FC"/>
    <w:rsid w:val="00665618"/>
    <w:rsid w:val="006659D9"/>
    <w:rsid w:val="006662C0"/>
    <w:rsid w:val="006665AE"/>
    <w:rsid w:val="006666D9"/>
    <w:rsid w:val="006679C0"/>
    <w:rsid w:val="00667A38"/>
    <w:rsid w:val="00667E28"/>
    <w:rsid w:val="00671797"/>
    <w:rsid w:val="00671F47"/>
    <w:rsid w:val="006720B6"/>
    <w:rsid w:val="00672262"/>
    <w:rsid w:val="00672704"/>
    <w:rsid w:val="00673202"/>
    <w:rsid w:val="006747F5"/>
    <w:rsid w:val="00674D41"/>
    <w:rsid w:val="0067545D"/>
    <w:rsid w:val="006757A9"/>
    <w:rsid w:val="00675993"/>
    <w:rsid w:val="00675A28"/>
    <w:rsid w:val="00675D8A"/>
    <w:rsid w:val="00675FD4"/>
    <w:rsid w:val="006767C2"/>
    <w:rsid w:val="0067686B"/>
    <w:rsid w:val="0067698B"/>
    <w:rsid w:val="00677469"/>
    <w:rsid w:val="0067799B"/>
    <w:rsid w:val="00680ED5"/>
    <w:rsid w:val="006818C5"/>
    <w:rsid w:val="00681956"/>
    <w:rsid w:val="00681BB3"/>
    <w:rsid w:val="006825BB"/>
    <w:rsid w:val="00682FBA"/>
    <w:rsid w:val="00683370"/>
    <w:rsid w:val="00684718"/>
    <w:rsid w:val="00684EC1"/>
    <w:rsid w:val="00685149"/>
    <w:rsid w:val="00686652"/>
    <w:rsid w:val="00686CD6"/>
    <w:rsid w:val="006876F7"/>
    <w:rsid w:val="0068778A"/>
    <w:rsid w:val="006878CA"/>
    <w:rsid w:val="006903F9"/>
    <w:rsid w:val="00690743"/>
    <w:rsid w:val="00690F13"/>
    <w:rsid w:val="006913EE"/>
    <w:rsid w:val="0069238D"/>
    <w:rsid w:val="006923C8"/>
    <w:rsid w:val="006928A8"/>
    <w:rsid w:val="00693473"/>
    <w:rsid w:val="006940E3"/>
    <w:rsid w:val="006941A6"/>
    <w:rsid w:val="006949E4"/>
    <w:rsid w:val="006968DF"/>
    <w:rsid w:val="00696AB4"/>
    <w:rsid w:val="00696B62"/>
    <w:rsid w:val="00697494"/>
    <w:rsid w:val="006974CD"/>
    <w:rsid w:val="006976BF"/>
    <w:rsid w:val="006A013A"/>
    <w:rsid w:val="006A0242"/>
    <w:rsid w:val="006A05D7"/>
    <w:rsid w:val="006A0892"/>
    <w:rsid w:val="006A1719"/>
    <w:rsid w:val="006A1AB5"/>
    <w:rsid w:val="006A1B1A"/>
    <w:rsid w:val="006A27AD"/>
    <w:rsid w:val="006A27DB"/>
    <w:rsid w:val="006A3353"/>
    <w:rsid w:val="006A3CC3"/>
    <w:rsid w:val="006A4348"/>
    <w:rsid w:val="006A4628"/>
    <w:rsid w:val="006A4710"/>
    <w:rsid w:val="006A48DC"/>
    <w:rsid w:val="006A4EB0"/>
    <w:rsid w:val="006A4FEA"/>
    <w:rsid w:val="006A523F"/>
    <w:rsid w:val="006A5383"/>
    <w:rsid w:val="006A63E8"/>
    <w:rsid w:val="006A7CCD"/>
    <w:rsid w:val="006A7E8D"/>
    <w:rsid w:val="006B01E3"/>
    <w:rsid w:val="006B034B"/>
    <w:rsid w:val="006B0F32"/>
    <w:rsid w:val="006B11C6"/>
    <w:rsid w:val="006B206C"/>
    <w:rsid w:val="006B22A0"/>
    <w:rsid w:val="006B264D"/>
    <w:rsid w:val="006B2A76"/>
    <w:rsid w:val="006B2C8E"/>
    <w:rsid w:val="006B2EB5"/>
    <w:rsid w:val="006B30A4"/>
    <w:rsid w:val="006B3396"/>
    <w:rsid w:val="006B359B"/>
    <w:rsid w:val="006B3F39"/>
    <w:rsid w:val="006B3FAB"/>
    <w:rsid w:val="006B41AC"/>
    <w:rsid w:val="006B4213"/>
    <w:rsid w:val="006B43AF"/>
    <w:rsid w:val="006B4DF0"/>
    <w:rsid w:val="006B5992"/>
    <w:rsid w:val="006B5B58"/>
    <w:rsid w:val="006B6C04"/>
    <w:rsid w:val="006B6C25"/>
    <w:rsid w:val="006B71CC"/>
    <w:rsid w:val="006B72BD"/>
    <w:rsid w:val="006B74D9"/>
    <w:rsid w:val="006B7CD9"/>
    <w:rsid w:val="006C056C"/>
    <w:rsid w:val="006C0B10"/>
    <w:rsid w:val="006C0B2E"/>
    <w:rsid w:val="006C1013"/>
    <w:rsid w:val="006C151B"/>
    <w:rsid w:val="006C163A"/>
    <w:rsid w:val="006C1AB3"/>
    <w:rsid w:val="006C1BCF"/>
    <w:rsid w:val="006C228B"/>
    <w:rsid w:val="006C2931"/>
    <w:rsid w:val="006C3023"/>
    <w:rsid w:val="006C39FE"/>
    <w:rsid w:val="006C41E3"/>
    <w:rsid w:val="006C4278"/>
    <w:rsid w:val="006C4818"/>
    <w:rsid w:val="006C4CAB"/>
    <w:rsid w:val="006C50BE"/>
    <w:rsid w:val="006C6BBF"/>
    <w:rsid w:val="006C6C8A"/>
    <w:rsid w:val="006C6F9E"/>
    <w:rsid w:val="006C77AF"/>
    <w:rsid w:val="006D0391"/>
    <w:rsid w:val="006D0C38"/>
    <w:rsid w:val="006D11F2"/>
    <w:rsid w:val="006D1838"/>
    <w:rsid w:val="006D1DAF"/>
    <w:rsid w:val="006D2002"/>
    <w:rsid w:val="006D21A8"/>
    <w:rsid w:val="006D2615"/>
    <w:rsid w:val="006D2D0A"/>
    <w:rsid w:val="006D2DD9"/>
    <w:rsid w:val="006D33F8"/>
    <w:rsid w:val="006D3B15"/>
    <w:rsid w:val="006D3C2B"/>
    <w:rsid w:val="006D466E"/>
    <w:rsid w:val="006D4720"/>
    <w:rsid w:val="006D4A3C"/>
    <w:rsid w:val="006D4B70"/>
    <w:rsid w:val="006D4C35"/>
    <w:rsid w:val="006D4E9E"/>
    <w:rsid w:val="006D53FE"/>
    <w:rsid w:val="006D5B1B"/>
    <w:rsid w:val="006D6148"/>
    <w:rsid w:val="006D67FB"/>
    <w:rsid w:val="006D6DE5"/>
    <w:rsid w:val="006D7A92"/>
    <w:rsid w:val="006D7A95"/>
    <w:rsid w:val="006D7FE4"/>
    <w:rsid w:val="006E132E"/>
    <w:rsid w:val="006E1D8C"/>
    <w:rsid w:val="006E2374"/>
    <w:rsid w:val="006E2E24"/>
    <w:rsid w:val="006E3007"/>
    <w:rsid w:val="006E3351"/>
    <w:rsid w:val="006E3B48"/>
    <w:rsid w:val="006E3E6E"/>
    <w:rsid w:val="006E6184"/>
    <w:rsid w:val="006E631B"/>
    <w:rsid w:val="006E6612"/>
    <w:rsid w:val="006E727E"/>
    <w:rsid w:val="006E76BE"/>
    <w:rsid w:val="006E7981"/>
    <w:rsid w:val="006F01E3"/>
    <w:rsid w:val="006F096A"/>
    <w:rsid w:val="006F09CB"/>
    <w:rsid w:val="006F1EC7"/>
    <w:rsid w:val="006F22E3"/>
    <w:rsid w:val="006F2317"/>
    <w:rsid w:val="006F2F39"/>
    <w:rsid w:val="006F3095"/>
    <w:rsid w:val="006F341F"/>
    <w:rsid w:val="006F36A1"/>
    <w:rsid w:val="006F3AA9"/>
    <w:rsid w:val="006F3BBB"/>
    <w:rsid w:val="006F3DBE"/>
    <w:rsid w:val="006F431C"/>
    <w:rsid w:val="006F47E8"/>
    <w:rsid w:val="006F5455"/>
    <w:rsid w:val="006F55B8"/>
    <w:rsid w:val="006F5CB6"/>
    <w:rsid w:val="006F64FD"/>
    <w:rsid w:val="006F6DB7"/>
    <w:rsid w:val="006F7607"/>
    <w:rsid w:val="006F79D3"/>
    <w:rsid w:val="00700192"/>
    <w:rsid w:val="00701449"/>
    <w:rsid w:val="00701B98"/>
    <w:rsid w:val="00702CE7"/>
    <w:rsid w:val="00703194"/>
    <w:rsid w:val="0070353E"/>
    <w:rsid w:val="00703B3D"/>
    <w:rsid w:val="00703F1A"/>
    <w:rsid w:val="00704AEA"/>
    <w:rsid w:val="00704BB2"/>
    <w:rsid w:val="00705E39"/>
    <w:rsid w:val="007065FC"/>
    <w:rsid w:val="00706E50"/>
    <w:rsid w:val="0070737C"/>
    <w:rsid w:val="00707AE0"/>
    <w:rsid w:val="00707EC5"/>
    <w:rsid w:val="007104DD"/>
    <w:rsid w:val="00710D82"/>
    <w:rsid w:val="00711014"/>
    <w:rsid w:val="00711229"/>
    <w:rsid w:val="0071139A"/>
    <w:rsid w:val="00711E7F"/>
    <w:rsid w:val="0071266E"/>
    <w:rsid w:val="00713775"/>
    <w:rsid w:val="00713A41"/>
    <w:rsid w:val="007145BC"/>
    <w:rsid w:val="00715018"/>
    <w:rsid w:val="0071505B"/>
    <w:rsid w:val="00715179"/>
    <w:rsid w:val="0071591C"/>
    <w:rsid w:val="007159F2"/>
    <w:rsid w:val="007164B3"/>
    <w:rsid w:val="00716F72"/>
    <w:rsid w:val="0071715E"/>
    <w:rsid w:val="007179FE"/>
    <w:rsid w:val="00717CF5"/>
    <w:rsid w:val="00717E21"/>
    <w:rsid w:val="00717ECD"/>
    <w:rsid w:val="00717F25"/>
    <w:rsid w:val="007201B1"/>
    <w:rsid w:val="007201D7"/>
    <w:rsid w:val="00720376"/>
    <w:rsid w:val="0072137C"/>
    <w:rsid w:val="0072227B"/>
    <w:rsid w:val="00723909"/>
    <w:rsid w:val="00723E71"/>
    <w:rsid w:val="00723E7F"/>
    <w:rsid w:val="00723FC1"/>
    <w:rsid w:val="00724E14"/>
    <w:rsid w:val="00724F58"/>
    <w:rsid w:val="007259EB"/>
    <w:rsid w:val="00725AD5"/>
    <w:rsid w:val="00726A11"/>
    <w:rsid w:val="00726DB5"/>
    <w:rsid w:val="00726EB4"/>
    <w:rsid w:val="0073117A"/>
    <w:rsid w:val="007318EC"/>
    <w:rsid w:val="00731945"/>
    <w:rsid w:val="00731F86"/>
    <w:rsid w:val="00732151"/>
    <w:rsid w:val="0073240F"/>
    <w:rsid w:val="00732531"/>
    <w:rsid w:val="00732BA9"/>
    <w:rsid w:val="00732E49"/>
    <w:rsid w:val="00733196"/>
    <w:rsid w:val="00733C15"/>
    <w:rsid w:val="00734496"/>
    <w:rsid w:val="007348F1"/>
    <w:rsid w:val="00735046"/>
    <w:rsid w:val="007358DA"/>
    <w:rsid w:val="00735D5A"/>
    <w:rsid w:val="007363DE"/>
    <w:rsid w:val="00736538"/>
    <w:rsid w:val="00736710"/>
    <w:rsid w:val="0073697B"/>
    <w:rsid w:val="0073698D"/>
    <w:rsid w:val="00736AF5"/>
    <w:rsid w:val="00736C0B"/>
    <w:rsid w:val="00736EEF"/>
    <w:rsid w:val="0073742B"/>
    <w:rsid w:val="00740326"/>
    <w:rsid w:val="00741AF0"/>
    <w:rsid w:val="00741DD2"/>
    <w:rsid w:val="007423C4"/>
    <w:rsid w:val="007426CC"/>
    <w:rsid w:val="007430F1"/>
    <w:rsid w:val="0074340C"/>
    <w:rsid w:val="00743442"/>
    <w:rsid w:val="0074399D"/>
    <w:rsid w:val="00743B9A"/>
    <w:rsid w:val="007440BD"/>
    <w:rsid w:val="0074414C"/>
    <w:rsid w:val="00744503"/>
    <w:rsid w:val="0074457D"/>
    <w:rsid w:val="0074486E"/>
    <w:rsid w:val="007449FD"/>
    <w:rsid w:val="00744D93"/>
    <w:rsid w:val="00744E3A"/>
    <w:rsid w:val="007456E6"/>
    <w:rsid w:val="00745DBC"/>
    <w:rsid w:val="007461F2"/>
    <w:rsid w:val="0074632F"/>
    <w:rsid w:val="00746531"/>
    <w:rsid w:val="00746861"/>
    <w:rsid w:val="007476B0"/>
    <w:rsid w:val="0075041B"/>
    <w:rsid w:val="007504FD"/>
    <w:rsid w:val="00750F59"/>
    <w:rsid w:val="007511AD"/>
    <w:rsid w:val="00751725"/>
    <w:rsid w:val="00752028"/>
    <w:rsid w:val="00752EFA"/>
    <w:rsid w:val="00753D0C"/>
    <w:rsid w:val="0075450A"/>
    <w:rsid w:val="007559A9"/>
    <w:rsid w:val="0075717D"/>
    <w:rsid w:val="007579F1"/>
    <w:rsid w:val="0076017E"/>
    <w:rsid w:val="007602C9"/>
    <w:rsid w:val="00760580"/>
    <w:rsid w:val="00760623"/>
    <w:rsid w:val="00760B89"/>
    <w:rsid w:val="00760CF8"/>
    <w:rsid w:val="00760DB6"/>
    <w:rsid w:val="00761095"/>
    <w:rsid w:val="007610DE"/>
    <w:rsid w:val="00761322"/>
    <w:rsid w:val="00761702"/>
    <w:rsid w:val="00761EF8"/>
    <w:rsid w:val="0076212F"/>
    <w:rsid w:val="0076279E"/>
    <w:rsid w:val="0076320E"/>
    <w:rsid w:val="0076361C"/>
    <w:rsid w:val="00764088"/>
    <w:rsid w:val="00764145"/>
    <w:rsid w:val="0076415F"/>
    <w:rsid w:val="007644B2"/>
    <w:rsid w:val="007644E8"/>
    <w:rsid w:val="00764665"/>
    <w:rsid w:val="00765243"/>
    <w:rsid w:val="007657E2"/>
    <w:rsid w:val="00765F3D"/>
    <w:rsid w:val="0076615F"/>
    <w:rsid w:val="007661AE"/>
    <w:rsid w:val="00766A51"/>
    <w:rsid w:val="00767230"/>
    <w:rsid w:val="00767829"/>
    <w:rsid w:val="00767A62"/>
    <w:rsid w:val="00767C59"/>
    <w:rsid w:val="00770172"/>
    <w:rsid w:val="00770339"/>
    <w:rsid w:val="00770916"/>
    <w:rsid w:val="00770E0D"/>
    <w:rsid w:val="00771943"/>
    <w:rsid w:val="00771FFF"/>
    <w:rsid w:val="007722B9"/>
    <w:rsid w:val="00772818"/>
    <w:rsid w:val="0077284C"/>
    <w:rsid w:val="007728BC"/>
    <w:rsid w:val="00773342"/>
    <w:rsid w:val="00773871"/>
    <w:rsid w:val="00774339"/>
    <w:rsid w:val="00774465"/>
    <w:rsid w:val="00775C76"/>
    <w:rsid w:val="00776088"/>
    <w:rsid w:val="0077685D"/>
    <w:rsid w:val="00776936"/>
    <w:rsid w:val="0077716D"/>
    <w:rsid w:val="0077748F"/>
    <w:rsid w:val="00777869"/>
    <w:rsid w:val="0077788E"/>
    <w:rsid w:val="007778C5"/>
    <w:rsid w:val="00777AB7"/>
    <w:rsid w:val="00780BEC"/>
    <w:rsid w:val="00781269"/>
    <w:rsid w:val="007813A4"/>
    <w:rsid w:val="007815E6"/>
    <w:rsid w:val="00781DAF"/>
    <w:rsid w:val="00782F3A"/>
    <w:rsid w:val="00783539"/>
    <w:rsid w:val="00784439"/>
    <w:rsid w:val="0078538E"/>
    <w:rsid w:val="00785FD3"/>
    <w:rsid w:val="007860B3"/>
    <w:rsid w:val="007861B2"/>
    <w:rsid w:val="00787198"/>
    <w:rsid w:val="007873CF"/>
    <w:rsid w:val="00787E75"/>
    <w:rsid w:val="007904C8"/>
    <w:rsid w:val="00790504"/>
    <w:rsid w:val="00790C8A"/>
    <w:rsid w:val="00790E3F"/>
    <w:rsid w:val="00791228"/>
    <w:rsid w:val="007927A6"/>
    <w:rsid w:val="007927B9"/>
    <w:rsid w:val="0079299F"/>
    <w:rsid w:val="007929E4"/>
    <w:rsid w:val="00793E6B"/>
    <w:rsid w:val="007940E7"/>
    <w:rsid w:val="00794690"/>
    <w:rsid w:val="007957E1"/>
    <w:rsid w:val="00796223"/>
    <w:rsid w:val="00796C8F"/>
    <w:rsid w:val="00797257"/>
    <w:rsid w:val="00797474"/>
    <w:rsid w:val="007976DE"/>
    <w:rsid w:val="007979DD"/>
    <w:rsid w:val="007A0005"/>
    <w:rsid w:val="007A06F9"/>
    <w:rsid w:val="007A0C7B"/>
    <w:rsid w:val="007A12E5"/>
    <w:rsid w:val="007A1BE0"/>
    <w:rsid w:val="007A225F"/>
    <w:rsid w:val="007A27ED"/>
    <w:rsid w:val="007A2844"/>
    <w:rsid w:val="007A2D04"/>
    <w:rsid w:val="007A3100"/>
    <w:rsid w:val="007A3157"/>
    <w:rsid w:val="007A3E22"/>
    <w:rsid w:val="007A4274"/>
    <w:rsid w:val="007A475B"/>
    <w:rsid w:val="007A4F52"/>
    <w:rsid w:val="007A5BA9"/>
    <w:rsid w:val="007A67D4"/>
    <w:rsid w:val="007A67E5"/>
    <w:rsid w:val="007A6AE6"/>
    <w:rsid w:val="007A6E20"/>
    <w:rsid w:val="007A6F0A"/>
    <w:rsid w:val="007A7909"/>
    <w:rsid w:val="007B073F"/>
    <w:rsid w:val="007B0814"/>
    <w:rsid w:val="007B0825"/>
    <w:rsid w:val="007B0AE5"/>
    <w:rsid w:val="007B10ED"/>
    <w:rsid w:val="007B1661"/>
    <w:rsid w:val="007B1EE4"/>
    <w:rsid w:val="007B2B2E"/>
    <w:rsid w:val="007B2BB8"/>
    <w:rsid w:val="007B303E"/>
    <w:rsid w:val="007B3B91"/>
    <w:rsid w:val="007B3BFC"/>
    <w:rsid w:val="007B476F"/>
    <w:rsid w:val="007B4B03"/>
    <w:rsid w:val="007B4F22"/>
    <w:rsid w:val="007B5429"/>
    <w:rsid w:val="007B5BC0"/>
    <w:rsid w:val="007B5C46"/>
    <w:rsid w:val="007B66E1"/>
    <w:rsid w:val="007B6C44"/>
    <w:rsid w:val="007B7857"/>
    <w:rsid w:val="007B78EA"/>
    <w:rsid w:val="007C0215"/>
    <w:rsid w:val="007C1FC0"/>
    <w:rsid w:val="007C210A"/>
    <w:rsid w:val="007C24A8"/>
    <w:rsid w:val="007C266A"/>
    <w:rsid w:val="007C27EE"/>
    <w:rsid w:val="007C2B11"/>
    <w:rsid w:val="007C367E"/>
    <w:rsid w:val="007C3AD8"/>
    <w:rsid w:val="007C40C8"/>
    <w:rsid w:val="007C4F31"/>
    <w:rsid w:val="007C4F95"/>
    <w:rsid w:val="007C51A4"/>
    <w:rsid w:val="007C56C8"/>
    <w:rsid w:val="007C58F0"/>
    <w:rsid w:val="007C5FCE"/>
    <w:rsid w:val="007C75DE"/>
    <w:rsid w:val="007D0D26"/>
    <w:rsid w:val="007D22ED"/>
    <w:rsid w:val="007D3D99"/>
    <w:rsid w:val="007D47A2"/>
    <w:rsid w:val="007D4805"/>
    <w:rsid w:val="007D52D9"/>
    <w:rsid w:val="007D628B"/>
    <w:rsid w:val="007D7F07"/>
    <w:rsid w:val="007E0D40"/>
    <w:rsid w:val="007E157C"/>
    <w:rsid w:val="007E22A9"/>
    <w:rsid w:val="007E265B"/>
    <w:rsid w:val="007E27CD"/>
    <w:rsid w:val="007E2D2B"/>
    <w:rsid w:val="007E2EE8"/>
    <w:rsid w:val="007E341B"/>
    <w:rsid w:val="007E429F"/>
    <w:rsid w:val="007E42F3"/>
    <w:rsid w:val="007E4F66"/>
    <w:rsid w:val="007E5257"/>
    <w:rsid w:val="007E5391"/>
    <w:rsid w:val="007E5E7B"/>
    <w:rsid w:val="007E5FB2"/>
    <w:rsid w:val="007E610B"/>
    <w:rsid w:val="007E67DD"/>
    <w:rsid w:val="007E6800"/>
    <w:rsid w:val="007E6EF3"/>
    <w:rsid w:val="007E7BD5"/>
    <w:rsid w:val="007F0212"/>
    <w:rsid w:val="007F0B9E"/>
    <w:rsid w:val="007F1606"/>
    <w:rsid w:val="007F181B"/>
    <w:rsid w:val="007F1F71"/>
    <w:rsid w:val="007F371E"/>
    <w:rsid w:val="007F3C65"/>
    <w:rsid w:val="007F48D2"/>
    <w:rsid w:val="007F4EF5"/>
    <w:rsid w:val="007F5036"/>
    <w:rsid w:val="007F5294"/>
    <w:rsid w:val="007F62BE"/>
    <w:rsid w:val="007F6343"/>
    <w:rsid w:val="007F6C21"/>
    <w:rsid w:val="007F76B3"/>
    <w:rsid w:val="007F7C02"/>
    <w:rsid w:val="007F7FC8"/>
    <w:rsid w:val="00802651"/>
    <w:rsid w:val="00804034"/>
    <w:rsid w:val="008040BA"/>
    <w:rsid w:val="00804105"/>
    <w:rsid w:val="00804306"/>
    <w:rsid w:val="00804845"/>
    <w:rsid w:val="00804974"/>
    <w:rsid w:val="0080497B"/>
    <w:rsid w:val="008057C0"/>
    <w:rsid w:val="00806D30"/>
    <w:rsid w:val="00806D94"/>
    <w:rsid w:val="008073E0"/>
    <w:rsid w:val="00807AD8"/>
    <w:rsid w:val="00810506"/>
    <w:rsid w:val="0081085C"/>
    <w:rsid w:val="00810FC1"/>
    <w:rsid w:val="0081160A"/>
    <w:rsid w:val="008116F8"/>
    <w:rsid w:val="00811800"/>
    <w:rsid w:val="00811C3D"/>
    <w:rsid w:val="00812448"/>
    <w:rsid w:val="0081253F"/>
    <w:rsid w:val="00812E1C"/>
    <w:rsid w:val="00813CFF"/>
    <w:rsid w:val="00813E42"/>
    <w:rsid w:val="008140C5"/>
    <w:rsid w:val="00814324"/>
    <w:rsid w:val="00814590"/>
    <w:rsid w:val="00814667"/>
    <w:rsid w:val="008148E2"/>
    <w:rsid w:val="008149E4"/>
    <w:rsid w:val="00814FD1"/>
    <w:rsid w:val="0081532C"/>
    <w:rsid w:val="008156B7"/>
    <w:rsid w:val="00815A8E"/>
    <w:rsid w:val="008168BC"/>
    <w:rsid w:val="00816985"/>
    <w:rsid w:val="0081724B"/>
    <w:rsid w:val="00817C1B"/>
    <w:rsid w:val="00817D88"/>
    <w:rsid w:val="00817D90"/>
    <w:rsid w:val="00820695"/>
    <w:rsid w:val="0082071C"/>
    <w:rsid w:val="00821026"/>
    <w:rsid w:val="00821482"/>
    <w:rsid w:val="00821826"/>
    <w:rsid w:val="00822355"/>
    <w:rsid w:val="00822492"/>
    <w:rsid w:val="00822960"/>
    <w:rsid w:val="008232A3"/>
    <w:rsid w:val="0082332D"/>
    <w:rsid w:val="00823905"/>
    <w:rsid w:val="008239BA"/>
    <w:rsid w:val="00823A16"/>
    <w:rsid w:val="0082402C"/>
    <w:rsid w:val="00824240"/>
    <w:rsid w:val="00824363"/>
    <w:rsid w:val="008244D9"/>
    <w:rsid w:val="00824B10"/>
    <w:rsid w:val="00825233"/>
    <w:rsid w:val="0082559B"/>
    <w:rsid w:val="008258AF"/>
    <w:rsid w:val="00825FF5"/>
    <w:rsid w:val="00826134"/>
    <w:rsid w:val="008262F1"/>
    <w:rsid w:val="00826C9C"/>
    <w:rsid w:val="00830009"/>
    <w:rsid w:val="0083000B"/>
    <w:rsid w:val="0083042C"/>
    <w:rsid w:val="00830ADC"/>
    <w:rsid w:val="00830C90"/>
    <w:rsid w:val="00830EB2"/>
    <w:rsid w:val="008311FA"/>
    <w:rsid w:val="008317EF"/>
    <w:rsid w:val="00832C8E"/>
    <w:rsid w:val="00833162"/>
    <w:rsid w:val="00833B8A"/>
    <w:rsid w:val="00834101"/>
    <w:rsid w:val="008353A1"/>
    <w:rsid w:val="008353B2"/>
    <w:rsid w:val="008355EA"/>
    <w:rsid w:val="00836160"/>
    <w:rsid w:val="00836203"/>
    <w:rsid w:val="0083649D"/>
    <w:rsid w:val="00836665"/>
    <w:rsid w:val="00836B45"/>
    <w:rsid w:val="00836CA9"/>
    <w:rsid w:val="00837453"/>
    <w:rsid w:val="00837517"/>
    <w:rsid w:val="00837AB8"/>
    <w:rsid w:val="00837E32"/>
    <w:rsid w:val="00837F28"/>
    <w:rsid w:val="0084083E"/>
    <w:rsid w:val="00840BF3"/>
    <w:rsid w:val="008413B7"/>
    <w:rsid w:val="0084149A"/>
    <w:rsid w:val="00842029"/>
    <w:rsid w:val="0084335B"/>
    <w:rsid w:val="008433CB"/>
    <w:rsid w:val="0084398C"/>
    <w:rsid w:val="00843F28"/>
    <w:rsid w:val="00844B4E"/>
    <w:rsid w:val="00844CDC"/>
    <w:rsid w:val="008453F2"/>
    <w:rsid w:val="00845BCC"/>
    <w:rsid w:val="00846C10"/>
    <w:rsid w:val="0084709E"/>
    <w:rsid w:val="0085090D"/>
    <w:rsid w:val="00851465"/>
    <w:rsid w:val="008514B8"/>
    <w:rsid w:val="00851FBD"/>
    <w:rsid w:val="00852A1F"/>
    <w:rsid w:val="00852A81"/>
    <w:rsid w:val="00852B6B"/>
    <w:rsid w:val="00852ED8"/>
    <w:rsid w:val="008532AC"/>
    <w:rsid w:val="0085330A"/>
    <w:rsid w:val="008538EA"/>
    <w:rsid w:val="008550CA"/>
    <w:rsid w:val="0085533A"/>
    <w:rsid w:val="00855543"/>
    <w:rsid w:val="00855680"/>
    <w:rsid w:val="008558DA"/>
    <w:rsid w:val="00855E85"/>
    <w:rsid w:val="008563A4"/>
    <w:rsid w:val="008569DA"/>
    <w:rsid w:val="00856B30"/>
    <w:rsid w:val="00857119"/>
    <w:rsid w:val="0085738D"/>
    <w:rsid w:val="008577F7"/>
    <w:rsid w:val="00860127"/>
    <w:rsid w:val="00860D36"/>
    <w:rsid w:val="00861241"/>
    <w:rsid w:val="00861EB5"/>
    <w:rsid w:val="00862395"/>
    <w:rsid w:val="0086380E"/>
    <w:rsid w:val="0086392D"/>
    <w:rsid w:val="00863B93"/>
    <w:rsid w:val="00864446"/>
    <w:rsid w:val="008647D8"/>
    <w:rsid w:val="00864DD3"/>
    <w:rsid w:val="00864EC7"/>
    <w:rsid w:val="00865187"/>
    <w:rsid w:val="008668B3"/>
    <w:rsid w:val="00866B08"/>
    <w:rsid w:val="00866BE2"/>
    <w:rsid w:val="008676B8"/>
    <w:rsid w:val="00867FFC"/>
    <w:rsid w:val="008703B6"/>
    <w:rsid w:val="008707EF"/>
    <w:rsid w:val="008708D6"/>
    <w:rsid w:val="00871B05"/>
    <w:rsid w:val="0087205C"/>
    <w:rsid w:val="008725D6"/>
    <w:rsid w:val="00872F47"/>
    <w:rsid w:val="0087318B"/>
    <w:rsid w:val="00873388"/>
    <w:rsid w:val="00873390"/>
    <w:rsid w:val="008733DD"/>
    <w:rsid w:val="00874489"/>
    <w:rsid w:val="00874608"/>
    <w:rsid w:val="00874713"/>
    <w:rsid w:val="008749C9"/>
    <w:rsid w:val="00874C17"/>
    <w:rsid w:val="00875375"/>
    <w:rsid w:val="00875572"/>
    <w:rsid w:val="0087605A"/>
    <w:rsid w:val="00876090"/>
    <w:rsid w:val="008760D0"/>
    <w:rsid w:val="00877A40"/>
    <w:rsid w:val="00877BD2"/>
    <w:rsid w:val="0088047E"/>
    <w:rsid w:val="00880879"/>
    <w:rsid w:val="00880CDD"/>
    <w:rsid w:val="00880D38"/>
    <w:rsid w:val="00880D9D"/>
    <w:rsid w:val="00881308"/>
    <w:rsid w:val="00881317"/>
    <w:rsid w:val="0088223F"/>
    <w:rsid w:val="00882246"/>
    <w:rsid w:val="00882786"/>
    <w:rsid w:val="00882BD4"/>
    <w:rsid w:val="008830D0"/>
    <w:rsid w:val="00883AFB"/>
    <w:rsid w:val="00884046"/>
    <w:rsid w:val="008843EE"/>
    <w:rsid w:val="0088483C"/>
    <w:rsid w:val="00885F09"/>
    <w:rsid w:val="00886F98"/>
    <w:rsid w:val="0088764B"/>
    <w:rsid w:val="008877B4"/>
    <w:rsid w:val="00890794"/>
    <w:rsid w:val="00891071"/>
    <w:rsid w:val="00891148"/>
    <w:rsid w:val="00891223"/>
    <w:rsid w:val="0089153F"/>
    <w:rsid w:val="00892750"/>
    <w:rsid w:val="00892CA4"/>
    <w:rsid w:val="00892E7C"/>
    <w:rsid w:val="008938B9"/>
    <w:rsid w:val="008941B7"/>
    <w:rsid w:val="00894FD0"/>
    <w:rsid w:val="008955F0"/>
    <w:rsid w:val="00895C35"/>
    <w:rsid w:val="00895CF6"/>
    <w:rsid w:val="00895D96"/>
    <w:rsid w:val="00895F1E"/>
    <w:rsid w:val="00895FF0"/>
    <w:rsid w:val="00896477"/>
    <w:rsid w:val="00896B26"/>
    <w:rsid w:val="00896BD6"/>
    <w:rsid w:val="00896DD3"/>
    <w:rsid w:val="00896F5A"/>
    <w:rsid w:val="008974F8"/>
    <w:rsid w:val="00897726"/>
    <w:rsid w:val="008A00C9"/>
    <w:rsid w:val="008A0918"/>
    <w:rsid w:val="008A0A09"/>
    <w:rsid w:val="008A0A69"/>
    <w:rsid w:val="008A0C17"/>
    <w:rsid w:val="008A1255"/>
    <w:rsid w:val="008A1333"/>
    <w:rsid w:val="008A22F7"/>
    <w:rsid w:val="008A3C37"/>
    <w:rsid w:val="008A50EF"/>
    <w:rsid w:val="008A5AF5"/>
    <w:rsid w:val="008A5DBC"/>
    <w:rsid w:val="008A669E"/>
    <w:rsid w:val="008A76DA"/>
    <w:rsid w:val="008A7BEE"/>
    <w:rsid w:val="008A7FD8"/>
    <w:rsid w:val="008B00FB"/>
    <w:rsid w:val="008B072B"/>
    <w:rsid w:val="008B0845"/>
    <w:rsid w:val="008B0FDD"/>
    <w:rsid w:val="008B1840"/>
    <w:rsid w:val="008B2134"/>
    <w:rsid w:val="008B3444"/>
    <w:rsid w:val="008B536B"/>
    <w:rsid w:val="008B5EF7"/>
    <w:rsid w:val="008B70D3"/>
    <w:rsid w:val="008B73A2"/>
    <w:rsid w:val="008B7FE2"/>
    <w:rsid w:val="008C0B50"/>
    <w:rsid w:val="008C0BBA"/>
    <w:rsid w:val="008C11B8"/>
    <w:rsid w:val="008C1215"/>
    <w:rsid w:val="008C1DF9"/>
    <w:rsid w:val="008C20B0"/>
    <w:rsid w:val="008C2450"/>
    <w:rsid w:val="008C24AD"/>
    <w:rsid w:val="008C25B0"/>
    <w:rsid w:val="008C2854"/>
    <w:rsid w:val="008C2A06"/>
    <w:rsid w:val="008C32FF"/>
    <w:rsid w:val="008C3420"/>
    <w:rsid w:val="008C3D54"/>
    <w:rsid w:val="008C4254"/>
    <w:rsid w:val="008C4752"/>
    <w:rsid w:val="008C49F9"/>
    <w:rsid w:val="008C53BE"/>
    <w:rsid w:val="008C5AA3"/>
    <w:rsid w:val="008C64E0"/>
    <w:rsid w:val="008C6942"/>
    <w:rsid w:val="008C6E58"/>
    <w:rsid w:val="008C760F"/>
    <w:rsid w:val="008C7817"/>
    <w:rsid w:val="008C7F5B"/>
    <w:rsid w:val="008D02C8"/>
    <w:rsid w:val="008D079A"/>
    <w:rsid w:val="008D0BFF"/>
    <w:rsid w:val="008D0DF2"/>
    <w:rsid w:val="008D0E56"/>
    <w:rsid w:val="008D13AE"/>
    <w:rsid w:val="008D1639"/>
    <w:rsid w:val="008D2F40"/>
    <w:rsid w:val="008D3520"/>
    <w:rsid w:val="008D41C9"/>
    <w:rsid w:val="008D4487"/>
    <w:rsid w:val="008D4612"/>
    <w:rsid w:val="008D46B4"/>
    <w:rsid w:val="008D4BB5"/>
    <w:rsid w:val="008D4CD2"/>
    <w:rsid w:val="008D4F1F"/>
    <w:rsid w:val="008D5B52"/>
    <w:rsid w:val="008D5FF2"/>
    <w:rsid w:val="008D6036"/>
    <w:rsid w:val="008D6C00"/>
    <w:rsid w:val="008D71BF"/>
    <w:rsid w:val="008D7360"/>
    <w:rsid w:val="008E00B3"/>
    <w:rsid w:val="008E0AD6"/>
    <w:rsid w:val="008E0E46"/>
    <w:rsid w:val="008E0FD6"/>
    <w:rsid w:val="008E15E6"/>
    <w:rsid w:val="008E1B30"/>
    <w:rsid w:val="008E1D63"/>
    <w:rsid w:val="008E24CB"/>
    <w:rsid w:val="008E2844"/>
    <w:rsid w:val="008E3565"/>
    <w:rsid w:val="008E36D1"/>
    <w:rsid w:val="008E3875"/>
    <w:rsid w:val="008E3EE0"/>
    <w:rsid w:val="008E40B4"/>
    <w:rsid w:val="008E4209"/>
    <w:rsid w:val="008E427A"/>
    <w:rsid w:val="008E48FC"/>
    <w:rsid w:val="008E548C"/>
    <w:rsid w:val="008E55BD"/>
    <w:rsid w:val="008E5D59"/>
    <w:rsid w:val="008E60E4"/>
    <w:rsid w:val="008E6343"/>
    <w:rsid w:val="008E6791"/>
    <w:rsid w:val="008E6B05"/>
    <w:rsid w:val="008E7527"/>
    <w:rsid w:val="008E7A00"/>
    <w:rsid w:val="008E7FE6"/>
    <w:rsid w:val="008F0C4F"/>
    <w:rsid w:val="008F0FA1"/>
    <w:rsid w:val="008F1DFB"/>
    <w:rsid w:val="008F2AD6"/>
    <w:rsid w:val="008F2CFC"/>
    <w:rsid w:val="008F2F2D"/>
    <w:rsid w:val="008F304C"/>
    <w:rsid w:val="008F44F1"/>
    <w:rsid w:val="008F4958"/>
    <w:rsid w:val="008F4BA8"/>
    <w:rsid w:val="008F4E27"/>
    <w:rsid w:val="008F52CD"/>
    <w:rsid w:val="008F568E"/>
    <w:rsid w:val="008F5739"/>
    <w:rsid w:val="008F57F1"/>
    <w:rsid w:val="008F5C07"/>
    <w:rsid w:val="008F667F"/>
    <w:rsid w:val="008F696D"/>
    <w:rsid w:val="008F6D0A"/>
    <w:rsid w:val="008F7777"/>
    <w:rsid w:val="008F78FD"/>
    <w:rsid w:val="008F7B44"/>
    <w:rsid w:val="008F7B9C"/>
    <w:rsid w:val="00900CE8"/>
    <w:rsid w:val="0090107A"/>
    <w:rsid w:val="00901179"/>
    <w:rsid w:val="0090119C"/>
    <w:rsid w:val="009017C6"/>
    <w:rsid w:val="0090181D"/>
    <w:rsid w:val="00901CF5"/>
    <w:rsid w:val="00901F53"/>
    <w:rsid w:val="0090208C"/>
    <w:rsid w:val="0090232B"/>
    <w:rsid w:val="00902DE4"/>
    <w:rsid w:val="00902F7C"/>
    <w:rsid w:val="00903A3C"/>
    <w:rsid w:val="009040A0"/>
    <w:rsid w:val="00904AB8"/>
    <w:rsid w:val="0090585D"/>
    <w:rsid w:val="00905B42"/>
    <w:rsid w:val="00906431"/>
    <w:rsid w:val="00906D64"/>
    <w:rsid w:val="00907219"/>
    <w:rsid w:val="0091070B"/>
    <w:rsid w:val="00910B9A"/>
    <w:rsid w:val="00910D08"/>
    <w:rsid w:val="00910E88"/>
    <w:rsid w:val="009115AF"/>
    <w:rsid w:val="00911BCD"/>
    <w:rsid w:val="00912653"/>
    <w:rsid w:val="00913276"/>
    <w:rsid w:val="009132BC"/>
    <w:rsid w:val="009134F5"/>
    <w:rsid w:val="0091389C"/>
    <w:rsid w:val="00913A84"/>
    <w:rsid w:val="00913E75"/>
    <w:rsid w:val="00914D5F"/>
    <w:rsid w:val="00915187"/>
    <w:rsid w:val="00915D5F"/>
    <w:rsid w:val="00916017"/>
    <w:rsid w:val="00916183"/>
    <w:rsid w:val="00916ACF"/>
    <w:rsid w:val="00917490"/>
    <w:rsid w:val="00917628"/>
    <w:rsid w:val="00917741"/>
    <w:rsid w:val="00917789"/>
    <w:rsid w:val="0091792D"/>
    <w:rsid w:val="00920A9E"/>
    <w:rsid w:val="00921416"/>
    <w:rsid w:val="009219BC"/>
    <w:rsid w:val="00921E63"/>
    <w:rsid w:val="0092208C"/>
    <w:rsid w:val="00922133"/>
    <w:rsid w:val="009221DF"/>
    <w:rsid w:val="009224FD"/>
    <w:rsid w:val="00923B4E"/>
    <w:rsid w:val="00923C9F"/>
    <w:rsid w:val="00923F75"/>
    <w:rsid w:val="00924917"/>
    <w:rsid w:val="00925A69"/>
    <w:rsid w:val="00925C39"/>
    <w:rsid w:val="009266BD"/>
    <w:rsid w:val="00927A88"/>
    <w:rsid w:val="009301B4"/>
    <w:rsid w:val="009317C8"/>
    <w:rsid w:val="00931C77"/>
    <w:rsid w:val="00932863"/>
    <w:rsid w:val="0093296C"/>
    <w:rsid w:val="00932AF9"/>
    <w:rsid w:val="00933265"/>
    <w:rsid w:val="00933491"/>
    <w:rsid w:val="0093380B"/>
    <w:rsid w:val="009345AA"/>
    <w:rsid w:val="009346D2"/>
    <w:rsid w:val="00934A2B"/>
    <w:rsid w:val="00934B76"/>
    <w:rsid w:val="00934E66"/>
    <w:rsid w:val="00935A4F"/>
    <w:rsid w:val="00935C6C"/>
    <w:rsid w:val="00935CC7"/>
    <w:rsid w:val="00936468"/>
    <w:rsid w:val="00936C98"/>
    <w:rsid w:val="00936D44"/>
    <w:rsid w:val="00937D3A"/>
    <w:rsid w:val="0094002F"/>
    <w:rsid w:val="009406D7"/>
    <w:rsid w:val="009407C4"/>
    <w:rsid w:val="00940BDA"/>
    <w:rsid w:val="0094129D"/>
    <w:rsid w:val="00941B59"/>
    <w:rsid w:val="00941BB7"/>
    <w:rsid w:val="009429DC"/>
    <w:rsid w:val="00942C2A"/>
    <w:rsid w:val="00942D21"/>
    <w:rsid w:val="00943ADA"/>
    <w:rsid w:val="009440AC"/>
    <w:rsid w:val="00944760"/>
    <w:rsid w:val="0094494A"/>
    <w:rsid w:val="0094584E"/>
    <w:rsid w:val="00945954"/>
    <w:rsid w:val="00945985"/>
    <w:rsid w:val="00946A8A"/>
    <w:rsid w:val="00946A91"/>
    <w:rsid w:val="00946AE5"/>
    <w:rsid w:val="00946B1A"/>
    <w:rsid w:val="00947020"/>
    <w:rsid w:val="00950865"/>
    <w:rsid w:val="00950B0C"/>
    <w:rsid w:val="00950ED5"/>
    <w:rsid w:val="00950FC0"/>
    <w:rsid w:val="0095158B"/>
    <w:rsid w:val="00951BAD"/>
    <w:rsid w:val="00951E97"/>
    <w:rsid w:val="0095223D"/>
    <w:rsid w:val="009526E4"/>
    <w:rsid w:val="009527A8"/>
    <w:rsid w:val="00952D06"/>
    <w:rsid w:val="00952FD2"/>
    <w:rsid w:val="009536CF"/>
    <w:rsid w:val="009539C2"/>
    <w:rsid w:val="00953AA1"/>
    <w:rsid w:val="00954B44"/>
    <w:rsid w:val="00954CAF"/>
    <w:rsid w:val="00956052"/>
    <w:rsid w:val="00956E20"/>
    <w:rsid w:val="0095702F"/>
    <w:rsid w:val="009602BB"/>
    <w:rsid w:val="009602FF"/>
    <w:rsid w:val="00960518"/>
    <w:rsid w:val="00960541"/>
    <w:rsid w:val="00960C9F"/>
    <w:rsid w:val="009615C3"/>
    <w:rsid w:val="00961C26"/>
    <w:rsid w:val="0096277D"/>
    <w:rsid w:val="00962816"/>
    <w:rsid w:val="0096292D"/>
    <w:rsid w:val="00963D70"/>
    <w:rsid w:val="009640E0"/>
    <w:rsid w:val="00964340"/>
    <w:rsid w:val="009644B8"/>
    <w:rsid w:val="00964A52"/>
    <w:rsid w:val="0096549C"/>
    <w:rsid w:val="00965C98"/>
    <w:rsid w:val="00966E72"/>
    <w:rsid w:val="009672E7"/>
    <w:rsid w:val="0096732C"/>
    <w:rsid w:val="00967F84"/>
    <w:rsid w:val="009703B6"/>
    <w:rsid w:val="00971A4C"/>
    <w:rsid w:val="00972178"/>
    <w:rsid w:val="0097298E"/>
    <w:rsid w:val="0097318A"/>
    <w:rsid w:val="009745E0"/>
    <w:rsid w:val="009746A7"/>
    <w:rsid w:val="00975B3E"/>
    <w:rsid w:val="00975EB5"/>
    <w:rsid w:val="00975EEA"/>
    <w:rsid w:val="00976AC6"/>
    <w:rsid w:val="009770F4"/>
    <w:rsid w:val="00977BE7"/>
    <w:rsid w:val="00977C4D"/>
    <w:rsid w:val="00980F3A"/>
    <w:rsid w:val="009811DF"/>
    <w:rsid w:val="0098194A"/>
    <w:rsid w:val="00981E67"/>
    <w:rsid w:val="00982356"/>
    <w:rsid w:val="0098276C"/>
    <w:rsid w:val="0098294F"/>
    <w:rsid w:val="009833A9"/>
    <w:rsid w:val="00983979"/>
    <w:rsid w:val="00983D49"/>
    <w:rsid w:val="00983DC2"/>
    <w:rsid w:val="00983DF0"/>
    <w:rsid w:val="00984446"/>
    <w:rsid w:val="00984EB2"/>
    <w:rsid w:val="0098602D"/>
    <w:rsid w:val="009865D0"/>
    <w:rsid w:val="0098669A"/>
    <w:rsid w:val="0098670E"/>
    <w:rsid w:val="009867ED"/>
    <w:rsid w:val="00986C4E"/>
    <w:rsid w:val="00987821"/>
    <w:rsid w:val="00990512"/>
    <w:rsid w:val="00990F46"/>
    <w:rsid w:val="00991184"/>
    <w:rsid w:val="00991E93"/>
    <w:rsid w:val="00991EA2"/>
    <w:rsid w:val="0099208B"/>
    <w:rsid w:val="00992614"/>
    <w:rsid w:val="00994192"/>
    <w:rsid w:val="009941D1"/>
    <w:rsid w:val="00994A85"/>
    <w:rsid w:val="00994D27"/>
    <w:rsid w:val="009950C3"/>
    <w:rsid w:val="00995795"/>
    <w:rsid w:val="00995C2D"/>
    <w:rsid w:val="00995E84"/>
    <w:rsid w:val="00996BC1"/>
    <w:rsid w:val="0099742A"/>
    <w:rsid w:val="00997B44"/>
    <w:rsid w:val="00997CEC"/>
    <w:rsid w:val="009A0339"/>
    <w:rsid w:val="009A03D8"/>
    <w:rsid w:val="009A0446"/>
    <w:rsid w:val="009A062C"/>
    <w:rsid w:val="009A159D"/>
    <w:rsid w:val="009A1816"/>
    <w:rsid w:val="009A1877"/>
    <w:rsid w:val="009A259E"/>
    <w:rsid w:val="009A426F"/>
    <w:rsid w:val="009A4798"/>
    <w:rsid w:val="009A48AF"/>
    <w:rsid w:val="009A4F36"/>
    <w:rsid w:val="009A522D"/>
    <w:rsid w:val="009A727D"/>
    <w:rsid w:val="009B0C68"/>
    <w:rsid w:val="009B1206"/>
    <w:rsid w:val="009B1303"/>
    <w:rsid w:val="009B14BA"/>
    <w:rsid w:val="009B1556"/>
    <w:rsid w:val="009B16A3"/>
    <w:rsid w:val="009B1A5A"/>
    <w:rsid w:val="009B20B7"/>
    <w:rsid w:val="009B289A"/>
    <w:rsid w:val="009B28BC"/>
    <w:rsid w:val="009B3F77"/>
    <w:rsid w:val="009B46D4"/>
    <w:rsid w:val="009B4AAE"/>
    <w:rsid w:val="009B4C56"/>
    <w:rsid w:val="009B5132"/>
    <w:rsid w:val="009B6A0D"/>
    <w:rsid w:val="009B75CD"/>
    <w:rsid w:val="009B75E5"/>
    <w:rsid w:val="009B7B8B"/>
    <w:rsid w:val="009C05B5"/>
    <w:rsid w:val="009C0B9B"/>
    <w:rsid w:val="009C1494"/>
    <w:rsid w:val="009C162A"/>
    <w:rsid w:val="009C166A"/>
    <w:rsid w:val="009C1B27"/>
    <w:rsid w:val="009C2059"/>
    <w:rsid w:val="009C2763"/>
    <w:rsid w:val="009C27A6"/>
    <w:rsid w:val="009C287C"/>
    <w:rsid w:val="009C2901"/>
    <w:rsid w:val="009C3476"/>
    <w:rsid w:val="009C3E97"/>
    <w:rsid w:val="009C48BA"/>
    <w:rsid w:val="009C5CC8"/>
    <w:rsid w:val="009C5F97"/>
    <w:rsid w:val="009C69DB"/>
    <w:rsid w:val="009C6FFB"/>
    <w:rsid w:val="009C7099"/>
    <w:rsid w:val="009C777C"/>
    <w:rsid w:val="009C7976"/>
    <w:rsid w:val="009C7EA6"/>
    <w:rsid w:val="009C7EF5"/>
    <w:rsid w:val="009D0C93"/>
    <w:rsid w:val="009D2073"/>
    <w:rsid w:val="009D2F5C"/>
    <w:rsid w:val="009D2FAC"/>
    <w:rsid w:val="009D3379"/>
    <w:rsid w:val="009D34E0"/>
    <w:rsid w:val="009D3628"/>
    <w:rsid w:val="009D3808"/>
    <w:rsid w:val="009D46DE"/>
    <w:rsid w:val="009D48DB"/>
    <w:rsid w:val="009D4B51"/>
    <w:rsid w:val="009D54A0"/>
    <w:rsid w:val="009D54AB"/>
    <w:rsid w:val="009D5832"/>
    <w:rsid w:val="009D5AE8"/>
    <w:rsid w:val="009D5FCB"/>
    <w:rsid w:val="009D6508"/>
    <w:rsid w:val="009D6AF2"/>
    <w:rsid w:val="009D6FD8"/>
    <w:rsid w:val="009D72FE"/>
    <w:rsid w:val="009E093C"/>
    <w:rsid w:val="009E0B1B"/>
    <w:rsid w:val="009E0B89"/>
    <w:rsid w:val="009E0DC0"/>
    <w:rsid w:val="009E0E25"/>
    <w:rsid w:val="009E1311"/>
    <w:rsid w:val="009E151E"/>
    <w:rsid w:val="009E1581"/>
    <w:rsid w:val="009E1C31"/>
    <w:rsid w:val="009E1E4E"/>
    <w:rsid w:val="009E22CB"/>
    <w:rsid w:val="009E29D7"/>
    <w:rsid w:val="009E2A5E"/>
    <w:rsid w:val="009E3ACF"/>
    <w:rsid w:val="009E3F1D"/>
    <w:rsid w:val="009E407D"/>
    <w:rsid w:val="009E45E6"/>
    <w:rsid w:val="009E4899"/>
    <w:rsid w:val="009E4D69"/>
    <w:rsid w:val="009E4F66"/>
    <w:rsid w:val="009E5430"/>
    <w:rsid w:val="009E54C0"/>
    <w:rsid w:val="009E5CB2"/>
    <w:rsid w:val="009E5DB6"/>
    <w:rsid w:val="009E5F68"/>
    <w:rsid w:val="009E624F"/>
    <w:rsid w:val="009E6954"/>
    <w:rsid w:val="009E78AD"/>
    <w:rsid w:val="009E7A14"/>
    <w:rsid w:val="009F0EBC"/>
    <w:rsid w:val="009F0F2C"/>
    <w:rsid w:val="009F10AA"/>
    <w:rsid w:val="009F51D6"/>
    <w:rsid w:val="009F5748"/>
    <w:rsid w:val="009F590F"/>
    <w:rsid w:val="009F6441"/>
    <w:rsid w:val="009F6D6E"/>
    <w:rsid w:val="009F6E4F"/>
    <w:rsid w:val="009F724D"/>
    <w:rsid w:val="009F762D"/>
    <w:rsid w:val="009F777E"/>
    <w:rsid w:val="009F7B71"/>
    <w:rsid w:val="009F7F52"/>
    <w:rsid w:val="00A0059D"/>
    <w:rsid w:val="00A0202C"/>
    <w:rsid w:val="00A0227E"/>
    <w:rsid w:val="00A044F5"/>
    <w:rsid w:val="00A045A2"/>
    <w:rsid w:val="00A04E80"/>
    <w:rsid w:val="00A04F3D"/>
    <w:rsid w:val="00A054A1"/>
    <w:rsid w:val="00A05A68"/>
    <w:rsid w:val="00A05C1E"/>
    <w:rsid w:val="00A0603F"/>
    <w:rsid w:val="00A068CA"/>
    <w:rsid w:val="00A06A3B"/>
    <w:rsid w:val="00A06E18"/>
    <w:rsid w:val="00A078C2"/>
    <w:rsid w:val="00A07FB9"/>
    <w:rsid w:val="00A101E1"/>
    <w:rsid w:val="00A10BD5"/>
    <w:rsid w:val="00A11181"/>
    <w:rsid w:val="00A112E6"/>
    <w:rsid w:val="00A12403"/>
    <w:rsid w:val="00A12E11"/>
    <w:rsid w:val="00A13510"/>
    <w:rsid w:val="00A1356F"/>
    <w:rsid w:val="00A13584"/>
    <w:rsid w:val="00A137C5"/>
    <w:rsid w:val="00A1398F"/>
    <w:rsid w:val="00A13BBC"/>
    <w:rsid w:val="00A13D79"/>
    <w:rsid w:val="00A141A7"/>
    <w:rsid w:val="00A14966"/>
    <w:rsid w:val="00A14A3C"/>
    <w:rsid w:val="00A15669"/>
    <w:rsid w:val="00A15CAB"/>
    <w:rsid w:val="00A1644D"/>
    <w:rsid w:val="00A16E8F"/>
    <w:rsid w:val="00A170EE"/>
    <w:rsid w:val="00A172C6"/>
    <w:rsid w:val="00A174B7"/>
    <w:rsid w:val="00A17785"/>
    <w:rsid w:val="00A17CCB"/>
    <w:rsid w:val="00A17F7D"/>
    <w:rsid w:val="00A201A6"/>
    <w:rsid w:val="00A201DE"/>
    <w:rsid w:val="00A20336"/>
    <w:rsid w:val="00A20A98"/>
    <w:rsid w:val="00A211A9"/>
    <w:rsid w:val="00A21978"/>
    <w:rsid w:val="00A2334A"/>
    <w:rsid w:val="00A23468"/>
    <w:rsid w:val="00A234D1"/>
    <w:rsid w:val="00A238D8"/>
    <w:rsid w:val="00A23C1E"/>
    <w:rsid w:val="00A2422A"/>
    <w:rsid w:val="00A243DF"/>
    <w:rsid w:val="00A248F2"/>
    <w:rsid w:val="00A2491B"/>
    <w:rsid w:val="00A249DB"/>
    <w:rsid w:val="00A24ADC"/>
    <w:rsid w:val="00A25265"/>
    <w:rsid w:val="00A25320"/>
    <w:rsid w:val="00A26B04"/>
    <w:rsid w:val="00A26FC8"/>
    <w:rsid w:val="00A27279"/>
    <w:rsid w:val="00A273B7"/>
    <w:rsid w:val="00A2756E"/>
    <w:rsid w:val="00A27882"/>
    <w:rsid w:val="00A27CA1"/>
    <w:rsid w:val="00A30092"/>
    <w:rsid w:val="00A3018D"/>
    <w:rsid w:val="00A303A1"/>
    <w:rsid w:val="00A30AC5"/>
    <w:rsid w:val="00A30E56"/>
    <w:rsid w:val="00A31139"/>
    <w:rsid w:val="00A31182"/>
    <w:rsid w:val="00A329A3"/>
    <w:rsid w:val="00A32E56"/>
    <w:rsid w:val="00A3389D"/>
    <w:rsid w:val="00A342A5"/>
    <w:rsid w:val="00A348F0"/>
    <w:rsid w:val="00A34A4C"/>
    <w:rsid w:val="00A35664"/>
    <w:rsid w:val="00A357FE"/>
    <w:rsid w:val="00A35F39"/>
    <w:rsid w:val="00A36131"/>
    <w:rsid w:val="00A361CD"/>
    <w:rsid w:val="00A36650"/>
    <w:rsid w:val="00A3731B"/>
    <w:rsid w:val="00A37AA9"/>
    <w:rsid w:val="00A37BAE"/>
    <w:rsid w:val="00A407D8"/>
    <w:rsid w:val="00A408D2"/>
    <w:rsid w:val="00A41994"/>
    <w:rsid w:val="00A41B53"/>
    <w:rsid w:val="00A41B66"/>
    <w:rsid w:val="00A42386"/>
    <w:rsid w:val="00A42685"/>
    <w:rsid w:val="00A456A0"/>
    <w:rsid w:val="00A4591B"/>
    <w:rsid w:val="00A460A0"/>
    <w:rsid w:val="00A4686E"/>
    <w:rsid w:val="00A47665"/>
    <w:rsid w:val="00A5028D"/>
    <w:rsid w:val="00A50751"/>
    <w:rsid w:val="00A50816"/>
    <w:rsid w:val="00A50B8F"/>
    <w:rsid w:val="00A50E72"/>
    <w:rsid w:val="00A50F04"/>
    <w:rsid w:val="00A50F4F"/>
    <w:rsid w:val="00A515E4"/>
    <w:rsid w:val="00A5343B"/>
    <w:rsid w:val="00A53726"/>
    <w:rsid w:val="00A53E15"/>
    <w:rsid w:val="00A54818"/>
    <w:rsid w:val="00A54B81"/>
    <w:rsid w:val="00A54BE7"/>
    <w:rsid w:val="00A55498"/>
    <w:rsid w:val="00A561B0"/>
    <w:rsid w:val="00A56497"/>
    <w:rsid w:val="00A564EB"/>
    <w:rsid w:val="00A56D64"/>
    <w:rsid w:val="00A5720B"/>
    <w:rsid w:val="00A5750E"/>
    <w:rsid w:val="00A576A6"/>
    <w:rsid w:val="00A57ECD"/>
    <w:rsid w:val="00A57FBD"/>
    <w:rsid w:val="00A600F2"/>
    <w:rsid w:val="00A60DA4"/>
    <w:rsid w:val="00A61044"/>
    <w:rsid w:val="00A613D1"/>
    <w:rsid w:val="00A61603"/>
    <w:rsid w:val="00A61728"/>
    <w:rsid w:val="00A618E5"/>
    <w:rsid w:val="00A62196"/>
    <w:rsid w:val="00A6236C"/>
    <w:rsid w:val="00A62673"/>
    <w:rsid w:val="00A62E86"/>
    <w:rsid w:val="00A633B0"/>
    <w:rsid w:val="00A6477A"/>
    <w:rsid w:val="00A64AEF"/>
    <w:rsid w:val="00A6500A"/>
    <w:rsid w:val="00A651FB"/>
    <w:rsid w:val="00A65333"/>
    <w:rsid w:val="00A65640"/>
    <w:rsid w:val="00A6571A"/>
    <w:rsid w:val="00A66210"/>
    <w:rsid w:val="00A6719E"/>
    <w:rsid w:val="00A671D3"/>
    <w:rsid w:val="00A6784B"/>
    <w:rsid w:val="00A67905"/>
    <w:rsid w:val="00A700DF"/>
    <w:rsid w:val="00A70196"/>
    <w:rsid w:val="00A7081A"/>
    <w:rsid w:val="00A70A6D"/>
    <w:rsid w:val="00A716B8"/>
    <w:rsid w:val="00A71F70"/>
    <w:rsid w:val="00A727C5"/>
    <w:rsid w:val="00A727FD"/>
    <w:rsid w:val="00A72EEB"/>
    <w:rsid w:val="00A739F1"/>
    <w:rsid w:val="00A73D97"/>
    <w:rsid w:val="00A74498"/>
    <w:rsid w:val="00A74BFC"/>
    <w:rsid w:val="00A74C88"/>
    <w:rsid w:val="00A758DE"/>
    <w:rsid w:val="00A769A9"/>
    <w:rsid w:val="00A76FE2"/>
    <w:rsid w:val="00A77343"/>
    <w:rsid w:val="00A77B91"/>
    <w:rsid w:val="00A77BD0"/>
    <w:rsid w:val="00A804BA"/>
    <w:rsid w:val="00A807F5"/>
    <w:rsid w:val="00A809B0"/>
    <w:rsid w:val="00A810A2"/>
    <w:rsid w:val="00A8189A"/>
    <w:rsid w:val="00A81C2E"/>
    <w:rsid w:val="00A81EC4"/>
    <w:rsid w:val="00A82422"/>
    <w:rsid w:val="00A82575"/>
    <w:rsid w:val="00A82742"/>
    <w:rsid w:val="00A8360F"/>
    <w:rsid w:val="00A83B8E"/>
    <w:rsid w:val="00A83C6D"/>
    <w:rsid w:val="00A8467C"/>
    <w:rsid w:val="00A8478F"/>
    <w:rsid w:val="00A8495D"/>
    <w:rsid w:val="00A84BA2"/>
    <w:rsid w:val="00A84C00"/>
    <w:rsid w:val="00A85211"/>
    <w:rsid w:val="00A858C4"/>
    <w:rsid w:val="00A85B4E"/>
    <w:rsid w:val="00A86223"/>
    <w:rsid w:val="00A86435"/>
    <w:rsid w:val="00A86F06"/>
    <w:rsid w:val="00A8750A"/>
    <w:rsid w:val="00A87CCD"/>
    <w:rsid w:val="00A90B5B"/>
    <w:rsid w:val="00A90C3E"/>
    <w:rsid w:val="00A913C5"/>
    <w:rsid w:val="00A9141E"/>
    <w:rsid w:val="00A9199A"/>
    <w:rsid w:val="00A92C23"/>
    <w:rsid w:val="00A9341B"/>
    <w:rsid w:val="00A934F1"/>
    <w:rsid w:val="00A94405"/>
    <w:rsid w:val="00A9454D"/>
    <w:rsid w:val="00A94F3D"/>
    <w:rsid w:val="00A952E9"/>
    <w:rsid w:val="00A960A4"/>
    <w:rsid w:val="00A9675F"/>
    <w:rsid w:val="00A96A42"/>
    <w:rsid w:val="00A974CA"/>
    <w:rsid w:val="00A97E12"/>
    <w:rsid w:val="00AA0DCC"/>
    <w:rsid w:val="00AA1D30"/>
    <w:rsid w:val="00AA210B"/>
    <w:rsid w:val="00AA2395"/>
    <w:rsid w:val="00AA2B0D"/>
    <w:rsid w:val="00AA2CD5"/>
    <w:rsid w:val="00AA30CA"/>
    <w:rsid w:val="00AA3593"/>
    <w:rsid w:val="00AA36A5"/>
    <w:rsid w:val="00AA3B84"/>
    <w:rsid w:val="00AA4A75"/>
    <w:rsid w:val="00AA4F6C"/>
    <w:rsid w:val="00AA6443"/>
    <w:rsid w:val="00AA6841"/>
    <w:rsid w:val="00AA6C03"/>
    <w:rsid w:val="00AA722E"/>
    <w:rsid w:val="00AA72AC"/>
    <w:rsid w:val="00AA798C"/>
    <w:rsid w:val="00AA7C90"/>
    <w:rsid w:val="00AB0056"/>
    <w:rsid w:val="00AB0484"/>
    <w:rsid w:val="00AB092A"/>
    <w:rsid w:val="00AB0B76"/>
    <w:rsid w:val="00AB0E1E"/>
    <w:rsid w:val="00AB12FC"/>
    <w:rsid w:val="00AB16AE"/>
    <w:rsid w:val="00AB1C24"/>
    <w:rsid w:val="00AB2114"/>
    <w:rsid w:val="00AB2605"/>
    <w:rsid w:val="00AB2908"/>
    <w:rsid w:val="00AB392A"/>
    <w:rsid w:val="00AB3B81"/>
    <w:rsid w:val="00AB3F6C"/>
    <w:rsid w:val="00AB4756"/>
    <w:rsid w:val="00AB478D"/>
    <w:rsid w:val="00AB491C"/>
    <w:rsid w:val="00AB5801"/>
    <w:rsid w:val="00AB5A64"/>
    <w:rsid w:val="00AB5FC8"/>
    <w:rsid w:val="00AB64AB"/>
    <w:rsid w:val="00AB6684"/>
    <w:rsid w:val="00AB6D87"/>
    <w:rsid w:val="00AB71A5"/>
    <w:rsid w:val="00AB76C6"/>
    <w:rsid w:val="00AB79E9"/>
    <w:rsid w:val="00AB7A30"/>
    <w:rsid w:val="00AB7A9E"/>
    <w:rsid w:val="00AC0387"/>
    <w:rsid w:val="00AC0694"/>
    <w:rsid w:val="00AC06AD"/>
    <w:rsid w:val="00AC0D26"/>
    <w:rsid w:val="00AC141A"/>
    <w:rsid w:val="00AC1FCC"/>
    <w:rsid w:val="00AC1FF1"/>
    <w:rsid w:val="00AC21BA"/>
    <w:rsid w:val="00AC2633"/>
    <w:rsid w:val="00AC2AEE"/>
    <w:rsid w:val="00AC2C2E"/>
    <w:rsid w:val="00AC395A"/>
    <w:rsid w:val="00AC3978"/>
    <w:rsid w:val="00AC3E35"/>
    <w:rsid w:val="00AC47B7"/>
    <w:rsid w:val="00AC4A0C"/>
    <w:rsid w:val="00AC5349"/>
    <w:rsid w:val="00AC5567"/>
    <w:rsid w:val="00AC71B2"/>
    <w:rsid w:val="00AC7B4B"/>
    <w:rsid w:val="00AC7BA5"/>
    <w:rsid w:val="00AC7FFD"/>
    <w:rsid w:val="00AD04F4"/>
    <w:rsid w:val="00AD09E2"/>
    <w:rsid w:val="00AD10CF"/>
    <w:rsid w:val="00AD1204"/>
    <w:rsid w:val="00AD142C"/>
    <w:rsid w:val="00AD1C65"/>
    <w:rsid w:val="00AD1E42"/>
    <w:rsid w:val="00AD2298"/>
    <w:rsid w:val="00AD25A5"/>
    <w:rsid w:val="00AD2C97"/>
    <w:rsid w:val="00AD319F"/>
    <w:rsid w:val="00AD3324"/>
    <w:rsid w:val="00AD3665"/>
    <w:rsid w:val="00AD4306"/>
    <w:rsid w:val="00AD4F78"/>
    <w:rsid w:val="00AD55F8"/>
    <w:rsid w:val="00AD576C"/>
    <w:rsid w:val="00AD59BE"/>
    <w:rsid w:val="00AD5B54"/>
    <w:rsid w:val="00AD5CB7"/>
    <w:rsid w:val="00AD670F"/>
    <w:rsid w:val="00AD6A13"/>
    <w:rsid w:val="00AD6B33"/>
    <w:rsid w:val="00AD6C71"/>
    <w:rsid w:val="00AD7AC2"/>
    <w:rsid w:val="00AD7D49"/>
    <w:rsid w:val="00AD7FE7"/>
    <w:rsid w:val="00AE02B6"/>
    <w:rsid w:val="00AE0346"/>
    <w:rsid w:val="00AE04FD"/>
    <w:rsid w:val="00AE0B34"/>
    <w:rsid w:val="00AE0C0A"/>
    <w:rsid w:val="00AE0CD4"/>
    <w:rsid w:val="00AE119A"/>
    <w:rsid w:val="00AE1355"/>
    <w:rsid w:val="00AE1E4B"/>
    <w:rsid w:val="00AE1E54"/>
    <w:rsid w:val="00AE21D4"/>
    <w:rsid w:val="00AE23E5"/>
    <w:rsid w:val="00AE260A"/>
    <w:rsid w:val="00AE286A"/>
    <w:rsid w:val="00AE2AFD"/>
    <w:rsid w:val="00AE388D"/>
    <w:rsid w:val="00AE3B67"/>
    <w:rsid w:val="00AE4372"/>
    <w:rsid w:val="00AE478A"/>
    <w:rsid w:val="00AE4931"/>
    <w:rsid w:val="00AE5108"/>
    <w:rsid w:val="00AE5468"/>
    <w:rsid w:val="00AE59D9"/>
    <w:rsid w:val="00AE5A40"/>
    <w:rsid w:val="00AE7557"/>
    <w:rsid w:val="00AE7AB2"/>
    <w:rsid w:val="00AE7E6D"/>
    <w:rsid w:val="00AF0C8D"/>
    <w:rsid w:val="00AF0FDA"/>
    <w:rsid w:val="00AF1C39"/>
    <w:rsid w:val="00AF1EF5"/>
    <w:rsid w:val="00AF264A"/>
    <w:rsid w:val="00AF2679"/>
    <w:rsid w:val="00AF2EA5"/>
    <w:rsid w:val="00AF43B6"/>
    <w:rsid w:val="00AF497A"/>
    <w:rsid w:val="00AF5285"/>
    <w:rsid w:val="00AF5438"/>
    <w:rsid w:val="00AF570C"/>
    <w:rsid w:val="00AF573F"/>
    <w:rsid w:val="00AF5C07"/>
    <w:rsid w:val="00AF5C3D"/>
    <w:rsid w:val="00AF706F"/>
    <w:rsid w:val="00AF70E7"/>
    <w:rsid w:val="00AF7433"/>
    <w:rsid w:val="00AF76B3"/>
    <w:rsid w:val="00AF7963"/>
    <w:rsid w:val="00AF7B64"/>
    <w:rsid w:val="00AF7ED1"/>
    <w:rsid w:val="00B00778"/>
    <w:rsid w:val="00B01916"/>
    <w:rsid w:val="00B0232D"/>
    <w:rsid w:val="00B02767"/>
    <w:rsid w:val="00B02AAC"/>
    <w:rsid w:val="00B0309E"/>
    <w:rsid w:val="00B03B50"/>
    <w:rsid w:val="00B0418C"/>
    <w:rsid w:val="00B042BF"/>
    <w:rsid w:val="00B044EA"/>
    <w:rsid w:val="00B0477B"/>
    <w:rsid w:val="00B04ABF"/>
    <w:rsid w:val="00B04E8C"/>
    <w:rsid w:val="00B0508B"/>
    <w:rsid w:val="00B050C0"/>
    <w:rsid w:val="00B05642"/>
    <w:rsid w:val="00B0566E"/>
    <w:rsid w:val="00B06097"/>
    <w:rsid w:val="00B068B8"/>
    <w:rsid w:val="00B06EE2"/>
    <w:rsid w:val="00B07803"/>
    <w:rsid w:val="00B07A1B"/>
    <w:rsid w:val="00B07D2F"/>
    <w:rsid w:val="00B10045"/>
    <w:rsid w:val="00B100DF"/>
    <w:rsid w:val="00B10159"/>
    <w:rsid w:val="00B1052E"/>
    <w:rsid w:val="00B10CAE"/>
    <w:rsid w:val="00B11830"/>
    <w:rsid w:val="00B11F87"/>
    <w:rsid w:val="00B12190"/>
    <w:rsid w:val="00B1294B"/>
    <w:rsid w:val="00B12F71"/>
    <w:rsid w:val="00B1357D"/>
    <w:rsid w:val="00B136A9"/>
    <w:rsid w:val="00B137C3"/>
    <w:rsid w:val="00B1427D"/>
    <w:rsid w:val="00B14552"/>
    <w:rsid w:val="00B1481D"/>
    <w:rsid w:val="00B155C9"/>
    <w:rsid w:val="00B15659"/>
    <w:rsid w:val="00B15A01"/>
    <w:rsid w:val="00B15CF3"/>
    <w:rsid w:val="00B15E89"/>
    <w:rsid w:val="00B15FE1"/>
    <w:rsid w:val="00B1644E"/>
    <w:rsid w:val="00B17004"/>
    <w:rsid w:val="00B171BB"/>
    <w:rsid w:val="00B172EB"/>
    <w:rsid w:val="00B17A51"/>
    <w:rsid w:val="00B205D4"/>
    <w:rsid w:val="00B20DD9"/>
    <w:rsid w:val="00B20E1B"/>
    <w:rsid w:val="00B21363"/>
    <w:rsid w:val="00B2164F"/>
    <w:rsid w:val="00B22444"/>
    <w:rsid w:val="00B2247A"/>
    <w:rsid w:val="00B22880"/>
    <w:rsid w:val="00B22B8C"/>
    <w:rsid w:val="00B22F42"/>
    <w:rsid w:val="00B23190"/>
    <w:rsid w:val="00B231E7"/>
    <w:rsid w:val="00B2325D"/>
    <w:rsid w:val="00B23453"/>
    <w:rsid w:val="00B24328"/>
    <w:rsid w:val="00B25454"/>
    <w:rsid w:val="00B263CF"/>
    <w:rsid w:val="00B277B3"/>
    <w:rsid w:val="00B27CCA"/>
    <w:rsid w:val="00B3031B"/>
    <w:rsid w:val="00B30CB6"/>
    <w:rsid w:val="00B30D7B"/>
    <w:rsid w:val="00B312FA"/>
    <w:rsid w:val="00B3140A"/>
    <w:rsid w:val="00B31A08"/>
    <w:rsid w:val="00B31D22"/>
    <w:rsid w:val="00B31DFD"/>
    <w:rsid w:val="00B32171"/>
    <w:rsid w:val="00B32E67"/>
    <w:rsid w:val="00B33670"/>
    <w:rsid w:val="00B339EC"/>
    <w:rsid w:val="00B33B49"/>
    <w:rsid w:val="00B35CE9"/>
    <w:rsid w:val="00B36551"/>
    <w:rsid w:val="00B36A7E"/>
    <w:rsid w:val="00B36D25"/>
    <w:rsid w:val="00B36E9E"/>
    <w:rsid w:val="00B36EE6"/>
    <w:rsid w:val="00B379DF"/>
    <w:rsid w:val="00B37E5D"/>
    <w:rsid w:val="00B402AD"/>
    <w:rsid w:val="00B40C09"/>
    <w:rsid w:val="00B40E38"/>
    <w:rsid w:val="00B43589"/>
    <w:rsid w:val="00B43B05"/>
    <w:rsid w:val="00B44D1B"/>
    <w:rsid w:val="00B45C9E"/>
    <w:rsid w:val="00B45EBF"/>
    <w:rsid w:val="00B47571"/>
    <w:rsid w:val="00B4794E"/>
    <w:rsid w:val="00B500C7"/>
    <w:rsid w:val="00B50472"/>
    <w:rsid w:val="00B50F4E"/>
    <w:rsid w:val="00B51610"/>
    <w:rsid w:val="00B516BE"/>
    <w:rsid w:val="00B51ACE"/>
    <w:rsid w:val="00B5212D"/>
    <w:rsid w:val="00B528FB"/>
    <w:rsid w:val="00B52C53"/>
    <w:rsid w:val="00B53C9A"/>
    <w:rsid w:val="00B53FA2"/>
    <w:rsid w:val="00B5458E"/>
    <w:rsid w:val="00B54E99"/>
    <w:rsid w:val="00B55B8E"/>
    <w:rsid w:val="00B56507"/>
    <w:rsid w:val="00B567FE"/>
    <w:rsid w:val="00B56AAD"/>
    <w:rsid w:val="00B56C95"/>
    <w:rsid w:val="00B575B3"/>
    <w:rsid w:val="00B6020D"/>
    <w:rsid w:val="00B60716"/>
    <w:rsid w:val="00B60FE0"/>
    <w:rsid w:val="00B614F6"/>
    <w:rsid w:val="00B619AA"/>
    <w:rsid w:val="00B61A7F"/>
    <w:rsid w:val="00B61BBC"/>
    <w:rsid w:val="00B623D7"/>
    <w:rsid w:val="00B629A9"/>
    <w:rsid w:val="00B62CC1"/>
    <w:rsid w:val="00B62E5E"/>
    <w:rsid w:val="00B63479"/>
    <w:rsid w:val="00B636AE"/>
    <w:rsid w:val="00B63F43"/>
    <w:rsid w:val="00B64012"/>
    <w:rsid w:val="00B64290"/>
    <w:rsid w:val="00B64372"/>
    <w:rsid w:val="00B64DFF"/>
    <w:rsid w:val="00B65048"/>
    <w:rsid w:val="00B66900"/>
    <w:rsid w:val="00B66B4A"/>
    <w:rsid w:val="00B66E68"/>
    <w:rsid w:val="00B66E7A"/>
    <w:rsid w:val="00B66FD0"/>
    <w:rsid w:val="00B67197"/>
    <w:rsid w:val="00B67426"/>
    <w:rsid w:val="00B67687"/>
    <w:rsid w:val="00B70BBC"/>
    <w:rsid w:val="00B71521"/>
    <w:rsid w:val="00B72376"/>
    <w:rsid w:val="00B72595"/>
    <w:rsid w:val="00B7275F"/>
    <w:rsid w:val="00B7276B"/>
    <w:rsid w:val="00B72E21"/>
    <w:rsid w:val="00B732DA"/>
    <w:rsid w:val="00B73D24"/>
    <w:rsid w:val="00B73DC7"/>
    <w:rsid w:val="00B748AF"/>
    <w:rsid w:val="00B7577C"/>
    <w:rsid w:val="00B75A74"/>
    <w:rsid w:val="00B760E1"/>
    <w:rsid w:val="00B76313"/>
    <w:rsid w:val="00B764CB"/>
    <w:rsid w:val="00B76A4C"/>
    <w:rsid w:val="00B76E7B"/>
    <w:rsid w:val="00B76F58"/>
    <w:rsid w:val="00B76FD6"/>
    <w:rsid w:val="00B77690"/>
    <w:rsid w:val="00B7792B"/>
    <w:rsid w:val="00B77A3D"/>
    <w:rsid w:val="00B808A6"/>
    <w:rsid w:val="00B8096A"/>
    <w:rsid w:val="00B809D7"/>
    <w:rsid w:val="00B80F30"/>
    <w:rsid w:val="00B81D44"/>
    <w:rsid w:val="00B82977"/>
    <w:rsid w:val="00B83697"/>
    <w:rsid w:val="00B83AA5"/>
    <w:rsid w:val="00B83C0A"/>
    <w:rsid w:val="00B83D6D"/>
    <w:rsid w:val="00B844E7"/>
    <w:rsid w:val="00B84553"/>
    <w:rsid w:val="00B847EB"/>
    <w:rsid w:val="00B84939"/>
    <w:rsid w:val="00B854C3"/>
    <w:rsid w:val="00B85874"/>
    <w:rsid w:val="00B85C06"/>
    <w:rsid w:val="00B864FE"/>
    <w:rsid w:val="00B873B2"/>
    <w:rsid w:val="00B87AE0"/>
    <w:rsid w:val="00B91564"/>
    <w:rsid w:val="00B9206A"/>
    <w:rsid w:val="00B9279E"/>
    <w:rsid w:val="00B92F23"/>
    <w:rsid w:val="00B93697"/>
    <w:rsid w:val="00B939D0"/>
    <w:rsid w:val="00B93B62"/>
    <w:rsid w:val="00B942E8"/>
    <w:rsid w:val="00B94C70"/>
    <w:rsid w:val="00B95611"/>
    <w:rsid w:val="00B95763"/>
    <w:rsid w:val="00B95ED2"/>
    <w:rsid w:val="00B96D52"/>
    <w:rsid w:val="00B97131"/>
    <w:rsid w:val="00B971A4"/>
    <w:rsid w:val="00B9744C"/>
    <w:rsid w:val="00B97FE3"/>
    <w:rsid w:val="00BA0262"/>
    <w:rsid w:val="00BA092A"/>
    <w:rsid w:val="00BA0A17"/>
    <w:rsid w:val="00BA1633"/>
    <w:rsid w:val="00BA1CFA"/>
    <w:rsid w:val="00BA23F6"/>
    <w:rsid w:val="00BA24BA"/>
    <w:rsid w:val="00BA2C43"/>
    <w:rsid w:val="00BA32AB"/>
    <w:rsid w:val="00BA3576"/>
    <w:rsid w:val="00BA3DA8"/>
    <w:rsid w:val="00BA4107"/>
    <w:rsid w:val="00BA4284"/>
    <w:rsid w:val="00BA4319"/>
    <w:rsid w:val="00BA5D2B"/>
    <w:rsid w:val="00BA5D2E"/>
    <w:rsid w:val="00BA5D6D"/>
    <w:rsid w:val="00BA6123"/>
    <w:rsid w:val="00BA618D"/>
    <w:rsid w:val="00BA6273"/>
    <w:rsid w:val="00BA6E35"/>
    <w:rsid w:val="00BA7087"/>
    <w:rsid w:val="00BA70D3"/>
    <w:rsid w:val="00BA7803"/>
    <w:rsid w:val="00BB03A5"/>
    <w:rsid w:val="00BB1017"/>
    <w:rsid w:val="00BB126F"/>
    <w:rsid w:val="00BB1F18"/>
    <w:rsid w:val="00BB3425"/>
    <w:rsid w:val="00BB4E83"/>
    <w:rsid w:val="00BB579A"/>
    <w:rsid w:val="00BB5BD8"/>
    <w:rsid w:val="00BB5F42"/>
    <w:rsid w:val="00BB5FE1"/>
    <w:rsid w:val="00BB60B6"/>
    <w:rsid w:val="00BB61A5"/>
    <w:rsid w:val="00BB6720"/>
    <w:rsid w:val="00BB6773"/>
    <w:rsid w:val="00BB68C2"/>
    <w:rsid w:val="00BC1029"/>
    <w:rsid w:val="00BC22F3"/>
    <w:rsid w:val="00BC2653"/>
    <w:rsid w:val="00BC2720"/>
    <w:rsid w:val="00BC2AA5"/>
    <w:rsid w:val="00BC2AD4"/>
    <w:rsid w:val="00BC2C26"/>
    <w:rsid w:val="00BC3216"/>
    <w:rsid w:val="00BC386F"/>
    <w:rsid w:val="00BC4728"/>
    <w:rsid w:val="00BC4BF4"/>
    <w:rsid w:val="00BC4D6A"/>
    <w:rsid w:val="00BC5290"/>
    <w:rsid w:val="00BC532D"/>
    <w:rsid w:val="00BC60B3"/>
    <w:rsid w:val="00BC646E"/>
    <w:rsid w:val="00BC65E8"/>
    <w:rsid w:val="00BC6D66"/>
    <w:rsid w:val="00BC73CA"/>
    <w:rsid w:val="00BC7F7F"/>
    <w:rsid w:val="00BD0771"/>
    <w:rsid w:val="00BD099A"/>
    <w:rsid w:val="00BD0C81"/>
    <w:rsid w:val="00BD0EB4"/>
    <w:rsid w:val="00BD2253"/>
    <w:rsid w:val="00BD2B72"/>
    <w:rsid w:val="00BD4369"/>
    <w:rsid w:val="00BD43E6"/>
    <w:rsid w:val="00BD4D76"/>
    <w:rsid w:val="00BD4E27"/>
    <w:rsid w:val="00BD4E65"/>
    <w:rsid w:val="00BD4F2D"/>
    <w:rsid w:val="00BD5EAE"/>
    <w:rsid w:val="00BD65EB"/>
    <w:rsid w:val="00BD686E"/>
    <w:rsid w:val="00BD68AD"/>
    <w:rsid w:val="00BD6C22"/>
    <w:rsid w:val="00BD7496"/>
    <w:rsid w:val="00BE042D"/>
    <w:rsid w:val="00BE045D"/>
    <w:rsid w:val="00BE0ED9"/>
    <w:rsid w:val="00BE117A"/>
    <w:rsid w:val="00BE1A2E"/>
    <w:rsid w:val="00BE2C19"/>
    <w:rsid w:val="00BE2E6E"/>
    <w:rsid w:val="00BE3001"/>
    <w:rsid w:val="00BE3163"/>
    <w:rsid w:val="00BE3177"/>
    <w:rsid w:val="00BE3FBC"/>
    <w:rsid w:val="00BE4802"/>
    <w:rsid w:val="00BE5357"/>
    <w:rsid w:val="00BE59BC"/>
    <w:rsid w:val="00BE5C3D"/>
    <w:rsid w:val="00BE6091"/>
    <w:rsid w:val="00BE6838"/>
    <w:rsid w:val="00BE6B26"/>
    <w:rsid w:val="00BE7212"/>
    <w:rsid w:val="00BE79CB"/>
    <w:rsid w:val="00BE7ABB"/>
    <w:rsid w:val="00BF0D7C"/>
    <w:rsid w:val="00BF154B"/>
    <w:rsid w:val="00BF1DBF"/>
    <w:rsid w:val="00BF23EB"/>
    <w:rsid w:val="00BF2C0B"/>
    <w:rsid w:val="00BF2FF7"/>
    <w:rsid w:val="00BF331F"/>
    <w:rsid w:val="00BF4CF5"/>
    <w:rsid w:val="00BF4DAE"/>
    <w:rsid w:val="00BF4EF9"/>
    <w:rsid w:val="00BF50E6"/>
    <w:rsid w:val="00BF54C4"/>
    <w:rsid w:val="00BF5BD2"/>
    <w:rsid w:val="00BF6174"/>
    <w:rsid w:val="00BF6B0F"/>
    <w:rsid w:val="00BF7E0C"/>
    <w:rsid w:val="00C003C1"/>
    <w:rsid w:val="00C00A9C"/>
    <w:rsid w:val="00C00B4D"/>
    <w:rsid w:val="00C019D4"/>
    <w:rsid w:val="00C019F6"/>
    <w:rsid w:val="00C020E2"/>
    <w:rsid w:val="00C0227A"/>
    <w:rsid w:val="00C023C6"/>
    <w:rsid w:val="00C0388C"/>
    <w:rsid w:val="00C03ECE"/>
    <w:rsid w:val="00C04025"/>
    <w:rsid w:val="00C053A4"/>
    <w:rsid w:val="00C05CC6"/>
    <w:rsid w:val="00C067A0"/>
    <w:rsid w:val="00C068C7"/>
    <w:rsid w:val="00C06ACD"/>
    <w:rsid w:val="00C06DF4"/>
    <w:rsid w:val="00C073C2"/>
    <w:rsid w:val="00C07C4C"/>
    <w:rsid w:val="00C07DFE"/>
    <w:rsid w:val="00C07F9C"/>
    <w:rsid w:val="00C1099A"/>
    <w:rsid w:val="00C10FE2"/>
    <w:rsid w:val="00C11F06"/>
    <w:rsid w:val="00C11FB5"/>
    <w:rsid w:val="00C1242E"/>
    <w:rsid w:val="00C1269F"/>
    <w:rsid w:val="00C13840"/>
    <w:rsid w:val="00C13899"/>
    <w:rsid w:val="00C13C12"/>
    <w:rsid w:val="00C13FF4"/>
    <w:rsid w:val="00C142AE"/>
    <w:rsid w:val="00C146B7"/>
    <w:rsid w:val="00C1575D"/>
    <w:rsid w:val="00C15F41"/>
    <w:rsid w:val="00C160F4"/>
    <w:rsid w:val="00C16594"/>
    <w:rsid w:val="00C16A8D"/>
    <w:rsid w:val="00C16C48"/>
    <w:rsid w:val="00C170BE"/>
    <w:rsid w:val="00C17673"/>
    <w:rsid w:val="00C20F99"/>
    <w:rsid w:val="00C21072"/>
    <w:rsid w:val="00C2120D"/>
    <w:rsid w:val="00C215E7"/>
    <w:rsid w:val="00C21A11"/>
    <w:rsid w:val="00C21D4B"/>
    <w:rsid w:val="00C21FC5"/>
    <w:rsid w:val="00C222FB"/>
    <w:rsid w:val="00C22379"/>
    <w:rsid w:val="00C22492"/>
    <w:rsid w:val="00C228F6"/>
    <w:rsid w:val="00C23090"/>
    <w:rsid w:val="00C233E9"/>
    <w:rsid w:val="00C25653"/>
    <w:rsid w:val="00C2605C"/>
    <w:rsid w:val="00C262A7"/>
    <w:rsid w:val="00C268D5"/>
    <w:rsid w:val="00C26C5B"/>
    <w:rsid w:val="00C2711B"/>
    <w:rsid w:val="00C27C81"/>
    <w:rsid w:val="00C30207"/>
    <w:rsid w:val="00C303B4"/>
    <w:rsid w:val="00C30D6B"/>
    <w:rsid w:val="00C314C3"/>
    <w:rsid w:val="00C31F7F"/>
    <w:rsid w:val="00C32490"/>
    <w:rsid w:val="00C32651"/>
    <w:rsid w:val="00C3273F"/>
    <w:rsid w:val="00C32C6E"/>
    <w:rsid w:val="00C33457"/>
    <w:rsid w:val="00C3417E"/>
    <w:rsid w:val="00C36099"/>
    <w:rsid w:val="00C36149"/>
    <w:rsid w:val="00C36337"/>
    <w:rsid w:val="00C3635F"/>
    <w:rsid w:val="00C374A1"/>
    <w:rsid w:val="00C374FB"/>
    <w:rsid w:val="00C40111"/>
    <w:rsid w:val="00C401EA"/>
    <w:rsid w:val="00C40761"/>
    <w:rsid w:val="00C407A2"/>
    <w:rsid w:val="00C40EBC"/>
    <w:rsid w:val="00C40EEE"/>
    <w:rsid w:val="00C41001"/>
    <w:rsid w:val="00C41265"/>
    <w:rsid w:val="00C4202E"/>
    <w:rsid w:val="00C42ACA"/>
    <w:rsid w:val="00C42DCD"/>
    <w:rsid w:val="00C431F2"/>
    <w:rsid w:val="00C43BF4"/>
    <w:rsid w:val="00C43CAF"/>
    <w:rsid w:val="00C4430F"/>
    <w:rsid w:val="00C44481"/>
    <w:rsid w:val="00C44B42"/>
    <w:rsid w:val="00C45253"/>
    <w:rsid w:val="00C46423"/>
    <w:rsid w:val="00C46528"/>
    <w:rsid w:val="00C46553"/>
    <w:rsid w:val="00C4687E"/>
    <w:rsid w:val="00C47977"/>
    <w:rsid w:val="00C479A6"/>
    <w:rsid w:val="00C504B1"/>
    <w:rsid w:val="00C507CB"/>
    <w:rsid w:val="00C50CAD"/>
    <w:rsid w:val="00C50D9F"/>
    <w:rsid w:val="00C51308"/>
    <w:rsid w:val="00C51CA1"/>
    <w:rsid w:val="00C51F78"/>
    <w:rsid w:val="00C530F0"/>
    <w:rsid w:val="00C53256"/>
    <w:rsid w:val="00C535BD"/>
    <w:rsid w:val="00C539F8"/>
    <w:rsid w:val="00C53A47"/>
    <w:rsid w:val="00C53D5A"/>
    <w:rsid w:val="00C54293"/>
    <w:rsid w:val="00C54295"/>
    <w:rsid w:val="00C543D7"/>
    <w:rsid w:val="00C54732"/>
    <w:rsid w:val="00C54F2C"/>
    <w:rsid w:val="00C55036"/>
    <w:rsid w:val="00C55DD8"/>
    <w:rsid w:val="00C55FB0"/>
    <w:rsid w:val="00C57B4D"/>
    <w:rsid w:val="00C57BB9"/>
    <w:rsid w:val="00C57D38"/>
    <w:rsid w:val="00C606AD"/>
    <w:rsid w:val="00C606F6"/>
    <w:rsid w:val="00C6082E"/>
    <w:rsid w:val="00C60E02"/>
    <w:rsid w:val="00C61699"/>
    <w:rsid w:val="00C62009"/>
    <w:rsid w:val="00C62B02"/>
    <w:rsid w:val="00C62C7A"/>
    <w:rsid w:val="00C62D04"/>
    <w:rsid w:val="00C63086"/>
    <w:rsid w:val="00C631C2"/>
    <w:rsid w:val="00C63581"/>
    <w:rsid w:val="00C6409F"/>
    <w:rsid w:val="00C64908"/>
    <w:rsid w:val="00C660D7"/>
    <w:rsid w:val="00C66916"/>
    <w:rsid w:val="00C673BB"/>
    <w:rsid w:val="00C6742E"/>
    <w:rsid w:val="00C67B59"/>
    <w:rsid w:val="00C67D37"/>
    <w:rsid w:val="00C70459"/>
    <w:rsid w:val="00C705B5"/>
    <w:rsid w:val="00C7093C"/>
    <w:rsid w:val="00C71811"/>
    <w:rsid w:val="00C721B0"/>
    <w:rsid w:val="00C72214"/>
    <w:rsid w:val="00C728A2"/>
    <w:rsid w:val="00C72D59"/>
    <w:rsid w:val="00C73618"/>
    <w:rsid w:val="00C738BD"/>
    <w:rsid w:val="00C73C04"/>
    <w:rsid w:val="00C744EC"/>
    <w:rsid w:val="00C747E8"/>
    <w:rsid w:val="00C74C3C"/>
    <w:rsid w:val="00C74C75"/>
    <w:rsid w:val="00C7509C"/>
    <w:rsid w:val="00C7510D"/>
    <w:rsid w:val="00C751D1"/>
    <w:rsid w:val="00C7598B"/>
    <w:rsid w:val="00C75D40"/>
    <w:rsid w:val="00C75E8D"/>
    <w:rsid w:val="00C7642C"/>
    <w:rsid w:val="00C777B4"/>
    <w:rsid w:val="00C804CF"/>
    <w:rsid w:val="00C80FD9"/>
    <w:rsid w:val="00C811E9"/>
    <w:rsid w:val="00C81A50"/>
    <w:rsid w:val="00C81CD1"/>
    <w:rsid w:val="00C824B2"/>
    <w:rsid w:val="00C82BD6"/>
    <w:rsid w:val="00C82D74"/>
    <w:rsid w:val="00C82DB8"/>
    <w:rsid w:val="00C82F99"/>
    <w:rsid w:val="00C83627"/>
    <w:rsid w:val="00C83773"/>
    <w:rsid w:val="00C83D21"/>
    <w:rsid w:val="00C844FE"/>
    <w:rsid w:val="00C8466E"/>
    <w:rsid w:val="00C849E7"/>
    <w:rsid w:val="00C85472"/>
    <w:rsid w:val="00C85E44"/>
    <w:rsid w:val="00C8661B"/>
    <w:rsid w:val="00C86B7A"/>
    <w:rsid w:val="00C86C73"/>
    <w:rsid w:val="00C87B2A"/>
    <w:rsid w:val="00C87F59"/>
    <w:rsid w:val="00C90336"/>
    <w:rsid w:val="00C90564"/>
    <w:rsid w:val="00C9095C"/>
    <w:rsid w:val="00C91929"/>
    <w:rsid w:val="00C91C26"/>
    <w:rsid w:val="00C91E69"/>
    <w:rsid w:val="00C91F68"/>
    <w:rsid w:val="00C92F94"/>
    <w:rsid w:val="00C9318C"/>
    <w:rsid w:val="00C93602"/>
    <w:rsid w:val="00C93695"/>
    <w:rsid w:val="00C94954"/>
    <w:rsid w:val="00C94CE4"/>
    <w:rsid w:val="00C94D1A"/>
    <w:rsid w:val="00C951D2"/>
    <w:rsid w:val="00C95533"/>
    <w:rsid w:val="00C95ADA"/>
    <w:rsid w:val="00C95ADC"/>
    <w:rsid w:val="00C95D81"/>
    <w:rsid w:val="00C95EF4"/>
    <w:rsid w:val="00C960AA"/>
    <w:rsid w:val="00C96BE1"/>
    <w:rsid w:val="00C9708E"/>
    <w:rsid w:val="00C975D6"/>
    <w:rsid w:val="00C97F62"/>
    <w:rsid w:val="00CA043C"/>
    <w:rsid w:val="00CA0562"/>
    <w:rsid w:val="00CA0AEA"/>
    <w:rsid w:val="00CA0F83"/>
    <w:rsid w:val="00CA121E"/>
    <w:rsid w:val="00CA126F"/>
    <w:rsid w:val="00CA1478"/>
    <w:rsid w:val="00CA163F"/>
    <w:rsid w:val="00CA1AF7"/>
    <w:rsid w:val="00CA31A2"/>
    <w:rsid w:val="00CA408A"/>
    <w:rsid w:val="00CA447E"/>
    <w:rsid w:val="00CA4CE6"/>
    <w:rsid w:val="00CA4EEB"/>
    <w:rsid w:val="00CA501D"/>
    <w:rsid w:val="00CA55C4"/>
    <w:rsid w:val="00CA5652"/>
    <w:rsid w:val="00CA5DA5"/>
    <w:rsid w:val="00CA7337"/>
    <w:rsid w:val="00CA76AB"/>
    <w:rsid w:val="00CB1475"/>
    <w:rsid w:val="00CB14DE"/>
    <w:rsid w:val="00CB1502"/>
    <w:rsid w:val="00CB1567"/>
    <w:rsid w:val="00CB1789"/>
    <w:rsid w:val="00CB17FC"/>
    <w:rsid w:val="00CB1CB2"/>
    <w:rsid w:val="00CB2433"/>
    <w:rsid w:val="00CB2557"/>
    <w:rsid w:val="00CB2E52"/>
    <w:rsid w:val="00CB3420"/>
    <w:rsid w:val="00CB3BDE"/>
    <w:rsid w:val="00CB44C4"/>
    <w:rsid w:val="00CB47FE"/>
    <w:rsid w:val="00CB4D35"/>
    <w:rsid w:val="00CB50A3"/>
    <w:rsid w:val="00CB5667"/>
    <w:rsid w:val="00CB58EE"/>
    <w:rsid w:val="00CB5963"/>
    <w:rsid w:val="00CB6703"/>
    <w:rsid w:val="00CB7438"/>
    <w:rsid w:val="00CB762C"/>
    <w:rsid w:val="00CB7D70"/>
    <w:rsid w:val="00CB7E0C"/>
    <w:rsid w:val="00CC0543"/>
    <w:rsid w:val="00CC06D5"/>
    <w:rsid w:val="00CC0774"/>
    <w:rsid w:val="00CC0E61"/>
    <w:rsid w:val="00CC19C0"/>
    <w:rsid w:val="00CC235D"/>
    <w:rsid w:val="00CC25C7"/>
    <w:rsid w:val="00CC3483"/>
    <w:rsid w:val="00CC39B1"/>
    <w:rsid w:val="00CC3D90"/>
    <w:rsid w:val="00CC45E1"/>
    <w:rsid w:val="00CC4B3F"/>
    <w:rsid w:val="00CC50DD"/>
    <w:rsid w:val="00CC55AF"/>
    <w:rsid w:val="00CC5F21"/>
    <w:rsid w:val="00CC6339"/>
    <w:rsid w:val="00CC6D90"/>
    <w:rsid w:val="00CC7B1E"/>
    <w:rsid w:val="00CC7EB2"/>
    <w:rsid w:val="00CD0A47"/>
    <w:rsid w:val="00CD1E6E"/>
    <w:rsid w:val="00CD21F9"/>
    <w:rsid w:val="00CD2CCB"/>
    <w:rsid w:val="00CD323A"/>
    <w:rsid w:val="00CD351D"/>
    <w:rsid w:val="00CD3DE6"/>
    <w:rsid w:val="00CD426B"/>
    <w:rsid w:val="00CD467C"/>
    <w:rsid w:val="00CD526B"/>
    <w:rsid w:val="00CD596A"/>
    <w:rsid w:val="00CD5B2C"/>
    <w:rsid w:val="00CD5B93"/>
    <w:rsid w:val="00CD5C72"/>
    <w:rsid w:val="00CD6827"/>
    <w:rsid w:val="00CD6833"/>
    <w:rsid w:val="00CD6E48"/>
    <w:rsid w:val="00CD6F5F"/>
    <w:rsid w:val="00CD7039"/>
    <w:rsid w:val="00CD7819"/>
    <w:rsid w:val="00CD79A8"/>
    <w:rsid w:val="00CD7C83"/>
    <w:rsid w:val="00CE1259"/>
    <w:rsid w:val="00CE20B6"/>
    <w:rsid w:val="00CE217D"/>
    <w:rsid w:val="00CE228A"/>
    <w:rsid w:val="00CE26BB"/>
    <w:rsid w:val="00CE28FF"/>
    <w:rsid w:val="00CE3A70"/>
    <w:rsid w:val="00CE3B32"/>
    <w:rsid w:val="00CE4060"/>
    <w:rsid w:val="00CE429A"/>
    <w:rsid w:val="00CE4A24"/>
    <w:rsid w:val="00CE4ADE"/>
    <w:rsid w:val="00CE5027"/>
    <w:rsid w:val="00CE502A"/>
    <w:rsid w:val="00CE5655"/>
    <w:rsid w:val="00CE5D96"/>
    <w:rsid w:val="00CE5E36"/>
    <w:rsid w:val="00CE613B"/>
    <w:rsid w:val="00CE624D"/>
    <w:rsid w:val="00CE7403"/>
    <w:rsid w:val="00CE7532"/>
    <w:rsid w:val="00CF0046"/>
    <w:rsid w:val="00CF0826"/>
    <w:rsid w:val="00CF0D8A"/>
    <w:rsid w:val="00CF0EDE"/>
    <w:rsid w:val="00CF125E"/>
    <w:rsid w:val="00CF14E0"/>
    <w:rsid w:val="00CF1C44"/>
    <w:rsid w:val="00CF267F"/>
    <w:rsid w:val="00CF2DED"/>
    <w:rsid w:val="00CF3228"/>
    <w:rsid w:val="00CF34A7"/>
    <w:rsid w:val="00CF51CB"/>
    <w:rsid w:val="00CF5BC3"/>
    <w:rsid w:val="00CF6762"/>
    <w:rsid w:val="00CF7863"/>
    <w:rsid w:val="00CF7DA0"/>
    <w:rsid w:val="00D00DD4"/>
    <w:rsid w:val="00D01995"/>
    <w:rsid w:val="00D01A63"/>
    <w:rsid w:val="00D01C8B"/>
    <w:rsid w:val="00D02DF4"/>
    <w:rsid w:val="00D0312C"/>
    <w:rsid w:val="00D035C2"/>
    <w:rsid w:val="00D0365E"/>
    <w:rsid w:val="00D04614"/>
    <w:rsid w:val="00D05854"/>
    <w:rsid w:val="00D060F0"/>
    <w:rsid w:val="00D06CAB"/>
    <w:rsid w:val="00D0724F"/>
    <w:rsid w:val="00D07612"/>
    <w:rsid w:val="00D0786B"/>
    <w:rsid w:val="00D07A7C"/>
    <w:rsid w:val="00D102AC"/>
    <w:rsid w:val="00D10B93"/>
    <w:rsid w:val="00D10F21"/>
    <w:rsid w:val="00D1141E"/>
    <w:rsid w:val="00D125C8"/>
    <w:rsid w:val="00D12D87"/>
    <w:rsid w:val="00D12E88"/>
    <w:rsid w:val="00D135B2"/>
    <w:rsid w:val="00D14149"/>
    <w:rsid w:val="00D14872"/>
    <w:rsid w:val="00D14D45"/>
    <w:rsid w:val="00D14FF3"/>
    <w:rsid w:val="00D16673"/>
    <w:rsid w:val="00D16C2A"/>
    <w:rsid w:val="00D16CC7"/>
    <w:rsid w:val="00D1723F"/>
    <w:rsid w:val="00D17E15"/>
    <w:rsid w:val="00D2029A"/>
    <w:rsid w:val="00D21402"/>
    <w:rsid w:val="00D21583"/>
    <w:rsid w:val="00D217E2"/>
    <w:rsid w:val="00D2194F"/>
    <w:rsid w:val="00D219BE"/>
    <w:rsid w:val="00D21FA6"/>
    <w:rsid w:val="00D2253D"/>
    <w:rsid w:val="00D2276B"/>
    <w:rsid w:val="00D23614"/>
    <w:rsid w:val="00D24016"/>
    <w:rsid w:val="00D2410D"/>
    <w:rsid w:val="00D24752"/>
    <w:rsid w:val="00D25295"/>
    <w:rsid w:val="00D26A02"/>
    <w:rsid w:val="00D26B64"/>
    <w:rsid w:val="00D26E39"/>
    <w:rsid w:val="00D271C1"/>
    <w:rsid w:val="00D2764D"/>
    <w:rsid w:val="00D3019D"/>
    <w:rsid w:val="00D3087D"/>
    <w:rsid w:val="00D30AA4"/>
    <w:rsid w:val="00D30CE5"/>
    <w:rsid w:val="00D30D26"/>
    <w:rsid w:val="00D312F9"/>
    <w:rsid w:val="00D31409"/>
    <w:rsid w:val="00D319F4"/>
    <w:rsid w:val="00D31DC1"/>
    <w:rsid w:val="00D32404"/>
    <w:rsid w:val="00D325A5"/>
    <w:rsid w:val="00D32809"/>
    <w:rsid w:val="00D32C83"/>
    <w:rsid w:val="00D33387"/>
    <w:rsid w:val="00D339FD"/>
    <w:rsid w:val="00D34450"/>
    <w:rsid w:val="00D357D7"/>
    <w:rsid w:val="00D35996"/>
    <w:rsid w:val="00D35C90"/>
    <w:rsid w:val="00D3647A"/>
    <w:rsid w:val="00D3674A"/>
    <w:rsid w:val="00D40383"/>
    <w:rsid w:val="00D404B8"/>
    <w:rsid w:val="00D4075D"/>
    <w:rsid w:val="00D4085D"/>
    <w:rsid w:val="00D40915"/>
    <w:rsid w:val="00D40F1E"/>
    <w:rsid w:val="00D4131E"/>
    <w:rsid w:val="00D41993"/>
    <w:rsid w:val="00D41B74"/>
    <w:rsid w:val="00D428F4"/>
    <w:rsid w:val="00D42B27"/>
    <w:rsid w:val="00D42F90"/>
    <w:rsid w:val="00D43327"/>
    <w:rsid w:val="00D434F3"/>
    <w:rsid w:val="00D43F45"/>
    <w:rsid w:val="00D440F9"/>
    <w:rsid w:val="00D44263"/>
    <w:rsid w:val="00D44624"/>
    <w:rsid w:val="00D44A6C"/>
    <w:rsid w:val="00D45283"/>
    <w:rsid w:val="00D45B06"/>
    <w:rsid w:val="00D46384"/>
    <w:rsid w:val="00D466BE"/>
    <w:rsid w:val="00D46E83"/>
    <w:rsid w:val="00D4714C"/>
    <w:rsid w:val="00D47227"/>
    <w:rsid w:val="00D500CF"/>
    <w:rsid w:val="00D51386"/>
    <w:rsid w:val="00D513B0"/>
    <w:rsid w:val="00D5180C"/>
    <w:rsid w:val="00D518FF"/>
    <w:rsid w:val="00D52626"/>
    <w:rsid w:val="00D52914"/>
    <w:rsid w:val="00D52E96"/>
    <w:rsid w:val="00D53141"/>
    <w:rsid w:val="00D536EC"/>
    <w:rsid w:val="00D53B72"/>
    <w:rsid w:val="00D53C7F"/>
    <w:rsid w:val="00D541CF"/>
    <w:rsid w:val="00D5447A"/>
    <w:rsid w:val="00D5485B"/>
    <w:rsid w:val="00D554F9"/>
    <w:rsid w:val="00D55597"/>
    <w:rsid w:val="00D56469"/>
    <w:rsid w:val="00D56CA1"/>
    <w:rsid w:val="00D57346"/>
    <w:rsid w:val="00D603E2"/>
    <w:rsid w:val="00D61911"/>
    <w:rsid w:val="00D61916"/>
    <w:rsid w:val="00D61DF8"/>
    <w:rsid w:val="00D62258"/>
    <w:rsid w:val="00D625A7"/>
    <w:rsid w:val="00D6290B"/>
    <w:rsid w:val="00D63730"/>
    <w:rsid w:val="00D6536D"/>
    <w:rsid w:val="00D654E6"/>
    <w:rsid w:val="00D6566B"/>
    <w:rsid w:val="00D657C9"/>
    <w:rsid w:val="00D65BCC"/>
    <w:rsid w:val="00D66178"/>
    <w:rsid w:val="00D663CA"/>
    <w:rsid w:val="00D664F5"/>
    <w:rsid w:val="00D66638"/>
    <w:rsid w:val="00D677F9"/>
    <w:rsid w:val="00D679E8"/>
    <w:rsid w:val="00D70115"/>
    <w:rsid w:val="00D702F1"/>
    <w:rsid w:val="00D70433"/>
    <w:rsid w:val="00D70675"/>
    <w:rsid w:val="00D70BF0"/>
    <w:rsid w:val="00D7126E"/>
    <w:rsid w:val="00D71BD7"/>
    <w:rsid w:val="00D71D2C"/>
    <w:rsid w:val="00D71DB5"/>
    <w:rsid w:val="00D71F65"/>
    <w:rsid w:val="00D72796"/>
    <w:rsid w:val="00D729FA"/>
    <w:rsid w:val="00D7336A"/>
    <w:rsid w:val="00D73591"/>
    <w:rsid w:val="00D73E11"/>
    <w:rsid w:val="00D73EAE"/>
    <w:rsid w:val="00D75105"/>
    <w:rsid w:val="00D753C5"/>
    <w:rsid w:val="00D757F6"/>
    <w:rsid w:val="00D760CA"/>
    <w:rsid w:val="00D765C6"/>
    <w:rsid w:val="00D76DD1"/>
    <w:rsid w:val="00D770F9"/>
    <w:rsid w:val="00D7765A"/>
    <w:rsid w:val="00D77D0E"/>
    <w:rsid w:val="00D802FC"/>
    <w:rsid w:val="00D80C81"/>
    <w:rsid w:val="00D80F5B"/>
    <w:rsid w:val="00D8213C"/>
    <w:rsid w:val="00D82752"/>
    <w:rsid w:val="00D82945"/>
    <w:rsid w:val="00D82C2F"/>
    <w:rsid w:val="00D8308B"/>
    <w:rsid w:val="00D831A3"/>
    <w:rsid w:val="00D834DC"/>
    <w:rsid w:val="00D83A19"/>
    <w:rsid w:val="00D83C43"/>
    <w:rsid w:val="00D8492F"/>
    <w:rsid w:val="00D84CD4"/>
    <w:rsid w:val="00D84F8C"/>
    <w:rsid w:val="00D8532B"/>
    <w:rsid w:val="00D85360"/>
    <w:rsid w:val="00D85463"/>
    <w:rsid w:val="00D867B0"/>
    <w:rsid w:val="00D86873"/>
    <w:rsid w:val="00D86EC4"/>
    <w:rsid w:val="00D87A05"/>
    <w:rsid w:val="00D87AA9"/>
    <w:rsid w:val="00D87B28"/>
    <w:rsid w:val="00D87D6E"/>
    <w:rsid w:val="00D9013E"/>
    <w:rsid w:val="00D9108D"/>
    <w:rsid w:val="00D91611"/>
    <w:rsid w:val="00D91817"/>
    <w:rsid w:val="00D92ADB"/>
    <w:rsid w:val="00D92BD1"/>
    <w:rsid w:val="00D93227"/>
    <w:rsid w:val="00D932DE"/>
    <w:rsid w:val="00D9416E"/>
    <w:rsid w:val="00D9492A"/>
    <w:rsid w:val="00D94A0D"/>
    <w:rsid w:val="00D94A71"/>
    <w:rsid w:val="00D95328"/>
    <w:rsid w:val="00D95651"/>
    <w:rsid w:val="00D9596F"/>
    <w:rsid w:val="00D95F41"/>
    <w:rsid w:val="00D9690F"/>
    <w:rsid w:val="00D96EBB"/>
    <w:rsid w:val="00D973A5"/>
    <w:rsid w:val="00D97514"/>
    <w:rsid w:val="00D977D5"/>
    <w:rsid w:val="00D97C9E"/>
    <w:rsid w:val="00DA0AE3"/>
    <w:rsid w:val="00DA0E6A"/>
    <w:rsid w:val="00DA1957"/>
    <w:rsid w:val="00DA1D27"/>
    <w:rsid w:val="00DA1F00"/>
    <w:rsid w:val="00DA205D"/>
    <w:rsid w:val="00DA222B"/>
    <w:rsid w:val="00DA3C8A"/>
    <w:rsid w:val="00DA5353"/>
    <w:rsid w:val="00DA56F6"/>
    <w:rsid w:val="00DA57B5"/>
    <w:rsid w:val="00DA7233"/>
    <w:rsid w:val="00DA73D7"/>
    <w:rsid w:val="00DB2248"/>
    <w:rsid w:val="00DB2B34"/>
    <w:rsid w:val="00DB35C8"/>
    <w:rsid w:val="00DB3652"/>
    <w:rsid w:val="00DB4088"/>
    <w:rsid w:val="00DB4217"/>
    <w:rsid w:val="00DB465D"/>
    <w:rsid w:val="00DB47F3"/>
    <w:rsid w:val="00DB4B49"/>
    <w:rsid w:val="00DB54A7"/>
    <w:rsid w:val="00DB5C04"/>
    <w:rsid w:val="00DB5EF5"/>
    <w:rsid w:val="00DB766E"/>
    <w:rsid w:val="00DB791E"/>
    <w:rsid w:val="00DB7C21"/>
    <w:rsid w:val="00DC01BD"/>
    <w:rsid w:val="00DC065A"/>
    <w:rsid w:val="00DC0B4B"/>
    <w:rsid w:val="00DC0FFD"/>
    <w:rsid w:val="00DC1F3A"/>
    <w:rsid w:val="00DC245B"/>
    <w:rsid w:val="00DC26BA"/>
    <w:rsid w:val="00DC3A98"/>
    <w:rsid w:val="00DC3C76"/>
    <w:rsid w:val="00DC459E"/>
    <w:rsid w:val="00DC4D62"/>
    <w:rsid w:val="00DC50E5"/>
    <w:rsid w:val="00DC5A2D"/>
    <w:rsid w:val="00DC5B0B"/>
    <w:rsid w:val="00DC5E49"/>
    <w:rsid w:val="00DC652A"/>
    <w:rsid w:val="00DC67E9"/>
    <w:rsid w:val="00DC70E2"/>
    <w:rsid w:val="00DC76C7"/>
    <w:rsid w:val="00DC7E41"/>
    <w:rsid w:val="00DC7FD1"/>
    <w:rsid w:val="00DD02A0"/>
    <w:rsid w:val="00DD0399"/>
    <w:rsid w:val="00DD06FC"/>
    <w:rsid w:val="00DD15BA"/>
    <w:rsid w:val="00DD1F17"/>
    <w:rsid w:val="00DD2051"/>
    <w:rsid w:val="00DD2733"/>
    <w:rsid w:val="00DD4BFD"/>
    <w:rsid w:val="00DD4D8A"/>
    <w:rsid w:val="00DD579F"/>
    <w:rsid w:val="00DD5AE8"/>
    <w:rsid w:val="00DD5B7E"/>
    <w:rsid w:val="00DD6608"/>
    <w:rsid w:val="00DD6B4F"/>
    <w:rsid w:val="00DD6E51"/>
    <w:rsid w:val="00DD6F07"/>
    <w:rsid w:val="00DD7012"/>
    <w:rsid w:val="00DD702E"/>
    <w:rsid w:val="00DD7091"/>
    <w:rsid w:val="00DD7292"/>
    <w:rsid w:val="00DE0F3F"/>
    <w:rsid w:val="00DE112B"/>
    <w:rsid w:val="00DE1C85"/>
    <w:rsid w:val="00DE203E"/>
    <w:rsid w:val="00DE24DA"/>
    <w:rsid w:val="00DE2F0B"/>
    <w:rsid w:val="00DE3067"/>
    <w:rsid w:val="00DE311A"/>
    <w:rsid w:val="00DE3658"/>
    <w:rsid w:val="00DE36B1"/>
    <w:rsid w:val="00DE36EB"/>
    <w:rsid w:val="00DE3CF9"/>
    <w:rsid w:val="00DE3D48"/>
    <w:rsid w:val="00DE465C"/>
    <w:rsid w:val="00DE4860"/>
    <w:rsid w:val="00DE4A6C"/>
    <w:rsid w:val="00DE4FD1"/>
    <w:rsid w:val="00DE5310"/>
    <w:rsid w:val="00DE5786"/>
    <w:rsid w:val="00DE58EE"/>
    <w:rsid w:val="00DE5D76"/>
    <w:rsid w:val="00DE617C"/>
    <w:rsid w:val="00DE64C1"/>
    <w:rsid w:val="00DF006E"/>
    <w:rsid w:val="00DF023F"/>
    <w:rsid w:val="00DF05E8"/>
    <w:rsid w:val="00DF05FF"/>
    <w:rsid w:val="00DF0F3D"/>
    <w:rsid w:val="00DF1120"/>
    <w:rsid w:val="00DF139F"/>
    <w:rsid w:val="00DF1956"/>
    <w:rsid w:val="00DF1ED6"/>
    <w:rsid w:val="00DF21FA"/>
    <w:rsid w:val="00DF28C1"/>
    <w:rsid w:val="00DF2A4D"/>
    <w:rsid w:val="00DF2AB5"/>
    <w:rsid w:val="00DF33EF"/>
    <w:rsid w:val="00DF48C7"/>
    <w:rsid w:val="00DF4C68"/>
    <w:rsid w:val="00DF5261"/>
    <w:rsid w:val="00DF593A"/>
    <w:rsid w:val="00DF5BAB"/>
    <w:rsid w:val="00DF6A69"/>
    <w:rsid w:val="00DF6F21"/>
    <w:rsid w:val="00DF732A"/>
    <w:rsid w:val="00DF7EF9"/>
    <w:rsid w:val="00DF7FDC"/>
    <w:rsid w:val="00E00360"/>
    <w:rsid w:val="00E00538"/>
    <w:rsid w:val="00E008DB"/>
    <w:rsid w:val="00E00D8E"/>
    <w:rsid w:val="00E01335"/>
    <w:rsid w:val="00E0204A"/>
    <w:rsid w:val="00E02231"/>
    <w:rsid w:val="00E024B9"/>
    <w:rsid w:val="00E02513"/>
    <w:rsid w:val="00E0256E"/>
    <w:rsid w:val="00E03177"/>
    <w:rsid w:val="00E03627"/>
    <w:rsid w:val="00E03821"/>
    <w:rsid w:val="00E03C0F"/>
    <w:rsid w:val="00E041B6"/>
    <w:rsid w:val="00E05C5B"/>
    <w:rsid w:val="00E05DE5"/>
    <w:rsid w:val="00E05E03"/>
    <w:rsid w:val="00E05E4A"/>
    <w:rsid w:val="00E06096"/>
    <w:rsid w:val="00E06C52"/>
    <w:rsid w:val="00E0738E"/>
    <w:rsid w:val="00E076E5"/>
    <w:rsid w:val="00E07790"/>
    <w:rsid w:val="00E10555"/>
    <w:rsid w:val="00E10608"/>
    <w:rsid w:val="00E10810"/>
    <w:rsid w:val="00E11087"/>
    <w:rsid w:val="00E116A1"/>
    <w:rsid w:val="00E11B18"/>
    <w:rsid w:val="00E12426"/>
    <w:rsid w:val="00E1256A"/>
    <w:rsid w:val="00E125C0"/>
    <w:rsid w:val="00E12A85"/>
    <w:rsid w:val="00E1346D"/>
    <w:rsid w:val="00E13BEF"/>
    <w:rsid w:val="00E13E46"/>
    <w:rsid w:val="00E13E95"/>
    <w:rsid w:val="00E15B70"/>
    <w:rsid w:val="00E15C6C"/>
    <w:rsid w:val="00E1610A"/>
    <w:rsid w:val="00E1620A"/>
    <w:rsid w:val="00E16E0A"/>
    <w:rsid w:val="00E16E8A"/>
    <w:rsid w:val="00E176B9"/>
    <w:rsid w:val="00E17D0B"/>
    <w:rsid w:val="00E204BB"/>
    <w:rsid w:val="00E20501"/>
    <w:rsid w:val="00E20D2D"/>
    <w:rsid w:val="00E20D9F"/>
    <w:rsid w:val="00E20E72"/>
    <w:rsid w:val="00E21315"/>
    <w:rsid w:val="00E21514"/>
    <w:rsid w:val="00E2177F"/>
    <w:rsid w:val="00E21871"/>
    <w:rsid w:val="00E21E85"/>
    <w:rsid w:val="00E220BC"/>
    <w:rsid w:val="00E23014"/>
    <w:rsid w:val="00E238CA"/>
    <w:rsid w:val="00E23C64"/>
    <w:rsid w:val="00E24006"/>
    <w:rsid w:val="00E245A3"/>
    <w:rsid w:val="00E24D08"/>
    <w:rsid w:val="00E2590E"/>
    <w:rsid w:val="00E26457"/>
    <w:rsid w:val="00E2667E"/>
    <w:rsid w:val="00E266A2"/>
    <w:rsid w:val="00E2719A"/>
    <w:rsid w:val="00E2778E"/>
    <w:rsid w:val="00E27DFE"/>
    <w:rsid w:val="00E27E55"/>
    <w:rsid w:val="00E30F1F"/>
    <w:rsid w:val="00E31096"/>
    <w:rsid w:val="00E32100"/>
    <w:rsid w:val="00E32840"/>
    <w:rsid w:val="00E331E7"/>
    <w:rsid w:val="00E33345"/>
    <w:rsid w:val="00E336F4"/>
    <w:rsid w:val="00E33938"/>
    <w:rsid w:val="00E33B0B"/>
    <w:rsid w:val="00E33F03"/>
    <w:rsid w:val="00E3405F"/>
    <w:rsid w:val="00E340D1"/>
    <w:rsid w:val="00E34547"/>
    <w:rsid w:val="00E34D25"/>
    <w:rsid w:val="00E354D8"/>
    <w:rsid w:val="00E3580F"/>
    <w:rsid w:val="00E36242"/>
    <w:rsid w:val="00E3653D"/>
    <w:rsid w:val="00E3658A"/>
    <w:rsid w:val="00E3706A"/>
    <w:rsid w:val="00E37270"/>
    <w:rsid w:val="00E3738B"/>
    <w:rsid w:val="00E37446"/>
    <w:rsid w:val="00E37730"/>
    <w:rsid w:val="00E37931"/>
    <w:rsid w:val="00E4099E"/>
    <w:rsid w:val="00E41267"/>
    <w:rsid w:val="00E41BEA"/>
    <w:rsid w:val="00E41E43"/>
    <w:rsid w:val="00E42136"/>
    <w:rsid w:val="00E42AE3"/>
    <w:rsid w:val="00E42E00"/>
    <w:rsid w:val="00E42E31"/>
    <w:rsid w:val="00E43F39"/>
    <w:rsid w:val="00E44440"/>
    <w:rsid w:val="00E44E37"/>
    <w:rsid w:val="00E4560F"/>
    <w:rsid w:val="00E456AA"/>
    <w:rsid w:val="00E45AD6"/>
    <w:rsid w:val="00E45E1D"/>
    <w:rsid w:val="00E46200"/>
    <w:rsid w:val="00E46685"/>
    <w:rsid w:val="00E475D2"/>
    <w:rsid w:val="00E47C86"/>
    <w:rsid w:val="00E50D96"/>
    <w:rsid w:val="00E51038"/>
    <w:rsid w:val="00E51764"/>
    <w:rsid w:val="00E5201F"/>
    <w:rsid w:val="00E52263"/>
    <w:rsid w:val="00E522D8"/>
    <w:rsid w:val="00E533E9"/>
    <w:rsid w:val="00E53A7B"/>
    <w:rsid w:val="00E53B1B"/>
    <w:rsid w:val="00E5413D"/>
    <w:rsid w:val="00E54192"/>
    <w:rsid w:val="00E54453"/>
    <w:rsid w:val="00E54774"/>
    <w:rsid w:val="00E5487F"/>
    <w:rsid w:val="00E5499A"/>
    <w:rsid w:val="00E549D7"/>
    <w:rsid w:val="00E54FBA"/>
    <w:rsid w:val="00E5533C"/>
    <w:rsid w:val="00E5535D"/>
    <w:rsid w:val="00E5712A"/>
    <w:rsid w:val="00E57388"/>
    <w:rsid w:val="00E574FE"/>
    <w:rsid w:val="00E5760F"/>
    <w:rsid w:val="00E579FF"/>
    <w:rsid w:val="00E601C8"/>
    <w:rsid w:val="00E60B6E"/>
    <w:rsid w:val="00E60D3C"/>
    <w:rsid w:val="00E60E19"/>
    <w:rsid w:val="00E61A00"/>
    <w:rsid w:val="00E61EC5"/>
    <w:rsid w:val="00E62BCE"/>
    <w:rsid w:val="00E630AF"/>
    <w:rsid w:val="00E64683"/>
    <w:rsid w:val="00E64ABA"/>
    <w:rsid w:val="00E65E58"/>
    <w:rsid w:val="00E65EE4"/>
    <w:rsid w:val="00E65F36"/>
    <w:rsid w:val="00E665E9"/>
    <w:rsid w:val="00E6698B"/>
    <w:rsid w:val="00E66B9C"/>
    <w:rsid w:val="00E676E5"/>
    <w:rsid w:val="00E677E8"/>
    <w:rsid w:val="00E702E2"/>
    <w:rsid w:val="00E703DE"/>
    <w:rsid w:val="00E70909"/>
    <w:rsid w:val="00E70F69"/>
    <w:rsid w:val="00E7195E"/>
    <w:rsid w:val="00E71BB3"/>
    <w:rsid w:val="00E71E8C"/>
    <w:rsid w:val="00E71FE5"/>
    <w:rsid w:val="00E72BB5"/>
    <w:rsid w:val="00E72E3A"/>
    <w:rsid w:val="00E72F4A"/>
    <w:rsid w:val="00E736E3"/>
    <w:rsid w:val="00E7467D"/>
    <w:rsid w:val="00E7474B"/>
    <w:rsid w:val="00E747F1"/>
    <w:rsid w:val="00E75901"/>
    <w:rsid w:val="00E75F2A"/>
    <w:rsid w:val="00E76FEA"/>
    <w:rsid w:val="00E77466"/>
    <w:rsid w:val="00E777A4"/>
    <w:rsid w:val="00E8005B"/>
    <w:rsid w:val="00E80517"/>
    <w:rsid w:val="00E81213"/>
    <w:rsid w:val="00E813B0"/>
    <w:rsid w:val="00E8141D"/>
    <w:rsid w:val="00E82115"/>
    <w:rsid w:val="00E832A1"/>
    <w:rsid w:val="00E832FF"/>
    <w:rsid w:val="00E83448"/>
    <w:rsid w:val="00E836CB"/>
    <w:rsid w:val="00E838D3"/>
    <w:rsid w:val="00E83C27"/>
    <w:rsid w:val="00E8550D"/>
    <w:rsid w:val="00E863A4"/>
    <w:rsid w:val="00E863B3"/>
    <w:rsid w:val="00E86783"/>
    <w:rsid w:val="00E87CC6"/>
    <w:rsid w:val="00E90483"/>
    <w:rsid w:val="00E90817"/>
    <w:rsid w:val="00E90BF8"/>
    <w:rsid w:val="00E91D18"/>
    <w:rsid w:val="00E91D9D"/>
    <w:rsid w:val="00E9274F"/>
    <w:rsid w:val="00E928AC"/>
    <w:rsid w:val="00E92C8A"/>
    <w:rsid w:val="00E92D65"/>
    <w:rsid w:val="00E92DAA"/>
    <w:rsid w:val="00E93078"/>
    <w:rsid w:val="00E9346D"/>
    <w:rsid w:val="00E93490"/>
    <w:rsid w:val="00E93516"/>
    <w:rsid w:val="00E93C0E"/>
    <w:rsid w:val="00E946E6"/>
    <w:rsid w:val="00E94780"/>
    <w:rsid w:val="00E94F94"/>
    <w:rsid w:val="00E954EC"/>
    <w:rsid w:val="00E95E3F"/>
    <w:rsid w:val="00E9607C"/>
    <w:rsid w:val="00E963DB"/>
    <w:rsid w:val="00E966BF"/>
    <w:rsid w:val="00E96F31"/>
    <w:rsid w:val="00E97881"/>
    <w:rsid w:val="00E9792B"/>
    <w:rsid w:val="00EA03CE"/>
    <w:rsid w:val="00EA063A"/>
    <w:rsid w:val="00EA10DF"/>
    <w:rsid w:val="00EA1276"/>
    <w:rsid w:val="00EA1EE1"/>
    <w:rsid w:val="00EA1F30"/>
    <w:rsid w:val="00EA1FB3"/>
    <w:rsid w:val="00EA21BF"/>
    <w:rsid w:val="00EA3642"/>
    <w:rsid w:val="00EA3D9F"/>
    <w:rsid w:val="00EA45BD"/>
    <w:rsid w:val="00EA45D0"/>
    <w:rsid w:val="00EA4814"/>
    <w:rsid w:val="00EA499A"/>
    <w:rsid w:val="00EA4A02"/>
    <w:rsid w:val="00EA594C"/>
    <w:rsid w:val="00EA5FAD"/>
    <w:rsid w:val="00EA6E24"/>
    <w:rsid w:val="00EA707D"/>
    <w:rsid w:val="00EA71FB"/>
    <w:rsid w:val="00EA7329"/>
    <w:rsid w:val="00EA73FF"/>
    <w:rsid w:val="00EA7A1C"/>
    <w:rsid w:val="00EB0619"/>
    <w:rsid w:val="00EB0BF0"/>
    <w:rsid w:val="00EB0D06"/>
    <w:rsid w:val="00EB0E9B"/>
    <w:rsid w:val="00EB1800"/>
    <w:rsid w:val="00EB1A93"/>
    <w:rsid w:val="00EB29D0"/>
    <w:rsid w:val="00EB2F96"/>
    <w:rsid w:val="00EB358A"/>
    <w:rsid w:val="00EB384F"/>
    <w:rsid w:val="00EB3C58"/>
    <w:rsid w:val="00EB433F"/>
    <w:rsid w:val="00EB4538"/>
    <w:rsid w:val="00EB4809"/>
    <w:rsid w:val="00EB4AA1"/>
    <w:rsid w:val="00EB4BD1"/>
    <w:rsid w:val="00EB4FF2"/>
    <w:rsid w:val="00EB5170"/>
    <w:rsid w:val="00EB5AEA"/>
    <w:rsid w:val="00EB6071"/>
    <w:rsid w:val="00EB6973"/>
    <w:rsid w:val="00EB6AD4"/>
    <w:rsid w:val="00EB6FAA"/>
    <w:rsid w:val="00EB7EDA"/>
    <w:rsid w:val="00EC03D1"/>
    <w:rsid w:val="00EC044A"/>
    <w:rsid w:val="00EC066B"/>
    <w:rsid w:val="00EC07D0"/>
    <w:rsid w:val="00EC0A75"/>
    <w:rsid w:val="00EC0B8A"/>
    <w:rsid w:val="00EC0C09"/>
    <w:rsid w:val="00EC157F"/>
    <w:rsid w:val="00EC1849"/>
    <w:rsid w:val="00EC1BDE"/>
    <w:rsid w:val="00EC210D"/>
    <w:rsid w:val="00EC219F"/>
    <w:rsid w:val="00EC2282"/>
    <w:rsid w:val="00EC2AD5"/>
    <w:rsid w:val="00EC2AD6"/>
    <w:rsid w:val="00EC2D94"/>
    <w:rsid w:val="00EC3226"/>
    <w:rsid w:val="00EC384A"/>
    <w:rsid w:val="00EC3BED"/>
    <w:rsid w:val="00EC3DB2"/>
    <w:rsid w:val="00EC3E78"/>
    <w:rsid w:val="00EC4902"/>
    <w:rsid w:val="00EC5206"/>
    <w:rsid w:val="00EC5358"/>
    <w:rsid w:val="00EC535B"/>
    <w:rsid w:val="00EC5D22"/>
    <w:rsid w:val="00EC6997"/>
    <w:rsid w:val="00ED0175"/>
    <w:rsid w:val="00ED0AC8"/>
    <w:rsid w:val="00ED0DB5"/>
    <w:rsid w:val="00ED124C"/>
    <w:rsid w:val="00ED209E"/>
    <w:rsid w:val="00ED211A"/>
    <w:rsid w:val="00ED2AC4"/>
    <w:rsid w:val="00ED2F1F"/>
    <w:rsid w:val="00ED3389"/>
    <w:rsid w:val="00ED38EE"/>
    <w:rsid w:val="00ED3D2C"/>
    <w:rsid w:val="00ED3DE7"/>
    <w:rsid w:val="00ED3EFA"/>
    <w:rsid w:val="00ED4036"/>
    <w:rsid w:val="00ED4465"/>
    <w:rsid w:val="00ED4601"/>
    <w:rsid w:val="00ED4BB0"/>
    <w:rsid w:val="00ED4D09"/>
    <w:rsid w:val="00ED52E5"/>
    <w:rsid w:val="00ED5FE4"/>
    <w:rsid w:val="00ED6112"/>
    <w:rsid w:val="00ED656C"/>
    <w:rsid w:val="00ED742A"/>
    <w:rsid w:val="00ED7B94"/>
    <w:rsid w:val="00EE0281"/>
    <w:rsid w:val="00EE041B"/>
    <w:rsid w:val="00EE0986"/>
    <w:rsid w:val="00EE0B23"/>
    <w:rsid w:val="00EE4208"/>
    <w:rsid w:val="00EE4C45"/>
    <w:rsid w:val="00EE51B1"/>
    <w:rsid w:val="00EE57AC"/>
    <w:rsid w:val="00EE6B30"/>
    <w:rsid w:val="00EE6BFB"/>
    <w:rsid w:val="00EE74C4"/>
    <w:rsid w:val="00EE7894"/>
    <w:rsid w:val="00EE7D29"/>
    <w:rsid w:val="00EF0504"/>
    <w:rsid w:val="00EF1147"/>
    <w:rsid w:val="00EF13CF"/>
    <w:rsid w:val="00EF1469"/>
    <w:rsid w:val="00EF1E00"/>
    <w:rsid w:val="00EF220F"/>
    <w:rsid w:val="00EF2657"/>
    <w:rsid w:val="00EF2B03"/>
    <w:rsid w:val="00EF33DE"/>
    <w:rsid w:val="00EF387B"/>
    <w:rsid w:val="00EF40D4"/>
    <w:rsid w:val="00EF416A"/>
    <w:rsid w:val="00EF4258"/>
    <w:rsid w:val="00EF4553"/>
    <w:rsid w:val="00EF45D2"/>
    <w:rsid w:val="00EF4836"/>
    <w:rsid w:val="00EF6421"/>
    <w:rsid w:val="00EF6486"/>
    <w:rsid w:val="00EF6659"/>
    <w:rsid w:val="00EF6AC2"/>
    <w:rsid w:val="00EF6C74"/>
    <w:rsid w:val="00EF6E43"/>
    <w:rsid w:val="00EF72D4"/>
    <w:rsid w:val="00EF7930"/>
    <w:rsid w:val="00EF7EA4"/>
    <w:rsid w:val="00EF7FCC"/>
    <w:rsid w:val="00F00230"/>
    <w:rsid w:val="00F00F71"/>
    <w:rsid w:val="00F00F97"/>
    <w:rsid w:val="00F0100F"/>
    <w:rsid w:val="00F0192D"/>
    <w:rsid w:val="00F01A30"/>
    <w:rsid w:val="00F01D2A"/>
    <w:rsid w:val="00F02D72"/>
    <w:rsid w:val="00F02E87"/>
    <w:rsid w:val="00F03250"/>
    <w:rsid w:val="00F03B05"/>
    <w:rsid w:val="00F03B31"/>
    <w:rsid w:val="00F03B77"/>
    <w:rsid w:val="00F03FF9"/>
    <w:rsid w:val="00F0459C"/>
    <w:rsid w:val="00F04791"/>
    <w:rsid w:val="00F04813"/>
    <w:rsid w:val="00F0623B"/>
    <w:rsid w:val="00F07325"/>
    <w:rsid w:val="00F07365"/>
    <w:rsid w:val="00F0752D"/>
    <w:rsid w:val="00F1060E"/>
    <w:rsid w:val="00F10FD2"/>
    <w:rsid w:val="00F11553"/>
    <w:rsid w:val="00F11A23"/>
    <w:rsid w:val="00F11DDE"/>
    <w:rsid w:val="00F120E6"/>
    <w:rsid w:val="00F1233B"/>
    <w:rsid w:val="00F12ACD"/>
    <w:rsid w:val="00F14347"/>
    <w:rsid w:val="00F14A39"/>
    <w:rsid w:val="00F15279"/>
    <w:rsid w:val="00F15417"/>
    <w:rsid w:val="00F1564A"/>
    <w:rsid w:val="00F156D2"/>
    <w:rsid w:val="00F15791"/>
    <w:rsid w:val="00F15C35"/>
    <w:rsid w:val="00F16589"/>
    <w:rsid w:val="00F17323"/>
    <w:rsid w:val="00F17960"/>
    <w:rsid w:val="00F17FE2"/>
    <w:rsid w:val="00F2026F"/>
    <w:rsid w:val="00F2068C"/>
    <w:rsid w:val="00F2069A"/>
    <w:rsid w:val="00F20F00"/>
    <w:rsid w:val="00F2154C"/>
    <w:rsid w:val="00F21552"/>
    <w:rsid w:val="00F234AB"/>
    <w:rsid w:val="00F23541"/>
    <w:rsid w:val="00F238DD"/>
    <w:rsid w:val="00F24478"/>
    <w:rsid w:val="00F24D7B"/>
    <w:rsid w:val="00F25E6F"/>
    <w:rsid w:val="00F260F1"/>
    <w:rsid w:val="00F26324"/>
    <w:rsid w:val="00F27658"/>
    <w:rsid w:val="00F27781"/>
    <w:rsid w:val="00F27FEB"/>
    <w:rsid w:val="00F305EF"/>
    <w:rsid w:val="00F308B3"/>
    <w:rsid w:val="00F30C94"/>
    <w:rsid w:val="00F318DD"/>
    <w:rsid w:val="00F318EA"/>
    <w:rsid w:val="00F31DE0"/>
    <w:rsid w:val="00F3245D"/>
    <w:rsid w:val="00F3251C"/>
    <w:rsid w:val="00F326D2"/>
    <w:rsid w:val="00F32773"/>
    <w:rsid w:val="00F32B5B"/>
    <w:rsid w:val="00F32CC9"/>
    <w:rsid w:val="00F32F15"/>
    <w:rsid w:val="00F32F85"/>
    <w:rsid w:val="00F33BD5"/>
    <w:rsid w:val="00F34571"/>
    <w:rsid w:val="00F3462A"/>
    <w:rsid w:val="00F34E70"/>
    <w:rsid w:val="00F35442"/>
    <w:rsid w:val="00F358D4"/>
    <w:rsid w:val="00F35B95"/>
    <w:rsid w:val="00F36F05"/>
    <w:rsid w:val="00F37BAD"/>
    <w:rsid w:val="00F37D19"/>
    <w:rsid w:val="00F37E8B"/>
    <w:rsid w:val="00F4012C"/>
    <w:rsid w:val="00F40547"/>
    <w:rsid w:val="00F40832"/>
    <w:rsid w:val="00F40C51"/>
    <w:rsid w:val="00F41FAC"/>
    <w:rsid w:val="00F42776"/>
    <w:rsid w:val="00F42F0F"/>
    <w:rsid w:val="00F4377A"/>
    <w:rsid w:val="00F446CA"/>
    <w:rsid w:val="00F457A3"/>
    <w:rsid w:val="00F4600C"/>
    <w:rsid w:val="00F46237"/>
    <w:rsid w:val="00F4733D"/>
    <w:rsid w:val="00F47384"/>
    <w:rsid w:val="00F47765"/>
    <w:rsid w:val="00F47E3A"/>
    <w:rsid w:val="00F501C6"/>
    <w:rsid w:val="00F50EA9"/>
    <w:rsid w:val="00F5130A"/>
    <w:rsid w:val="00F51336"/>
    <w:rsid w:val="00F515ED"/>
    <w:rsid w:val="00F523B4"/>
    <w:rsid w:val="00F530D3"/>
    <w:rsid w:val="00F538CC"/>
    <w:rsid w:val="00F540F8"/>
    <w:rsid w:val="00F551AC"/>
    <w:rsid w:val="00F555C6"/>
    <w:rsid w:val="00F56023"/>
    <w:rsid w:val="00F5614F"/>
    <w:rsid w:val="00F56808"/>
    <w:rsid w:val="00F569CF"/>
    <w:rsid w:val="00F577DA"/>
    <w:rsid w:val="00F5797C"/>
    <w:rsid w:val="00F60701"/>
    <w:rsid w:val="00F60B82"/>
    <w:rsid w:val="00F60DF9"/>
    <w:rsid w:val="00F6115A"/>
    <w:rsid w:val="00F61493"/>
    <w:rsid w:val="00F61C39"/>
    <w:rsid w:val="00F626CA"/>
    <w:rsid w:val="00F6270E"/>
    <w:rsid w:val="00F6271B"/>
    <w:rsid w:val="00F62AB4"/>
    <w:rsid w:val="00F630DB"/>
    <w:rsid w:val="00F630EF"/>
    <w:rsid w:val="00F6340E"/>
    <w:rsid w:val="00F6395F"/>
    <w:rsid w:val="00F63D08"/>
    <w:rsid w:val="00F6403E"/>
    <w:rsid w:val="00F64FF5"/>
    <w:rsid w:val="00F655D7"/>
    <w:rsid w:val="00F6628F"/>
    <w:rsid w:val="00F66570"/>
    <w:rsid w:val="00F6683C"/>
    <w:rsid w:val="00F66AD9"/>
    <w:rsid w:val="00F67277"/>
    <w:rsid w:val="00F675D6"/>
    <w:rsid w:val="00F70131"/>
    <w:rsid w:val="00F70DB1"/>
    <w:rsid w:val="00F70E74"/>
    <w:rsid w:val="00F71346"/>
    <w:rsid w:val="00F715F2"/>
    <w:rsid w:val="00F7211B"/>
    <w:rsid w:val="00F722C5"/>
    <w:rsid w:val="00F72C48"/>
    <w:rsid w:val="00F72D83"/>
    <w:rsid w:val="00F730C7"/>
    <w:rsid w:val="00F73845"/>
    <w:rsid w:val="00F74ACB"/>
    <w:rsid w:val="00F75487"/>
    <w:rsid w:val="00F768BA"/>
    <w:rsid w:val="00F76BE5"/>
    <w:rsid w:val="00F76C87"/>
    <w:rsid w:val="00F76DB6"/>
    <w:rsid w:val="00F77CB9"/>
    <w:rsid w:val="00F80210"/>
    <w:rsid w:val="00F80821"/>
    <w:rsid w:val="00F80EDE"/>
    <w:rsid w:val="00F81233"/>
    <w:rsid w:val="00F812BA"/>
    <w:rsid w:val="00F817B9"/>
    <w:rsid w:val="00F81EC6"/>
    <w:rsid w:val="00F824B1"/>
    <w:rsid w:val="00F82B80"/>
    <w:rsid w:val="00F85394"/>
    <w:rsid w:val="00F859CE"/>
    <w:rsid w:val="00F859D4"/>
    <w:rsid w:val="00F85C1C"/>
    <w:rsid w:val="00F85F80"/>
    <w:rsid w:val="00F8625D"/>
    <w:rsid w:val="00F8684A"/>
    <w:rsid w:val="00F86B0D"/>
    <w:rsid w:val="00F87981"/>
    <w:rsid w:val="00F87B19"/>
    <w:rsid w:val="00F904DF"/>
    <w:rsid w:val="00F90CDC"/>
    <w:rsid w:val="00F90F2B"/>
    <w:rsid w:val="00F90FFF"/>
    <w:rsid w:val="00F91441"/>
    <w:rsid w:val="00F9203D"/>
    <w:rsid w:val="00F92192"/>
    <w:rsid w:val="00F92307"/>
    <w:rsid w:val="00F929FF"/>
    <w:rsid w:val="00F92D48"/>
    <w:rsid w:val="00F92E4A"/>
    <w:rsid w:val="00F931F2"/>
    <w:rsid w:val="00F9327F"/>
    <w:rsid w:val="00F933AB"/>
    <w:rsid w:val="00F93BFE"/>
    <w:rsid w:val="00F93E4A"/>
    <w:rsid w:val="00F94041"/>
    <w:rsid w:val="00F9405F"/>
    <w:rsid w:val="00F94124"/>
    <w:rsid w:val="00F94C3D"/>
    <w:rsid w:val="00F9533B"/>
    <w:rsid w:val="00F95AED"/>
    <w:rsid w:val="00F95CAD"/>
    <w:rsid w:val="00F95D26"/>
    <w:rsid w:val="00F95F3A"/>
    <w:rsid w:val="00F960CE"/>
    <w:rsid w:val="00F96253"/>
    <w:rsid w:val="00F96641"/>
    <w:rsid w:val="00F9674A"/>
    <w:rsid w:val="00F979C5"/>
    <w:rsid w:val="00F97A21"/>
    <w:rsid w:val="00F97B57"/>
    <w:rsid w:val="00FA065F"/>
    <w:rsid w:val="00FA0CBF"/>
    <w:rsid w:val="00FA0E45"/>
    <w:rsid w:val="00FA133D"/>
    <w:rsid w:val="00FA165A"/>
    <w:rsid w:val="00FA17DB"/>
    <w:rsid w:val="00FA20DD"/>
    <w:rsid w:val="00FA215D"/>
    <w:rsid w:val="00FA2584"/>
    <w:rsid w:val="00FA2B1A"/>
    <w:rsid w:val="00FA2B3B"/>
    <w:rsid w:val="00FA2D7F"/>
    <w:rsid w:val="00FA2EC0"/>
    <w:rsid w:val="00FA3083"/>
    <w:rsid w:val="00FA3587"/>
    <w:rsid w:val="00FA3CA1"/>
    <w:rsid w:val="00FA4489"/>
    <w:rsid w:val="00FA4957"/>
    <w:rsid w:val="00FA4E87"/>
    <w:rsid w:val="00FA50AC"/>
    <w:rsid w:val="00FA54BF"/>
    <w:rsid w:val="00FA64FD"/>
    <w:rsid w:val="00FA6512"/>
    <w:rsid w:val="00FA655A"/>
    <w:rsid w:val="00FA79B5"/>
    <w:rsid w:val="00FA7C5E"/>
    <w:rsid w:val="00FB01C6"/>
    <w:rsid w:val="00FB0275"/>
    <w:rsid w:val="00FB0791"/>
    <w:rsid w:val="00FB1817"/>
    <w:rsid w:val="00FB1D98"/>
    <w:rsid w:val="00FB2625"/>
    <w:rsid w:val="00FB27BE"/>
    <w:rsid w:val="00FB28A0"/>
    <w:rsid w:val="00FB323D"/>
    <w:rsid w:val="00FB4200"/>
    <w:rsid w:val="00FB42E1"/>
    <w:rsid w:val="00FB50A4"/>
    <w:rsid w:val="00FB5750"/>
    <w:rsid w:val="00FB632F"/>
    <w:rsid w:val="00FB6A2E"/>
    <w:rsid w:val="00FB7444"/>
    <w:rsid w:val="00FB7572"/>
    <w:rsid w:val="00FB779B"/>
    <w:rsid w:val="00FB7DDF"/>
    <w:rsid w:val="00FC011A"/>
    <w:rsid w:val="00FC055C"/>
    <w:rsid w:val="00FC086B"/>
    <w:rsid w:val="00FC0AE3"/>
    <w:rsid w:val="00FC15E8"/>
    <w:rsid w:val="00FC27A8"/>
    <w:rsid w:val="00FC35C8"/>
    <w:rsid w:val="00FC3EC9"/>
    <w:rsid w:val="00FC412B"/>
    <w:rsid w:val="00FC5E39"/>
    <w:rsid w:val="00FC6C1A"/>
    <w:rsid w:val="00FC7104"/>
    <w:rsid w:val="00FC7358"/>
    <w:rsid w:val="00FC7817"/>
    <w:rsid w:val="00FD1408"/>
    <w:rsid w:val="00FD1538"/>
    <w:rsid w:val="00FD1755"/>
    <w:rsid w:val="00FD19D2"/>
    <w:rsid w:val="00FD1B7B"/>
    <w:rsid w:val="00FD2A62"/>
    <w:rsid w:val="00FD3561"/>
    <w:rsid w:val="00FD4437"/>
    <w:rsid w:val="00FD58EB"/>
    <w:rsid w:val="00FD58F6"/>
    <w:rsid w:val="00FD5C35"/>
    <w:rsid w:val="00FD65CD"/>
    <w:rsid w:val="00FD65FB"/>
    <w:rsid w:val="00FD6779"/>
    <w:rsid w:val="00FD67FC"/>
    <w:rsid w:val="00FD6BAC"/>
    <w:rsid w:val="00FD71DD"/>
    <w:rsid w:val="00FD721B"/>
    <w:rsid w:val="00FE030D"/>
    <w:rsid w:val="00FE11FA"/>
    <w:rsid w:val="00FE1497"/>
    <w:rsid w:val="00FE1D13"/>
    <w:rsid w:val="00FE2193"/>
    <w:rsid w:val="00FE26A5"/>
    <w:rsid w:val="00FE2A38"/>
    <w:rsid w:val="00FE347C"/>
    <w:rsid w:val="00FE3ABF"/>
    <w:rsid w:val="00FE4A16"/>
    <w:rsid w:val="00FE4DBD"/>
    <w:rsid w:val="00FE5AA5"/>
    <w:rsid w:val="00FE5B31"/>
    <w:rsid w:val="00FE67AA"/>
    <w:rsid w:val="00FE6A61"/>
    <w:rsid w:val="00FE6F2F"/>
    <w:rsid w:val="00FE70A5"/>
    <w:rsid w:val="00FE726F"/>
    <w:rsid w:val="00FE75CC"/>
    <w:rsid w:val="00FF00EA"/>
    <w:rsid w:val="00FF0D24"/>
    <w:rsid w:val="00FF1028"/>
    <w:rsid w:val="00FF11F1"/>
    <w:rsid w:val="00FF1476"/>
    <w:rsid w:val="00FF2A5C"/>
    <w:rsid w:val="00FF422E"/>
    <w:rsid w:val="00FF4A6F"/>
    <w:rsid w:val="00FF4AA9"/>
    <w:rsid w:val="00FF4C96"/>
    <w:rsid w:val="00FF5029"/>
    <w:rsid w:val="00FF5C3C"/>
    <w:rsid w:val="00FF6182"/>
    <w:rsid w:val="00FF678A"/>
    <w:rsid w:val="00FF68A0"/>
    <w:rsid w:val="00FF778E"/>
    <w:rsid w:val="00FF7D21"/>
    <w:rsid w:val="018DDE56"/>
    <w:rsid w:val="02BB9A61"/>
    <w:rsid w:val="03518205"/>
    <w:rsid w:val="03A6B7AC"/>
    <w:rsid w:val="03D847BA"/>
    <w:rsid w:val="051229F8"/>
    <w:rsid w:val="0523FC60"/>
    <w:rsid w:val="062445E0"/>
    <w:rsid w:val="08D47767"/>
    <w:rsid w:val="095082D3"/>
    <w:rsid w:val="0A4937FF"/>
    <w:rsid w:val="0AA78F9C"/>
    <w:rsid w:val="0C83F554"/>
    <w:rsid w:val="0D7A5377"/>
    <w:rsid w:val="0F0F3359"/>
    <w:rsid w:val="0FEB18B6"/>
    <w:rsid w:val="103BE30F"/>
    <w:rsid w:val="1111D8F2"/>
    <w:rsid w:val="11E22854"/>
    <w:rsid w:val="11EFC20D"/>
    <w:rsid w:val="1265D9CB"/>
    <w:rsid w:val="142281AB"/>
    <w:rsid w:val="16610E68"/>
    <w:rsid w:val="166E5104"/>
    <w:rsid w:val="16C37099"/>
    <w:rsid w:val="170AA8A9"/>
    <w:rsid w:val="180CB134"/>
    <w:rsid w:val="19371A04"/>
    <w:rsid w:val="1A986AB8"/>
    <w:rsid w:val="1D1DEAD2"/>
    <w:rsid w:val="1E6855E4"/>
    <w:rsid w:val="1E9A3A81"/>
    <w:rsid w:val="1EDD7D03"/>
    <w:rsid w:val="1F0050F0"/>
    <w:rsid w:val="1F714942"/>
    <w:rsid w:val="20228439"/>
    <w:rsid w:val="210CAA4B"/>
    <w:rsid w:val="2156010E"/>
    <w:rsid w:val="227CEF1C"/>
    <w:rsid w:val="22D8EDF1"/>
    <w:rsid w:val="24EFF57C"/>
    <w:rsid w:val="26B778C4"/>
    <w:rsid w:val="27F6D47D"/>
    <w:rsid w:val="2AC0E71D"/>
    <w:rsid w:val="2AE64B8F"/>
    <w:rsid w:val="2C11239E"/>
    <w:rsid w:val="2C1AA435"/>
    <w:rsid w:val="2D993ACE"/>
    <w:rsid w:val="2EE5493A"/>
    <w:rsid w:val="2F475D1F"/>
    <w:rsid w:val="2F864497"/>
    <w:rsid w:val="2FA72EC1"/>
    <w:rsid w:val="3078B15C"/>
    <w:rsid w:val="3221401A"/>
    <w:rsid w:val="327CCEB5"/>
    <w:rsid w:val="33DC1648"/>
    <w:rsid w:val="341C039A"/>
    <w:rsid w:val="343F2C97"/>
    <w:rsid w:val="3491624E"/>
    <w:rsid w:val="34B1B880"/>
    <w:rsid w:val="358B89C8"/>
    <w:rsid w:val="36234752"/>
    <w:rsid w:val="365F8E01"/>
    <w:rsid w:val="378FB1D2"/>
    <w:rsid w:val="38DF9AD8"/>
    <w:rsid w:val="38FB312D"/>
    <w:rsid w:val="3AC8F757"/>
    <w:rsid w:val="3B30B0F4"/>
    <w:rsid w:val="3D36798B"/>
    <w:rsid w:val="3D53CFCD"/>
    <w:rsid w:val="3DF192D0"/>
    <w:rsid w:val="3E941180"/>
    <w:rsid w:val="3F403122"/>
    <w:rsid w:val="3F40D34B"/>
    <w:rsid w:val="3FB915FF"/>
    <w:rsid w:val="40D8DA55"/>
    <w:rsid w:val="4171E293"/>
    <w:rsid w:val="420BCB45"/>
    <w:rsid w:val="42183158"/>
    <w:rsid w:val="4409A66F"/>
    <w:rsid w:val="4447F5D5"/>
    <w:rsid w:val="464E3D5B"/>
    <w:rsid w:val="4660B84E"/>
    <w:rsid w:val="472C265D"/>
    <w:rsid w:val="47415CBD"/>
    <w:rsid w:val="474ADE60"/>
    <w:rsid w:val="4963F454"/>
    <w:rsid w:val="4A8D1852"/>
    <w:rsid w:val="4B0BE020"/>
    <w:rsid w:val="4C351A00"/>
    <w:rsid w:val="4C7EAE2C"/>
    <w:rsid w:val="4DEB1975"/>
    <w:rsid w:val="4EA99E15"/>
    <w:rsid w:val="5180D802"/>
    <w:rsid w:val="5230D2F6"/>
    <w:rsid w:val="52BF212E"/>
    <w:rsid w:val="545F6453"/>
    <w:rsid w:val="54E60E5D"/>
    <w:rsid w:val="553AD8C9"/>
    <w:rsid w:val="5585B46E"/>
    <w:rsid w:val="55FD514C"/>
    <w:rsid w:val="56E6565F"/>
    <w:rsid w:val="57E5EC60"/>
    <w:rsid w:val="582CBECE"/>
    <w:rsid w:val="58CA6127"/>
    <w:rsid w:val="59521D62"/>
    <w:rsid w:val="5AFF82A9"/>
    <w:rsid w:val="5C31033C"/>
    <w:rsid w:val="5E042B21"/>
    <w:rsid w:val="5E12BC13"/>
    <w:rsid w:val="5E8BF46B"/>
    <w:rsid w:val="5E90234B"/>
    <w:rsid w:val="5FF0E0BD"/>
    <w:rsid w:val="6094EDFF"/>
    <w:rsid w:val="60DB4FB2"/>
    <w:rsid w:val="623BC1E8"/>
    <w:rsid w:val="62DCD856"/>
    <w:rsid w:val="631DD9CA"/>
    <w:rsid w:val="633AF7A2"/>
    <w:rsid w:val="63ACCA6E"/>
    <w:rsid w:val="6409FC37"/>
    <w:rsid w:val="66BB5F55"/>
    <w:rsid w:val="67354ED6"/>
    <w:rsid w:val="6815F0A9"/>
    <w:rsid w:val="69290CB4"/>
    <w:rsid w:val="692B2D2B"/>
    <w:rsid w:val="6B269962"/>
    <w:rsid w:val="6C3E21B6"/>
    <w:rsid w:val="6CEE0584"/>
    <w:rsid w:val="6E065E9C"/>
    <w:rsid w:val="6E07105C"/>
    <w:rsid w:val="6E41EA99"/>
    <w:rsid w:val="6E8C44F1"/>
    <w:rsid w:val="6ECF8B8A"/>
    <w:rsid w:val="6EDA462F"/>
    <w:rsid w:val="6F49D228"/>
    <w:rsid w:val="7080D03A"/>
    <w:rsid w:val="70F82DF5"/>
    <w:rsid w:val="71087663"/>
    <w:rsid w:val="714EAE50"/>
    <w:rsid w:val="716E5064"/>
    <w:rsid w:val="72087CE1"/>
    <w:rsid w:val="7221E1C5"/>
    <w:rsid w:val="72CFBC29"/>
    <w:rsid w:val="73FB7F44"/>
    <w:rsid w:val="74186CC2"/>
    <w:rsid w:val="7473FB5D"/>
    <w:rsid w:val="754B684A"/>
    <w:rsid w:val="7713471D"/>
    <w:rsid w:val="7817A6DB"/>
    <w:rsid w:val="79B1B768"/>
    <w:rsid w:val="79BC3F3C"/>
    <w:rsid w:val="7C4F30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DF906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locked/>
    <w:rPr>
      <w:rFonts w:ascii="Corbel" w:hAnsi="Corbel" w:cs="Times New Roman"/>
      <w:color w:val="000000"/>
    </w:rPr>
  </w:style>
  <w:style w:type="paragraph" w:customStyle="1" w:styleId="Bullet">
    <w:name w:val="Bullet"/>
    <w:basedOn w:val="Normal"/>
    <w:link w:val="BulletChar"/>
    <w:rsid w:val="00D51386"/>
    <w:pPr>
      <w:numPr>
        <w:numId w:val="17"/>
      </w:numPr>
    </w:pPr>
  </w:style>
  <w:style w:type="paragraph" w:customStyle="1" w:styleId="Dash">
    <w:name w:val="Dash"/>
    <w:basedOn w:val="Normal"/>
    <w:rsid w:val="00D51386"/>
    <w:pPr>
      <w:numPr>
        <w:ilvl w:val="1"/>
        <w:numId w:val="17"/>
      </w:numPr>
    </w:pPr>
  </w:style>
  <w:style w:type="paragraph" w:customStyle="1" w:styleId="DoubleDot">
    <w:name w:val="Double Dot"/>
    <w:basedOn w:val="Normal"/>
    <w:link w:val="DoubleDotChar"/>
    <w:rsid w:val="00D51386"/>
    <w:pPr>
      <w:numPr>
        <w:ilvl w:val="2"/>
        <w:numId w:val="17"/>
      </w:numPr>
    </w:pPr>
  </w:style>
  <w:style w:type="paragraph" w:customStyle="1" w:styleId="OutlineNumbered1">
    <w:name w:val="Outline Numbered 1"/>
    <w:basedOn w:val="Normal"/>
    <w:link w:val="OutlineNumbered1Char"/>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
      </w:numPr>
      <w:tabs>
        <w:tab w:val="clear" w:pos="360"/>
        <w:tab w:val="num" w:pos="283"/>
        <w:tab w:val="num" w:pos="543"/>
      </w:tabs>
      <w:ind w:left="283" w:hanging="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rsid w:val="00D51386"/>
  </w:style>
  <w:style w:type="character" w:customStyle="1" w:styleId="CommentTextChar">
    <w:name w:val="Comment Text Char"/>
    <w:basedOn w:val="DefaultParagraphFont"/>
    <w:link w:val="CommentText"/>
    <w:uiPriority w:val="99"/>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tabs>
        <w:tab w:val="num" w:pos="360"/>
      </w:tabs>
      <w:ind w:left="360" w:hanging="360"/>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utlineNumbered1Char">
    <w:name w:val="Outline Numbered 1 Char"/>
    <w:basedOn w:val="DefaultParagraphFont"/>
    <w:link w:val="OutlineNumbered1"/>
    <w:locked/>
    <w:rsid w:val="004D6D7F"/>
    <w:rPr>
      <w:rFonts w:ascii="Corbel" w:hAnsi="Corbel"/>
      <w:color w:val="000000"/>
      <w:sz w:val="23"/>
    </w:rPr>
  </w:style>
  <w:style w:type="paragraph" w:styleId="Revision">
    <w:name w:val="Revision"/>
    <w:hidden/>
    <w:uiPriority w:val="99"/>
    <w:semiHidden/>
    <w:rsid w:val="004D6D7F"/>
    <w:rPr>
      <w:rFonts w:ascii="Corbel" w:hAnsi="Corbel"/>
      <w:color w:val="000000"/>
      <w:sz w:val="23"/>
    </w:rPr>
  </w:style>
  <w:style w:type="paragraph" w:customStyle="1" w:styleId="BulletedListLevel1">
    <w:name w:val="Bulleted List Level 1"/>
    <w:semiHidden/>
    <w:rsid w:val="00B0309E"/>
    <w:pPr>
      <w:keepLines/>
      <w:numPr>
        <w:numId w:val="18"/>
      </w:numPr>
      <w:tabs>
        <w:tab w:val="left" w:pos="1134"/>
      </w:tabs>
      <w:spacing w:after="140" w:line="300" w:lineRule="atLeast"/>
    </w:pPr>
    <w:rPr>
      <w:rFonts w:ascii="Gill Sans MT" w:hAnsi="Gill Sans MT"/>
      <w:sz w:val="24"/>
      <w:szCs w:val="24"/>
      <w:lang w:eastAsia="en-US"/>
    </w:rPr>
  </w:style>
  <w:style w:type="character" w:customStyle="1" w:styleId="DoubleDotChar">
    <w:name w:val="Double Dot Char"/>
    <w:basedOn w:val="DefaultParagraphFont"/>
    <w:link w:val="DoubleDot"/>
    <w:locked/>
    <w:rsid w:val="00F540F8"/>
    <w:rPr>
      <w:rFonts w:ascii="Corbel" w:hAnsi="Corbel"/>
      <w:color w:val="000000"/>
      <w:sz w:val="23"/>
    </w:rPr>
  </w:style>
  <w:style w:type="table" w:styleId="TableElegant">
    <w:name w:val="Table Elegant"/>
    <w:basedOn w:val="TableNormal"/>
    <w:rsid w:val="00E96F31"/>
    <w:pPr>
      <w:spacing w:after="240" w:line="26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E5760F"/>
    <w:pPr>
      <w:spacing w:after="240" w:line="260" w:lineRule="exact"/>
    </w:pPr>
    <w:rPr>
      <w:rFonts w:ascii="Corbel" w:hAnsi="Corbel"/>
    </w:rPr>
    <w:tblPr/>
    <w:trPr>
      <w:cantSplit/>
    </w:trPr>
  </w:style>
  <w:style w:type="paragraph" w:customStyle="1" w:styleId="Tableformat">
    <w:name w:val="Table format"/>
    <w:basedOn w:val="Heading2"/>
    <w:link w:val="TableformatChar"/>
    <w:qFormat/>
    <w:rsid w:val="00373C22"/>
    <w:pPr>
      <w:keepNext w:val="0"/>
      <w:spacing w:before="80" w:after="80"/>
    </w:pPr>
    <w:rPr>
      <w:b w:val="0"/>
      <w:bCs w:val="0"/>
      <w:color w:val="365F91" w:themeColor="accent1" w:themeShade="BF"/>
      <w:sz w:val="26"/>
      <w:szCs w:val="26"/>
      <w:lang w:val="en-US"/>
    </w:rPr>
  </w:style>
  <w:style w:type="character" w:customStyle="1" w:styleId="TableformatChar">
    <w:name w:val="Table format Char"/>
    <w:basedOn w:val="Heading2Char"/>
    <w:link w:val="Tableformat"/>
    <w:rsid w:val="00373C22"/>
    <w:rPr>
      <w:rFonts w:ascii="Corbel" w:hAnsi="Corbel" w:cs="Arial"/>
      <w:b w:val="0"/>
      <w:iCs/>
      <w:color w:val="365F91" w:themeColor="accent1" w:themeShade="BF"/>
      <w:sz w:val="26"/>
      <w:szCs w:val="26"/>
      <w:lang w:val="en-US" w:eastAsia="en-AU"/>
    </w:rPr>
  </w:style>
  <w:style w:type="table" w:customStyle="1" w:styleId="TableGrid2">
    <w:name w:val="Table Grid2"/>
    <w:basedOn w:val="TableNormal"/>
    <w:next w:val="TableGrid"/>
    <w:uiPriority w:val="39"/>
    <w:rsid w:val="008601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B15A01"/>
    <w:pPr>
      <w:spacing w:before="100" w:beforeAutospacing="1" w:after="100" w:afterAutospacing="1" w:line="240" w:lineRule="auto"/>
      <w:jc w:val="left"/>
    </w:pPr>
    <w:rPr>
      <w:rFonts w:ascii="Times New Roman" w:hAnsi="Times New Roman"/>
      <w:color w:val="auto"/>
      <w:sz w:val="24"/>
      <w:szCs w:val="24"/>
    </w:rPr>
  </w:style>
  <w:style w:type="character" w:customStyle="1" w:styleId="cf01">
    <w:name w:val="cf01"/>
    <w:basedOn w:val="DefaultParagraphFont"/>
    <w:rsid w:val="00B15A01"/>
    <w:rPr>
      <w:rFonts w:ascii="Segoe UI" w:hAnsi="Segoe UI" w:cs="Segoe UI" w:hint="default"/>
      <w:sz w:val="18"/>
      <w:szCs w:val="18"/>
    </w:rPr>
  </w:style>
  <w:style w:type="paragraph" w:customStyle="1" w:styleId="paragraph">
    <w:name w:val="paragraph"/>
    <w:basedOn w:val="Normal"/>
    <w:rsid w:val="003E4F4C"/>
    <w:pPr>
      <w:spacing w:before="100" w:beforeAutospacing="1" w:after="100" w:afterAutospacing="1" w:line="240" w:lineRule="auto"/>
      <w:jc w:val="left"/>
    </w:pPr>
    <w:rPr>
      <w:rFonts w:ascii="Times New Roman" w:hAnsi="Times New Roman"/>
      <w:color w:val="auto"/>
      <w:sz w:val="24"/>
      <w:szCs w:val="24"/>
    </w:rPr>
  </w:style>
  <w:style w:type="character" w:customStyle="1" w:styleId="normaltextrun">
    <w:name w:val="normaltextrun"/>
    <w:basedOn w:val="DefaultParagraphFont"/>
    <w:rsid w:val="003E4F4C"/>
  </w:style>
  <w:style w:type="character" w:customStyle="1" w:styleId="eop">
    <w:name w:val="eop"/>
    <w:basedOn w:val="DefaultParagraphFont"/>
    <w:rsid w:val="003E4F4C"/>
  </w:style>
  <w:style w:type="character" w:customStyle="1" w:styleId="spellingerror">
    <w:name w:val="spellingerror"/>
    <w:basedOn w:val="DefaultParagraphFont"/>
    <w:rsid w:val="003E4F4C"/>
  </w:style>
  <w:style w:type="character" w:customStyle="1" w:styleId="ui-provider">
    <w:name w:val="ui-provider"/>
    <w:basedOn w:val="DefaultParagraphFont"/>
    <w:rsid w:val="00D52626"/>
  </w:style>
  <w:style w:type="character" w:styleId="UnresolvedMention">
    <w:name w:val="Unresolved Mention"/>
    <w:basedOn w:val="DefaultParagraphFont"/>
    <w:uiPriority w:val="99"/>
    <w:semiHidden/>
    <w:unhideWhenUsed/>
    <w:rsid w:val="00B63479"/>
    <w:rPr>
      <w:color w:val="605E5C"/>
      <w:shd w:val="clear" w:color="auto" w:fill="E1DFDD"/>
    </w:rPr>
  </w:style>
  <w:style w:type="paragraph" w:customStyle="1" w:styleId="Paragraphnumbering">
    <w:name w:val="Paragraph numbering"/>
    <w:basedOn w:val="Normal"/>
    <w:link w:val="ParagraphnumberingChar"/>
    <w:qFormat/>
    <w:rsid w:val="00BA32AB"/>
    <w:pPr>
      <w:tabs>
        <w:tab w:val="num" w:pos="567"/>
      </w:tabs>
      <w:ind w:left="567" w:hanging="567"/>
    </w:pPr>
  </w:style>
  <w:style w:type="character" w:customStyle="1" w:styleId="ParagraphnumberingChar">
    <w:name w:val="Paragraph numbering Char"/>
    <w:basedOn w:val="DefaultParagraphFont"/>
    <w:link w:val="Paragraphnumbering"/>
    <w:rsid w:val="00BA32AB"/>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0369">
      <w:bodyDiv w:val="1"/>
      <w:marLeft w:val="0"/>
      <w:marRight w:val="0"/>
      <w:marTop w:val="0"/>
      <w:marBottom w:val="0"/>
      <w:divBdr>
        <w:top w:val="none" w:sz="0" w:space="0" w:color="auto"/>
        <w:left w:val="none" w:sz="0" w:space="0" w:color="auto"/>
        <w:bottom w:val="none" w:sz="0" w:space="0" w:color="auto"/>
        <w:right w:val="none" w:sz="0" w:space="0" w:color="auto"/>
      </w:divBdr>
    </w:div>
    <w:div w:id="70012218">
      <w:bodyDiv w:val="1"/>
      <w:marLeft w:val="0"/>
      <w:marRight w:val="0"/>
      <w:marTop w:val="0"/>
      <w:marBottom w:val="0"/>
      <w:divBdr>
        <w:top w:val="none" w:sz="0" w:space="0" w:color="auto"/>
        <w:left w:val="none" w:sz="0" w:space="0" w:color="auto"/>
        <w:bottom w:val="none" w:sz="0" w:space="0" w:color="auto"/>
        <w:right w:val="none" w:sz="0" w:space="0" w:color="auto"/>
      </w:divBdr>
    </w:div>
    <w:div w:id="78333670">
      <w:bodyDiv w:val="1"/>
      <w:marLeft w:val="0"/>
      <w:marRight w:val="0"/>
      <w:marTop w:val="0"/>
      <w:marBottom w:val="0"/>
      <w:divBdr>
        <w:top w:val="none" w:sz="0" w:space="0" w:color="auto"/>
        <w:left w:val="none" w:sz="0" w:space="0" w:color="auto"/>
        <w:bottom w:val="none" w:sz="0" w:space="0" w:color="auto"/>
        <w:right w:val="none" w:sz="0" w:space="0" w:color="auto"/>
      </w:divBdr>
    </w:div>
    <w:div w:id="116267295">
      <w:bodyDiv w:val="1"/>
      <w:marLeft w:val="0"/>
      <w:marRight w:val="0"/>
      <w:marTop w:val="0"/>
      <w:marBottom w:val="0"/>
      <w:divBdr>
        <w:top w:val="none" w:sz="0" w:space="0" w:color="auto"/>
        <w:left w:val="none" w:sz="0" w:space="0" w:color="auto"/>
        <w:bottom w:val="none" w:sz="0" w:space="0" w:color="auto"/>
        <w:right w:val="none" w:sz="0" w:space="0" w:color="auto"/>
      </w:divBdr>
    </w:div>
    <w:div w:id="132990917">
      <w:bodyDiv w:val="1"/>
      <w:marLeft w:val="0"/>
      <w:marRight w:val="0"/>
      <w:marTop w:val="0"/>
      <w:marBottom w:val="0"/>
      <w:divBdr>
        <w:top w:val="none" w:sz="0" w:space="0" w:color="auto"/>
        <w:left w:val="none" w:sz="0" w:space="0" w:color="auto"/>
        <w:bottom w:val="none" w:sz="0" w:space="0" w:color="auto"/>
        <w:right w:val="none" w:sz="0" w:space="0" w:color="auto"/>
      </w:divBdr>
    </w:div>
    <w:div w:id="207766326">
      <w:bodyDiv w:val="1"/>
      <w:marLeft w:val="0"/>
      <w:marRight w:val="0"/>
      <w:marTop w:val="0"/>
      <w:marBottom w:val="0"/>
      <w:divBdr>
        <w:top w:val="none" w:sz="0" w:space="0" w:color="auto"/>
        <w:left w:val="none" w:sz="0" w:space="0" w:color="auto"/>
        <w:bottom w:val="none" w:sz="0" w:space="0" w:color="auto"/>
        <w:right w:val="none" w:sz="0" w:space="0" w:color="auto"/>
      </w:divBdr>
    </w:div>
    <w:div w:id="208883905">
      <w:bodyDiv w:val="1"/>
      <w:marLeft w:val="0"/>
      <w:marRight w:val="0"/>
      <w:marTop w:val="0"/>
      <w:marBottom w:val="0"/>
      <w:divBdr>
        <w:top w:val="none" w:sz="0" w:space="0" w:color="auto"/>
        <w:left w:val="none" w:sz="0" w:space="0" w:color="auto"/>
        <w:bottom w:val="none" w:sz="0" w:space="0" w:color="auto"/>
        <w:right w:val="none" w:sz="0" w:space="0" w:color="auto"/>
      </w:divBdr>
    </w:div>
    <w:div w:id="285894855">
      <w:bodyDiv w:val="1"/>
      <w:marLeft w:val="0"/>
      <w:marRight w:val="0"/>
      <w:marTop w:val="0"/>
      <w:marBottom w:val="0"/>
      <w:divBdr>
        <w:top w:val="none" w:sz="0" w:space="0" w:color="auto"/>
        <w:left w:val="none" w:sz="0" w:space="0" w:color="auto"/>
        <w:bottom w:val="none" w:sz="0" w:space="0" w:color="auto"/>
        <w:right w:val="none" w:sz="0" w:space="0" w:color="auto"/>
      </w:divBdr>
    </w:div>
    <w:div w:id="301233395">
      <w:bodyDiv w:val="1"/>
      <w:marLeft w:val="0"/>
      <w:marRight w:val="0"/>
      <w:marTop w:val="0"/>
      <w:marBottom w:val="0"/>
      <w:divBdr>
        <w:top w:val="none" w:sz="0" w:space="0" w:color="auto"/>
        <w:left w:val="none" w:sz="0" w:space="0" w:color="auto"/>
        <w:bottom w:val="none" w:sz="0" w:space="0" w:color="auto"/>
        <w:right w:val="none" w:sz="0" w:space="0" w:color="auto"/>
      </w:divBdr>
    </w:div>
    <w:div w:id="311102572">
      <w:bodyDiv w:val="1"/>
      <w:marLeft w:val="0"/>
      <w:marRight w:val="0"/>
      <w:marTop w:val="0"/>
      <w:marBottom w:val="0"/>
      <w:divBdr>
        <w:top w:val="none" w:sz="0" w:space="0" w:color="auto"/>
        <w:left w:val="none" w:sz="0" w:space="0" w:color="auto"/>
        <w:bottom w:val="none" w:sz="0" w:space="0" w:color="auto"/>
        <w:right w:val="none" w:sz="0" w:space="0" w:color="auto"/>
      </w:divBdr>
    </w:div>
    <w:div w:id="333729884">
      <w:bodyDiv w:val="1"/>
      <w:marLeft w:val="0"/>
      <w:marRight w:val="0"/>
      <w:marTop w:val="0"/>
      <w:marBottom w:val="0"/>
      <w:divBdr>
        <w:top w:val="none" w:sz="0" w:space="0" w:color="auto"/>
        <w:left w:val="none" w:sz="0" w:space="0" w:color="auto"/>
        <w:bottom w:val="none" w:sz="0" w:space="0" w:color="auto"/>
        <w:right w:val="none" w:sz="0" w:space="0" w:color="auto"/>
      </w:divBdr>
    </w:div>
    <w:div w:id="377436332">
      <w:bodyDiv w:val="1"/>
      <w:marLeft w:val="0"/>
      <w:marRight w:val="0"/>
      <w:marTop w:val="0"/>
      <w:marBottom w:val="0"/>
      <w:divBdr>
        <w:top w:val="none" w:sz="0" w:space="0" w:color="auto"/>
        <w:left w:val="none" w:sz="0" w:space="0" w:color="auto"/>
        <w:bottom w:val="none" w:sz="0" w:space="0" w:color="auto"/>
        <w:right w:val="none" w:sz="0" w:space="0" w:color="auto"/>
      </w:divBdr>
    </w:div>
    <w:div w:id="404188949">
      <w:bodyDiv w:val="1"/>
      <w:marLeft w:val="0"/>
      <w:marRight w:val="0"/>
      <w:marTop w:val="0"/>
      <w:marBottom w:val="0"/>
      <w:divBdr>
        <w:top w:val="none" w:sz="0" w:space="0" w:color="auto"/>
        <w:left w:val="none" w:sz="0" w:space="0" w:color="auto"/>
        <w:bottom w:val="none" w:sz="0" w:space="0" w:color="auto"/>
        <w:right w:val="none" w:sz="0" w:space="0" w:color="auto"/>
      </w:divBdr>
    </w:div>
    <w:div w:id="417098384">
      <w:bodyDiv w:val="1"/>
      <w:marLeft w:val="0"/>
      <w:marRight w:val="0"/>
      <w:marTop w:val="0"/>
      <w:marBottom w:val="0"/>
      <w:divBdr>
        <w:top w:val="none" w:sz="0" w:space="0" w:color="auto"/>
        <w:left w:val="none" w:sz="0" w:space="0" w:color="auto"/>
        <w:bottom w:val="none" w:sz="0" w:space="0" w:color="auto"/>
        <w:right w:val="none" w:sz="0" w:space="0" w:color="auto"/>
      </w:divBdr>
    </w:div>
    <w:div w:id="441654235">
      <w:bodyDiv w:val="1"/>
      <w:marLeft w:val="0"/>
      <w:marRight w:val="0"/>
      <w:marTop w:val="0"/>
      <w:marBottom w:val="0"/>
      <w:divBdr>
        <w:top w:val="none" w:sz="0" w:space="0" w:color="auto"/>
        <w:left w:val="none" w:sz="0" w:space="0" w:color="auto"/>
        <w:bottom w:val="none" w:sz="0" w:space="0" w:color="auto"/>
        <w:right w:val="none" w:sz="0" w:space="0" w:color="auto"/>
      </w:divBdr>
    </w:div>
    <w:div w:id="447630571">
      <w:bodyDiv w:val="1"/>
      <w:marLeft w:val="0"/>
      <w:marRight w:val="0"/>
      <w:marTop w:val="0"/>
      <w:marBottom w:val="0"/>
      <w:divBdr>
        <w:top w:val="none" w:sz="0" w:space="0" w:color="auto"/>
        <w:left w:val="none" w:sz="0" w:space="0" w:color="auto"/>
        <w:bottom w:val="none" w:sz="0" w:space="0" w:color="auto"/>
        <w:right w:val="none" w:sz="0" w:space="0" w:color="auto"/>
      </w:divBdr>
      <w:divsChild>
        <w:div w:id="1855920850">
          <w:marLeft w:val="0"/>
          <w:marRight w:val="0"/>
          <w:marTop w:val="0"/>
          <w:marBottom w:val="0"/>
          <w:divBdr>
            <w:top w:val="none" w:sz="0" w:space="0" w:color="auto"/>
            <w:left w:val="none" w:sz="0" w:space="0" w:color="auto"/>
            <w:bottom w:val="none" w:sz="0" w:space="0" w:color="auto"/>
            <w:right w:val="none" w:sz="0" w:space="0" w:color="auto"/>
          </w:divBdr>
        </w:div>
        <w:div w:id="158547611">
          <w:marLeft w:val="0"/>
          <w:marRight w:val="0"/>
          <w:marTop w:val="0"/>
          <w:marBottom w:val="0"/>
          <w:divBdr>
            <w:top w:val="none" w:sz="0" w:space="0" w:color="auto"/>
            <w:left w:val="none" w:sz="0" w:space="0" w:color="auto"/>
            <w:bottom w:val="none" w:sz="0" w:space="0" w:color="auto"/>
            <w:right w:val="none" w:sz="0" w:space="0" w:color="auto"/>
          </w:divBdr>
        </w:div>
        <w:div w:id="762460720">
          <w:marLeft w:val="0"/>
          <w:marRight w:val="0"/>
          <w:marTop w:val="0"/>
          <w:marBottom w:val="0"/>
          <w:divBdr>
            <w:top w:val="none" w:sz="0" w:space="0" w:color="auto"/>
            <w:left w:val="none" w:sz="0" w:space="0" w:color="auto"/>
            <w:bottom w:val="none" w:sz="0" w:space="0" w:color="auto"/>
            <w:right w:val="none" w:sz="0" w:space="0" w:color="auto"/>
          </w:divBdr>
          <w:divsChild>
            <w:div w:id="1380979858">
              <w:marLeft w:val="-75"/>
              <w:marRight w:val="0"/>
              <w:marTop w:val="30"/>
              <w:marBottom w:val="30"/>
              <w:divBdr>
                <w:top w:val="none" w:sz="0" w:space="0" w:color="auto"/>
                <w:left w:val="none" w:sz="0" w:space="0" w:color="auto"/>
                <w:bottom w:val="none" w:sz="0" w:space="0" w:color="auto"/>
                <w:right w:val="none" w:sz="0" w:space="0" w:color="auto"/>
              </w:divBdr>
              <w:divsChild>
                <w:div w:id="1553153359">
                  <w:marLeft w:val="0"/>
                  <w:marRight w:val="0"/>
                  <w:marTop w:val="0"/>
                  <w:marBottom w:val="0"/>
                  <w:divBdr>
                    <w:top w:val="none" w:sz="0" w:space="0" w:color="auto"/>
                    <w:left w:val="none" w:sz="0" w:space="0" w:color="auto"/>
                    <w:bottom w:val="none" w:sz="0" w:space="0" w:color="auto"/>
                    <w:right w:val="none" w:sz="0" w:space="0" w:color="auto"/>
                  </w:divBdr>
                  <w:divsChild>
                    <w:div w:id="1243905532">
                      <w:marLeft w:val="0"/>
                      <w:marRight w:val="0"/>
                      <w:marTop w:val="0"/>
                      <w:marBottom w:val="0"/>
                      <w:divBdr>
                        <w:top w:val="none" w:sz="0" w:space="0" w:color="auto"/>
                        <w:left w:val="none" w:sz="0" w:space="0" w:color="auto"/>
                        <w:bottom w:val="none" w:sz="0" w:space="0" w:color="auto"/>
                        <w:right w:val="none" w:sz="0" w:space="0" w:color="auto"/>
                      </w:divBdr>
                    </w:div>
                  </w:divsChild>
                </w:div>
                <w:div w:id="700320477">
                  <w:marLeft w:val="0"/>
                  <w:marRight w:val="0"/>
                  <w:marTop w:val="0"/>
                  <w:marBottom w:val="0"/>
                  <w:divBdr>
                    <w:top w:val="none" w:sz="0" w:space="0" w:color="auto"/>
                    <w:left w:val="none" w:sz="0" w:space="0" w:color="auto"/>
                    <w:bottom w:val="none" w:sz="0" w:space="0" w:color="auto"/>
                    <w:right w:val="none" w:sz="0" w:space="0" w:color="auto"/>
                  </w:divBdr>
                  <w:divsChild>
                    <w:div w:id="230190102">
                      <w:marLeft w:val="0"/>
                      <w:marRight w:val="0"/>
                      <w:marTop w:val="0"/>
                      <w:marBottom w:val="0"/>
                      <w:divBdr>
                        <w:top w:val="none" w:sz="0" w:space="0" w:color="auto"/>
                        <w:left w:val="none" w:sz="0" w:space="0" w:color="auto"/>
                        <w:bottom w:val="none" w:sz="0" w:space="0" w:color="auto"/>
                        <w:right w:val="none" w:sz="0" w:space="0" w:color="auto"/>
                      </w:divBdr>
                    </w:div>
                  </w:divsChild>
                </w:div>
                <w:div w:id="73162090">
                  <w:marLeft w:val="0"/>
                  <w:marRight w:val="0"/>
                  <w:marTop w:val="0"/>
                  <w:marBottom w:val="0"/>
                  <w:divBdr>
                    <w:top w:val="none" w:sz="0" w:space="0" w:color="auto"/>
                    <w:left w:val="none" w:sz="0" w:space="0" w:color="auto"/>
                    <w:bottom w:val="none" w:sz="0" w:space="0" w:color="auto"/>
                    <w:right w:val="none" w:sz="0" w:space="0" w:color="auto"/>
                  </w:divBdr>
                  <w:divsChild>
                    <w:div w:id="1117989431">
                      <w:marLeft w:val="0"/>
                      <w:marRight w:val="0"/>
                      <w:marTop w:val="0"/>
                      <w:marBottom w:val="0"/>
                      <w:divBdr>
                        <w:top w:val="none" w:sz="0" w:space="0" w:color="auto"/>
                        <w:left w:val="none" w:sz="0" w:space="0" w:color="auto"/>
                        <w:bottom w:val="none" w:sz="0" w:space="0" w:color="auto"/>
                        <w:right w:val="none" w:sz="0" w:space="0" w:color="auto"/>
                      </w:divBdr>
                    </w:div>
                  </w:divsChild>
                </w:div>
                <w:div w:id="1324317260">
                  <w:marLeft w:val="0"/>
                  <w:marRight w:val="0"/>
                  <w:marTop w:val="0"/>
                  <w:marBottom w:val="0"/>
                  <w:divBdr>
                    <w:top w:val="none" w:sz="0" w:space="0" w:color="auto"/>
                    <w:left w:val="none" w:sz="0" w:space="0" w:color="auto"/>
                    <w:bottom w:val="none" w:sz="0" w:space="0" w:color="auto"/>
                    <w:right w:val="none" w:sz="0" w:space="0" w:color="auto"/>
                  </w:divBdr>
                  <w:divsChild>
                    <w:div w:id="1146630650">
                      <w:marLeft w:val="0"/>
                      <w:marRight w:val="0"/>
                      <w:marTop w:val="0"/>
                      <w:marBottom w:val="0"/>
                      <w:divBdr>
                        <w:top w:val="none" w:sz="0" w:space="0" w:color="auto"/>
                        <w:left w:val="none" w:sz="0" w:space="0" w:color="auto"/>
                        <w:bottom w:val="none" w:sz="0" w:space="0" w:color="auto"/>
                        <w:right w:val="none" w:sz="0" w:space="0" w:color="auto"/>
                      </w:divBdr>
                    </w:div>
                  </w:divsChild>
                </w:div>
                <w:div w:id="1927762415">
                  <w:marLeft w:val="0"/>
                  <w:marRight w:val="0"/>
                  <w:marTop w:val="0"/>
                  <w:marBottom w:val="0"/>
                  <w:divBdr>
                    <w:top w:val="none" w:sz="0" w:space="0" w:color="auto"/>
                    <w:left w:val="none" w:sz="0" w:space="0" w:color="auto"/>
                    <w:bottom w:val="none" w:sz="0" w:space="0" w:color="auto"/>
                    <w:right w:val="none" w:sz="0" w:space="0" w:color="auto"/>
                  </w:divBdr>
                  <w:divsChild>
                    <w:div w:id="1681615656">
                      <w:marLeft w:val="0"/>
                      <w:marRight w:val="0"/>
                      <w:marTop w:val="0"/>
                      <w:marBottom w:val="0"/>
                      <w:divBdr>
                        <w:top w:val="none" w:sz="0" w:space="0" w:color="auto"/>
                        <w:left w:val="none" w:sz="0" w:space="0" w:color="auto"/>
                        <w:bottom w:val="none" w:sz="0" w:space="0" w:color="auto"/>
                        <w:right w:val="none" w:sz="0" w:space="0" w:color="auto"/>
                      </w:divBdr>
                    </w:div>
                  </w:divsChild>
                </w:div>
                <w:div w:id="45683851">
                  <w:marLeft w:val="0"/>
                  <w:marRight w:val="0"/>
                  <w:marTop w:val="0"/>
                  <w:marBottom w:val="0"/>
                  <w:divBdr>
                    <w:top w:val="none" w:sz="0" w:space="0" w:color="auto"/>
                    <w:left w:val="none" w:sz="0" w:space="0" w:color="auto"/>
                    <w:bottom w:val="none" w:sz="0" w:space="0" w:color="auto"/>
                    <w:right w:val="none" w:sz="0" w:space="0" w:color="auto"/>
                  </w:divBdr>
                  <w:divsChild>
                    <w:div w:id="1312559948">
                      <w:marLeft w:val="0"/>
                      <w:marRight w:val="0"/>
                      <w:marTop w:val="0"/>
                      <w:marBottom w:val="0"/>
                      <w:divBdr>
                        <w:top w:val="none" w:sz="0" w:space="0" w:color="auto"/>
                        <w:left w:val="none" w:sz="0" w:space="0" w:color="auto"/>
                        <w:bottom w:val="none" w:sz="0" w:space="0" w:color="auto"/>
                        <w:right w:val="none" w:sz="0" w:space="0" w:color="auto"/>
                      </w:divBdr>
                    </w:div>
                    <w:div w:id="1438014657">
                      <w:marLeft w:val="0"/>
                      <w:marRight w:val="0"/>
                      <w:marTop w:val="0"/>
                      <w:marBottom w:val="0"/>
                      <w:divBdr>
                        <w:top w:val="none" w:sz="0" w:space="0" w:color="auto"/>
                        <w:left w:val="none" w:sz="0" w:space="0" w:color="auto"/>
                        <w:bottom w:val="none" w:sz="0" w:space="0" w:color="auto"/>
                        <w:right w:val="none" w:sz="0" w:space="0" w:color="auto"/>
                      </w:divBdr>
                    </w:div>
                  </w:divsChild>
                </w:div>
                <w:div w:id="362175786">
                  <w:marLeft w:val="0"/>
                  <w:marRight w:val="0"/>
                  <w:marTop w:val="0"/>
                  <w:marBottom w:val="0"/>
                  <w:divBdr>
                    <w:top w:val="none" w:sz="0" w:space="0" w:color="auto"/>
                    <w:left w:val="none" w:sz="0" w:space="0" w:color="auto"/>
                    <w:bottom w:val="none" w:sz="0" w:space="0" w:color="auto"/>
                    <w:right w:val="none" w:sz="0" w:space="0" w:color="auto"/>
                  </w:divBdr>
                  <w:divsChild>
                    <w:div w:id="344021652">
                      <w:marLeft w:val="0"/>
                      <w:marRight w:val="0"/>
                      <w:marTop w:val="0"/>
                      <w:marBottom w:val="0"/>
                      <w:divBdr>
                        <w:top w:val="none" w:sz="0" w:space="0" w:color="auto"/>
                        <w:left w:val="none" w:sz="0" w:space="0" w:color="auto"/>
                        <w:bottom w:val="none" w:sz="0" w:space="0" w:color="auto"/>
                        <w:right w:val="none" w:sz="0" w:space="0" w:color="auto"/>
                      </w:divBdr>
                    </w:div>
                  </w:divsChild>
                </w:div>
                <w:div w:id="1154416984">
                  <w:marLeft w:val="0"/>
                  <w:marRight w:val="0"/>
                  <w:marTop w:val="0"/>
                  <w:marBottom w:val="0"/>
                  <w:divBdr>
                    <w:top w:val="none" w:sz="0" w:space="0" w:color="auto"/>
                    <w:left w:val="none" w:sz="0" w:space="0" w:color="auto"/>
                    <w:bottom w:val="none" w:sz="0" w:space="0" w:color="auto"/>
                    <w:right w:val="none" w:sz="0" w:space="0" w:color="auto"/>
                  </w:divBdr>
                  <w:divsChild>
                    <w:div w:id="635641536">
                      <w:marLeft w:val="0"/>
                      <w:marRight w:val="0"/>
                      <w:marTop w:val="0"/>
                      <w:marBottom w:val="0"/>
                      <w:divBdr>
                        <w:top w:val="none" w:sz="0" w:space="0" w:color="auto"/>
                        <w:left w:val="none" w:sz="0" w:space="0" w:color="auto"/>
                        <w:bottom w:val="none" w:sz="0" w:space="0" w:color="auto"/>
                        <w:right w:val="none" w:sz="0" w:space="0" w:color="auto"/>
                      </w:divBdr>
                    </w:div>
                  </w:divsChild>
                </w:div>
                <w:div w:id="1525093418">
                  <w:marLeft w:val="0"/>
                  <w:marRight w:val="0"/>
                  <w:marTop w:val="0"/>
                  <w:marBottom w:val="0"/>
                  <w:divBdr>
                    <w:top w:val="none" w:sz="0" w:space="0" w:color="auto"/>
                    <w:left w:val="none" w:sz="0" w:space="0" w:color="auto"/>
                    <w:bottom w:val="none" w:sz="0" w:space="0" w:color="auto"/>
                    <w:right w:val="none" w:sz="0" w:space="0" w:color="auto"/>
                  </w:divBdr>
                  <w:divsChild>
                    <w:div w:id="328213876">
                      <w:marLeft w:val="0"/>
                      <w:marRight w:val="0"/>
                      <w:marTop w:val="0"/>
                      <w:marBottom w:val="0"/>
                      <w:divBdr>
                        <w:top w:val="none" w:sz="0" w:space="0" w:color="auto"/>
                        <w:left w:val="none" w:sz="0" w:space="0" w:color="auto"/>
                        <w:bottom w:val="none" w:sz="0" w:space="0" w:color="auto"/>
                        <w:right w:val="none" w:sz="0" w:space="0" w:color="auto"/>
                      </w:divBdr>
                    </w:div>
                    <w:div w:id="1428111024">
                      <w:marLeft w:val="0"/>
                      <w:marRight w:val="0"/>
                      <w:marTop w:val="0"/>
                      <w:marBottom w:val="0"/>
                      <w:divBdr>
                        <w:top w:val="none" w:sz="0" w:space="0" w:color="auto"/>
                        <w:left w:val="none" w:sz="0" w:space="0" w:color="auto"/>
                        <w:bottom w:val="none" w:sz="0" w:space="0" w:color="auto"/>
                        <w:right w:val="none" w:sz="0" w:space="0" w:color="auto"/>
                      </w:divBdr>
                    </w:div>
                    <w:div w:id="123886470">
                      <w:marLeft w:val="0"/>
                      <w:marRight w:val="0"/>
                      <w:marTop w:val="0"/>
                      <w:marBottom w:val="0"/>
                      <w:divBdr>
                        <w:top w:val="none" w:sz="0" w:space="0" w:color="auto"/>
                        <w:left w:val="none" w:sz="0" w:space="0" w:color="auto"/>
                        <w:bottom w:val="none" w:sz="0" w:space="0" w:color="auto"/>
                        <w:right w:val="none" w:sz="0" w:space="0" w:color="auto"/>
                      </w:divBdr>
                    </w:div>
                    <w:div w:id="1064909124">
                      <w:marLeft w:val="0"/>
                      <w:marRight w:val="0"/>
                      <w:marTop w:val="0"/>
                      <w:marBottom w:val="0"/>
                      <w:divBdr>
                        <w:top w:val="none" w:sz="0" w:space="0" w:color="auto"/>
                        <w:left w:val="none" w:sz="0" w:space="0" w:color="auto"/>
                        <w:bottom w:val="none" w:sz="0" w:space="0" w:color="auto"/>
                        <w:right w:val="none" w:sz="0" w:space="0" w:color="auto"/>
                      </w:divBdr>
                    </w:div>
                    <w:div w:id="278029235">
                      <w:marLeft w:val="0"/>
                      <w:marRight w:val="0"/>
                      <w:marTop w:val="0"/>
                      <w:marBottom w:val="0"/>
                      <w:divBdr>
                        <w:top w:val="none" w:sz="0" w:space="0" w:color="auto"/>
                        <w:left w:val="none" w:sz="0" w:space="0" w:color="auto"/>
                        <w:bottom w:val="none" w:sz="0" w:space="0" w:color="auto"/>
                        <w:right w:val="none" w:sz="0" w:space="0" w:color="auto"/>
                      </w:divBdr>
                    </w:div>
                    <w:div w:id="2095125397">
                      <w:marLeft w:val="0"/>
                      <w:marRight w:val="0"/>
                      <w:marTop w:val="0"/>
                      <w:marBottom w:val="0"/>
                      <w:divBdr>
                        <w:top w:val="none" w:sz="0" w:space="0" w:color="auto"/>
                        <w:left w:val="none" w:sz="0" w:space="0" w:color="auto"/>
                        <w:bottom w:val="none" w:sz="0" w:space="0" w:color="auto"/>
                        <w:right w:val="none" w:sz="0" w:space="0" w:color="auto"/>
                      </w:divBdr>
                    </w:div>
                  </w:divsChild>
                </w:div>
                <w:div w:id="297225155">
                  <w:marLeft w:val="0"/>
                  <w:marRight w:val="0"/>
                  <w:marTop w:val="0"/>
                  <w:marBottom w:val="0"/>
                  <w:divBdr>
                    <w:top w:val="none" w:sz="0" w:space="0" w:color="auto"/>
                    <w:left w:val="none" w:sz="0" w:space="0" w:color="auto"/>
                    <w:bottom w:val="none" w:sz="0" w:space="0" w:color="auto"/>
                    <w:right w:val="none" w:sz="0" w:space="0" w:color="auto"/>
                  </w:divBdr>
                  <w:divsChild>
                    <w:div w:id="729811119">
                      <w:marLeft w:val="0"/>
                      <w:marRight w:val="0"/>
                      <w:marTop w:val="0"/>
                      <w:marBottom w:val="0"/>
                      <w:divBdr>
                        <w:top w:val="none" w:sz="0" w:space="0" w:color="auto"/>
                        <w:left w:val="none" w:sz="0" w:space="0" w:color="auto"/>
                        <w:bottom w:val="none" w:sz="0" w:space="0" w:color="auto"/>
                        <w:right w:val="none" w:sz="0" w:space="0" w:color="auto"/>
                      </w:divBdr>
                    </w:div>
                    <w:div w:id="688024762">
                      <w:marLeft w:val="0"/>
                      <w:marRight w:val="0"/>
                      <w:marTop w:val="0"/>
                      <w:marBottom w:val="0"/>
                      <w:divBdr>
                        <w:top w:val="none" w:sz="0" w:space="0" w:color="auto"/>
                        <w:left w:val="none" w:sz="0" w:space="0" w:color="auto"/>
                        <w:bottom w:val="none" w:sz="0" w:space="0" w:color="auto"/>
                        <w:right w:val="none" w:sz="0" w:space="0" w:color="auto"/>
                      </w:divBdr>
                    </w:div>
                    <w:div w:id="1317875423">
                      <w:marLeft w:val="0"/>
                      <w:marRight w:val="0"/>
                      <w:marTop w:val="0"/>
                      <w:marBottom w:val="0"/>
                      <w:divBdr>
                        <w:top w:val="none" w:sz="0" w:space="0" w:color="auto"/>
                        <w:left w:val="none" w:sz="0" w:space="0" w:color="auto"/>
                        <w:bottom w:val="none" w:sz="0" w:space="0" w:color="auto"/>
                        <w:right w:val="none" w:sz="0" w:space="0" w:color="auto"/>
                      </w:divBdr>
                    </w:div>
                    <w:div w:id="1090813128">
                      <w:marLeft w:val="0"/>
                      <w:marRight w:val="0"/>
                      <w:marTop w:val="0"/>
                      <w:marBottom w:val="0"/>
                      <w:divBdr>
                        <w:top w:val="none" w:sz="0" w:space="0" w:color="auto"/>
                        <w:left w:val="none" w:sz="0" w:space="0" w:color="auto"/>
                        <w:bottom w:val="none" w:sz="0" w:space="0" w:color="auto"/>
                        <w:right w:val="none" w:sz="0" w:space="0" w:color="auto"/>
                      </w:divBdr>
                    </w:div>
                    <w:div w:id="840005375">
                      <w:marLeft w:val="0"/>
                      <w:marRight w:val="0"/>
                      <w:marTop w:val="0"/>
                      <w:marBottom w:val="0"/>
                      <w:divBdr>
                        <w:top w:val="none" w:sz="0" w:space="0" w:color="auto"/>
                        <w:left w:val="none" w:sz="0" w:space="0" w:color="auto"/>
                        <w:bottom w:val="none" w:sz="0" w:space="0" w:color="auto"/>
                        <w:right w:val="none" w:sz="0" w:space="0" w:color="auto"/>
                      </w:divBdr>
                    </w:div>
                    <w:div w:id="1354190907">
                      <w:marLeft w:val="0"/>
                      <w:marRight w:val="0"/>
                      <w:marTop w:val="0"/>
                      <w:marBottom w:val="0"/>
                      <w:divBdr>
                        <w:top w:val="none" w:sz="0" w:space="0" w:color="auto"/>
                        <w:left w:val="none" w:sz="0" w:space="0" w:color="auto"/>
                        <w:bottom w:val="none" w:sz="0" w:space="0" w:color="auto"/>
                        <w:right w:val="none" w:sz="0" w:space="0" w:color="auto"/>
                      </w:divBdr>
                    </w:div>
                  </w:divsChild>
                </w:div>
                <w:div w:id="1573348928">
                  <w:marLeft w:val="0"/>
                  <w:marRight w:val="0"/>
                  <w:marTop w:val="0"/>
                  <w:marBottom w:val="0"/>
                  <w:divBdr>
                    <w:top w:val="none" w:sz="0" w:space="0" w:color="auto"/>
                    <w:left w:val="none" w:sz="0" w:space="0" w:color="auto"/>
                    <w:bottom w:val="none" w:sz="0" w:space="0" w:color="auto"/>
                    <w:right w:val="none" w:sz="0" w:space="0" w:color="auto"/>
                  </w:divBdr>
                  <w:divsChild>
                    <w:div w:id="340738418">
                      <w:marLeft w:val="0"/>
                      <w:marRight w:val="0"/>
                      <w:marTop w:val="0"/>
                      <w:marBottom w:val="0"/>
                      <w:divBdr>
                        <w:top w:val="none" w:sz="0" w:space="0" w:color="auto"/>
                        <w:left w:val="none" w:sz="0" w:space="0" w:color="auto"/>
                        <w:bottom w:val="none" w:sz="0" w:space="0" w:color="auto"/>
                        <w:right w:val="none" w:sz="0" w:space="0" w:color="auto"/>
                      </w:divBdr>
                    </w:div>
                  </w:divsChild>
                </w:div>
                <w:div w:id="632635398">
                  <w:marLeft w:val="0"/>
                  <w:marRight w:val="0"/>
                  <w:marTop w:val="0"/>
                  <w:marBottom w:val="0"/>
                  <w:divBdr>
                    <w:top w:val="none" w:sz="0" w:space="0" w:color="auto"/>
                    <w:left w:val="none" w:sz="0" w:space="0" w:color="auto"/>
                    <w:bottom w:val="none" w:sz="0" w:space="0" w:color="auto"/>
                    <w:right w:val="none" w:sz="0" w:space="0" w:color="auto"/>
                  </w:divBdr>
                  <w:divsChild>
                    <w:div w:id="1288586157">
                      <w:marLeft w:val="0"/>
                      <w:marRight w:val="0"/>
                      <w:marTop w:val="0"/>
                      <w:marBottom w:val="0"/>
                      <w:divBdr>
                        <w:top w:val="none" w:sz="0" w:space="0" w:color="auto"/>
                        <w:left w:val="none" w:sz="0" w:space="0" w:color="auto"/>
                        <w:bottom w:val="none" w:sz="0" w:space="0" w:color="auto"/>
                        <w:right w:val="none" w:sz="0" w:space="0" w:color="auto"/>
                      </w:divBdr>
                    </w:div>
                    <w:div w:id="1602908486">
                      <w:marLeft w:val="0"/>
                      <w:marRight w:val="0"/>
                      <w:marTop w:val="0"/>
                      <w:marBottom w:val="0"/>
                      <w:divBdr>
                        <w:top w:val="none" w:sz="0" w:space="0" w:color="auto"/>
                        <w:left w:val="none" w:sz="0" w:space="0" w:color="auto"/>
                        <w:bottom w:val="none" w:sz="0" w:space="0" w:color="auto"/>
                        <w:right w:val="none" w:sz="0" w:space="0" w:color="auto"/>
                      </w:divBdr>
                    </w:div>
                  </w:divsChild>
                </w:div>
                <w:div w:id="591623980">
                  <w:marLeft w:val="0"/>
                  <w:marRight w:val="0"/>
                  <w:marTop w:val="0"/>
                  <w:marBottom w:val="0"/>
                  <w:divBdr>
                    <w:top w:val="none" w:sz="0" w:space="0" w:color="auto"/>
                    <w:left w:val="none" w:sz="0" w:space="0" w:color="auto"/>
                    <w:bottom w:val="none" w:sz="0" w:space="0" w:color="auto"/>
                    <w:right w:val="none" w:sz="0" w:space="0" w:color="auto"/>
                  </w:divBdr>
                  <w:divsChild>
                    <w:div w:id="1397123003">
                      <w:marLeft w:val="0"/>
                      <w:marRight w:val="0"/>
                      <w:marTop w:val="0"/>
                      <w:marBottom w:val="0"/>
                      <w:divBdr>
                        <w:top w:val="none" w:sz="0" w:space="0" w:color="auto"/>
                        <w:left w:val="none" w:sz="0" w:space="0" w:color="auto"/>
                        <w:bottom w:val="none" w:sz="0" w:space="0" w:color="auto"/>
                        <w:right w:val="none" w:sz="0" w:space="0" w:color="auto"/>
                      </w:divBdr>
                    </w:div>
                    <w:div w:id="236210132">
                      <w:marLeft w:val="0"/>
                      <w:marRight w:val="0"/>
                      <w:marTop w:val="0"/>
                      <w:marBottom w:val="0"/>
                      <w:divBdr>
                        <w:top w:val="none" w:sz="0" w:space="0" w:color="auto"/>
                        <w:left w:val="none" w:sz="0" w:space="0" w:color="auto"/>
                        <w:bottom w:val="none" w:sz="0" w:space="0" w:color="auto"/>
                        <w:right w:val="none" w:sz="0" w:space="0" w:color="auto"/>
                      </w:divBdr>
                    </w:div>
                  </w:divsChild>
                </w:div>
                <w:div w:id="1119108453">
                  <w:marLeft w:val="0"/>
                  <w:marRight w:val="0"/>
                  <w:marTop w:val="0"/>
                  <w:marBottom w:val="0"/>
                  <w:divBdr>
                    <w:top w:val="none" w:sz="0" w:space="0" w:color="auto"/>
                    <w:left w:val="none" w:sz="0" w:space="0" w:color="auto"/>
                    <w:bottom w:val="none" w:sz="0" w:space="0" w:color="auto"/>
                    <w:right w:val="none" w:sz="0" w:space="0" w:color="auto"/>
                  </w:divBdr>
                  <w:divsChild>
                    <w:div w:id="1892110286">
                      <w:marLeft w:val="0"/>
                      <w:marRight w:val="0"/>
                      <w:marTop w:val="0"/>
                      <w:marBottom w:val="0"/>
                      <w:divBdr>
                        <w:top w:val="none" w:sz="0" w:space="0" w:color="auto"/>
                        <w:left w:val="none" w:sz="0" w:space="0" w:color="auto"/>
                        <w:bottom w:val="none" w:sz="0" w:space="0" w:color="auto"/>
                        <w:right w:val="none" w:sz="0" w:space="0" w:color="auto"/>
                      </w:divBdr>
                    </w:div>
                  </w:divsChild>
                </w:div>
                <w:div w:id="522283802">
                  <w:marLeft w:val="0"/>
                  <w:marRight w:val="0"/>
                  <w:marTop w:val="0"/>
                  <w:marBottom w:val="0"/>
                  <w:divBdr>
                    <w:top w:val="none" w:sz="0" w:space="0" w:color="auto"/>
                    <w:left w:val="none" w:sz="0" w:space="0" w:color="auto"/>
                    <w:bottom w:val="none" w:sz="0" w:space="0" w:color="auto"/>
                    <w:right w:val="none" w:sz="0" w:space="0" w:color="auto"/>
                  </w:divBdr>
                  <w:divsChild>
                    <w:div w:id="1927380755">
                      <w:marLeft w:val="0"/>
                      <w:marRight w:val="0"/>
                      <w:marTop w:val="0"/>
                      <w:marBottom w:val="0"/>
                      <w:divBdr>
                        <w:top w:val="none" w:sz="0" w:space="0" w:color="auto"/>
                        <w:left w:val="none" w:sz="0" w:space="0" w:color="auto"/>
                        <w:bottom w:val="none" w:sz="0" w:space="0" w:color="auto"/>
                        <w:right w:val="none" w:sz="0" w:space="0" w:color="auto"/>
                      </w:divBdr>
                    </w:div>
                  </w:divsChild>
                </w:div>
                <w:div w:id="292254576">
                  <w:marLeft w:val="0"/>
                  <w:marRight w:val="0"/>
                  <w:marTop w:val="0"/>
                  <w:marBottom w:val="0"/>
                  <w:divBdr>
                    <w:top w:val="none" w:sz="0" w:space="0" w:color="auto"/>
                    <w:left w:val="none" w:sz="0" w:space="0" w:color="auto"/>
                    <w:bottom w:val="none" w:sz="0" w:space="0" w:color="auto"/>
                    <w:right w:val="none" w:sz="0" w:space="0" w:color="auto"/>
                  </w:divBdr>
                  <w:divsChild>
                    <w:div w:id="1529642972">
                      <w:marLeft w:val="0"/>
                      <w:marRight w:val="0"/>
                      <w:marTop w:val="0"/>
                      <w:marBottom w:val="0"/>
                      <w:divBdr>
                        <w:top w:val="none" w:sz="0" w:space="0" w:color="auto"/>
                        <w:left w:val="none" w:sz="0" w:space="0" w:color="auto"/>
                        <w:bottom w:val="none" w:sz="0" w:space="0" w:color="auto"/>
                        <w:right w:val="none" w:sz="0" w:space="0" w:color="auto"/>
                      </w:divBdr>
                    </w:div>
                    <w:div w:id="1313292940">
                      <w:marLeft w:val="0"/>
                      <w:marRight w:val="0"/>
                      <w:marTop w:val="0"/>
                      <w:marBottom w:val="0"/>
                      <w:divBdr>
                        <w:top w:val="none" w:sz="0" w:space="0" w:color="auto"/>
                        <w:left w:val="none" w:sz="0" w:space="0" w:color="auto"/>
                        <w:bottom w:val="none" w:sz="0" w:space="0" w:color="auto"/>
                        <w:right w:val="none" w:sz="0" w:space="0" w:color="auto"/>
                      </w:divBdr>
                    </w:div>
                  </w:divsChild>
                </w:div>
                <w:div w:id="495920959">
                  <w:marLeft w:val="0"/>
                  <w:marRight w:val="0"/>
                  <w:marTop w:val="0"/>
                  <w:marBottom w:val="0"/>
                  <w:divBdr>
                    <w:top w:val="none" w:sz="0" w:space="0" w:color="auto"/>
                    <w:left w:val="none" w:sz="0" w:space="0" w:color="auto"/>
                    <w:bottom w:val="none" w:sz="0" w:space="0" w:color="auto"/>
                    <w:right w:val="none" w:sz="0" w:space="0" w:color="auto"/>
                  </w:divBdr>
                  <w:divsChild>
                    <w:div w:id="685330505">
                      <w:marLeft w:val="0"/>
                      <w:marRight w:val="0"/>
                      <w:marTop w:val="0"/>
                      <w:marBottom w:val="0"/>
                      <w:divBdr>
                        <w:top w:val="none" w:sz="0" w:space="0" w:color="auto"/>
                        <w:left w:val="none" w:sz="0" w:space="0" w:color="auto"/>
                        <w:bottom w:val="none" w:sz="0" w:space="0" w:color="auto"/>
                        <w:right w:val="none" w:sz="0" w:space="0" w:color="auto"/>
                      </w:divBdr>
                    </w:div>
                  </w:divsChild>
                </w:div>
                <w:div w:id="211893186">
                  <w:marLeft w:val="0"/>
                  <w:marRight w:val="0"/>
                  <w:marTop w:val="0"/>
                  <w:marBottom w:val="0"/>
                  <w:divBdr>
                    <w:top w:val="none" w:sz="0" w:space="0" w:color="auto"/>
                    <w:left w:val="none" w:sz="0" w:space="0" w:color="auto"/>
                    <w:bottom w:val="none" w:sz="0" w:space="0" w:color="auto"/>
                    <w:right w:val="none" w:sz="0" w:space="0" w:color="auto"/>
                  </w:divBdr>
                  <w:divsChild>
                    <w:div w:id="761030622">
                      <w:marLeft w:val="0"/>
                      <w:marRight w:val="0"/>
                      <w:marTop w:val="0"/>
                      <w:marBottom w:val="0"/>
                      <w:divBdr>
                        <w:top w:val="none" w:sz="0" w:space="0" w:color="auto"/>
                        <w:left w:val="none" w:sz="0" w:space="0" w:color="auto"/>
                        <w:bottom w:val="none" w:sz="0" w:space="0" w:color="auto"/>
                        <w:right w:val="none" w:sz="0" w:space="0" w:color="auto"/>
                      </w:divBdr>
                    </w:div>
                    <w:div w:id="1395397567">
                      <w:marLeft w:val="0"/>
                      <w:marRight w:val="0"/>
                      <w:marTop w:val="0"/>
                      <w:marBottom w:val="0"/>
                      <w:divBdr>
                        <w:top w:val="none" w:sz="0" w:space="0" w:color="auto"/>
                        <w:left w:val="none" w:sz="0" w:space="0" w:color="auto"/>
                        <w:bottom w:val="none" w:sz="0" w:space="0" w:color="auto"/>
                        <w:right w:val="none" w:sz="0" w:space="0" w:color="auto"/>
                      </w:divBdr>
                    </w:div>
                  </w:divsChild>
                </w:div>
                <w:div w:id="1102142985">
                  <w:marLeft w:val="0"/>
                  <w:marRight w:val="0"/>
                  <w:marTop w:val="0"/>
                  <w:marBottom w:val="0"/>
                  <w:divBdr>
                    <w:top w:val="none" w:sz="0" w:space="0" w:color="auto"/>
                    <w:left w:val="none" w:sz="0" w:space="0" w:color="auto"/>
                    <w:bottom w:val="none" w:sz="0" w:space="0" w:color="auto"/>
                    <w:right w:val="none" w:sz="0" w:space="0" w:color="auto"/>
                  </w:divBdr>
                  <w:divsChild>
                    <w:div w:id="630092156">
                      <w:marLeft w:val="0"/>
                      <w:marRight w:val="0"/>
                      <w:marTop w:val="0"/>
                      <w:marBottom w:val="0"/>
                      <w:divBdr>
                        <w:top w:val="none" w:sz="0" w:space="0" w:color="auto"/>
                        <w:left w:val="none" w:sz="0" w:space="0" w:color="auto"/>
                        <w:bottom w:val="none" w:sz="0" w:space="0" w:color="auto"/>
                        <w:right w:val="none" w:sz="0" w:space="0" w:color="auto"/>
                      </w:divBdr>
                    </w:div>
                  </w:divsChild>
                </w:div>
                <w:div w:id="2060595318">
                  <w:marLeft w:val="0"/>
                  <w:marRight w:val="0"/>
                  <w:marTop w:val="0"/>
                  <w:marBottom w:val="0"/>
                  <w:divBdr>
                    <w:top w:val="none" w:sz="0" w:space="0" w:color="auto"/>
                    <w:left w:val="none" w:sz="0" w:space="0" w:color="auto"/>
                    <w:bottom w:val="none" w:sz="0" w:space="0" w:color="auto"/>
                    <w:right w:val="none" w:sz="0" w:space="0" w:color="auto"/>
                  </w:divBdr>
                  <w:divsChild>
                    <w:div w:id="307637181">
                      <w:marLeft w:val="0"/>
                      <w:marRight w:val="0"/>
                      <w:marTop w:val="0"/>
                      <w:marBottom w:val="0"/>
                      <w:divBdr>
                        <w:top w:val="none" w:sz="0" w:space="0" w:color="auto"/>
                        <w:left w:val="none" w:sz="0" w:space="0" w:color="auto"/>
                        <w:bottom w:val="none" w:sz="0" w:space="0" w:color="auto"/>
                        <w:right w:val="none" w:sz="0" w:space="0" w:color="auto"/>
                      </w:divBdr>
                    </w:div>
                    <w:div w:id="263155663">
                      <w:marLeft w:val="0"/>
                      <w:marRight w:val="0"/>
                      <w:marTop w:val="0"/>
                      <w:marBottom w:val="0"/>
                      <w:divBdr>
                        <w:top w:val="none" w:sz="0" w:space="0" w:color="auto"/>
                        <w:left w:val="none" w:sz="0" w:space="0" w:color="auto"/>
                        <w:bottom w:val="none" w:sz="0" w:space="0" w:color="auto"/>
                        <w:right w:val="none" w:sz="0" w:space="0" w:color="auto"/>
                      </w:divBdr>
                    </w:div>
                  </w:divsChild>
                </w:div>
                <w:div w:id="1837064595">
                  <w:marLeft w:val="0"/>
                  <w:marRight w:val="0"/>
                  <w:marTop w:val="0"/>
                  <w:marBottom w:val="0"/>
                  <w:divBdr>
                    <w:top w:val="none" w:sz="0" w:space="0" w:color="auto"/>
                    <w:left w:val="none" w:sz="0" w:space="0" w:color="auto"/>
                    <w:bottom w:val="none" w:sz="0" w:space="0" w:color="auto"/>
                    <w:right w:val="none" w:sz="0" w:space="0" w:color="auto"/>
                  </w:divBdr>
                  <w:divsChild>
                    <w:div w:id="894314348">
                      <w:marLeft w:val="0"/>
                      <w:marRight w:val="0"/>
                      <w:marTop w:val="0"/>
                      <w:marBottom w:val="0"/>
                      <w:divBdr>
                        <w:top w:val="none" w:sz="0" w:space="0" w:color="auto"/>
                        <w:left w:val="none" w:sz="0" w:space="0" w:color="auto"/>
                        <w:bottom w:val="none" w:sz="0" w:space="0" w:color="auto"/>
                        <w:right w:val="none" w:sz="0" w:space="0" w:color="auto"/>
                      </w:divBdr>
                    </w:div>
                  </w:divsChild>
                </w:div>
                <w:div w:id="1643344034">
                  <w:marLeft w:val="0"/>
                  <w:marRight w:val="0"/>
                  <w:marTop w:val="0"/>
                  <w:marBottom w:val="0"/>
                  <w:divBdr>
                    <w:top w:val="none" w:sz="0" w:space="0" w:color="auto"/>
                    <w:left w:val="none" w:sz="0" w:space="0" w:color="auto"/>
                    <w:bottom w:val="none" w:sz="0" w:space="0" w:color="auto"/>
                    <w:right w:val="none" w:sz="0" w:space="0" w:color="auto"/>
                  </w:divBdr>
                  <w:divsChild>
                    <w:div w:id="1804418924">
                      <w:marLeft w:val="0"/>
                      <w:marRight w:val="0"/>
                      <w:marTop w:val="0"/>
                      <w:marBottom w:val="0"/>
                      <w:divBdr>
                        <w:top w:val="none" w:sz="0" w:space="0" w:color="auto"/>
                        <w:left w:val="none" w:sz="0" w:space="0" w:color="auto"/>
                        <w:bottom w:val="none" w:sz="0" w:space="0" w:color="auto"/>
                        <w:right w:val="none" w:sz="0" w:space="0" w:color="auto"/>
                      </w:divBdr>
                    </w:div>
                    <w:div w:id="810563517">
                      <w:marLeft w:val="0"/>
                      <w:marRight w:val="0"/>
                      <w:marTop w:val="0"/>
                      <w:marBottom w:val="0"/>
                      <w:divBdr>
                        <w:top w:val="none" w:sz="0" w:space="0" w:color="auto"/>
                        <w:left w:val="none" w:sz="0" w:space="0" w:color="auto"/>
                        <w:bottom w:val="none" w:sz="0" w:space="0" w:color="auto"/>
                        <w:right w:val="none" w:sz="0" w:space="0" w:color="auto"/>
                      </w:divBdr>
                    </w:div>
                  </w:divsChild>
                </w:div>
                <w:div w:id="1188718289">
                  <w:marLeft w:val="0"/>
                  <w:marRight w:val="0"/>
                  <w:marTop w:val="0"/>
                  <w:marBottom w:val="0"/>
                  <w:divBdr>
                    <w:top w:val="none" w:sz="0" w:space="0" w:color="auto"/>
                    <w:left w:val="none" w:sz="0" w:space="0" w:color="auto"/>
                    <w:bottom w:val="none" w:sz="0" w:space="0" w:color="auto"/>
                    <w:right w:val="none" w:sz="0" w:space="0" w:color="auto"/>
                  </w:divBdr>
                  <w:divsChild>
                    <w:div w:id="285821615">
                      <w:marLeft w:val="0"/>
                      <w:marRight w:val="0"/>
                      <w:marTop w:val="0"/>
                      <w:marBottom w:val="0"/>
                      <w:divBdr>
                        <w:top w:val="none" w:sz="0" w:space="0" w:color="auto"/>
                        <w:left w:val="none" w:sz="0" w:space="0" w:color="auto"/>
                        <w:bottom w:val="none" w:sz="0" w:space="0" w:color="auto"/>
                        <w:right w:val="none" w:sz="0" w:space="0" w:color="auto"/>
                      </w:divBdr>
                    </w:div>
                  </w:divsChild>
                </w:div>
                <w:div w:id="885489052">
                  <w:marLeft w:val="0"/>
                  <w:marRight w:val="0"/>
                  <w:marTop w:val="0"/>
                  <w:marBottom w:val="0"/>
                  <w:divBdr>
                    <w:top w:val="none" w:sz="0" w:space="0" w:color="auto"/>
                    <w:left w:val="none" w:sz="0" w:space="0" w:color="auto"/>
                    <w:bottom w:val="none" w:sz="0" w:space="0" w:color="auto"/>
                    <w:right w:val="none" w:sz="0" w:space="0" w:color="auto"/>
                  </w:divBdr>
                  <w:divsChild>
                    <w:div w:id="30345608">
                      <w:marLeft w:val="0"/>
                      <w:marRight w:val="0"/>
                      <w:marTop w:val="0"/>
                      <w:marBottom w:val="0"/>
                      <w:divBdr>
                        <w:top w:val="none" w:sz="0" w:space="0" w:color="auto"/>
                        <w:left w:val="none" w:sz="0" w:space="0" w:color="auto"/>
                        <w:bottom w:val="none" w:sz="0" w:space="0" w:color="auto"/>
                        <w:right w:val="none" w:sz="0" w:space="0" w:color="auto"/>
                      </w:divBdr>
                    </w:div>
                  </w:divsChild>
                </w:div>
                <w:div w:id="167335430">
                  <w:marLeft w:val="0"/>
                  <w:marRight w:val="0"/>
                  <w:marTop w:val="0"/>
                  <w:marBottom w:val="0"/>
                  <w:divBdr>
                    <w:top w:val="none" w:sz="0" w:space="0" w:color="auto"/>
                    <w:left w:val="none" w:sz="0" w:space="0" w:color="auto"/>
                    <w:bottom w:val="none" w:sz="0" w:space="0" w:color="auto"/>
                    <w:right w:val="none" w:sz="0" w:space="0" w:color="auto"/>
                  </w:divBdr>
                  <w:divsChild>
                    <w:div w:id="1958099976">
                      <w:marLeft w:val="0"/>
                      <w:marRight w:val="0"/>
                      <w:marTop w:val="0"/>
                      <w:marBottom w:val="0"/>
                      <w:divBdr>
                        <w:top w:val="none" w:sz="0" w:space="0" w:color="auto"/>
                        <w:left w:val="none" w:sz="0" w:space="0" w:color="auto"/>
                        <w:bottom w:val="none" w:sz="0" w:space="0" w:color="auto"/>
                        <w:right w:val="none" w:sz="0" w:space="0" w:color="auto"/>
                      </w:divBdr>
                    </w:div>
                  </w:divsChild>
                </w:div>
                <w:div w:id="268586420">
                  <w:marLeft w:val="0"/>
                  <w:marRight w:val="0"/>
                  <w:marTop w:val="0"/>
                  <w:marBottom w:val="0"/>
                  <w:divBdr>
                    <w:top w:val="none" w:sz="0" w:space="0" w:color="auto"/>
                    <w:left w:val="none" w:sz="0" w:space="0" w:color="auto"/>
                    <w:bottom w:val="none" w:sz="0" w:space="0" w:color="auto"/>
                    <w:right w:val="none" w:sz="0" w:space="0" w:color="auto"/>
                  </w:divBdr>
                  <w:divsChild>
                    <w:div w:id="1349017045">
                      <w:marLeft w:val="0"/>
                      <w:marRight w:val="0"/>
                      <w:marTop w:val="0"/>
                      <w:marBottom w:val="0"/>
                      <w:divBdr>
                        <w:top w:val="none" w:sz="0" w:space="0" w:color="auto"/>
                        <w:left w:val="none" w:sz="0" w:space="0" w:color="auto"/>
                        <w:bottom w:val="none" w:sz="0" w:space="0" w:color="auto"/>
                        <w:right w:val="none" w:sz="0" w:space="0" w:color="auto"/>
                      </w:divBdr>
                    </w:div>
                    <w:div w:id="1723014827">
                      <w:marLeft w:val="0"/>
                      <w:marRight w:val="0"/>
                      <w:marTop w:val="0"/>
                      <w:marBottom w:val="0"/>
                      <w:divBdr>
                        <w:top w:val="none" w:sz="0" w:space="0" w:color="auto"/>
                        <w:left w:val="none" w:sz="0" w:space="0" w:color="auto"/>
                        <w:bottom w:val="none" w:sz="0" w:space="0" w:color="auto"/>
                        <w:right w:val="none" w:sz="0" w:space="0" w:color="auto"/>
                      </w:divBdr>
                    </w:div>
                  </w:divsChild>
                </w:div>
                <w:div w:id="409155932">
                  <w:marLeft w:val="0"/>
                  <w:marRight w:val="0"/>
                  <w:marTop w:val="0"/>
                  <w:marBottom w:val="0"/>
                  <w:divBdr>
                    <w:top w:val="none" w:sz="0" w:space="0" w:color="auto"/>
                    <w:left w:val="none" w:sz="0" w:space="0" w:color="auto"/>
                    <w:bottom w:val="none" w:sz="0" w:space="0" w:color="auto"/>
                    <w:right w:val="none" w:sz="0" w:space="0" w:color="auto"/>
                  </w:divBdr>
                  <w:divsChild>
                    <w:div w:id="133027">
                      <w:marLeft w:val="0"/>
                      <w:marRight w:val="0"/>
                      <w:marTop w:val="0"/>
                      <w:marBottom w:val="0"/>
                      <w:divBdr>
                        <w:top w:val="none" w:sz="0" w:space="0" w:color="auto"/>
                        <w:left w:val="none" w:sz="0" w:space="0" w:color="auto"/>
                        <w:bottom w:val="none" w:sz="0" w:space="0" w:color="auto"/>
                        <w:right w:val="none" w:sz="0" w:space="0" w:color="auto"/>
                      </w:divBdr>
                    </w:div>
                    <w:div w:id="83455835">
                      <w:marLeft w:val="0"/>
                      <w:marRight w:val="0"/>
                      <w:marTop w:val="0"/>
                      <w:marBottom w:val="0"/>
                      <w:divBdr>
                        <w:top w:val="none" w:sz="0" w:space="0" w:color="auto"/>
                        <w:left w:val="none" w:sz="0" w:space="0" w:color="auto"/>
                        <w:bottom w:val="none" w:sz="0" w:space="0" w:color="auto"/>
                        <w:right w:val="none" w:sz="0" w:space="0" w:color="auto"/>
                      </w:divBdr>
                    </w:div>
                    <w:div w:id="203906652">
                      <w:marLeft w:val="0"/>
                      <w:marRight w:val="0"/>
                      <w:marTop w:val="0"/>
                      <w:marBottom w:val="0"/>
                      <w:divBdr>
                        <w:top w:val="none" w:sz="0" w:space="0" w:color="auto"/>
                        <w:left w:val="none" w:sz="0" w:space="0" w:color="auto"/>
                        <w:bottom w:val="none" w:sz="0" w:space="0" w:color="auto"/>
                        <w:right w:val="none" w:sz="0" w:space="0" w:color="auto"/>
                      </w:divBdr>
                    </w:div>
                    <w:div w:id="548611892">
                      <w:marLeft w:val="0"/>
                      <w:marRight w:val="0"/>
                      <w:marTop w:val="0"/>
                      <w:marBottom w:val="0"/>
                      <w:divBdr>
                        <w:top w:val="none" w:sz="0" w:space="0" w:color="auto"/>
                        <w:left w:val="none" w:sz="0" w:space="0" w:color="auto"/>
                        <w:bottom w:val="none" w:sz="0" w:space="0" w:color="auto"/>
                        <w:right w:val="none" w:sz="0" w:space="0" w:color="auto"/>
                      </w:divBdr>
                    </w:div>
                  </w:divsChild>
                </w:div>
                <w:div w:id="484660616">
                  <w:marLeft w:val="0"/>
                  <w:marRight w:val="0"/>
                  <w:marTop w:val="0"/>
                  <w:marBottom w:val="0"/>
                  <w:divBdr>
                    <w:top w:val="none" w:sz="0" w:space="0" w:color="auto"/>
                    <w:left w:val="none" w:sz="0" w:space="0" w:color="auto"/>
                    <w:bottom w:val="none" w:sz="0" w:space="0" w:color="auto"/>
                    <w:right w:val="none" w:sz="0" w:space="0" w:color="auto"/>
                  </w:divBdr>
                  <w:divsChild>
                    <w:div w:id="109129045">
                      <w:marLeft w:val="0"/>
                      <w:marRight w:val="0"/>
                      <w:marTop w:val="0"/>
                      <w:marBottom w:val="0"/>
                      <w:divBdr>
                        <w:top w:val="none" w:sz="0" w:space="0" w:color="auto"/>
                        <w:left w:val="none" w:sz="0" w:space="0" w:color="auto"/>
                        <w:bottom w:val="none" w:sz="0" w:space="0" w:color="auto"/>
                        <w:right w:val="none" w:sz="0" w:space="0" w:color="auto"/>
                      </w:divBdr>
                    </w:div>
                  </w:divsChild>
                </w:div>
                <w:div w:id="764232773">
                  <w:marLeft w:val="0"/>
                  <w:marRight w:val="0"/>
                  <w:marTop w:val="0"/>
                  <w:marBottom w:val="0"/>
                  <w:divBdr>
                    <w:top w:val="none" w:sz="0" w:space="0" w:color="auto"/>
                    <w:left w:val="none" w:sz="0" w:space="0" w:color="auto"/>
                    <w:bottom w:val="none" w:sz="0" w:space="0" w:color="auto"/>
                    <w:right w:val="none" w:sz="0" w:space="0" w:color="auto"/>
                  </w:divBdr>
                  <w:divsChild>
                    <w:div w:id="1644652092">
                      <w:marLeft w:val="0"/>
                      <w:marRight w:val="0"/>
                      <w:marTop w:val="0"/>
                      <w:marBottom w:val="0"/>
                      <w:divBdr>
                        <w:top w:val="none" w:sz="0" w:space="0" w:color="auto"/>
                        <w:left w:val="none" w:sz="0" w:space="0" w:color="auto"/>
                        <w:bottom w:val="none" w:sz="0" w:space="0" w:color="auto"/>
                        <w:right w:val="none" w:sz="0" w:space="0" w:color="auto"/>
                      </w:divBdr>
                    </w:div>
                  </w:divsChild>
                </w:div>
                <w:div w:id="1274483151">
                  <w:marLeft w:val="0"/>
                  <w:marRight w:val="0"/>
                  <w:marTop w:val="0"/>
                  <w:marBottom w:val="0"/>
                  <w:divBdr>
                    <w:top w:val="none" w:sz="0" w:space="0" w:color="auto"/>
                    <w:left w:val="none" w:sz="0" w:space="0" w:color="auto"/>
                    <w:bottom w:val="none" w:sz="0" w:space="0" w:color="auto"/>
                    <w:right w:val="none" w:sz="0" w:space="0" w:color="auto"/>
                  </w:divBdr>
                  <w:divsChild>
                    <w:div w:id="681662629">
                      <w:marLeft w:val="0"/>
                      <w:marRight w:val="0"/>
                      <w:marTop w:val="0"/>
                      <w:marBottom w:val="0"/>
                      <w:divBdr>
                        <w:top w:val="none" w:sz="0" w:space="0" w:color="auto"/>
                        <w:left w:val="none" w:sz="0" w:space="0" w:color="auto"/>
                        <w:bottom w:val="none" w:sz="0" w:space="0" w:color="auto"/>
                        <w:right w:val="none" w:sz="0" w:space="0" w:color="auto"/>
                      </w:divBdr>
                    </w:div>
                  </w:divsChild>
                </w:div>
                <w:div w:id="623929893">
                  <w:marLeft w:val="0"/>
                  <w:marRight w:val="0"/>
                  <w:marTop w:val="0"/>
                  <w:marBottom w:val="0"/>
                  <w:divBdr>
                    <w:top w:val="none" w:sz="0" w:space="0" w:color="auto"/>
                    <w:left w:val="none" w:sz="0" w:space="0" w:color="auto"/>
                    <w:bottom w:val="none" w:sz="0" w:space="0" w:color="auto"/>
                    <w:right w:val="none" w:sz="0" w:space="0" w:color="auto"/>
                  </w:divBdr>
                  <w:divsChild>
                    <w:div w:id="1349985333">
                      <w:marLeft w:val="0"/>
                      <w:marRight w:val="0"/>
                      <w:marTop w:val="0"/>
                      <w:marBottom w:val="0"/>
                      <w:divBdr>
                        <w:top w:val="none" w:sz="0" w:space="0" w:color="auto"/>
                        <w:left w:val="none" w:sz="0" w:space="0" w:color="auto"/>
                        <w:bottom w:val="none" w:sz="0" w:space="0" w:color="auto"/>
                        <w:right w:val="none" w:sz="0" w:space="0" w:color="auto"/>
                      </w:divBdr>
                    </w:div>
                  </w:divsChild>
                </w:div>
                <w:div w:id="2006778860">
                  <w:marLeft w:val="0"/>
                  <w:marRight w:val="0"/>
                  <w:marTop w:val="0"/>
                  <w:marBottom w:val="0"/>
                  <w:divBdr>
                    <w:top w:val="none" w:sz="0" w:space="0" w:color="auto"/>
                    <w:left w:val="none" w:sz="0" w:space="0" w:color="auto"/>
                    <w:bottom w:val="none" w:sz="0" w:space="0" w:color="auto"/>
                    <w:right w:val="none" w:sz="0" w:space="0" w:color="auto"/>
                  </w:divBdr>
                  <w:divsChild>
                    <w:div w:id="991175705">
                      <w:marLeft w:val="0"/>
                      <w:marRight w:val="0"/>
                      <w:marTop w:val="0"/>
                      <w:marBottom w:val="0"/>
                      <w:divBdr>
                        <w:top w:val="none" w:sz="0" w:space="0" w:color="auto"/>
                        <w:left w:val="none" w:sz="0" w:space="0" w:color="auto"/>
                        <w:bottom w:val="none" w:sz="0" w:space="0" w:color="auto"/>
                        <w:right w:val="none" w:sz="0" w:space="0" w:color="auto"/>
                      </w:divBdr>
                    </w:div>
                  </w:divsChild>
                </w:div>
                <w:div w:id="1173842650">
                  <w:marLeft w:val="0"/>
                  <w:marRight w:val="0"/>
                  <w:marTop w:val="0"/>
                  <w:marBottom w:val="0"/>
                  <w:divBdr>
                    <w:top w:val="none" w:sz="0" w:space="0" w:color="auto"/>
                    <w:left w:val="none" w:sz="0" w:space="0" w:color="auto"/>
                    <w:bottom w:val="none" w:sz="0" w:space="0" w:color="auto"/>
                    <w:right w:val="none" w:sz="0" w:space="0" w:color="auto"/>
                  </w:divBdr>
                  <w:divsChild>
                    <w:div w:id="103960283">
                      <w:marLeft w:val="0"/>
                      <w:marRight w:val="0"/>
                      <w:marTop w:val="0"/>
                      <w:marBottom w:val="0"/>
                      <w:divBdr>
                        <w:top w:val="none" w:sz="0" w:space="0" w:color="auto"/>
                        <w:left w:val="none" w:sz="0" w:space="0" w:color="auto"/>
                        <w:bottom w:val="none" w:sz="0" w:space="0" w:color="auto"/>
                        <w:right w:val="none" w:sz="0" w:space="0" w:color="auto"/>
                      </w:divBdr>
                    </w:div>
                  </w:divsChild>
                </w:div>
                <w:div w:id="235750506">
                  <w:marLeft w:val="0"/>
                  <w:marRight w:val="0"/>
                  <w:marTop w:val="0"/>
                  <w:marBottom w:val="0"/>
                  <w:divBdr>
                    <w:top w:val="none" w:sz="0" w:space="0" w:color="auto"/>
                    <w:left w:val="none" w:sz="0" w:space="0" w:color="auto"/>
                    <w:bottom w:val="none" w:sz="0" w:space="0" w:color="auto"/>
                    <w:right w:val="none" w:sz="0" w:space="0" w:color="auto"/>
                  </w:divBdr>
                  <w:divsChild>
                    <w:div w:id="1582251489">
                      <w:marLeft w:val="0"/>
                      <w:marRight w:val="0"/>
                      <w:marTop w:val="0"/>
                      <w:marBottom w:val="0"/>
                      <w:divBdr>
                        <w:top w:val="none" w:sz="0" w:space="0" w:color="auto"/>
                        <w:left w:val="none" w:sz="0" w:space="0" w:color="auto"/>
                        <w:bottom w:val="none" w:sz="0" w:space="0" w:color="auto"/>
                        <w:right w:val="none" w:sz="0" w:space="0" w:color="auto"/>
                      </w:divBdr>
                    </w:div>
                  </w:divsChild>
                </w:div>
                <w:div w:id="1258950427">
                  <w:marLeft w:val="0"/>
                  <w:marRight w:val="0"/>
                  <w:marTop w:val="0"/>
                  <w:marBottom w:val="0"/>
                  <w:divBdr>
                    <w:top w:val="none" w:sz="0" w:space="0" w:color="auto"/>
                    <w:left w:val="none" w:sz="0" w:space="0" w:color="auto"/>
                    <w:bottom w:val="none" w:sz="0" w:space="0" w:color="auto"/>
                    <w:right w:val="none" w:sz="0" w:space="0" w:color="auto"/>
                  </w:divBdr>
                  <w:divsChild>
                    <w:div w:id="986667456">
                      <w:marLeft w:val="0"/>
                      <w:marRight w:val="0"/>
                      <w:marTop w:val="0"/>
                      <w:marBottom w:val="0"/>
                      <w:divBdr>
                        <w:top w:val="none" w:sz="0" w:space="0" w:color="auto"/>
                        <w:left w:val="none" w:sz="0" w:space="0" w:color="auto"/>
                        <w:bottom w:val="none" w:sz="0" w:space="0" w:color="auto"/>
                        <w:right w:val="none" w:sz="0" w:space="0" w:color="auto"/>
                      </w:divBdr>
                    </w:div>
                  </w:divsChild>
                </w:div>
                <w:div w:id="1252662538">
                  <w:marLeft w:val="0"/>
                  <w:marRight w:val="0"/>
                  <w:marTop w:val="0"/>
                  <w:marBottom w:val="0"/>
                  <w:divBdr>
                    <w:top w:val="none" w:sz="0" w:space="0" w:color="auto"/>
                    <w:left w:val="none" w:sz="0" w:space="0" w:color="auto"/>
                    <w:bottom w:val="none" w:sz="0" w:space="0" w:color="auto"/>
                    <w:right w:val="none" w:sz="0" w:space="0" w:color="auto"/>
                  </w:divBdr>
                  <w:divsChild>
                    <w:div w:id="175074459">
                      <w:marLeft w:val="0"/>
                      <w:marRight w:val="0"/>
                      <w:marTop w:val="0"/>
                      <w:marBottom w:val="0"/>
                      <w:divBdr>
                        <w:top w:val="none" w:sz="0" w:space="0" w:color="auto"/>
                        <w:left w:val="none" w:sz="0" w:space="0" w:color="auto"/>
                        <w:bottom w:val="none" w:sz="0" w:space="0" w:color="auto"/>
                        <w:right w:val="none" w:sz="0" w:space="0" w:color="auto"/>
                      </w:divBdr>
                    </w:div>
                    <w:div w:id="515267809">
                      <w:marLeft w:val="0"/>
                      <w:marRight w:val="0"/>
                      <w:marTop w:val="0"/>
                      <w:marBottom w:val="0"/>
                      <w:divBdr>
                        <w:top w:val="none" w:sz="0" w:space="0" w:color="auto"/>
                        <w:left w:val="none" w:sz="0" w:space="0" w:color="auto"/>
                        <w:bottom w:val="none" w:sz="0" w:space="0" w:color="auto"/>
                        <w:right w:val="none" w:sz="0" w:space="0" w:color="auto"/>
                      </w:divBdr>
                    </w:div>
                  </w:divsChild>
                </w:div>
                <w:div w:id="1635403287">
                  <w:marLeft w:val="0"/>
                  <w:marRight w:val="0"/>
                  <w:marTop w:val="0"/>
                  <w:marBottom w:val="0"/>
                  <w:divBdr>
                    <w:top w:val="none" w:sz="0" w:space="0" w:color="auto"/>
                    <w:left w:val="none" w:sz="0" w:space="0" w:color="auto"/>
                    <w:bottom w:val="none" w:sz="0" w:space="0" w:color="auto"/>
                    <w:right w:val="none" w:sz="0" w:space="0" w:color="auto"/>
                  </w:divBdr>
                  <w:divsChild>
                    <w:div w:id="271790847">
                      <w:marLeft w:val="0"/>
                      <w:marRight w:val="0"/>
                      <w:marTop w:val="0"/>
                      <w:marBottom w:val="0"/>
                      <w:divBdr>
                        <w:top w:val="none" w:sz="0" w:space="0" w:color="auto"/>
                        <w:left w:val="none" w:sz="0" w:space="0" w:color="auto"/>
                        <w:bottom w:val="none" w:sz="0" w:space="0" w:color="auto"/>
                        <w:right w:val="none" w:sz="0" w:space="0" w:color="auto"/>
                      </w:divBdr>
                    </w:div>
                    <w:div w:id="1855681952">
                      <w:marLeft w:val="0"/>
                      <w:marRight w:val="0"/>
                      <w:marTop w:val="0"/>
                      <w:marBottom w:val="0"/>
                      <w:divBdr>
                        <w:top w:val="none" w:sz="0" w:space="0" w:color="auto"/>
                        <w:left w:val="none" w:sz="0" w:space="0" w:color="auto"/>
                        <w:bottom w:val="none" w:sz="0" w:space="0" w:color="auto"/>
                        <w:right w:val="none" w:sz="0" w:space="0" w:color="auto"/>
                      </w:divBdr>
                    </w:div>
                    <w:div w:id="497303943">
                      <w:marLeft w:val="0"/>
                      <w:marRight w:val="0"/>
                      <w:marTop w:val="0"/>
                      <w:marBottom w:val="0"/>
                      <w:divBdr>
                        <w:top w:val="none" w:sz="0" w:space="0" w:color="auto"/>
                        <w:left w:val="none" w:sz="0" w:space="0" w:color="auto"/>
                        <w:bottom w:val="none" w:sz="0" w:space="0" w:color="auto"/>
                        <w:right w:val="none" w:sz="0" w:space="0" w:color="auto"/>
                      </w:divBdr>
                    </w:div>
                  </w:divsChild>
                </w:div>
                <w:div w:id="913663266">
                  <w:marLeft w:val="0"/>
                  <w:marRight w:val="0"/>
                  <w:marTop w:val="0"/>
                  <w:marBottom w:val="0"/>
                  <w:divBdr>
                    <w:top w:val="none" w:sz="0" w:space="0" w:color="auto"/>
                    <w:left w:val="none" w:sz="0" w:space="0" w:color="auto"/>
                    <w:bottom w:val="none" w:sz="0" w:space="0" w:color="auto"/>
                    <w:right w:val="none" w:sz="0" w:space="0" w:color="auto"/>
                  </w:divBdr>
                  <w:divsChild>
                    <w:div w:id="2089496414">
                      <w:marLeft w:val="0"/>
                      <w:marRight w:val="0"/>
                      <w:marTop w:val="0"/>
                      <w:marBottom w:val="0"/>
                      <w:divBdr>
                        <w:top w:val="none" w:sz="0" w:space="0" w:color="auto"/>
                        <w:left w:val="none" w:sz="0" w:space="0" w:color="auto"/>
                        <w:bottom w:val="none" w:sz="0" w:space="0" w:color="auto"/>
                        <w:right w:val="none" w:sz="0" w:space="0" w:color="auto"/>
                      </w:divBdr>
                    </w:div>
                  </w:divsChild>
                </w:div>
                <w:div w:id="1728871028">
                  <w:marLeft w:val="0"/>
                  <w:marRight w:val="0"/>
                  <w:marTop w:val="0"/>
                  <w:marBottom w:val="0"/>
                  <w:divBdr>
                    <w:top w:val="none" w:sz="0" w:space="0" w:color="auto"/>
                    <w:left w:val="none" w:sz="0" w:space="0" w:color="auto"/>
                    <w:bottom w:val="none" w:sz="0" w:space="0" w:color="auto"/>
                    <w:right w:val="none" w:sz="0" w:space="0" w:color="auto"/>
                  </w:divBdr>
                  <w:divsChild>
                    <w:div w:id="1886258092">
                      <w:marLeft w:val="0"/>
                      <w:marRight w:val="0"/>
                      <w:marTop w:val="0"/>
                      <w:marBottom w:val="0"/>
                      <w:divBdr>
                        <w:top w:val="none" w:sz="0" w:space="0" w:color="auto"/>
                        <w:left w:val="none" w:sz="0" w:space="0" w:color="auto"/>
                        <w:bottom w:val="none" w:sz="0" w:space="0" w:color="auto"/>
                        <w:right w:val="none" w:sz="0" w:space="0" w:color="auto"/>
                      </w:divBdr>
                    </w:div>
                  </w:divsChild>
                </w:div>
                <w:div w:id="2051614149">
                  <w:marLeft w:val="0"/>
                  <w:marRight w:val="0"/>
                  <w:marTop w:val="0"/>
                  <w:marBottom w:val="0"/>
                  <w:divBdr>
                    <w:top w:val="none" w:sz="0" w:space="0" w:color="auto"/>
                    <w:left w:val="none" w:sz="0" w:space="0" w:color="auto"/>
                    <w:bottom w:val="none" w:sz="0" w:space="0" w:color="auto"/>
                    <w:right w:val="none" w:sz="0" w:space="0" w:color="auto"/>
                  </w:divBdr>
                  <w:divsChild>
                    <w:div w:id="1709722450">
                      <w:marLeft w:val="0"/>
                      <w:marRight w:val="0"/>
                      <w:marTop w:val="0"/>
                      <w:marBottom w:val="0"/>
                      <w:divBdr>
                        <w:top w:val="none" w:sz="0" w:space="0" w:color="auto"/>
                        <w:left w:val="none" w:sz="0" w:space="0" w:color="auto"/>
                        <w:bottom w:val="none" w:sz="0" w:space="0" w:color="auto"/>
                        <w:right w:val="none" w:sz="0" w:space="0" w:color="auto"/>
                      </w:divBdr>
                    </w:div>
                    <w:div w:id="952906198">
                      <w:marLeft w:val="0"/>
                      <w:marRight w:val="0"/>
                      <w:marTop w:val="0"/>
                      <w:marBottom w:val="0"/>
                      <w:divBdr>
                        <w:top w:val="none" w:sz="0" w:space="0" w:color="auto"/>
                        <w:left w:val="none" w:sz="0" w:space="0" w:color="auto"/>
                        <w:bottom w:val="none" w:sz="0" w:space="0" w:color="auto"/>
                        <w:right w:val="none" w:sz="0" w:space="0" w:color="auto"/>
                      </w:divBdr>
                    </w:div>
                  </w:divsChild>
                </w:div>
                <w:div w:id="634722667">
                  <w:marLeft w:val="0"/>
                  <w:marRight w:val="0"/>
                  <w:marTop w:val="0"/>
                  <w:marBottom w:val="0"/>
                  <w:divBdr>
                    <w:top w:val="none" w:sz="0" w:space="0" w:color="auto"/>
                    <w:left w:val="none" w:sz="0" w:space="0" w:color="auto"/>
                    <w:bottom w:val="none" w:sz="0" w:space="0" w:color="auto"/>
                    <w:right w:val="none" w:sz="0" w:space="0" w:color="auto"/>
                  </w:divBdr>
                  <w:divsChild>
                    <w:div w:id="304698419">
                      <w:marLeft w:val="0"/>
                      <w:marRight w:val="0"/>
                      <w:marTop w:val="0"/>
                      <w:marBottom w:val="0"/>
                      <w:divBdr>
                        <w:top w:val="none" w:sz="0" w:space="0" w:color="auto"/>
                        <w:left w:val="none" w:sz="0" w:space="0" w:color="auto"/>
                        <w:bottom w:val="none" w:sz="0" w:space="0" w:color="auto"/>
                        <w:right w:val="none" w:sz="0" w:space="0" w:color="auto"/>
                      </w:divBdr>
                    </w:div>
                    <w:div w:id="1126123534">
                      <w:marLeft w:val="0"/>
                      <w:marRight w:val="0"/>
                      <w:marTop w:val="0"/>
                      <w:marBottom w:val="0"/>
                      <w:divBdr>
                        <w:top w:val="none" w:sz="0" w:space="0" w:color="auto"/>
                        <w:left w:val="none" w:sz="0" w:space="0" w:color="auto"/>
                        <w:bottom w:val="none" w:sz="0" w:space="0" w:color="auto"/>
                        <w:right w:val="none" w:sz="0" w:space="0" w:color="auto"/>
                      </w:divBdr>
                    </w:div>
                    <w:div w:id="14565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2266">
          <w:marLeft w:val="0"/>
          <w:marRight w:val="0"/>
          <w:marTop w:val="0"/>
          <w:marBottom w:val="0"/>
          <w:divBdr>
            <w:top w:val="none" w:sz="0" w:space="0" w:color="auto"/>
            <w:left w:val="none" w:sz="0" w:space="0" w:color="auto"/>
            <w:bottom w:val="none" w:sz="0" w:space="0" w:color="auto"/>
            <w:right w:val="none" w:sz="0" w:space="0" w:color="auto"/>
          </w:divBdr>
        </w:div>
      </w:divsChild>
    </w:div>
    <w:div w:id="469828192">
      <w:bodyDiv w:val="1"/>
      <w:marLeft w:val="0"/>
      <w:marRight w:val="0"/>
      <w:marTop w:val="0"/>
      <w:marBottom w:val="0"/>
      <w:divBdr>
        <w:top w:val="none" w:sz="0" w:space="0" w:color="auto"/>
        <w:left w:val="none" w:sz="0" w:space="0" w:color="auto"/>
        <w:bottom w:val="none" w:sz="0" w:space="0" w:color="auto"/>
        <w:right w:val="none" w:sz="0" w:space="0" w:color="auto"/>
      </w:divBdr>
    </w:div>
    <w:div w:id="482697234">
      <w:bodyDiv w:val="1"/>
      <w:marLeft w:val="0"/>
      <w:marRight w:val="0"/>
      <w:marTop w:val="0"/>
      <w:marBottom w:val="0"/>
      <w:divBdr>
        <w:top w:val="none" w:sz="0" w:space="0" w:color="auto"/>
        <w:left w:val="none" w:sz="0" w:space="0" w:color="auto"/>
        <w:bottom w:val="none" w:sz="0" w:space="0" w:color="auto"/>
        <w:right w:val="none" w:sz="0" w:space="0" w:color="auto"/>
      </w:divBdr>
    </w:div>
    <w:div w:id="501235947">
      <w:bodyDiv w:val="1"/>
      <w:marLeft w:val="0"/>
      <w:marRight w:val="0"/>
      <w:marTop w:val="0"/>
      <w:marBottom w:val="0"/>
      <w:divBdr>
        <w:top w:val="none" w:sz="0" w:space="0" w:color="auto"/>
        <w:left w:val="none" w:sz="0" w:space="0" w:color="auto"/>
        <w:bottom w:val="none" w:sz="0" w:space="0" w:color="auto"/>
        <w:right w:val="none" w:sz="0" w:space="0" w:color="auto"/>
      </w:divBdr>
    </w:div>
    <w:div w:id="581065492">
      <w:bodyDiv w:val="1"/>
      <w:marLeft w:val="0"/>
      <w:marRight w:val="0"/>
      <w:marTop w:val="0"/>
      <w:marBottom w:val="0"/>
      <w:divBdr>
        <w:top w:val="none" w:sz="0" w:space="0" w:color="auto"/>
        <w:left w:val="none" w:sz="0" w:space="0" w:color="auto"/>
        <w:bottom w:val="none" w:sz="0" w:space="0" w:color="auto"/>
        <w:right w:val="none" w:sz="0" w:space="0" w:color="auto"/>
      </w:divBdr>
    </w:div>
    <w:div w:id="632753642">
      <w:bodyDiv w:val="1"/>
      <w:marLeft w:val="0"/>
      <w:marRight w:val="0"/>
      <w:marTop w:val="0"/>
      <w:marBottom w:val="0"/>
      <w:divBdr>
        <w:top w:val="none" w:sz="0" w:space="0" w:color="auto"/>
        <w:left w:val="none" w:sz="0" w:space="0" w:color="auto"/>
        <w:bottom w:val="none" w:sz="0" w:space="0" w:color="auto"/>
        <w:right w:val="none" w:sz="0" w:space="0" w:color="auto"/>
      </w:divBdr>
    </w:div>
    <w:div w:id="649216039">
      <w:bodyDiv w:val="1"/>
      <w:marLeft w:val="0"/>
      <w:marRight w:val="0"/>
      <w:marTop w:val="0"/>
      <w:marBottom w:val="0"/>
      <w:divBdr>
        <w:top w:val="none" w:sz="0" w:space="0" w:color="auto"/>
        <w:left w:val="none" w:sz="0" w:space="0" w:color="auto"/>
        <w:bottom w:val="none" w:sz="0" w:space="0" w:color="auto"/>
        <w:right w:val="none" w:sz="0" w:space="0" w:color="auto"/>
      </w:divBdr>
    </w:div>
    <w:div w:id="664822320">
      <w:bodyDiv w:val="1"/>
      <w:marLeft w:val="0"/>
      <w:marRight w:val="0"/>
      <w:marTop w:val="0"/>
      <w:marBottom w:val="0"/>
      <w:divBdr>
        <w:top w:val="none" w:sz="0" w:space="0" w:color="auto"/>
        <w:left w:val="none" w:sz="0" w:space="0" w:color="auto"/>
        <w:bottom w:val="none" w:sz="0" w:space="0" w:color="auto"/>
        <w:right w:val="none" w:sz="0" w:space="0" w:color="auto"/>
      </w:divBdr>
    </w:div>
    <w:div w:id="672992275">
      <w:bodyDiv w:val="1"/>
      <w:marLeft w:val="0"/>
      <w:marRight w:val="0"/>
      <w:marTop w:val="0"/>
      <w:marBottom w:val="0"/>
      <w:divBdr>
        <w:top w:val="none" w:sz="0" w:space="0" w:color="auto"/>
        <w:left w:val="none" w:sz="0" w:space="0" w:color="auto"/>
        <w:bottom w:val="none" w:sz="0" w:space="0" w:color="auto"/>
        <w:right w:val="none" w:sz="0" w:space="0" w:color="auto"/>
      </w:divBdr>
    </w:div>
    <w:div w:id="761947574">
      <w:bodyDiv w:val="1"/>
      <w:marLeft w:val="0"/>
      <w:marRight w:val="0"/>
      <w:marTop w:val="0"/>
      <w:marBottom w:val="0"/>
      <w:divBdr>
        <w:top w:val="none" w:sz="0" w:space="0" w:color="auto"/>
        <w:left w:val="none" w:sz="0" w:space="0" w:color="auto"/>
        <w:bottom w:val="none" w:sz="0" w:space="0" w:color="auto"/>
        <w:right w:val="none" w:sz="0" w:space="0" w:color="auto"/>
      </w:divBdr>
      <w:divsChild>
        <w:div w:id="1945724350">
          <w:marLeft w:val="0"/>
          <w:marRight w:val="0"/>
          <w:marTop w:val="0"/>
          <w:marBottom w:val="0"/>
          <w:divBdr>
            <w:top w:val="none" w:sz="0" w:space="0" w:color="auto"/>
            <w:left w:val="none" w:sz="0" w:space="0" w:color="auto"/>
            <w:bottom w:val="none" w:sz="0" w:space="0" w:color="auto"/>
            <w:right w:val="none" w:sz="0" w:space="0" w:color="auto"/>
          </w:divBdr>
        </w:div>
        <w:div w:id="1169640081">
          <w:marLeft w:val="0"/>
          <w:marRight w:val="0"/>
          <w:marTop w:val="0"/>
          <w:marBottom w:val="0"/>
          <w:divBdr>
            <w:top w:val="none" w:sz="0" w:space="0" w:color="auto"/>
            <w:left w:val="none" w:sz="0" w:space="0" w:color="auto"/>
            <w:bottom w:val="none" w:sz="0" w:space="0" w:color="auto"/>
            <w:right w:val="none" w:sz="0" w:space="0" w:color="auto"/>
          </w:divBdr>
        </w:div>
        <w:div w:id="372537310">
          <w:marLeft w:val="0"/>
          <w:marRight w:val="0"/>
          <w:marTop w:val="0"/>
          <w:marBottom w:val="0"/>
          <w:divBdr>
            <w:top w:val="none" w:sz="0" w:space="0" w:color="auto"/>
            <w:left w:val="none" w:sz="0" w:space="0" w:color="auto"/>
            <w:bottom w:val="none" w:sz="0" w:space="0" w:color="auto"/>
            <w:right w:val="none" w:sz="0" w:space="0" w:color="auto"/>
          </w:divBdr>
          <w:divsChild>
            <w:div w:id="2100564707">
              <w:marLeft w:val="-75"/>
              <w:marRight w:val="0"/>
              <w:marTop w:val="30"/>
              <w:marBottom w:val="30"/>
              <w:divBdr>
                <w:top w:val="none" w:sz="0" w:space="0" w:color="auto"/>
                <w:left w:val="none" w:sz="0" w:space="0" w:color="auto"/>
                <w:bottom w:val="none" w:sz="0" w:space="0" w:color="auto"/>
                <w:right w:val="none" w:sz="0" w:space="0" w:color="auto"/>
              </w:divBdr>
              <w:divsChild>
                <w:div w:id="862789624">
                  <w:marLeft w:val="0"/>
                  <w:marRight w:val="0"/>
                  <w:marTop w:val="0"/>
                  <w:marBottom w:val="0"/>
                  <w:divBdr>
                    <w:top w:val="none" w:sz="0" w:space="0" w:color="auto"/>
                    <w:left w:val="none" w:sz="0" w:space="0" w:color="auto"/>
                    <w:bottom w:val="none" w:sz="0" w:space="0" w:color="auto"/>
                    <w:right w:val="none" w:sz="0" w:space="0" w:color="auto"/>
                  </w:divBdr>
                  <w:divsChild>
                    <w:div w:id="1126973853">
                      <w:marLeft w:val="0"/>
                      <w:marRight w:val="0"/>
                      <w:marTop w:val="0"/>
                      <w:marBottom w:val="0"/>
                      <w:divBdr>
                        <w:top w:val="none" w:sz="0" w:space="0" w:color="auto"/>
                        <w:left w:val="none" w:sz="0" w:space="0" w:color="auto"/>
                        <w:bottom w:val="none" w:sz="0" w:space="0" w:color="auto"/>
                        <w:right w:val="none" w:sz="0" w:space="0" w:color="auto"/>
                      </w:divBdr>
                    </w:div>
                  </w:divsChild>
                </w:div>
                <w:div w:id="402068505">
                  <w:marLeft w:val="0"/>
                  <w:marRight w:val="0"/>
                  <w:marTop w:val="0"/>
                  <w:marBottom w:val="0"/>
                  <w:divBdr>
                    <w:top w:val="none" w:sz="0" w:space="0" w:color="auto"/>
                    <w:left w:val="none" w:sz="0" w:space="0" w:color="auto"/>
                    <w:bottom w:val="none" w:sz="0" w:space="0" w:color="auto"/>
                    <w:right w:val="none" w:sz="0" w:space="0" w:color="auto"/>
                  </w:divBdr>
                  <w:divsChild>
                    <w:div w:id="1894653471">
                      <w:marLeft w:val="0"/>
                      <w:marRight w:val="0"/>
                      <w:marTop w:val="0"/>
                      <w:marBottom w:val="0"/>
                      <w:divBdr>
                        <w:top w:val="none" w:sz="0" w:space="0" w:color="auto"/>
                        <w:left w:val="none" w:sz="0" w:space="0" w:color="auto"/>
                        <w:bottom w:val="none" w:sz="0" w:space="0" w:color="auto"/>
                        <w:right w:val="none" w:sz="0" w:space="0" w:color="auto"/>
                      </w:divBdr>
                    </w:div>
                  </w:divsChild>
                </w:div>
                <w:div w:id="1039207255">
                  <w:marLeft w:val="0"/>
                  <w:marRight w:val="0"/>
                  <w:marTop w:val="0"/>
                  <w:marBottom w:val="0"/>
                  <w:divBdr>
                    <w:top w:val="none" w:sz="0" w:space="0" w:color="auto"/>
                    <w:left w:val="none" w:sz="0" w:space="0" w:color="auto"/>
                    <w:bottom w:val="none" w:sz="0" w:space="0" w:color="auto"/>
                    <w:right w:val="none" w:sz="0" w:space="0" w:color="auto"/>
                  </w:divBdr>
                  <w:divsChild>
                    <w:div w:id="511728955">
                      <w:marLeft w:val="0"/>
                      <w:marRight w:val="0"/>
                      <w:marTop w:val="0"/>
                      <w:marBottom w:val="0"/>
                      <w:divBdr>
                        <w:top w:val="none" w:sz="0" w:space="0" w:color="auto"/>
                        <w:left w:val="none" w:sz="0" w:space="0" w:color="auto"/>
                        <w:bottom w:val="none" w:sz="0" w:space="0" w:color="auto"/>
                        <w:right w:val="none" w:sz="0" w:space="0" w:color="auto"/>
                      </w:divBdr>
                    </w:div>
                  </w:divsChild>
                </w:div>
                <w:div w:id="808326949">
                  <w:marLeft w:val="0"/>
                  <w:marRight w:val="0"/>
                  <w:marTop w:val="0"/>
                  <w:marBottom w:val="0"/>
                  <w:divBdr>
                    <w:top w:val="none" w:sz="0" w:space="0" w:color="auto"/>
                    <w:left w:val="none" w:sz="0" w:space="0" w:color="auto"/>
                    <w:bottom w:val="none" w:sz="0" w:space="0" w:color="auto"/>
                    <w:right w:val="none" w:sz="0" w:space="0" w:color="auto"/>
                  </w:divBdr>
                  <w:divsChild>
                    <w:div w:id="330521751">
                      <w:marLeft w:val="0"/>
                      <w:marRight w:val="0"/>
                      <w:marTop w:val="0"/>
                      <w:marBottom w:val="0"/>
                      <w:divBdr>
                        <w:top w:val="none" w:sz="0" w:space="0" w:color="auto"/>
                        <w:left w:val="none" w:sz="0" w:space="0" w:color="auto"/>
                        <w:bottom w:val="none" w:sz="0" w:space="0" w:color="auto"/>
                        <w:right w:val="none" w:sz="0" w:space="0" w:color="auto"/>
                      </w:divBdr>
                    </w:div>
                  </w:divsChild>
                </w:div>
                <w:div w:id="1081491253">
                  <w:marLeft w:val="0"/>
                  <w:marRight w:val="0"/>
                  <w:marTop w:val="0"/>
                  <w:marBottom w:val="0"/>
                  <w:divBdr>
                    <w:top w:val="none" w:sz="0" w:space="0" w:color="auto"/>
                    <w:left w:val="none" w:sz="0" w:space="0" w:color="auto"/>
                    <w:bottom w:val="none" w:sz="0" w:space="0" w:color="auto"/>
                    <w:right w:val="none" w:sz="0" w:space="0" w:color="auto"/>
                  </w:divBdr>
                  <w:divsChild>
                    <w:div w:id="1646662522">
                      <w:marLeft w:val="0"/>
                      <w:marRight w:val="0"/>
                      <w:marTop w:val="0"/>
                      <w:marBottom w:val="0"/>
                      <w:divBdr>
                        <w:top w:val="none" w:sz="0" w:space="0" w:color="auto"/>
                        <w:left w:val="none" w:sz="0" w:space="0" w:color="auto"/>
                        <w:bottom w:val="none" w:sz="0" w:space="0" w:color="auto"/>
                        <w:right w:val="none" w:sz="0" w:space="0" w:color="auto"/>
                      </w:divBdr>
                    </w:div>
                  </w:divsChild>
                </w:div>
                <w:div w:id="992568438">
                  <w:marLeft w:val="0"/>
                  <w:marRight w:val="0"/>
                  <w:marTop w:val="0"/>
                  <w:marBottom w:val="0"/>
                  <w:divBdr>
                    <w:top w:val="none" w:sz="0" w:space="0" w:color="auto"/>
                    <w:left w:val="none" w:sz="0" w:space="0" w:color="auto"/>
                    <w:bottom w:val="none" w:sz="0" w:space="0" w:color="auto"/>
                    <w:right w:val="none" w:sz="0" w:space="0" w:color="auto"/>
                  </w:divBdr>
                  <w:divsChild>
                    <w:div w:id="1587691494">
                      <w:marLeft w:val="0"/>
                      <w:marRight w:val="0"/>
                      <w:marTop w:val="0"/>
                      <w:marBottom w:val="0"/>
                      <w:divBdr>
                        <w:top w:val="none" w:sz="0" w:space="0" w:color="auto"/>
                        <w:left w:val="none" w:sz="0" w:space="0" w:color="auto"/>
                        <w:bottom w:val="none" w:sz="0" w:space="0" w:color="auto"/>
                        <w:right w:val="none" w:sz="0" w:space="0" w:color="auto"/>
                      </w:divBdr>
                    </w:div>
                    <w:div w:id="1903251937">
                      <w:marLeft w:val="0"/>
                      <w:marRight w:val="0"/>
                      <w:marTop w:val="0"/>
                      <w:marBottom w:val="0"/>
                      <w:divBdr>
                        <w:top w:val="none" w:sz="0" w:space="0" w:color="auto"/>
                        <w:left w:val="none" w:sz="0" w:space="0" w:color="auto"/>
                        <w:bottom w:val="none" w:sz="0" w:space="0" w:color="auto"/>
                        <w:right w:val="none" w:sz="0" w:space="0" w:color="auto"/>
                      </w:divBdr>
                    </w:div>
                  </w:divsChild>
                </w:div>
                <w:div w:id="653487563">
                  <w:marLeft w:val="0"/>
                  <w:marRight w:val="0"/>
                  <w:marTop w:val="0"/>
                  <w:marBottom w:val="0"/>
                  <w:divBdr>
                    <w:top w:val="none" w:sz="0" w:space="0" w:color="auto"/>
                    <w:left w:val="none" w:sz="0" w:space="0" w:color="auto"/>
                    <w:bottom w:val="none" w:sz="0" w:space="0" w:color="auto"/>
                    <w:right w:val="none" w:sz="0" w:space="0" w:color="auto"/>
                  </w:divBdr>
                  <w:divsChild>
                    <w:div w:id="508102664">
                      <w:marLeft w:val="0"/>
                      <w:marRight w:val="0"/>
                      <w:marTop w:val="0"/>
                      <w:marBottom w:val="0"/>
                      <w:divBdr>
                        <w:top w:val="none" w:sz="0" w:space="0" w:color="auto"/>
                        <w:left w:val="none" w:sz="0" w:space="0" w:color="auto"/>
                        <w:bottom w:val="none" w:sz="0" w:space="0" w:color="auto"/>
                        <w:right w:val="none" w:sz="0" w:space="0" w:color="auto"/>
                      </w:divBdr>
                    </w:div>
                  </w:divsChild>
                </w:div>
                <w:div w:id="926035271">
                  <w:marLeft w:val="0"/>
                  <w:marRight w:val="0"/>
                  <w:marTop w:val="0"/>
                  <w:marBottom w:val="0"/>
                  <w:divBdr>
                    <w:top w:val="none" w:sz="0" w:space="0" w:color="auto"/>
                    <w:left w:val="none" w:sz="0" w:space="0" w:color="auto"/>
                    <w:bottom w:val="none" w:sz="0" w:space="0" w:color="auto"/>
                    <w:right w:val="none" w:sz="0" w:space="0" w:color="auto"/>
                  </w:divBdr>
                  <w:divsChild>
                    <w:div w:id="981429143">
                      <w:marLeft w:val="0"/>
                      <w:marRight w:val="0"/>
                      <w:marTop w:val="0"/>
                      <w:marBottom w:val="0"/>
                      <w:divBdr>
                        <w:top w:val="none" w:sz="0" w:space="0" w:color="auto"/>
                        <w:left w:val="none" w:sz="0" w:space="0" w:color="auto"/>
                        <w:bottom w:val="none" w:sz="0" w:space="0" w:color="auto"/>
                        <w:right w:val="none" w:sz="0" w:space="0" w:color="auto"/>
                      </w:divBdr>
                    </w:div>
                  </w:divsChild>
                </w:div>
                <w:div w:id="463306555">
                  <w:marLeft w:val="0"/>
                  <w:marRight w:val="0"/>
                  <w:marTop w:val="0"/>
                  <w:marBottom w:val="0"/>
                  <w:divBdr>
                    <w:top w:val="none" w:sz="0" w:space="0" w:color="auto"/>
                    <w:left w:val="none" w:sz="0" w:space="0" w:color="auto"/>
                    <w:bottom w:val="none" w:sz="0" w:space="0" w:color="auto"/>
                    <w:right w:val="none" w:sz="0" w:space="0" w:color="auto"/>
                  </w:divBdr>
                  <w:divsChild>
                    <w:div w:id="208415664">
                      <w:marLeft w:val="0"/>
                      <w:marRight w:val="0"/>
                      <w:marTop w:val="0"/>
                      <w:marBottom w:val="0"/>
                      <w:divBdr>
                        <w:top w:val="none" w:sz="0" w:space="0" w:color="auto"/>
                        <w:left w:val="none" w:sz="0" w:space="0" w:color="auto"/>
                        <w:bottom w:val="none" w:sz="0" w:space="0" w:color="auto"/>
                        <w:right w:val="none" w:sz="0" w:space="0" w:color="auto"/>
                      </w:divBdr>
                    </w:div>
                    <w:div w:id="310599548">
                      <w:marLeft w:val="0"/>
                      <w:marRight w:val="0"/>
                      <w:marTop w:val="0"/>
                      <w:marBottom w:val="0"/>
                      <w:divBdr>
                        <w:top w:val="none" w:sz="0" w:space="0" w:color="auto"/>
                        <w:left w:val="none" w:sz="0" w:space="0" w:color="auto"/>
                        <w:bottom w:val="none" w:sz="0" w:space="0" w:color="auto"/>
                        <w:right w:val="none" w:sz="0" w:space="0" w:color="auto"/>
                      </w:divBdr>
                    </w:div>
                    <w:div w:id="1130826166">
                      <w:marLeft w:val="0"/>
                      <w:marRight w:val="0"/>
                      <w:marTop w:val="0"/>
                      <w:marBottom w:val="0"/>
                      <w:divBdr>
                        <w:top w:val="none" w:sz="0" w:space="0" w:color="auto"/>
                        <w:left w:val="none" w:sz="0" w:space="0" w:color="auto"/>
                        <w:bottom w:val="none" w:sz="0" w:space="0" w:color="auto"/>
                        <w:right w:val="none" w:sz="0" w:space="0" w:color="auto"/>
                      </w:divBdr>
                    </w:div>
                    <w:div w:id="397704020">
                      <w:marLeft w:val="0"/>
                      <w:marRight w:val="0"/>
                      <w:marTop w:val="0"/>
                      <w:marBottom w:val="0"/>
                      <w:divBdr>
                        <w:top w:val="none" w:sz="0" w:space="0" w:color="auto"/>
                        <w:left w:val="none" w:sz="0" w:space="0" w:color="auto"/>
                        <w:bottom w:val="none" w:sz="0" w:space="0" w:color="auto"/>
                        <w:right w:val="none" w:sz="0" w:space="0" w:color="auto"/>
                      </w:divBdr>
                    </w:div>
                    <w:div w:id="1821992427">
                      <w:marLeft w:val="0"/>
                      <w:marRight w:val="0"/>
                      <w:marTop w:val="0"/>
                      <w:marBottom w:val="0"/>
                      <w:divBdr>
                        <w:top w:val="none" w:sz="0" w:space="0" w:color="auto"/>
                        <w:left w:val="none" w:sz="0" w:space="0" w:color="auto"/>
                        <w:bottom w:val="none" w:sz="0" w:space="0" w:color="auto"/>
                        <w:right w:val="none" w:sz="0" w:space="0" w:color="auto"/>
                      </w:divBdr>
                    </w:div>
                    <w:div w:id="491991207">
                      <w:marLeft w:val="0"/>
                      <w:marRight w:val="0"/>
                      <w:marTop w:val="0"/>
                      <w:marBottom w:val="0"/>
                      <w:divBdr>
                        <w:top w:val="none" w:sz="0" w:space="0" w:color="auto"/>
                        <w:left w:val="none" w:sz="0" w:space="0" w:color="auto"/>
                        <w:bottom w:val="none" w:sz="0" w:space="0" w:color="auto"/>
                        <w:right w:val="none" w:sz="0" w:space="0" w:color="auto"/>
                      </w:divBdr>
                    </w:div>
                  </w:divsChild>
                </w:div>
                <w:div w:id="1016154251">
                  <w:marLeft w:val="0"/>
                  <w:marRight w:val="0"/>
                  <w:marTop w:val="0"/>
                  <w:marBottom w:val="0"/>
                  <w:divBdr>
                    <w:top w:val="none" w:sz="0" w:space="0" w:color="auto"/>
                    <w:left w:val="none" w:sz="0" w:space="0" w:color="auto"/>
                    <w:bottom w:val="none" w:sz="0" w:space="0" w:color="auto"/>
                    <w:right w:val="none" w:sz="0" w:space="0" w:color="auto"/>
                  </w:divBdr>
                  <w:divsChild>
                    <w:div w:id="862593975">
                      <w:marLeft w:val="0"/>
                      <w:marRight w:val="0"/>
                      <w:marTop w:val="0"/>
                      <w:marBottom w:val="0"/>
                      <w:divBdr>
                        <w:top w:val="none" w:sz="0" w:space="0" w:color="auto"/>
                        <w:left w:val="none" w:sz="0" w:space="0" w:color="auto"/>
                        <w:bottom w:val="none" w:sz="0" w:space="0" w:color="auto"/>
                        <w:right w:val="none" w:sz="0" w:space="0" w:color="auto"/>
                      </w:divBdr>
                    </w:div>
                    <w:div w:id="1136141606">
                      <w:marLeft w:val="0"/>
                      <w:marRight w:val="0"/>
                      <w:marTop w:val="0"/>
                      <w:marBottom w:val="0"/>
                      <w:divBdr>
                        <w:top w:val="none" w:sz="0" w:space="0" w:color="auto"/>
                        <w:left w:val="none" w:sz="0" w:space="0" w:color="auto"/>
                        <w:bottom w:val="none" w:sz="0" w:space="0" w:color="auto"/>
                        <w:right w:val="none" w:sz="0" w:space="0" w:color="auto"/>
                      </w:divBdr>
                    </w:div>
                    <w:div w:id="822156716">
                      <w:marLeft w:val="0"/>
                      <w:marRight w:val="0"/>
                      <w:marTop w:val="0"/>
                      <w:marBottom w:val="0"/>
                      <w:divBdr>
                        <w:top w:val="none" w:sz="0" w:space="0" w:color="auto"/>
                        <w:left w:val="none" w:sz="0" w:space="0" w:color="auto"/>
                        <w:bottom w:val="none" w:sz="0" w:space="0" w:color="auto"/>
                        <w:right w:val="none" w:sz="0" w:space="0" w:color="auto"/>
                      </w:divBdr>
                    </w:div>
                    <w:div w:id="1675305955">
                      <w:marLeft w:val="0"/>
                      <w:marRight w:val="0"/>
                      <w:marTop w:val="0"/>
                      <w:marBottom w:val="0"/>
                      <w:divBdr>
                        <w:top w:val="none" w:sz="0" w:space="0" w:color="auto"/>
                        <w:left w:val="none" w:sz="0" w:space="0" w:color="auto"/>
                        <w:bottom w:val="none" w:sz="0" w:space="0" w:color="auto"/>
                        <w:right w:val="none" w:sz="0" w:space="0" w:color="auto"/>
                      </w:divBdr>
                    </w:div>
                    <w:div w:id="999695374">
                      <w:marLeft w:val="0"/>
                      <w:marRight w:val="0"/>
                      <w:marTop w:val="0"/>
                      <w:marBottom w:val="0"/>
                      <w:divBdr>
                        <w:top w:val="none" w:sz="0" w:space="0" w:color="auto"/>
                        <w:left w:val="none" w:sz="0" w:space="0" w:color="auto"/>
                        <w:bottom w:val="none" w:sz="0" w:space="0" w:color="auto"/>
                        <w:right w:val="none" w:sz="0" w:space="0" w:color="auto"/>
                      </w:divBdr>
                    </w:div>
                    <w:div w:id="1262909633">
                      <w:marLeft w:val="0"/>
                      <w:marRight w:val="0"/>
                      <w:marTop w:val="0"/>
                      <w:marBottom w:val="0"/>
                      <w:divBdr>
                        <w:top w:val="none" w:sz="0" w:space="0" w:color="auto"/>
                        <w:left w:val="none" w:sz="0" w:space="0" w:color="auto"/>
                        <w:bottom w:val="none" w:sz="0" w:space="0" w:color="auto"/>
                        <w:right w:val="none" w:sz="0" w:space="0" w:color="auto"/>
                      </w:divBdr>
                    </w:div>
                  </w:divsChild>
                </w:div>
                <w:div w:id="1776056054">
                  <w:marLeft w:val="0"/>
                  <w:marRight w:val="0"/>
                  <w:marTop w:val="0"/>
                  <w:marBottom w:val="0"/>
                  <w:divBdr>
                    <w:top w:val="none" w:sz="0" w:space="0" w:color="auto"/>
                    <w:left w:val="none" w:sz="0" w:space="0" w:color="auto"/>
                    <w:bottom w:val="none" w:sz="0" w:space="0" w:color="auto"/>
                    <w:right w:val="none" w:sz="0" w:space="0" w:color="auto"/>
                  </w:divBdr>
                  <w:divsChild>
                    <w:div w:id="185753136">
                      <w:marLeft w:val="0"/>
                      <w:marRight w:val="0"/>
                      <w:marTop w:val="0"/>
                      <w:marBottom w:val="0"/>
                      <w:divBdr>
                        <w:top w:val="none" w:sz="0" w:space="0" w:color="auto"/>
                        <w:left w:val="none" w:sz="0" w:space="0" w:color="auto"/>
                        <w:bottom w:val="none" w:sz="0" w:space="0" w:color="auto"/>
                        <w:right w:val="none" w:sz="0" w:space="0" w:color="auto"/>
                      </w:divBdr>
                    </w:div>
                  </w:divsChild>
                </w:div>
                <w:div w:id="770004425">
                  <w:marLeft w:val="0"/>
                  <w:marRight w:val="0"/>
                  <w:marTop w:val="0"/>
                  <w:marBottom w:val="0"/>
                  <w:divBdr>
                    <w:top w:val="none" w:sz="0" w:space="0" w:color="auto"/>
                    <w:left w:val="none" w:sz="0" w:space="0" w:color="auto"/>
                    <w:bottom w:val="none" w:sz="0" w:space="0" w:color="auto"/>
                    <w:right w:val="none" w:sz="0" w:space="0" w:color="auto"/>
                  </w:divBdr>
                  <w:divsChild>
                    <w:div w:id="1692801016">
                      <w:marLeft w:val="0"/>
                      <w:marRight w:val="0"/>
                      <w:marTop w:val="0"/>
                      <w:marBottom w:val="0"/>
                      <w:divBdr>
                        <w:top w:val="none" w:sz="0" w:space="0" w:color="auto"/>
                        <w:left w:val="none" w:sz="0" w:space="0" w:color="auto"/>
                        <w:bottom w:val="none" w:sz="0" w:space="0" w:color="auto"/>
                        <w:right w:val="none" w:sz="0" w:space="0" w:color="auto"/>
                      </w:divBdr>
                    </w:div>
                    <w:div w:id="380255848">
                      <w:marLeft w:val="0"/>
                      <w:marRight w:val="0"/>
                      <w:marTop w:val="0"/>
                      <w:marBottom w:val="0"/>
                      <w:divBdr>
                        <w:top w:val="none" w:sz="0" w:space="0" w:color="auto"/>
                        <w:left w:val="none" w:sz="0" w:space="0" w:color="auto"/>
                        <w:bottom w:val="none" w:sz="0" w:space="0" w:color="auto"/>
                        <w:right w:val="none" w:sz="0" w:space="0" w:color="auto"/>
                      </w:divBdr>
                    </w:div>
                  </w:divsChild>
                </w:div>
                <w:div w:id="241139492">
                  <w:marLeft w:val="0"/>
                  <w:marRight w:val="0"/>
                  <w:marTop w:val="0"/>
                  <w:marBottom w:val="0"/>
                  <w:divBdr>
                    <w:top w:val="none" w:sz="0" w:space="0" w:color="auto"/>
                    <w:left w:val="none" w:sz="0" w:space="0" w:color="auto"/>
                    <w:bottom w:val="none" w:sz="0" w:space="0" w:color="auto"/>
                    <w:right w:val="none" w:sz="0" w:space="0" w:color="auto"/>
                  </w:divBdr>
                  <w:divsChild>
                    <w:div w:id="338890831">
                      <w:marLeft w:val="0"/>
                      <w:marRight w:val="0"/>
                      <w:marTop w:val="0"/>
                      <w:marBottom w:val="0"/>
                      <w:divBdr>
                        <w:top w:val="none" w:sz="0" w:space="0" w:color="auto"/>
                        <w:left w:val="none" w:sz="0" w:space="0" w:color="auto"/>
                        <w:bottom w:val="none" w:sz="0" w:space="0" w:color="auto"/>
                        <w:right w:val="none" w:sz="0" w:space="0" w:color="auto"/>
                      </w:divBdr>
                    </w:div>
                    <w:div w:id="904145036">
                      <w:marLeft w:val="0"/>
                      <w:marRight w:val="0"/>
                      <w:marTop w:val="0"/>
                      <w:marBottom w:val="0"/>
                      <w:divBdr>
                        <w:top w:val="none" w:sz="0" w:space="0" w:color="auto"/>
                        <w:left w:val="none" w:sz="0" w:space="0" w:color="auto"/>
                        <w:bottom w:val="none" w:sz="0" w:space="0" w:color="auto"/>
                        <w:right w:val="none" w:sz="0" w:space="0" w:color="auto"/>
                      </w:divBdr>
                    </w:div>
                  </w:divsChild>
                </w:div>
                <w:div w:id="2016107615">
                  <w:marLeft w:val="0"/>
                  <w:marRight w:val="0"/>
                  <w:marTop w:val="0"/>
                  <w:marBottom w:val="0"/>
                  <w:divBdr>
                    <w:top w:val="none" w:sz="0" w:space="0" w:color="auto"/>
                    <w:left w:val="none" w:sz="0" w:space="0" w:color="auto"/>
                    <w:bottom w:val="none" w:sz="0" w:space="0" w:color="auto"/>
                    <w:right w:val="none" w:sz="0" w:space="0" w:color="auto"/>
                  </w:divBdr>
                  <w:divsChild>
                    <w:div w:id="1204755091">
                      <w:marLeft w:val="0"/>
                      <w:marRight w:val="0"/>
                      <w:marTop w:val="0"/>
                      <w:marBottom w:val="0"/>
                      <w:divBdr>
                        <w:top w:val="none" w:sz="0" w:space="0" w:color="auto"/>
                        <w:left w:val="none" w:sz="0" w:space="0" w:color="auto"/>
                        <w:bottom w:val="none" w:sz="0" w:space="0" w:color="auto"/>
                        <w:right w:val="none" w:sz="0" w:space="0" w:color="auto"/>
                      </w:divBdr>
                    </w:div>
                  </w:divsChild>
                </w:div>
                <w:div w:id="1510564236">
                  <w:marLeft w:val="0"/>
                  <w:marRight w:val="0"/>
                  <w:marTop w:val="0"/>
                  <w:marBottom w:val="0"/>
                  <w:divBdr>
                    <w:top w:val="none" w:sz="0" w:space="0" w:color="auto"/>
                    <w:left w:val="none" w:sz="0" w:space="0" w:color="auto"/>
                    <w:bottom w:val="none" w:sz="0" w:space="0" w:color="auto"/>
                    <w:right w:val="none" w:sz="0" w:space="0" w:color="auto"/>
                  </w:divBdr>
                  <w:divsChild>
                    <w:div w:id="1560748173">
                      <w:marLeft w:val="0"/>
                      <w:marRight w:val="0"/>
                      <w:marTop w:val="0"/>
                      <w:marBottom w:val="0"/>
                      <w:divBdr>
                        <w:top w:val="none" w:sz="0" w:space="0" w:color="auto"/>
                        <w:left w:val="none" w:sz="0" w:space="0" w:color="auto"/>
                        <w:bottom w:val="none" w:sz="0" w:space="0" w:color="auto"/>
                        <w:right w:val="none" w:sz="0" w:space="0" w:color="auto"/>
                      </w:divBdr>
                    </w:div>
                  </w:divsChild>
                </w:div>
                <w:div w:id="2127694659">
                  <w:marLeft w:val="0"/>
                  <w:marRight w:val="0"/>
                  <w:marTop w:val="0"/>
                  <w:marBottom w:val="0"/>
                  <w:divBdr>
                    <w:top w:val="none" w:sz="0" w:space="0" w:color="auto"/>
                    <w:left w:val="none" w:sz="0" w:space="0" w:color="auto"/>
                    <w:bottom w:val="none" w:sz="0" w:space="0" w:color="auto"/>
                    <w:right w:val="none" w:sz="0" w:space="0" w:color="auto"/>
                  </w:divBdr>
                  <w:divsChild>
                    <w:div w:id="1354646156">
                      <w:marLeft w:val="0"/>
                      <w:marRight w:val="0"/>
                      <w:marTop w:val="0"/>
                      <w:marBottom w:val="0"/>
                      <w:divBdr>
                        <w:top w:val="none" w:sz="0" w:space="0" w:color="auto"/>
                        <w:left w:val="none" w:sz="0" w:space="0" w:color="auto"/>
                        <w:bottom w:val="none" w:sz="0" w:space="0" w:color="auto"/>
                        <w:right w:val="none" w:sz="0" w:space="0" w:color="auto"/>
                      </w:divBdr>
                    </w:div>
                    <w:div w:id="214973204">
                      <w:marLeft w:val="0"/>
                      <w:marRight w:val="0"/>
                      <w:marTop w:val="0"/>
                      <w:marBottom w:val="0"/>
                      <w:divBdr>
                        <w:top w:val="none" w:sz="0" w:space="0" w:color="auto"/>
                        <w:left w:val="none" w:sz="0" w:space="0" w:color="auto"/>
                        <w:bottom w:val="none" w:sz="0" w:space="0" w:color="auto"/>
                        <w:right w:val="none" w:sz="0" w:space="0" w:color="auto"/>
                      </w:divBdr>
                    </w:div>
                  </w:divsChild>
                </w:div>
                <w:div w:id="739867043">
                  <w:marLeft w:val="0"/>
                  <w:marRight w:val="0"/>
                  <w:marTop w:val="0"/>
                  <w:marBottom w:val="0"/>
                  <w:divBdr>
                    <w:top w:val="none" w:sz="0" w:space="0" w:color="auto"/>
                    <w:left w:val="none" w:sz="0" w:space="0" w:color="auto"/>
                    <w:bottom w:val="none" w:sz="0" w:space="0" w:color="auto"/>
                    <w:right w:val="none" w:sz="0" w:space="0" w:color="auto"/>
                  </w:divBdr>
                  <w:divsChild>
                    <w:div w:id="202713739">
                      <w:marLeft w:val="0"/>
                      <w:marRight w:val="0"/>
                      <w:marTop w:val="0"/>
                      <w:marBottom w:val="0"/>
                      <w:divBdr>
                        <w:top w:val="none" w:sz="0" w:space="0" w:color="auto"/>
                        <w:left w:val="none" w:sz="0" w:space="0" w:color="auto"/>
                        <w:bottom w:val="none" w:sz="0" w:space="0" w:color="auto"/>
                        <w:right w:val="none" w:sz="0" w:space="0" w:color="auto"/>
                      </w:divBdr>
                    </w:div>
                  </w:divsChild>
                </w:div>
                <w:div w:id="74399633">
                  <w:marLeft w:val="0"/>
                  <w:marRight w:val="0"/>
                  <w:marTop w:val="0"/>
                  <w:marBottom w:val="0"/>
                  <w:divBdr>
                    <w:top w:val="none" w:sz="0" w:space="0" w:color="auto"/>
                    <w:left w:val="none" w:sz="0" w:space="0" w:color="auto"/>
                    <w:bottom w:val="none" w:sz="0" w:space="0" w:color="auto"/>
                    <w:right w:val="none" w:sz="0" w:space="0" w:color="auto"/>
                  </w:divBdr>
                  <w:divsChild>
                    <w:div w:id="294527733">
                      <w:marLeft w:val="0"/>
                      <w:marRight w:val="0"/>
                      <w:marTop w:val="0"/>
                      <w:marBottom w:val="0"/>
                      <w:divBdr>
                        <w:top w:val="none" w:sz="0" w:space="0" w:color="auto"/>
                        <w:left w:val="none" w:sz="0" w:space="0" w:color="auto"/>
                        <w:bottom w:val="none" w:sz="0" w:space="0" w:color="auto"/>
                        <w:right w:val="none" w:sz="0" w:space="0" w:color="auto"/>
                      </w:divBdr>
                    </w:div>
                    <w:div w:id="368576032">
                      <w:marLeft w:val="0"/>
                      <w:marRight w:val="0"/>
                      <w:marTop w:val="0"/>
                      <w:marBottom w:val="0"/>
                      <w:divBdr>
                        <w:top w:val="none" w:sz="0" w:space="0" w:color="auto"/>
                        <w:left w:val="none" w:sz="0" w:space="0" w:color="auto"/>
                        <w:bottom w:val="none" w:sz="0" w:space="0" w:color="auto"/>
                        <w:right w:val="none" w:sz="0" w:space="0" w:color="auto"/>
                      </w:divBdr>
                    </w:div>
                  </w:divsChild>
                </w:div>
                <w:div w:id="1542281487">
                  <w:marLeft w:val="0"/>
                  <w:marRight w:val="0"/>
                  <w:marTop w:val="0"/>
                  <w:marBottom w:val="0"/>
                  <w:divBdr>
                    <w:top w:val="none" w:sz="0" w:space="0" w:color="auto"/>
                    <w:left w:val="none" w:sz="0" w:space="0" w:color="auto"/>
                    <w:bottom w:val="none" w:sz="0" w:space="0" w:color="auto"/>
                    <w:right w:val="none" w:sz="0" w:space="0" w:color="auto"/>
                  </w:divBdr>
                  <w:divsChild>
                    <w:div w:id="976102705">
                      <w:marLeft w:val="0"/>
                      <w:marRight w:val="0"/>
                      <w:marTop w:val="0"/>
                      <w:marBottom w:val="0"/>
                      <w:divBdr>
                        <w:top w:val="none" w:sz="0" w:space="0" w:color="auto"/>
                        <w:left w:val="none" w:sz="0" w:space="0" w:color="auto"/>
                        <w:bottom w:val="none" w:sz="0" w:space="0" w:color="auto"/>
                        <w:right w:val="none" w:sz="0" w:space="0" w:color="auto"/>
                      </w:divBdr>
                    </w:div>
                  </w:divsChild>
                </w:div>
                <w:div w:id="1636787157">
                  <w:marLeft w:val="0"/>
                  <w:marRight w:val="0"/>
                  <w:marTop w:val="0"/>
                  <w:marBottom w:val="0"/>
                  <w:divBdr>
                    <w:top w:val="none" w:sz="0" w:space="0" w:color="auto"/>
                    <w:left w:val="none" w:sz="0" w:space="0" w:color="auto"/>
                    <w:bottom w:val="none" w:sz="0" w:space="0" w:color="auto"/>
                    <w:right w:val="none" w:sz="0" w:space="0" w:color="auto"/>
                  </w:divBdr>
                  <w:divsChild>
                    <w:div w:id="1184133367">
                      <w:marLeft w:val="0"/>
                      <w:marRight w:val="0"/>
                      <w:marTop w:val="0"/>
                      <w:marBottom w:val="0"/>
                      <w:divBdr>
                        <w:top w:val="none" w:sz="0" w:space="0" w:color="auto"/>
                        <w:left w:val="none" w:sz="0" w:space="0" w:color="auto"/>
                        <w:bottom w:val="none" w:sz="0" w:space="0" w:color="auto"/>
                        <w:right w:val="none" w:sz="0" w:space="0" w:color="auto"/>
                      </w:divBdr>
                    </w:div>
                    <w:div w:id="1605727449">
                      <w:marLeft w:val="0"/>
                      <w:marRight w:val="0"/>
                      <w:marTop w:val="0"/>
                      <w:marBottom w:val="0"/>
                      <w:divBdr>
                        <w:top w:val="none" w:sz="0" w:space="0" w:color="auto"/>
                        <w:left w:val="none" w:sz="0" w:space="0" w:color="auto"/>
                        <w:bottom w:val="none" w:sz="0" w:space="0" w:color="auto"/>
                        <w:right w:val="none" w:sz="0" w:space="0" w:color="auto"/>
                      </w:divBdr>
                    </w:div>
                  </w:divsChild>
                </w:div>
                <w:div w:id="239100487">
                  <w:marLeft w:val="0"/>
                  <w:marRight w:val="0"/>
                  <w:marTop w:val="0"/>
                  <w:marBottom w:val="0"/>
                  <w:divBdr>
                    <w:top w:val="none" w:sz="0" w:space="0" w:color="auto"/>
                    <w:left w:val="none" w:sz="0" w:space="0" w:color="auto"/>
                    <w:bottom w:val="none" w:sz="0" w:space="0" w:color="auto"/>
                    <w:right w:val="none" w:sz="0" w:space="0" w:color="auto"/>
                  </w:divBdr>
                  <w:divsChild>
                    <w:div w:id="2110656450">
                      <w:marLeft w:val="0"/>
                      <w:marRight w:val="0"/>
                      <w:marTop w:val="0"/>
                      <w:marBottom w:val="0"/>
                      <w:divBdr>
                        <w:top w:val="none" w:sz="0" w:space="0" w:color="auto"/>
                        <w:left w:val="none" w:sz="0" w:space="0" w:color="auto"/>
                        <w:bottom w:val="none" w:sz="0" w:space="0" w:color="auto"/>
                        <w:right w:val="none" w:sz="0" w:space="0" w:color="auto"/>
                      </w:divBdr>
                    </w:div>
                  </w:divsChild>
                </w:div>
                <w:div w:id="906494832">
                  <w:marLeft w:val="0"/>
                  <w:marRight w:val="0"/>
                  <w:marTop w:val="0"/>
                  <w:marBottom w:val="0"/>
                  <w:divBdr>
                    <w:top w:val="none" w:sz="0" w:space="0" w:color="auto"/>
                    <w:left w:val="none" w:sz="0" w:space="0" w:color="auto"/>
                    <w:bottom w:val="none" w:sz="0" w:space="0" w:color="auto"/>
                    <w:right w:val="none" w:sz="0" w:space="0" w:color="auto"/>
                  </w:divBdr>
                  <w:divsChild>
                    <w:div w:id="1893498364">
                      <w:marLeft w:val="0"/>
                      <w:marRight w:val="0"/>
                      <w:marTop w:val="0"/>
                      <w:marBottom w:val="0"/>
                      <w:divBdr>
                        <w:top w:val="none" w:sz="0" w:space="0" w:color="auto"/>
                        <w:left w:val="none" w:sz="0" w:space="0" w:color="auto"/>
                        <w:bottom w:val="none" w:sz="0" w:space="0" w:color="auto"/>
                        <w:right w:val="none" w:sz="0" w:space="0" w:color="auto"/>
                      </w:divBdr>
                    </w:div>
                    <w:div w:id="1547765195">
                      <w:marLeft w:val="0"/>
                      <w:marRight w:val="0"/>
                      <w:marTop w:val="0"/>
                      <w:marBottom w:val="0"/>
                      <w:divBdr>
                        <w:top w:val="none" w:sz="0" w:space="0" w:color="auto"/>
                        <w:left w:val="none" w:sz="0" w:space="0" w:color="auto"/>
                        <w:bottom w:val="none" w:sz="0" w:space="0" w:color="auto"/>
                        <w:right w:val="none" w:sz="0" w:space="0" w:color="auto"/>
                      </w:divBdr>
                    </w:div>
                  </w:divsChild>
                </w:div>
                <w:div w:id="796486754">
                  <w:marLeft w:val="0"/>
                  <w:marRight w:val="0"/>
                  <w:marTop w:val="0"/>
                  <w:marBottom w:val="0"/>
                  <w:divBdr>
                    <w:top w:val="none" w:sz="0" w:space="0" w:color="auto"/>
                    <w:left w:val="none" w:sz="0" w:space="0" w:color="auto"/>
                    <w:bottom w:val="none" w:sz="0" w:space="0" w:color="auto"/>
                    <w:right w:val="none" w:sz="0" w:space="0" w:color="auto"/>
                  </w:divBdr>
                  <w:divsChild>
                    <w:div w:id="1856453661">
                      <w:marLeft w:val="0"/>
                      <w:marRight w:val="0"/>
                      <w:marTop w:val="0"/>
                      <w:marBottom w:val="0"/>
                      <w:divBdr>
                        <w:top w:val="none" w:sz="0" w:space="0" w:color="auto"/>
                        <w:left w:val="none" w:sz="0" w:space="0" w:color="auto"/>
                        <w:bottom w:val="none" w:sz="0" w:space="0" w:color="auto"/>
                        <w:right w:val="none" w:sz="0" w:space="0" w:color="auto"/>
                      </w:divBdr>
                    </w:div>
                  </w:divsChild>
                </w:div>
                <w:div w:id="347413426">
                  <w:marLeft w:val="0"/>
                  <w:marRight w:val="0"/>
                  <w:marTop w:val="0"/>
                  <w:marBottom w:val="0"/>
                  <w:divBdr>
                    <w:top w:val="none" w:sz="0" w:space="0" w:color="auto"/>
                    <w:left w:val="none" w:sz="0" w:space="0" w:color="auto"/>
                    <w:bottom w:val="none" w:sz="0" w:space="0" w:color="auto"/>
                    <w:right w:val="none" w:sz="0" w:space="0" w:color="auto"/>
                  </w:divBdr>
                  <w:divsChild>
                    <w:div w:id="154687304">
                      <w:marLeft w:val="0"/>
                      <w:marRight w:val="0"/>
                      <w:marTop w:val="0"/>
                      <w:marBottom w:val="0"/>
                      <w:divBdr>
                        <w:top w:val="none" w:sz="0" w:space="0" w:color="auto"/>
                        <w:left w:val="none" w:sz="0" w:space="0" w:color="auto"/>
                        <w:bottom w:val="none" w:sz="0" w:space="0" w:color="auto"/>
                        <w:right w:val="none" w:sz="0" w:space="0" w:color="auto"/>
                      </w:divBdr>
                    </w:div>
                  </w:divsChild>
                </w:div>
                <w:div w:id="1629359429">
                  <w:marLeft w:val="0"/>
                  <w:marRight w:val="0"/>
                  <w:marTop w:val="0"/>
                  <w:marBottom w:val="0"/>
                  <w:divBdr>
                    <w:top w:val="none" w:sz="0" w:space="0" w:color="auto"/>
                    <w:left w:val="none" w:sz="0" w:space="0" w:color="auto"/>
                    <w:bottom w:val="none" w:sz="0" w:space="0" w:color="auto"/>
                    <w:right w:val="none" w:sz="0" w:space="0" w:color="auto"/>
                  </w:divBdr>
                  <w:divsChild>
                    <w:div w:id="487018974">
                      <w:marLeft w:val="0"/>
                      <w:marRight w:val="0"/>
                      <w:marTop w:val="0"/>
                      <w:marBottom w:val="0"/>
                      <w:divBdr>
                        <w:top w:val="none" w:sz="0" w:space="0" w:color="auto"/>
                        <w:left w:val="none" w:sz="0" w:space="0" w:color="auto"/>
                        <w:bottom w:val="none" w:sz="0" w:space="0" w:color="auto"/>
                        <w:right w:val="none" w:sz="0" w:space="0" w:color="auto"/>
                      </w:divBdr>
                    </w:div>
                  </w:divsChild>
                </w:div>
                <w:div w:id="374044905">
                  <w:marLeft w:val="0"/>
                  <w:marRight w:val="0"/>
                  <w:marTop w:val="0"/>
                  <w:marBottom w:val="0"/>
                  <w:divBdr>
                    <w:top w:val="none" w:sz="0" w:space="0" w:color="auto"/>
                    <w:left w:val="none" w:sz="0" w:space="0" w:color="auto"/>
                    <w:bottom w:val="none" w:sz="0" w:space="0" w:color="auto"/>
                    <w:right w:val="none" w:sz="0" w:space="0" w:color="auto"/>
                  </w:divBdr>
                  <w:divsChild>
                    <w:div w:id="573051708">
                      <w:marLeft w:val="0"/>
                      <w:marRight w:val="0"/>
                      <w:marTop w:val="0"/>
                      <w:marBottom w:val="0"/>
                      <w:divBdr>
                        <w:top w:val="none" w:sz="0" w:space="0" w:color="auto"/>
                        <w:left w:val="none" w:sz="0" w:space="0" w:color="auto"/>
                        <w:bottom w:val="none" w:sz="0" w:space="0" w:color="auto"/>
                        <w:right w:val="none" w:sz="0" w:space="0" w:color="auto"/>
                      </w:divBdr>
                    </w:div>
                    <w:div w:id="1982077427">
                      <w:marLeft w:val="0"/>
                      <w:marRight w:val="0"/>
                      <w:marTop w:val="0"/>
                      <w:marBottom w:val="0"/>
                      <w:divBdr>
                        <w:top w:val="none" w:sz="0" w:space="0" w:color="auto"/>
                        <w:left w:val="none" w:sz="0" w:space="0" w:color="auto"/>
                        <w:bottom w:val="none" w:sz="0" w:space="0" w:color="auto"/>
                        <w:right w:val="none" w:sz="0" w:space="0" w:color="auto"/>
                      </w:divBdr>
                    </w:div>
                  </w:divsChild>
                </w:div>
                <w:div w:id="876966560">
                  <w:marLeft w:val="0"/>
                  <w:marRight w:val="0"/>
                  <w:marTop w:val="0"/>
                  <w:marBottom w:val="0"/>
                  <w:divBdr>
                    <w:top w:val="none" w:sz="0" w:space="0" w:color="auto"/>
                    <w:left w:val="none" w:sz="0" w:space="0" w:color="auto"/>
                    <w:bottom w:val="none" w:sz="0" w:space="0" w:color="auto"/>
                    <w:right w:val="none" w:sz="0" w:space="0" w:color="auto"/>
                  </w:divBdr>
                  <w:divsChild>
                    <w:div w:id="825587862">
                      <w:marLeft w:val="0"/>
                      <w:marRight w:val="0"/>
                      <w:marTop w:val="0"/>
                      <w:marBottom w:val="0"/>
                      <w:divBdr>
                        <w:top w:val="none" w:sz="0" w:space="0" w:color="auto"/>
                        <w:left w:val="none" w:sz="0" w:space="0" w:color="auto"/>
                        <w:bottom w:val="none" w:sz="0" w:space="0" w:color="auto"/>
                        <w:right w:val="none" w:sz="0" w:space="0" w:color="auto"/>
                      </w:divBdr>
                    </w:div>
                    <w:div w:id="834370939">
                      <w:marLeft w:val="0"/>
                      <w:marRight w:val="0"/>
                      <w:marTop w:val="0"/>
                      <w:marBottom w:val="0"/>
                      <w:divBdr>
                        <w:top w:val="none" w:sz="0" w:space="0" w:color="auto"/>
                        <w:left w:val="none" w:sz="0" w:space="0" w:color="auto"/>
                        <w:bottom w:val="none" w:sz="0" w:space="0" w:color="auto"/>
                        <w:right w:val="none" w:sz="0" w:space="0" w:color="auto"/>
                      </w:divBdr>
                    </w:div>
                    <w:div w:id="1940135387">
                      <w:marLeft w:val="0"/>
                      <w:marRight w:val="0"/>
                      <w:marTop w:val="0"/>
                      <w:marBottom w:val="0"/>
                      <w:divBdr>
                        <w:top w:val="none" w:sz="0" w:space="0" w:color="auto"/>
                        <w:left w:val="none" w:sz="0" w:space="0" w:color="auto"/>
                        <w:bottom w:val="none" w:sz="0" w:space="0" w:color="auto"/>
                        <w:right w:val="none" w:sz="0" w:space="0" w:color="auto"/>
                      </w:divBdr>
                    </w:div>
                    <w:div w:id="1649896430">
                      <w:marLeft w:val="0"/>
                      <w:marRight w:val="0"/>
                      <w:marTop w:val="0"/>
                      <w:marBottom w:val="0"/>
                      <w:divBdr>
                        <w:top w:val="none" w:sz="0" w:space="0" w:color="auto"/>
                        <w:left w:val="none" w:sz="0" w:space="0" w:color="auto"/>
                        <w:bottom w:val="none" w:sz="0" w:space="0" w:color="auto"/>
                        <w:right w:val="none" w:sz="0" w:space="0" w:color="auto"/>
                      </w:divBdr>
                    </w:div>
                  </w:divsChild>
                </w:div>
                <w:div w:id="2054765495">
                  <w:marLeft w:val="0"/>
                  <w:marRight w:val="0"/>
                  <w:marTop w:val="0"/>
                  <w:marBottom w:val="0"/>
                  <w:divBdr>
                    <w:top w:val="none" w:sz="0" w:space="0" w:color="auto"/>
                    <w:left w:val="none" w:sz="0" w:space="0" w:color="auto"/>
                    <w:bottom w:val="none" w:sz="0" w:space="0" w:color="auto"/>
                    <w:right w:val="none" w:sz="0" w:space="0" w:color="auto"/>
                  </w:divBdr>
                  <w:divsChild>
                    <w:div w:id="2079203930">
                      <w:marLeft w:val="0"/>
                      <w:marRight w:val="0"/>
                      <w:marTop w:val="0"/>
                      <w:marBottom w:val="0"/>
                      <w:divBdr>
                        <w:top w:val="none" w:sz="0" w:space="0" w:color="auto"/>
                        <w:left w:val="none" w:sz="0" w:space="0" w:color="auto"/>
                        <w:bottom w:val="none" w:sz="0" w:space="0" w:color="auto"/>
                        <w:right w:val="none" w:sz="0" w:space="0" w:color="auto"/>
                      </w:divBdr>
                    </w:div>
                  </w:divsChild>
                </w:div>
                <w:div w:id="1049112311">
                  <w:marLeft w:val="0"/>
                  <w:marRight w:val="0"/>
                  <w:marTop w:val="0"/>
                  <w:marBottom w:val="0"/>
                  <w:divBdr>
                    <w:top w:val="none" w:sz="0" w:space="0" w:color="auto"/>
                    <w:left w:val="none" w:sz="0" w:space="0" w:color="auto"/>
                    <w:bottom w:val="none" w:sz="0" w:space="0" w:color="auto"/>
                    <w:right w:val="none" w:sz="0" w:space="0" w:color="auto"/>
                  </w:divBdr>
                  <w:divsChild>
                    <w:div w:id="1813449293">
                      <w:marLeft w:val="0"/>
                      <w:marRight w:val="0"/>
                      <w:marTop w:val="0"/>
                      <w:marBottom w:val="0"/>
                      <w:divBdr>
                        <w:top w:val="none" w:sz="0" w:space="0" w:color="auto"/>
                        <w:left w:val="none" w:sz="0" w:space="0" w:color="auto"/>
                        <w:bottom w:val="none" w:sz="0" w:space="0" w:color="auto"/>
                        <w:right w:val="none" w:sz="0" w:space="0" w:color="auto"/>
                      </w:divBdr>
                    </w:div>
                  </w:divsChild>
                </w:div>
                <w:div w:id="1148092112">
                  <w:marLeft w:val="0"/>
                  <w:marRight w:val="0"/>
                  <w:marTop w:val="0"/>
                  <w:marBottom w:val="0"/>
                  <w:divBdr>
                    <w:top w:val="none" w:sz="0" w:space="0" w:color="auto"/>
                    <w:left w:val="none" w:sz="0" w:space="0" w:color="auto"/>
                    <w:bottom w:val="none" w:sz="0" w:space="0" w:color="auto"/>
                    <w:right w:val="none" w:sz="0" w:space="0" w:color="auto"/>
                  </w:divBdr>
                  <w:divsChild>
                    <w:div w:id="1373579245">
                      <w:marLeft w:val="0"/>
                      <w:marRight w:val="0"/>
                      <w:marTop w:val="0"/>
                      <w:marBottom w:val="0"/>
                      <w:divBdr>
                        <w:top w:val="none" w:sz="0" w:space="0" w:color="auto"/>
                        <w:left w:val="none" w:sz="0" w:space="0" w:color="auto"/>
                        <w:bottom w:val="none" w:sz="0" w:space="0" w:color="auto"/>
                        <w:right w:val="none" w:sz="0" w:space="0" w:color="auto"/>
                      </w:divBdr>
                    </w:div>
                  </w:divsChild>
                </w:div>
                <w:div w:id="1509826044">
                  <w:marLeft w:val="0"/>
                  <w:marRight w:val="0"/>
                  <w:marTop w:val="0"/>
                  <w:marBottom w:val="0"/>
                  <w:divBdr>
                    <w:top w:val="none" w:sz="0" w:space="0" w:color="auto"/>
                    <w:left w:val="none" w:sz="0" w:space="0" w:color="auto"/>
                    <w:bottom w:val="none" w:sz="0" w:space="0" w:color="auto"/>
                    <w:right w:val="none" w:sz="0" w:space="0" w:color="auto"/>
                  </w:divBdr>
                  <w:divsChild>
                    <w:div w:id="623081780">
                      <w:marLeft w:val="0"/>
                      <w:marRight w:val="0"/>
                      <w:marTop w:val="0"/>
                      <w:marBottom w:val="0"/>
                      <w:divBdr>
                        <w:top w:val="none" w:sz="0" w:space="0" w:color="auto"/>
                        <w:left w:val="none" w:sz="0" w:space="0" w:color="auto"/>
                        <w:bottom w:val="none" w:sz="0" w:space="0" w:color="auto"/>
                        <w:right w:val="none" w:sz="0" w:space="0" w:color="auto"/>
                      </w:divBdr>
                    </w:div>
                  </w:divsChild>
                </w:div>
                <w:div w:id="1981180974">
                  <w:marLeft w:val="0"/>
                  <w:marRight w:val="0"/>
                  <w:marTop w:val="0"/>
                  <w:marBottom w:val="0"/>
                  <w:divBdr>
                    <w:top w:val="none" w:sz="0" w:space="0" w:color="auto"/>
                    <w:left w:val="none" w:sz="0" w:space="0" w:color="auto"/>
                    <w:bottom w:val="none" w:sz="0" w:space="0" w:color="auto"/>
                    <w:right w:val="none" w:sz="0" w:space="0" w:color="auto"/>
                  </w:divBdr>
                  <w:divsChild>
                    <w:div w:id="1783262676">
                      <w:marLeft w:val="0"/>
                      <w:marRight w:val="0"/>
                      <w:marTop w:val="0"/>
                      <w:marBottom w:val="0"/>
                      <w:divBdr>
                        <w:top w:val="none" w:sz="0" w:space="0" w:color="auto"/>
                        <w:left w:val="none" w:sz="0" w:space="0" w:color="auto"/>
                        <w:bottom w:val="none" w:sz="0" w:space="0" w:color="auto"/>
                        <w:right w:val="none" w:sz="0" w:space="0" w:color="auto"/>
                      </w:divBdr>
                    </w:div>
                  </w:divsChild>
                </w:div>
                <w:div w:id="491288557">
                  <w:marLeft w:val="0"/>
                  <w:marRight w:val="0"/>
                  <w:marTop w:val="0"/>
                  <w:marBottom w:val="0"/>
                  <w:divBdr>
                    <w:top w:val="none" w:sz="0" w:space="0" w:color="auto"/>
                    <w:left w:val="none" w:sz="0" w:space="0" w:color="auto"/>
                    <w:bottom w:val="none" w:sz="0" w:space="0" w:color="auto"/>
                    <w:right w:val="none" w:sz="0" w:space="0" w:color="auto"/>
                  </w:divBdr>
                  <w:divsChild>
                    <w:div w:id="1428303923">
                      <w:marLeft w:val="0"/>
                      <w:marRight w:val="0"/>
                      <w:marTop w:val="0"/>
                      <w:marBottom w:val="0"/>
                      <w:divBdr>
                        <w:top w:val="none" w:sz="0" w:space="0" w:color="auto"/>
                        <w:left w:val="none" w:sz="0" w:space="0" w:color="auto"/>
                        <w:bottom w:val="none" w:sz="0" w:space="0" w:color="auto"/>
                        <w:right w:val="none" w:sz="0" w:space="0" w:color="auto"/>
                      </w:divBdr>
                    </w:div>
                  </w:divsChild>
                </w:div>
                <w:div w:id="337198704">
                  <w:marLeft w:val="0"/>
                  <w:marRight w:val="0"/>
                  <w:marTop w:val="0"/>
                  <w:marBottom w:val="0"/>
                  <w:divBdr>
                    <w:top w:val="none" w:sz="0" w:space="0" w:color="auto"/>
                    <w:left w:val="none" w:sz="0" w:space="0" w:color="auto"/>
                    <w:bottom w:val="none" w:sz="0" w:space="0" w:color="auto"/>
                    <w:right w:val="none" w:sz="0" w:space="0" w:color="auto"/>
                  </w:divBdr>
                  <w:divsChild>
                    <w:div w:id="1745761324">
                      <w:marLeft w:val="0"/>
                      <w:marRight w:val="0"/>
                      <w:marTop w:val="0"/>
                      <w:marBottom w:val="0"/>
                      <w:divBdr>
                        <w:top w:val="none" w:sz="0" w:space="0" w:color="auto"/>
                        <w:left w:val="none" w:sz="0" w:space="0" w:color="auto"/>
                        <w:bottom w:val="none" w:sz="0" w:space="0" w:color="auto"/>
                        <w:right w:val="none" w:sz="0" w:space="0" w:color="auto"/>
                      </w:divBdr>
                    </w:div>
                  </w:divsChild>
                </w:div>
                <w:div w:id="1085802121">
                  <w:marLeft w:val="0"/>
                  <w:marRight w:val="0"/>
                  <w:marTop w:val="0"/>
                  <w:marBottom w:val="0"/>
                  <w:divBdr>
                    <w:top w:val="none" w:sz="0" w:space="0" w:color="auto"/>
                    <w:left w:val="none" w:sz="0" w:space="0" w:color="auto"/>
                    <w:bottom w:val="none" w:sz="0" w:space="0" w:color="auto"/>
                    <w:right w:val="none" w:sz="0" w:space="0" w:color="auto"/>
                  </w:divBdr>
                  <w:divsChild>
                    <w:div w:id="1923833327">
                      <w:marLeft w:val="0"/>
                      <w:marRight w:val="0"/>
                      <w:marTop w:val="0"/>
                      <w:marBottom w:val="0"/>
                      <w:divBdr>
                        <w:top w:val="none" w:sz="0" w:space="0" w:color="auto"/>
                        <w:left w:val="none" w:sz="0" w:space="0" w:color="auto"/>
                        <w:bottom w:val="none" w:sz="0" w:space="0" w:color="auto"/>
                        <w:right w:val="none" w:sz="0" w:space="0" w:color="auto"/>
                      </w:divBdr>
                    </w:div>
                  </w:divsChild>
                </w:div>
                <w:div w:id="1999577303">
                  <w:marLeft w:val="0"/>
                  <w:marRight w:val="0"/>
                  <w:marTop w:val="0"/>
                  <w:marBottom w:val="0"/>
                  <w:divBdr>
                    <w:top w:val="none" w:sz="0" w:space="0" w:color="auto"/>
                    <w:left w:val="none" w:sz="0" w:space="0" w:color="auto"/>
                    <w:bottom w:val="none" w:sz="0" w:space="0" w:color="auto"/>
                    <w:right w:val="none" w:sz="0" w:space="0" w:color="auto"/>
                  </w:divBdr>
                  <w:divsChild>
                    <w:div w:id="1218475978">
                      <w:marLeft w:val="0"/>
                      <w:marRight w:val="0"/>
                      <w:marTop w:val="0"/>
                      <w:marBottom w:val="0"/>
                      <w:divBdr>
                        <w:top w:val="none" w:sz="0" w:space="0" w:color="auto"/>
                        <w:left w:val="none" w:sz="0" w:space="0" w:color="auto"/>
                        <w:bottom w:val="none" w:sz="0" w:space="0" w:color="auto"/>
                        <w:right w:val="none" w:sz="0" w:space="0" w:color="auto"/>
                      </w:divBdr>
                    </w:div>
                    <w:div w:id="694431297">
                      <w:marLeft w:val="0"/>
                      <w:marRight w:val="0"/>
                      <w:marTop w:val="0"/>
                      <w:marBottom w:val="0"/>
                      <w:divBdr>
                        <w:top w:val="none" w:sz="0" w:space="0" w:color="auto"/>
                        <w:left w:val="none" w:sz="0" w:space="0" w:color="auto"/>
                        <w:bottom w:val="none" w:sz="0" w:space="0" w:color="auto"/>
                        <w:right w:val="none" w:sz="0" w:space="0" w:color="auto"/>
                      </w:divBdr>
                    </w:div>
                  </w:divsChild>
                </w:div>
                <w:div w:id="312880159">
                  <w:marLeft w:val="0"/>
                  <w:marRight w:val="0"/>
                  <w:marTop w:val="0"/>
                  <w:marBottom w:val="0"/>
                  <w:divBdr>
                    <w:top w:val="none" w:sz="0" w:space="0" w:color="auto"/>
                    <w:left w:val="none" w:sz="0" w:space="0" w:color="auto"/>
                    <w:bottom w:val="none" w:sz="0" w:space="0" w:color="auto"/>
                    <w:right w:val="none" w:sz="0" w:space="0" w:color="auto"/>
                  </w:divBdr>
                  <w:divsChild>
                    <w:div w:id="1821998130">
                      <w:marLeft w:val="0"/>
                      <w:marRight w:val="0"/>
                      <w:marTop w:val="0"/>
                      <w:marBottom w:val="0"/>
                      <w:divBdr>
                        <w:top w:val="none" w:sz="0" w:space="0" w:color="auto"/>
                        <w:left w:val="none" w:sz="0" w:space="0" w:color="auto"/>
                        <w:bottom w:val="none" w:sz="0" w:space="0" w:color="auto"/>
                        <w:right w:val="none" w:sz="0" w:space="0" w:color="auto"/>
                      </w:divBdr>
                    </w:div>
                    <w:div w:id="1145048569">
                      <w:marLeft w:val="0"/>
                      <w:marRight w:val="0"/>
                      <w:marTop w:val="0"/>
                      <w:marBottom w:val="0"/>
                      <w:divBdr>
                        <w:top w:val="none" w:sz="0" w:space="0" w:color="auto"/>
                        <w:left w:val="none" w:sz="0" w:space="0" w:color="auto"/>
                        <w:bottom w:val="none" w:sz="0" w:space="0" w:color="auto"/>
                        <w:right w:val="none" w:sz="0" w:space="0" w:color="auto"/>
                      </w:divBdr>
                    </w:div>
                    <w:div w:id="159124708">
                      <w:marLeft w:val="0"/>
                      <w:marRight w:val="0"/>
                      <w:marTop w:val="0"/>
                      <w:marBottom w:val="0"/>
                      <w:divBdr>
                        <w:top w:val="none" w:sz="0" w:space="0" w:color="auto"/>
                        <w:left w:val="none" w:sz="0" w:space="0" w:color="auto"/>
                        <w:bottom w:val="none" w:sz="0" w:space="0" w:color="auto"/>
                        <w:right w:val="none" w:sz="0" w:space="0" w:color="auto"/>
                      </w:divBdr>
                    </w:div>
                  </w:divsChild>
                </w:div>
                <w:div w:id="1352103159">
                  <w:marLeft w:val="0"/>
                  <w:marRight w:val="0"/>
                  <w:marTop w:val="0"/>
                  <w:marBottom w:val="0"/>
                  <w:divBdr>
                    <w:top w:val="none" w:sz="0" w:space="0" w:color="auto"/>
                    <w:left w:val="none" w:sz="0" w:space="0" w:color="auto"/>
                    <w:bottom w:val="none" w:sz="0" w:space="0" w:color="auto"/>
                    <w:right w:val="none" w:sz="0" w:space="0" w:color="auto"/>
                  </w:divBdr>
                  <w:divsChild>
                    <w:div w:id="947195667">
                      <w:marLeft w:val="0"/>
                      <w:marRight w:val="0"/>
                      <w:marTop w:val="0"/>
                      <w:marBottom w:val="0"/>
                      <w:divBdr>
                        <w:top w:val="none" w:sz="0" w:space="0" w:color="auto"/>
                        <w:left w:val="none" w:sz="0" w:space="0" w:color="auto"/>
                        <w:bottom w:val="none" w:sz="0" w:space="0" w:color="auto"/>
                        <w:right w:val="none" w:sz="0" w:space="0" w:color="auto"/>
                      </w:divBdr>
                    </w:div>
                  </w:divsChild>
                </w:div>
                <w:div w:id="20209564">
                  <w:marLeft w:val="0"/>
                  <w:marRight w:val="0"/>
                  <w:marTop w:val="0"/>
                  <w:marBottom w:val="0"/>
                  <w:divBdr>
                    <w:top w:val="none" w:sz="0" w:space="0" w:color="auto"/>
                    <w:left w:val="none" w:sz="0" w:space="0" w:color="auto"/>
                    <w:bottom w:val="none" w:sz="0" w:space="0" w:color="auto"/>
                    <w:right w:val="none" w:sz="0" w:space="0" w:color="auto"/>
                  </w:divBdr>
                  <w:divsChild>
                    <w:div w:id="1097093302">
                      <w:marLeft w:val="0"/>
                      <w:marRight w:val="0"/>
                      <w:marTop w:val="0"/>
                      <w:marBottom w:val="0"/>
                      <w:divBdr>
                        <w:top w:val="none" w:sz="0" w:space="0" w:color="auto"/>
                        <w:left w:val="none" w:sz="0" w:space="0" w:color="auto"/>
                        <w:bottom w:val="none" w:sz="0" w:space="0" w:color="auto"/>
                        <w:right w:val="none" w:sz="0" w:space="0" w:color="auto"/>
                      </w:divBdr>
                    </w:div>
                  </w:divsChild>
                </w:div>
                <w:div w:id="1431197016">
                  <w:marLeft w:val="0"/>
                  <w:marRight w:val="0"/>
                  <w:marTop w:val="0"/>
                  <w:marBottom w:val="0"/>
                  <w:divBdr>
                    <w:top w:val="none" w:sz="0" w:space="0" w:color="auto"/>
                    <w:left w:val="none" w:sz="0" w:space="0" w:color="auto"/>
                    <w:bottom w:val="none" w:sz="0" w:space="0" w:color="auto"/>
                    <w:right w:val="none" w:sz="0" w:space="0" w:color="auto"/>
                  </w:divBdr>
                  <w:divsChild>
                    <w:div w:id="131289866">
                      <w:marLeft w:val="0"/>
                      <w:marRight w:val="0"/>
                      <w:marTop w:val="0"/>
                      <w:marBottom w:val="0"/>
                      <w:divBdr>
                        <w:top w:val="none" w:sz="0" w:space="0" w:color="auto"/>
                        <w:left w:val="none" w:sz="0" w:space="0" w:color="auto"/>
                        <w:bottom w:val="none" w:sz="0" w:space="0" w:color="auto"/>
                        <w:right w:val="none" w:sz="0" w:space="0" w:color="auto"/>
                      </w:divBdr>
                    </w:div>
                    <w:div w:id="1306936961">
                      <w:marLeft w:val="0"/>
                      <w:marRight w:val="0"/>
                      <w:marTop w:val="0"/>
                      <w:marBottom w:val="0"/>
                      <w:divBdr>
                        <w:top w:val="none" w:sz="0" w:space="0" w:color="auto"/>
                        <w:left w:val="none" w:sz="0" w:space="0" w:color="auto"/>
                        <w:bottom w:val="none" w:sz="0" w:space="0" w:color="auto"/>
                        <w:right w:val="none" w:sz="0" w:space="0" w:color="auto"/>
                      </w:divBdr>
                    </w:div>
                  </w:divsChild>
                </w:div>
                <w:div w:id="303321111">
                  <w:marLeft w:val="0"/>
                  <w:marRight w:val="0"/>
                  <w:marTop w:val="0"/>
                  <w:marBottom w:val="0"/>
                  <w:divBdr>
                    <w:top w:val="none" w:sz="0" w:space="0" w:color="auto"/>
                    <w:left w:val="none" w:sz="0" w:space="0" w:color="auto"/>
                    <w:bottom w:val="none" w:sz="0" w:space="0" w:color="auto"/>
                    <w:right w:val="none" w:sz="0" w:space="0" w:color="auto"/>
                  </w:divBdr>
                  <w:divsChild>
                    <w:div w:id="1133520806">
                      <w:marLeft w:val="0"/>
                      <w:marRight w:val="0"/>
                      <w:marTop w:val="0"/>
                      <w:marBottom w:val="0"/>
                      <w:divBdr>
                        <w:top w:val="none" w:sz="0" w:space="0" w:color="auto"/>
                        <w:left w:val="none" w:sz="0" w:space="0" w:color="auto"/>
                        <w:bottom w:val="none" w:sz="0" w:space="0" w:color="auto"/>
                        <w:right w:val="none" w:sz="0" w:space="0" w:color="auto"/>
                      </w:divBdr>
                    </w:div>
                    <w:div w:id="670253562">
                      <w:marLeft w:val="0"/>
                      <w:marRight w:val="0"/>
                      <w:marTop w:val="0"/>
                      <w:marBottom w:val="0"/>
                      <w:divBdr>
                        <w:top w:val="none" w:sz="0" w:space="0" w:color="auto"/>
                        <w:left w:val="none" w:sz="0" w:space="0" w:color="auto"/>
                        <w:bottom w:val="none" w:sz="0" w:space="0" w:color="auto"/>
                        <w:right w:val="none" w:sz="0" w:space="0" w:color="auto"/>
                      </w:divBdr>
                    </w:div>
                    <w:div w:id="6980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70118">
          <w:marLeft w:val="0"/>
          <w:marRight w:val="0"/>
          <w:marTop w:val="0"/>
          <w:marBottom w:val="0"/>
          <w:divBdr>
            <w:top w:val="none" w:sz="0" w:space="0" w:color="auto"/>
            <w:left w:val="none" w:sz="0" w:space="0" w:color="auto"/>
            <w:bottom w:val="none" w:sz="0" w:space="0" w:color="auto"/>
            <w:right w:val="none" w:sz="0" w:space="0" w:color="auto"/>
          </w:divBdr>
        </w:div>
      </w:divsChild>
    </w:div>
    <w:div w:id="791246058">
      <w:bodyDiv w:val="1"/>
      <w:marLeft w:val="0"/>
      <w:marRight w:val="0"/>
      <w:marTop w:val="0"/>
      <w:marBottom w:val="0"/>
      <w:divBdr>
        <w:top w:val="none" w:sz="0" w:space="0" w:color="auto"/>
        <w:left w:val="none" w:sz="0" w:space="0" w:color="auto"/>
        <w:bottom w:val="none" w:sz="0" w:space="0" w:color="auto"/>
        <w:right w:val="none" w:sz="0" w:space="0" w:color="auto"/>
      </w:divBdr>
    </w:div>
    <w:div w:id="815607574">
      <w:bodyDiv w:val="1"/>
      <w:marLeft w:val="0"/>
      <w:marRight w:val="0"/>
      <w:marTop w:val="0"/>
      <w:marBottom w:val="0"/>
      <w:divBdr>
        <w:top w:val="none" w:sz="0" w:space="0" w:color="auto"/>
        <w:left w:val="none" w:sz="0" w:space="0" w:color="auto"/>
        <w:bottom w:val="none" w:sz="0" w:space="0" w:color="auto"/>
        <w:right w:val="none" w:sz="0" w:space="0" w:color="auto"/>
      </w:divBdr>
      <w:divsChild>
        <w:div w:id="1949005095">
          <w:marLeft w:val="0"/>
          <w:marRight w:val="0"/>
          <w:marTop w:val="0"/>
          <w:marBottom w:val="0"/>
          <w:divBdr>
            <w:top w:val="none" w:sz="0" w:space="0" w:color="auto"/>
            <w:left w:val="none" w:sz="0" w:space="0" w:color="auto"/>
            <w:bottom w:val="none" w:sz="0" w:space="0" w:color="auto"/>
            <w:right w:val="none" w:sz="0" w:space="0" w:color="auto"/>
          </w:divBdr>
        </w:div>
        <w:div w:id="247465218">
          <w:marLeft w:val="0"/>
          <w:marRight w:val="0"/>
          <w:marTop w:val="0"/>
          <w:marBottom w:val="0"/>
          <w:divBdr>
            <w:top w:val="none" w:sz="0" w:space="0" w:color="auto"/>
            <w:left w:val="none" w:sz="0" w:space="0" w:color="auto"/>
            <w:bottom w:val="none" w:sz="0" w:space="0" w:color="auto"/>
            <w:right w:val="none" w:sz="0" w:space="0" w:color="auto"/>
          </w:divBdr>
        </w:div>
        <w:div w:id="410784922">
          <w:marLeft w:val="0"/>
          <w:marRight w:val="0"/>
          <w:marTop w:val="0"/>
          <w:marBottom w:val="0"/>
          <w:divBdr>
            <w:top w:val="none" w:sz="0" w:space="0" w:color="auto"/>
            <w:left w:val="none" w:sz="0" w:space="0" w:color="auto"/>
            <w:bottom w:val="none" w:sz="0" w:space="0" w:color="auto"/>
            <w:right w:val="none" w:sz="0" w:space="0" w:color="auto"/>
          </w:divBdr>
          <w:divsChild>
            <w:div w:id="327295499">
              <w:marLeft w:val="-75"/>
              <w:marRight w:val="0"/>
              <w:marTop w:val="30"/>
              <w:marBottom w:val="30"/>
              <w:divBdr>
                <w:top w:val="none" w:sz="0" w:space="0" w:color="auto"/>
                <w:left w:val="none" w:sz="0" w:space="0" w:color="auto"/>
                <w:bottom w:val="none" w:sz="0" w:space="0" w:color="auto"/>
                <w:right w:val="none" w:sz="0" w:space="0" w:color="auto"/>
              </w:divBdr>
              <w:divsChild>
                <w:div w:id="1598513043">
                  <w:marLeft w:val="0"/>
                  <w:marRight w:val="0"/>
                  <w:marTop w:val="0"/>
                  <w:marBottom w:val="0"/>
                  <w:divBdr>
                    <w:top w:val="none" w:sz="0" w:space="0" w:color="auto"/>
                    <w:left w:val="none" w:sz="0" w:space="0" w:color="auto"/>
                    <w:bottom w:val="none" w:sz="0" w:space="0" w:color="auto"/>
                    <w:right w:val="none" w:sz="0" w:space="0" w:color="auto"/>
                  </w:divBdr>
                  <w:divsChild>
                    <w:div w:id="639654734">
                      <w:marLeft w:val="0"/>
                      <w:marRight w:val="0"/>
                      <w:marTop w:val="0"/>
                      <w:marBottom w:val="0"/>
                      <w:divBdr>
                        <w:top w:val="none" w:sz="0" w:space="0" w:color="auto"/>
                        <w:left w:val="none" w:sz="0" w:space="0" w:color="auto"/>
                        <w:bottom w:val="none" w:sz="0" w:space="0" w:color="auto"/>
                        <w:right w:val="none" w:sz="0" w:space="0" w:color="auto"/>
                      </w:divBdr>
                    </w:div>
                  </w:divsChild>
                </w:div>
                <w:div w:id="1473793019">
                  <w:marLeft w:val="0"/>
                  <w:marRight w:val="0"/>
                  <w:marTop w:val="0"/>
                  <w:marBottom w:val="0"/>
                  <w:divBdr>
                    <w:top w:val="none" w:sz="0" w:space="0" w:color="auto"/>
                    <w:left w:val="none" w:sz="0" w:space="0" w:color="auto"/>
                    <w:bottom w:val="none" w:sz="0" w:space="0" w:color="auto"/>
                    <w:right w:val="none" w:sz="0" w:space="0" w:color="auto"/>
                  </w:divBdr>
                  <w:divsChild>
                    <w:div w:id="1081415487">
                      <w:marLeft w:val="0"/>
                      <w:marRight w:val="0"/>
                      <w:marTop w:val="0"/>
                      <w:marBottom w:val="0"/>
                      <w:divBdr>
                        <w:top w:val="none" w:sz="0" w:space="0" w:color="auto"/>
                        <w:left w:val="none" w:sz="0" w:space="0" w:color="auto"/>
                        <w:bottom w:val="none" w:sz="0" w:space="0" w:color="auto"/>
                        <w:right w:val="none" w:sz="0" w:space="0" w:color="auto"/>
                      </w:divBdr>
                    </w:div>
                  </w:divsChild>
                </w:div>
                <w:div w:id="1681011068">
                  <w:marLeft w:val="0"/>
                  <w:marRight w:val="0"/>
                  <w:marTop w:val="0"/>
                  <w:marBottom w:val="0"/>
                  <w:divBdr>
                    <w:top w:val="none" w:sz="0" w:space="0" w:color="auto"/>
                    <w:left w:val="none" w:sz="0" w:space="0" w:color="auto"/>
                    <w:bottom w:val="none" w:sz="0" w:space="0" w:color="auto"/>
                    <w:right w:val="none" w:sz="0" w:space="0" w:color="auto"/>
                  </w:divBdr>
                  <w:divsChild>
                    <w:div w:id="6446743">
                      <w:marLeft w:val="0"/>
                      <w:marRight w:val="0"/>
                      <w:marTop w:val="0"/>
                      <w:marBottom w:val="0"/>
                      <w:divBdr>
                        <w:top w:val="none" w:sz="0" w:space="0" w:color="auto"/>
                        <w:left w:val="none" w:sz="0" w:space="0" w:color="auto"/>
                        <w:bottom w:val="none" w:sz="0" w:space="0" w:color="auto"/>
                        <w:right w:val="none" w:sz="0" w:space="0" w:color="auto"/>
                      </w:divBdr>
                    </w:div>
                  </w:divsChild>
                </w:div>
                <w:div w:id="1311599527">
                  <w:marLeft w:val="0"/>
                  <w:marRight w:val="0"/>
                  <w:marTop w:val="0"/>
                  <w:marBottom w:val="0"/>
                  <w:divBdr>
                    <w:top w:val="none" w:sz="0" w:space="0" w:color="auto"/>
                    <w:left w:val="none" w:sz="0" w:space="0" w:color="auto"/>
                    <w:bottom w:val="none" w:sz="0" w:space="0" w:color="auto"/>
                    <w:right w:val="none" w:sz="0" w:space="0" w:color="auto"/>
                  </w:divBdr>
                  <w:divsChild>
                    <w:div w:id="1802267144">
                      <w:marLeft w:val="0"/>
                      <w:marRight w:val="0"/>
                      <w:marTop w:val="0"/>
                      <w:marBottom w:val="0"/>
                      <w:divBdr>
                        <w:top w:val="none" w:sz="0" w:space="0" w:color="auto"/>
                        <w:left w:val="none" w:sz="0" w:space="0" w:color="auto"/>
                        <w:bottom w:val="none" w:sz="0" w:space="0" w:color="auto"/>
                        <w:right w:val="none" w:sz="0" w:space="0" w:color="auto"/>
                      </w:divBdr>
                    </w:div>
                  </w:divsChild>
                </w:div>
                <w:div w:id="1307081579">
                  <w:marLeft w:val="0"/>
                  <w:marRight w:val="0"/>
                  <w:marTop w:val="0"/>
                  <w:marBottom w:val="0"/>
                  <w:divBdr>
                    <w:top w:val="none" w:sz="0" w:space="0" w:color="auto"/>
                    <w:left w:val="none" w:sz="0" w:space="0" w:color="auto"/>
                    <w:bottom w:val="none" w:sz="0" w:space="0" w:color="auto"/>
                    <w:right w:val="none" w:sz="0" w:space="0" w:color="auto"/>
                  </w:divBdr>
                  <w:divsChild>
                    <w:div w:id="466313471">
                      <w:marLeft w:val="0"/>
                      <w:marRight w:val="0"/>
                      <w:marTop w:val="0"/>
                      <w:marBottom w:val="0"/>
                      <w:divBdr>
                        <w:top w:val="none" w:sz="0" w:space="0" w:color="auto"/>
                        <w:left w:val="none" w:sz="0" w:space="0" w:color="auto"/>
                        <w:bottom w:val="none" w:sz="0" w:space="0" w:color="auto"/>
                        <w:right w:val="none" w:sz="0" w:space="0" w:color="auto"/>
                      </w:divBdr>
                    </w:div>
                  </w:divsChild>
                </w:div>
                <w:div w:id="40138516">
                  <w:marLeft w:val="0"/>
                  <w:marRight w:val="0"/>
                  <w:marTop w:val="0"/>
                  <w:marBottom w:val="0"/>
                  <w:divBdr>
                    <w:top w:val="none" w:sz="0" w:space="0" w:color="auto"/>
                    <w:left w:val="none" w:sz="0" w:space="0" w:color="auto"/>
                    <w:bottom w:val="none" w:sz="0" w:space="0" w:color="auto"/>
                    <w:right w:val="none" w:sz="0" w:space="0" w:color="auto"/>
                  </w:divBdr>
                  <w:divsChild>
                    <w:div w:id="1435635973">
                      <w:marLeft w:val="0"/>
                      <w:marRight w:val="0"/>
                      <w:marTop w:val="0"/>
                      <w:marBottom w:val="0"/>
                      <w:divBdr>
                        <w:top w:val="none" w:sz="0" w:space="0" w:color="auto"/>
                        <w:left w:val="none" w:sz="0" w:space="0" w:color="auto"/>
                        <w:bottom w:val="none" w:sz="0" w:space="0" w:color="auto"/>
                        <w:right w:val="none" w:sz="0" w:space="0" w:color="auto"/>
                      </w:divBdr>
                    </w:div>
                    <w:div w:id="1910461713">
                      <w:marLeft w:val="0"/>
                      <w:marRight w:val="0"/>
                      <w:marTop w:val="0"/>
                      <w:marBottom w:val="0"/>
                      <w:divBdr>
                        <w:top w:val="none" w:sz="0" w:space="0" w:color="auto"/>
                        <w:left w:val="none" w:sz="0" w:space="0" w:color="auto"/>
                        <w:bottom w:val="none" w:sz="0" w:space="0" w:color="auto"/>
                        <w:right w:val="none" w:sz="0" w:space="0" w:color="auto"/>
                      </w:divBdr>
                    </w:div>
                  </w:divsChild>
                </w:div>
                <w:div w:id="948658498">
                  <w:marLeft w:val="0"/>
                  <w:marRight w:val="0"/>
                  <w:marTop w:val="0"/>
                  <w:marBottom w:val="0"/>
                  <w:divBdr>
                    <w:top w:val="none" w:sz="0" w:space="0" w:color="auto"/>
                    <w:left w:val="none" w:sz="0" w:space="0" w:color="auto"/>
                    <w:bottom w:val="none" w:sz="0" w:space="0" w:color="auto"/>
                    <w:right w:val="none" w:sz="0" w:space="0" w:color="auto"/>
                  </w:divBdr>
                  <w:divsChild>
                    <w:div w:id="1626808487">
                      <w:marLeft w:val="0"/>
                      <w:marRight w:val="0"/>
                      <w:marTop w:val="0"/>
                      <w:marBottom w:val="0"/>
                      <w:divBdr>
                        <w:top w:val="none" w:sz="0" w:space="0" w:color="auto"/>
                        <w:left w:val="none" w:sz="0" w:space="0" w:color="auto"/>
                        <w:bottom w:val="none" w:sz="0" w:space="0" w:color="auto"/>
                        <w:right w:val="none" w:sz="0" w:space="0" w:color="auto"/>
                      </w:divBdr>
                    </w:div>
                  </w:divsChild>
                </w:div>
                <w:div w:id="1753162427">
                  <w:marLeft w:val="0"/>
                  <w:marRight w:val="0"/>
                  <w:marTop w:val="0"/>
                  <w:marBottom w:val="0"/>
                  <w:divBdr>
                    <w:top w:val="none" w:sz="0" w:space="0" w:color="auto"/>
                    <w:left w:val="none" w:sz="0" w:space="0" w:color="auto"/>
                    <w:bottom w:val="none" w:sz="0" w:space="0" w:color="auto"/>
                    <w:right w:val="none" w:sz="0" w:space="0" w:color="auto"/>
                  </w:divBdr>
                  <w:divsChild>
                    <w:div w:id="1131945632">
                      <w:marLeft w:val="0"/>
                      <w:marRight w:val="0"/>
                      <w:marTop w:val="0"/>
                      <w:marBottom w:val="0"/>
                      <w:divBdr>
                        <w:top w:val="none" w:sz="0" w:space="0" w:color="auto"/>
                        <w:left w:val="none" w:sz="0" w:space="0" w:color="auto"/>
                        <w:bottom w:val="none" w:sz="0" w:space="0" w:color="auto"/>
                        <w:right w:val="none" w:sz="0" w:space="0" w:color="auto"/>
                      </w:divBdr>
                    </w:div>
                  </w:divsChild>
                </w:div>
                <w:div w:id="1895700319">
                  <w:marLeft w:val="0"/>
                  <w:marRight w:val="0"/>
                  <w:marTop w:val="0"/>
                  <w:marBottom w:val="0"/>
                  <w:divBdr>
                    <w:top w:val="none" w:sz="0" w:space="0" w:color="auto"/>
                    <w:left w:val="none" w:sz="0" w:space="0" w:color="auto"/>
                    <w:bottom w:val="none" w:sz="0" w:space="0" w:color="auto"/>
                    <w:right w:val="none" w:sz="0" w:space="0" w:color="auto"/>
                  </w:divBdr>
                  <w:divsChild>
                    <w:div w:id="1869292845">
                      <w:marLeft w:val="0"/>
                      <w:marRight w:val="0"/>
                      <w:marTop w:val="0"/>
                      <w:marBottom w:val="0"/>
                      <w:divBdr>
                        <w:top w:val="none" w:sz="0" w:space="0" w:color="auto"/>
                        <w:left w:val="none" w:sz="0" w:space="0" w:color="auto"/>
                        <w:bottom w:val="none" w:sz="0" w:space="0" w:color="auto"/>
                        <w:right w:val="none" w:sz="0" w:space="0" w:color="auto"/>
                      </w:divBdr>
                    </w:div>
                    <w:div w:id="1138110419">
                      <w:marLeft w:val="0"/>
                      <w:marRight w:val="0"/>
                      <w:marTop w:val="0"/>
                      <w:marBottom w:val="0"/>
                      <w:divBdr>
                        <w:top w:val="none" w:sz="0" w:space="0" w:color="auto"/>
                        <w:left w:val="none" w:sz="0" w:space="0" w:color="auto"/>
                        <w:bottom w:val="none" w:sz="0" w:space="0" w:color="auto"/>
                        <w:right w:val="none" w:sz="0" w:space="0" w:color="auto"/>
                      </w:divBdr>
                    </w:div>
                    <w:div w:id="999846254">
                      <w:marLeft w:val="0"/>
                      <w:marRight w:val="0"/>
                      <w:marTop w:val="0"/>
                      <w:marBottom w:val="0"/>
                      <w:divBdr>
                        <w:top w:val="none" w:sz="0" w:space="0" w:color="auto"/>
                        <w:left w:val="none" w:sz="0" w:space="0" w:color="auto"/>
                        <w:bottom w:val="none" w:sz="0" w:space="0" w:color="auto"/>
                        <w:right w:val="none" w:sz="0" w:space="0" w:color="auto"/>
                      </w:divBdr>
                    </w:div>
                    <w:div w:id="620501970">
                      <w:marLeft w:val="0"/>
                      <w:marRight w:val="0"/>
                      <w:marTop w:val="0"/>
                      <w:marBottom w:val="0"/>
                      <w:divBdr>
                        <w:top w:val="none" w:sz="0" w:space="0" w:color="auto"/>
                        <w:left w:val="none" w:sz="0" w:space="0" w:color="auto"/>
                        <w:bottom w:val="none" w:sz="0" w:space="0" w:color="auto"/>
                        <w:right w:val="none" w:sz="0" w:space="0" w:color="auto"/>
                      </w:divBdr>
                    </w:div>
                    <w:div w:id="1479760316">
                      <w:marLeft w:val="0"/>
                      <w:marRight w:val="0"/>
                      <w:marTop w:val="0"/>
                      <w:marBottom w:val="0"/>
                      <w:divBdr>
                        <w:top w:val="none" w:sz="0" w:space="0" w:color="auto"/>
                        <w:left w:val="none" w:sz="0" w:space="0" w:color="auto"/>
                        <w:bottom w:val="none" w:sz="0" w:space="0" w:color="auto"/>
                        <w:right w:val="none" w:sz="0" w:space="0" w:color="auto"/>
                      </w:divBdr>
                    </w:div>
                    <w:div w:id="884213843">
                      <w:marLeft w:val="0"/>
                      <w:marRight w:val="0"/>
                      <w:marTop w:val="0"/>
                      <w:marBottom w:val="0"/>
                      <w:divBdr>
                        <w:top w:val="none" w:sz="0" w:space="0" w:color="auto"/>
                        <w:left w:val="none" w:sz="0" w:space="0" w:color="auto"/>
                        <w:bottom w:val="none" w:sz="0" w:space="0" w:color="auto"/>
                        <w:right w:val="none" w:sz="0" w:space="0" w:color="auto"/>
                      </w:divBdr>
                    </w:div>
                  </w:divsChild>
                </w:div>
                <w:div w:id="1629895577">
                  <w:marLeft w:val="0"/>
                  <w:marRight w:val="0"/>
                  <w:marTop w:val="0"/>
                  <w:marBottom w:val="0"/>
                  <w:divBdr>
                    <w:top w:val="none" w:sz="0" w:space="0" w:color="auto"/>
                    <w:left w:val="none" w:sz="0" w:space="0" w:color="auto"/>
                    <w:bottom w:val="none" w:sz="0" w:space="0" w:color="auto"/>
                    <w:right w:val="none" w:sz="0" w:space="0" w:color="auto"/>
                  </w:divBdr>
                  <w:divsChild>
                    <w:div w:id="333263692">
                      <w:marLeft w:val="0"/>
                      <w:marRight w:val="0"/>
                      <w:marTop w:val="0"/>
                      <w:marBottom w:val="0"/>
                      <w:divBdr>
                        <w:top w:val="none" w:sz="0" w:space="0" w:color="auto"/>
                        <w:left w:val="none" w:sz="0" w:space="0" w:color="auto"/>
                        <w:bottom w:val="none" w:sz="0" w:space="0" w:color="auto"/>
                        <w:right w:val="none" w:sz="0" w:space="0" w:color="auto"/>
                      </w:divBdr>
                    </w:div>
                    <w:div w:id="324671314">
                      <w:marLeft w:val="0"/>
                      <w:marRight w:val="0"/>
                      <w:marTop w:val="0"/>
                      <w:marBottom w:val="0"/>
                      <w:divBdr>
                        <w:top w:val="none" w:sz="0" w:space="0" w:color="auto"/>
                        <w:left w:val="none" w:sz="0" w:space="0" w:color="auto"/>
                        <w:bottom w:val="none" w:sz="0" w:space="0" w:color="auto"/>
                        <w:right w:val="none" w:sz="0" w:space="0" w:color="auto"/>
                      </w:divBdr>
                    </w:div>
                    <w:div w:id="841706261">
                      <w:marLeft w:val="0"/>
                      <w:marRight w:val="0"/>
                      <w:marTop w:val="0"/>
                      <w:marBottom w:val="0"/>
                      <w:divBdr>
                        <w:top w:val="none" w:sz="0" w:space="0" w:color="auto"/>
                        <w:left w:val="none" w:sz="0" w:space="0" w:color="auto"/>
                        <w:bottom w:val="none" w:sz="0" w:space="0" w:color="auto"/>
                        <w:right w:val="none" w:sz="0" w:space="0" w:color="auto"/>
                      </w:divBdr>
                    </w:div>
                    <w:div w:id="1006709632">
                      <w:marLeft w:val="0"/>
                      <w:marRight w:val="0"/>
                      <w:marTop w:val="0"/>
                      <w:marBottom w:val="0"/>
                      <w:divBdr>
                        <w:top w:val="none" w:sz="0" w:space="0" w:color="auto"/>
                        <w:left w:val="none" w:sz="0" w:space="0" w:color="auto"/>
                        <w:bottom w:val="none" w:sz="0" w:space="0" w:color="auto"/>
                        <w:right w:val="none" w:sz="0" w:space="0" w:color="auto"/>
                      </w:divBdr>
                    </w:div>
                    <w:div w:id="1958366366">
                      <w:marLeft w:val="0"/>
                      <w:marRight w:val="0"/>
                      <w:marTop w:val="0"/>
                      <w:marBottom w:val="0"/>
                      <w:divBdr>
                        <w:top w:val="none" w:sz="0" w:space="0" w:color="auto"/>
                        <w:left w:val="none" w:sz="0" w:space="0" w:color="auto"/>
                        <w:bottom w:val="none" w:sz="0" w:space="0" w:color="auto"/>
                        <w:right w:val="none" w:sz="0" w:space="0" w:color="auto"/>
                      </w:divBdr>
                    </w:div>
                    <w:div w:id="1679429462">
                      <w:marLeft w:val="0"/>
                      <w:marRight w:val="0"/>
                      <w:marTop w:val="0"/>
                      <w:marBottom w:val="0"/>
                      <w:divBdr>
                        <w:top w:val="none" w:sz="0" w:space="0" w:color="auto"/>
                        <w:left w:val="none" w:sz="0" w:space="0" w:color="auto"/>
                        <w:bottom w:val="none" w:sz="0" w:space="0" w:color="auto"/>
                        <w:right w:val="none" w:sz="0" w:space="0" w:color="auto"/>
                      </w:divBdr>
                    </w:div>
                  </w:divsChild>
                </w:div>
                <w:div w:id="254099395">
                  <w:marLeft w:val="0"/>
                  <w:marRight w:val="0"/>
                  <w:marTop w:val="0"/>
                  <w:marBottom w:val="0"/>
                  <w:divBdr>
                    <w:top w:val="none" w:sz="0" w:space="0" w:color="auto"/>
                    <w:left w:val="none" w:sz="0" w:space="0" w:color="auto"/>
                    <w:bottom w:val="none" w:sz="0" w:space="0" w:color="auto"/>
                    <w:right w:val="none" w:sz="0" w:space="0" w:color="auto"/>
                  </w:divBdr>
                  <w:divsChild>
                    <w:div w:id="1790515499">
                      <w:marLeft w:val="0"/>
                      <w:marRight w:val="0"/>
                      <w:marTop w:val="0"/>
                      <w:marBottom w:val="0"/>
                      <w:divBdr>
                        <w:top w:val="none" w:sz="0" w:space="0" w:color="auto"/>
                        <w:left w:val="none" w:sz="0" w:space="0" w:color="auto"/>
                        <w:bottom w:val="none" w:sz="0" w:space="0" w:color="auto"/>
                        <w:right w:val="none" w:sz="0" w:space="0" w:color="auto"/>
                      </w:divBdr>
                    </w:div>
                  </w:divsChild>
                </w:div>
                <w:div w:id="44914096">
                  <w:marLeft w:val="0"/>
                  <w:marRight w:val="0"/>
                  <w:marTop w:val="0"/>
                  <w:marBottom w:val="0"/>
                  <w:divBdr>
                    <w:top w:val="none" w:sz="0" w:space="0" w:color="auto"/>
                    <w:left w:val="none" w:sz="0" w:space="0" w:color="auto"/>
                    <w:bottom w:val="none" w:sz="0" w:space="0" w:color="auto"/>
                    <w:right w:val="none" w:sz="0" w:space="0" w:color="auto"/>
                  </w:divBdr>
                  <w:divsChild>
                    <w:div w:id="622883571">
                      <w:marLeft w:val="0"/>
                      <w:marRight w:val="0"/>
                      <w:marTop w:val="0"/>
                      <w:marBottom w:val="0"/>
                      <w:divBdr>
                        <w:top w:val="none" w:sz="0" w:space="0" w:color="auto"/>
                        <w:left w:val="none" w:sz="0" w:space="0" w:color="auto"/>
                        <w:bottom w:val="none" w:sz="0" w:space="0" w:color="auto"/>
                        <w:right w:val="none" w:sz="0" w:space="0" w:color="auto"/>
                      </w:divBdr>
                    </w:div>
                    <w:div w:id="2004501415">
                      <w:marLeft w:val="0"/>
                      <w:marRight w:val="0"/>
                      <w:marTop w:val="0"/>
                      <w:marBottom w:val="0"/>
                      <w:divBdr>
                        <w:top w:val="none" w:sz="0" w:space="0" w:color="auto"/>
                        <w:left w:val="none" w:sz="0" w:space="0" w:color="auto"/>
                        <w:bottom w:val="none" w:sz="0" w:space="0" w:color="auto"/>
                        <w:right w:val="none" w:sz="0" w:space="0" w:color="auto"/>
                      </w:divBdr>
                    </w:div>
                  </w:divsChild>
                </w:div>
                <w:div w:id="687484670">
                  <w:marLeft w:val="0"/>
                  <w:marRight w:val="0"/>
                  <w:marTop w:val="0"/>
                  <w:marBottom w:val="0"/>
                  <w:divBdr>
                    <w:top w:val="none" w:sz="0" w:space="0" w:color="auto"/>
                    <w:left w:val="none" w:sz="0" w:space="0" w:color="auto"/>
                    <w:bottom w:val="none" w:sz="0" w:space="0" w:color="auto"/>
                    <w:right w:val="none" w:sz="0" w:space="0" w:color="auto"/>
                  </w:divBdr>
                  <w:divsChild>
                    <w:div w:id="1485661243">
                      <w:marLeft w:val="0"/>
                      <w:marRight w:val="0"/>
                      <w:marTop w:val="0"/>
                      <w:marBottom w:val="0"/>
                      <w:divBdr>
                        <w:top w:val="none" w:sz="0" w:space="0" w:color="auto"/>
                        <w:left w:val="none" w:sz="0" w:space="0" w:color="auto"/>
                        <w:bottom w:val="none" w:sz="0" w:space="0" w:color="auto"/>
                        <w:right w:val="none" w:sz="0" w:space="0" w:color="auto"/>
                      </w:divBdr>
                    </w:div>
                    <w:div w:id="1131636130">
                      <w:marLeft w:val="0"/>
                      <w:marRight w:val="0"/>
                      <w:marTop w:val="0"/>
                      <w:marBottom w:val="0"/>
                      <w:divBdr>
                        <w:top w:val="none" w:sz="0" w:space="0" w:color="auto"/>
                        <w:left w:val="none" w:sz="0" w:space="0" w:color="auto"/>
                        <w:bottom w:val="none" w:sz="0" w:space="0" w:color="auto"/>
                        <w:right w:val="none" w:sz="0" w:space="0" w:color="auto"/>
                      </w:divBdr>
                    </w:div>
                  </w:divsChild>
                </w:div>
                <w:div w:id="1824467437">
                  <w:marLeft w:val="0"/>
                  <w:marRight w:val="0"/>
                  <w:marTop w:val="0"/>
                  <w:marBottom w:val="0"/>
                  <w:divBdr>
                    <w:top w:val="none" w:sz="0" w:space="0" w:color="auto"/>
                    <w:left w:val="none" w:sz="0" w:space="0" w:color="auto"/>
                    <w:bottom w:val="none" w:sz="0" w:space="0" w:color="auto"/>
                    <w:right w:val="none" w:sz="0" w:space="0" w:color="auto"/>
                  </w:divBdr>
                  <w:divsChild>
                    <w:div w:id="1753814097">
                      <w:marLeft w:val="0"/>
                      <w:marRight w:val="0"/>
                      <w:marTop w:val="0"/>
                      <w:marBottom w:val="0"/>
                      <w:divBdr>
                        <w:top w:val="none" w:sz="0" w:space="0" w:color="auto"/>
                        <w:left w:val="none" w:sz="0" w:space="0" w:color="auto"/>
                        <w:bottom w:val="none" w:sz="0" w:space="0" w:color="auto"/>
                        <w:right w:val="none" w:sz="0" w:space="0" w:color="auto"/>
                      </w:divBdr>
                    </w:div>
                  </w:divsChild>
                </w:div>
                <w:div w:id="722605145">
                  <w:marLeft w:val="0"/>
                  <w:marRight w:val="0"/>
                  <w:marTop w:val="0"/>
                  <w:marBottom w:val="0"/>
                  <w:divBdr>
                    <w:top w:val="none" w:sz="0" w:space="0" w:color="auto"/>
                    <w:left w:val="none" w:sz="0" w:space="0" w:color="auto"/>
                    <w:bottom w:val="none" w:sz="0" w:space="0" w:color="auto"/>
                    <w:right w:val="none" w:sz="0" w:space="0" w:color="auto"/>
                  </w:divBdr>
                  <w:divsChild>
                    <w:div w:id="1981036462">
                      <w:marLeft w:val="0"/>
                      <w:marRight w:val="0"/>
                      <w:marTop w:val="0"/>
                      <w:marBottom w:val="0"/>
                      <w:divBdr>
                        <w:top w:val="none" w:sz="0" w:space="0" w:color="auto"/>
                        <w:left w:val="none" w:sz="0" w:space="0" w:color="auto"/>
                        <w:bottom w:val="none" w:sz="0" w:space="0" w:color="auto"/>
                        <w:right w:val="none" w:sz="0" w:space="0" w:color="auto"/>
                      </w:divBdr>
                    </w:div>
                  </w:divsChild>
                </w:div>
                <w:div w:id="1549217025">
                  <w:marLeft w:val="0"/>
                  <w:marRight w:val="0"/>
                  <w:marTop w:val="0"/>
                  <w:marBottom w:val="0"/>
                  <w:divBdr>
                    <w:top w:val="none" w:sz="0" w:space="0" w:color="auto"/>
                    <w:left w:val="none" w:sz="0" w:space="0" w:color="auto"/>
                    <w:bottom w:val="none" w:sz="0" w:space="0" w:color="auto"/>
                    <w:right w:val="none" w:sz="0" w:space="0" w:color="auto"/>
                  </w:divBdr>
                  <w:divsChild>
                    <w:div w:id="695037053">
                      <w:marLeft w:val="0"/>
                      <w:marRight w:val="0"/>
                      <w:marTop w:val="0"/>
                      <w:marBottom w:val="0"/>
                      <w:divBdr>
                        <w:top w:val="none" w:sz="0" w:space="0" w:color="auto"/>
                        <w:left w:val="none" w:sz="0" w:space="0" w:color="auto"/>
                        <w:bottom w:val="none" w:sz="0" w:space="0" w:color="auto"/>
                        <w:right w:val="none" w:sz="0" w:space="0" w:color="auto"/>
                      </w:divBdr>
                    </w:div>
                    <w:div w:id="700283605">
                      <w:marLeft w:val="0"/>
                      <w:marRight w:val="0"/>
                      <w:marTop w:val="0"/>
                      <w:marBottom w:val="0"/>
                      <w:divBdr>
                        <w:top w:val="none" w:sz="0" w:space="0" w:color="auto"/>
                        <w:left w:val="none" w:sz="0" w:space="0" w:color="auto"/>
                        <w:bottom w:val="none" w:sz="0" w:space="0" w:color="auto"/>
                        <w:right w:val="none" w:sz="0" w:space="0" w:color="auto"/>
                      </w:divBdr>
                    </w:div>
                  </w:divsChild>
                </w:div>
                <w:div w:id="462649839">
                  <w:marLeft w:val="0"/>
                  <w:marRight w:val="0"/>
                  <w:marTop w:val="0"/>
                  <w:marBottom w:val="0"/>
                  <w:divBdr>
                    <w:top w:val="none" w:sz="0" w:space="0" w:color="auto"/>
                    <w:left w:val="none" w:sz="0" w:space="0" w:color="auto"/>
                    <w:bottom w:val="none" w:sz="0" w:space="0" w:color="auto"/>
                    <w:right w:val="none" w:sz="0" w:space="0" w:color="auto"/>
                  </w:divBdr>
                  <w:divsChild>
                    <w:div w:id="598685607">
                      <w:marLeft w:val="0"/>
                      <w:marRight w:val="0"/>
                      <w:marTop w:val="0"/>
                      <w:marBottom w:val="0"/>
                      <w:divBdr>
                        <w:top w:val="none" w:sz="0" w:space="0" w:color="auto"/>
                        <w:left w:val="none" w:sz="0" w:space="0" w:color="auto"/>
                        <w:bottom w:val="none" w:sz="0" w:space="0" w:color="auto"/>
                        <w:right w:val="none" w:sz="0" w:space="0" w:color="auto"/>
                      </w:divBdr>
                    </w:div>
                  </w:divsChild>
                </w:div>
                <w:div w:id="638220079">
                  <w:marLeft w:val="0"/>
                  <w:marRight w:val="0"/>
                  <w:marTop w:val="0"/>
                  <w:marBottom w:val="0"/>
                  <w:divBdr>
                    <w:top w:val="none" w:sz="0" w:space="0" w:color="auto"/>
                    <w:left w:val="none" w:sz="0" w:space="0" w:color="auto"/>
                    <w:bottom w:val="none" w:sz="0" w:space="0" w:color="auto"/>
                    <w:right w:val="none" w:sz="0" w:space="0" w:color="auto"/>
                  </w:divBdr>
                  <w:divsChild>
                    <w:div w:id="7408713">
                      <w:marLeft w:val="0"/>
                      <w:marRight w:val="0"/>
                      <w:marTop w:val="0"/>
                      <w:marBottom w:val="0"/>
                      <w:divBdr>
                        <w:top w:val="none" w:sz="0" w:space="0" w:color="auto"/>
                        <w:left w:val="none" w:sz="0" w:space="0" w:color="auto"/>
                        <w:bottom w:val="none" w:sz="0" w:space="0" w:color="auto"/>
                        <w:right w:val="none" w:sz="0" w:space="0" w:color="auto"/>
                      </w:divBdr>
                    </w:div>
                    <w:div w:id="1333489946">
                      <w:marLeft w:val="0"/>
                      <w:marRight w:val="0"/>
                      <w:marTop w:val="0"/>
                      <w:marBottom w:val="0"/>
                      <w:divBdr>
                        <w:top w:val="none" w:sz="0" w:space="0" w:color="auto"/>
                        <w:left w:val="none" w:sz="0" w:space="0" w:color="auto"/>
                        <w:bottom w:val="none" w:sz="0" w:space="0" w:color="auto"/>
                        <w:right w:val="none" w:sz="0" w:space="0" w:color="auto"/>
                      </w:divBdr>
                    </w:div>
                  </w:divsChild>
                </w:div>
                <w:div w:id="967933149">
                  <w:marLeft w:val="0"/>
                  <w:marRight w:val="0"/>
                  <w:marTop w:val="0"/>
                  <w:marBottom w:val="0"/>
                  <w:divBdr>
                    <w:top w:val="none" w:sz="0" w:space="0" w:color="auto"/>
                    <w:left w:val="none" w:sz="0" w:space="0" w:color="auto"/>
                    <w:bottom w:val="none" w:sz="0" w:space="0" w:color="auto"/>
                    <w:right w:val="none" w:sz="0" w:space="0" w:color="auto"/>
                  </w:divBdr>
                  <w:divsChild>
                    <w:div w:id="65615297">
                      <w:marLeft w:val="0"/>
                      <w:marRight w:val="0"/>
                      <w:marTop w:val="0"/>
                      <w:marBottom w:val="0"/>
                      <w:divBdr>
                        <w:top w:val="none" w:sz="0" w:space="0" w:color="auto"/>
                        <w:left w:val="none" w:sz="0" w:space="0" w:color="auto"/>
                        <w:bottom w:val="none" w:sz="0" w:space="0" w:color="auto"/>
                        <w:right w:val="none" w:sz="0" w:space="0" w:color="auto"/>
                      </w:divBdr>
                    </w:div>
                  </w:divsChild>
                </w:div>
                <w:div w:id="1693916772">
                  <w:marLeft w:val="0"/>
                  <w:marRight w:val="0"/>
                  <w:marTop w:val="0"/>
                  <w:marBottom w:val="0"/>
                  <w:divBdr>
                    <w:top w:val="none" w:sz="0" w:space="0" w:color="auto"/>
                    <w:left w:val="none" w:sz="0" w:space="0" w:color="auto"/>
                    <w:bottom w:val="none" w:sz="0" w:space="0" w:color="auto"/>
                    <w:right w:val="none" w:sz="0" w:space="0" w:color="auto"/>
                  </w:divBdr>
                  <w:divsChild>
                    <w:div w:id="1367755721">
                      <w:marLeft w:val="0"/>
                      <w:marRight w:val="0"/>
                      <w:marTop w:val="0"/>
                      <w:marBottom w:val="0"/>
                      <w:divBdr>
                        <w:top w:val="none" w:sz="0" w:space="0" w:color="auto"/>
                        <w:left w:val="none" w:sz="0" w:space="0" w:color="auto"/>
                        <w:bottom w:val="none" w:sz="0" w:space="0" w:color="auto"/>
                        <w:right w:val="none" w:sz="0" w:space="0" w:color="auto"/>
                      </w:divBdr>
                    </w:div>
                    <w:div w:id="1880238793">
                      <w:marLeft w:val="0"/>
                      <w:marRight w:val="0"/>
                      <w:marTop w:val="0"/>
                      <w:marBottom w:val="0"/>
                      <w:divBdr>
                        <w:top w:val="none" w:sz="0" w:space="0" w:color="auto"/>
                        <w:left w:val="none" w:sz="0" w:space="0" w:color="auto"/>
                        <w:bottom w:val="none" w:sz="0" w:space="0" w:color="auto"/>
                        <w:right w:val="none" w:sz="0" w:space="0" w:color="auto"/>
                      </w:divBdr>
                    </w:div>
                  </w:divsChild>
                </w:div>
                <w:div w:id="1992248450">
                  <w:marLeft w:val="0"/>
                  <w:marRight w:val="0"/>
                  <w:marTop w:val="0"/>
                  <w:marBottom w:val="0"/>
                  <w:divBdr>
                    <w:top w:val="none" w:sz="0" w:space="0" w:color="auto"/>
                    <w:left w:val="none" w:sz="0" w:space="0" w:color="auto"/>
                    <w:bottom w:val="none" w:sz="0" w:space="0" w:color="auto"/>
                    <w:right w:val="none" w:sz="0" w:space="0" w:color="auto"/>
                  </w:divBdr>
                  <w:divsChild>
                    <w:div w:id="1886677232">
                      <w:marLeft w:val="0"/>
                      <w:marRight w:val="0"/>
                      <w:marTop w:val="0"/>
                      <w:marBottom w:val="0"/>
                      <w:divBdr>
                        <w:top w:val="none" w:sz="0" w:space="0" w:color="auto"/>
                        <w:left w:val="none" w:sz="0" w:space="0" w:color="auto"/>
                        <w:bottom w:val="none" w:sz="0" w:space="0" w:color="auto"/>
                        <w:right w:val="none" w:sz="0" w:space="0" w:color="auto"/>
                      </w:divBdr>
                    </w:div>
                  </w:divsChild>
                </w:div>
                <w:div w:id="76294997">
                  <w:marLeft w:val="0"/>
                  <w:marRight w:val="0"/>
                  <w:marTop w:val="0"/>
                  <w:marBottom w:val="0"/>
                  <w:divBdr>
                    <w:top w:val="none" w:sz="0" w:space="0" w:color="auto"/>
                    <w:left w:val="none" w:sz="0" w:space="0" w:color="auto"/>
                    <w:bottom w:val="none" w:sz="0" w:space="0" w:color="auto"/>
                    <w:right w:val="none" w:sz="0" w:space="0" w:color="auto"/>
                  </w:divBdr>
                  <w:divsChild>
                    <w:div w:id="815414666">
                      <w:marLeft w:val="0"/>
                      <w:marRight w:val="0"/>
                      <w:marTop w:val="0"/>
                      <w:marBottom w:val="0"/>
                      <w:divBdr>
                        <w:top w:val="none" w:sz="0" w:space="0" w:color="auto"/>
                        <w:left w:val="none" w:sz="0" w:space="0" w:color="auto"/>
                        <w:bottom w:val="none" w:sz="0" w:space="0" w:color="auto"/>
                        <w:right w:val="none" w:sz="0" w:space="0" w:color="auto"/>
                      </w:divBdr>
                    </w:div>
                    <w:div w:id="2038315225">
                      <w:marLeft w:val="0"/>
                      <w:marRight w:val="0"/>
                      <w:marTop w:val="0"/>
                      <w:marBottom w:val="0"/>
                      <w:divBdr>
                        <w:top w:val="none" w:sz="0" w:space="0" w:color="auto"/>
                        <w:left w:val="none" w:sz="0" w:space="0" w:color="auto"/>
                        <w:bottom w:val="none" w:sz="0" w:space="0" w:color="auto"/>
                        <w:right w:val="none" w:sz="0" w:space="0" w:color="auto"/>
                      </w:divBdr>
                    </w:div>
                  </w:divsChild>
                </w:div>
                <w:div w:id="1643271500">
                  <w:marLeft w:val="0"/>
                  <w:marRight w:val="0"/>
                  <w:marTop w:val="0"/>
                  <w:marBottom w:val="0"/>
                  <w:divBdr>
                    <w:top w:val="none" w:sz="0" w:space="0" w:color="auto"/>
                    <w:left w:val="none" w:sz="0" w:space="0" w:color="auto"/>
                    <w:bottom w:val="none" w:sz="0" w:space="0" w:color="auto"/>
                    <w:right w:val="none" w:sz="0" w:space="0" w:color="auto"/>
                  </w:divBdr>
                  <w:divsChild>
                    <w:div w:id="1629973928">
                      <w:marLeft w:val="0"/>
                      <w:marRight w:val="0"/>
                      <w:marTop w:val="0"/>
                      <w:marBottom w:val="0"/>
                      <w:divBdr>
                        <w:top w:val="none" w:sz="0" w:space="0" w:color="auto"/>
                        <w:left w:val="none" w:sz="0" w:space="0" w:color="auto"/>
                        <w:bottom w:val="none" w:sz="0" w:space="0" w:color="auto"/>
                        <w:right w:val="none" w:sz="0" w:space="0" w:color="auto"/>
                      </w:divBdr>
                    </w:div>
                  </w:divsChild>
                </w:div>
                <w:div w:id="117182726">
                  <w:marLeft w:val="0"/>
                  <w:marRight w:val="0"/>
                  <w:marTop w:val="0"/>
                  <w:marBottom w:val="0"/>
                  <w:divBdr>
                    <w:top w:val="none" w:sz="0" w:space="0" w:color="auto"/>
                    <w:left w:val="none" w:sz="0" w:space="0" w:color="auto"/>
                    <w:bottom w:val="none" w:sz="0" w:space="0" w:color="auto"/>
                    <w:right w:val="none" w:sz="0" w:space="0" w:color="auto"/>
                  </w:divBdr>
                  <w:divsChild>
                    <w:div w:id="1662000957">
                      <w:marLeft w:val="0"/>
                      <w:marRight w:val="0"/>
                      <w:marTop w:val="0"/>
                      <w:marBottom w:val="0"/>
                      <w:divBdr>
                        <w:top w:val="none" w:sz="0" w:space="0" w:color="auto"/>
                        <w:left w:val="none" w:sz="0" w:space="0" w:color="auto"/>
                        <w:bottom w:val="none" w:sz="0" w:space="0" w:color="auto"/>
                        <w:right w:val="none" w:sz="0" w:space="0" w:color="auto"/>
                      </w:divBdr>
                    </w:div>
                  </w:divsChild>
                </w:div>
                <w:div w:id="165554753">
                  <w:marLeft w:val="0"/>
                  <w:marRight w:val="0"/>
                  <w:marTop w:val="0"/>
                  <w:marBottom w:val="0"/>
                  <w:divBdr>
                    <w:top w:val="none" w:sz="0" w:space="0" w:color="auto"/>
                    <w:left w:val="none" w:sz="0" w:space="0" w:color="auto"/>
                    <w:bottom w:val="none" w:sz="0" w:space="0" w:color="auto"/>
                    <w:right w:val="none" w:sz="0" w:space="0" w:color="auto"/>
                  </w:divBdr>
                  <w:divsChild>
                    <w:div w:id="532622316">
                      <w:marLeft w:val="0"/>
                      <w:marRight w:val="0"/>
                      <w:marTop w:val="0"/>
                      <w:marBottom w:val="0"/>
                      <w:divBdr>
                        <w:top w:val="none" w:sz="0" w:space="0" w:color="auto"/>
                        <w:left w:val="none" w:sz="0" w:space="0" w:color="auto"/>
                        <w:bottom w:val="none" w:sz="0" w:space="0" w:color="auto"/>
                        <w:right w:val="none" w:sz="0" w:space="0" w:color="auto"/>
                      </w:divBdr>
                    </w:div>
                  </w:divsChild>
                </w:div>
                <w:div w:id="620497157">
                  <w:marLeft w:val="0"/>
                  <w:marRight w:val="0"/>
                  <w:marTop w:val="0"/>
                  <w:marBottom w:val="0"/>
                  <w:divBdr>
                    <w:top w:val="none" w:sz="0" w:space="0" w:color="auto"/>
                    <w:left w:val="none" w:sz="0" w:space="0" w:color="auto"/>
                    <w:bottom w:val="none" w:sz="0" w:space="0" w:color="auto"/>
                    <w:right w:val="none" w:sz="0" w:space="0" w:color="auto"/>
                  </w:divBdr>
                  <w:divsChild>
                    <w:div w:id="421142960">
                      <w:marLeft w:val="0"/>
                      <w:marRight w:val="0"/>
                      <w:marTop w:val="0"/>
                      <w:marBottom w:val="0"/>
                      <w:divBdr>
                        <w:top w:val="none" w:sz="0" w:space="0" w:color="auto"/>
                        <w:left w:val="none" w:sz="0" w:space="0" w:color="auto"/>
                        <w:bottom w:val="none" w:sz="0" w:space="0" w:color="auto"/>
                        <w:right w:val="none" w:sz="0" w:space="0" w:color="auto"/>
                      </w:divBdr>
                    </w:div>
                    <w:div w:id="2069301406">
                      <w:marLeft w:val="0"/>
                      <w:marRight w:val="0"/>
                      <w:marTop w:val="0"/>
                      <w:marBottom w:val="0"/>
                      <w:divBdr>
                        <w:top w:val="none" w:sz="0" w:space="0" w:color="auto"/>
                        <w:left w:val="none" w:sz="0" w:space="0" w:color="auto"/>
                        <w:bottom w:val="none" w:sz="0" w:space="0" w:color="auto"/>
                        <w:right w:val="none" w:sz="0" w:space="0" w:color="auto"/>
                      </w:divBdr>
                    </w:div>
                  </w:divsChild>
                </w:div>
                <w:div w:id="2125148046">
                  <w:marLeft w:val="0"/>
                  <w:marRight w:val="0"/>
                  <w:marTop w:val="0"/>
                  <w:marBottom w:val="0"/>
                  <w:divBdr>
                    <w:top w:val="none" w:sz="0" w:space="0" w:color="auto"/>
                    <w:left w:val="none" w:sz="0" w:space="0" w:color="auto"/>
                    <w:bottom w:val="none" w:sz="0" w:space="0" w:color="auto"/>
                    <w:right w:val="none" w:sz="0" w:space="0" w:color="auto"/>
                  </w:divBdr>
                  <w:divsChild>
                    <w:div w:id="148720124">
                      <w:marLeft w:val="0"/>
                      <w:marRight w:val="0"/>
                      <w:marTop w:val="0"/>
                      <w:marBottom w:val="0"/>
                      <w:divBdr>
                        <w:top w:val="none" w:sz="0" w:space="0" w:color="auto"/>
                        <w:left w:val="none" w:sz="0" w:space="0" w:color="auto"/>
                        <w:bottom w:val="none" w:sz="0" w:space="0" w:color="auto"/>
                        <w:right w:val="none" w:sz="0" w:space="0" w:color="auto"/>
                      </w:divBdr>
                    </w:div>
                    <w:div w:id="1619723761">
                      <w:marLeft w:val="0"/>
                      <w:marRight w:val="0"/>
                      <w:marTop w:val="0"/>
                      <w:marBottom w:val="0"/>
                      <w:divBdr>
                        <w:top w:val="none" w:sz="0" w:space="0" w:color="auto"/>
                        <w:left w:val="none" w:sz="0" w:space="0" w:color="auto"/>
                        <w:bottom w:val="none" w:sz="0" w:space="0" w:color="auto"/>
                        <w:right w:val="none" w:sz="0" w:space="0" w:color="auto"/>
                      </w:divBdr>
                    </w:div>
                    <w:div w:id="1918514068">
                      <w:marLeft w:val="0"/>
                      <w:marRight w:val="0"/>
                      <w:marTop w:val="0"/>
                      <w:marBottom w:val="0"/>
                      <w:divBdr>
                        <w:top w:val="none" w:sz="0" w:space="0" w:color="auto"/>
                        <w:left w:val="none" w:sz="0" w:space="0" w:color="auto"/>
                        <w:bottom w:val="none" w:sz="0" w:space="0" w:color="auto"/>
                        <w:right w:val="none" w:sz="0" w:space="0" w:color="auto"/>
                      </w:divBdr>
                    </w:div>
                    <w:div w:id="1174958561">
                      <w:marLeft w:val="0"/>
                      <w:marRight w:val="0"/>
                      <w:marTop w:val="0"/>
                      <w:marBottom w:val="0"/>
                      <w:divBdr>
                        <w:top w:val="none" w:sz="0" w:space="0" w:color="auto"/>
                        <w:left w:val="none" w:sz="0" w:space="0" w:color="auto"/>
                        <w:bottom w:val="none" w:sz="0" w:space="0" w:color="auto"/>
                        <w:right w:val="none" w:sz="0" w:space="0" w:color="auto"/>
                      </w:divBdr>
                    </w:div>
                  </w:divsChild>
                </w:div>
                <w:div w:id="2072607948">
                  <w:marLeft w:val="0"/>
                  <w:marRight w:val="0"/>
                  <w:marTop w:val="0"/>
                  <w:marBottom w:val="0"/>
                  <w:divBdr>
                    <w:top w:val="none" w:sz="0" w:space="0" w:color="auto"/>
                    <w:left w:val="none" w:sz="0" w:space="0" w:color="auto"/>
                    <w:bottom w:val="none" w:sz="0" w:space="0" w:color="auto"/>
                    <w:right w:val="none" w:sz="0" w:space="0" w:color="auto"/>
                  </w:divBdr>
                  <w:divsChild>
                    <w:div w:id="8458921">
                      <w:marLeft w:val="0"/>
                      <w:marRight w:val="0"/>
                      <w:marTop w:val="0"/>
                      <w:marBottom w:val="0"/>
                      <w:divBdr>
                        <w:top w:val="none" w:sz="0" w:space="0" w:color="auto"/>
                        <w:left w:val="none" w:sz="0" w:space="0" w:color="auto"/>
                        <w:bottom w:val="none" w:sz="0" w:space="0" w:color="auto"/>
                        <w:right w:val="none" w:sz="0" w:space="0" w:color="auto"/>
                      </w:divBdr>
                    </w:div>
                  </w:divsChild>
                </w:div>
                <w:div w:id="196357229">
                  <w:marLeft w:val="0"/>
                  <w:marRight w:val="0"/>
                  <w:marTop w:val="0"/>
                  <w:marBottom w:val="0"/>
                  <w:divBdr>
                    <w:top w:val="none" w:sz="0" w:space="0" w:color="auto"/>
                    <w:left w:val="none" w:sz="0" w:space="0" w:color="auto"/>
                    <w:bottom w:val="none" w:sz="0" w:space="0" w:color="auto"/>
                    <w:right w:val="none" w:sz="0" w:space="0" w:color="auto"/>
                  </w:divBdr>
                  <w:divsChild>
                    <w:div w:id="1577975838">
                      <w:marLeft w:val="0"/>
                      <w:marRight w:val="0"/>
                      <w:marTop w:val="0"/>
                      <w:marBottom w:val="0"/>
                      <w:divBdr>
                        <w:top w:val="none" w:sz="0" w:space="0" w:color="auto"/>
                        <w:left w:val="none" w:sz="0" w:space="0" w:color="auto"/>
                        <w:bottom w:val="none" w:sz="0" w:space="0" w:color="auto"/>
                        <w:right w:val="none" w:sz="0" w:space="0" w:color="auto"/>
                      </w:divBdr>
                    </w:div>
                  </w:divsChild>
                </w:div>
                <w:div w:id="1362393345">
                  <w:marLeft w:val="0"/>
                  <w:marRight w:val="0"/>
                  <w:marTop w:val="0"/>
                  <w:marBottom w:val="0"/>
                  <w:divBdr>
                    <w:top w:val="none" w:sz="0" w:space="0" w:color="auto"/>
                    <w:left w:val="none" w:sz="0" w:space="0" w:color="auto"/>
                    <w:bottom w:val="none" w:sz="0" w:space="0" w:color="auto"/>
                    <w:right w:val="none" w:sz="0" w:space="0" w:color="auto"/>
                  </w:divBdr>
                  <w:divsChild>
                    <w:div w:id="1867014606">
                      <w:marLeft w:val="0"/>
                      <w:marRight w:val="0"/>
                      <w:marTop w:val="0"/>
                      <w:marBottom w:val="0"/>
                      <w:divBdr>
                        <w:top w:val="none" w:sz="0" w:space="0" w:color="auto"/>
                        <w:left w:val="none" w:sz="0" w:space="0" w:color="auto"/>
                        <w:bottom w:val="none" w:sz="0" w:space="0" w:color="auto"/>
                        <w:right w:val="none" w:sz="0" w:space="0" w:color="auto"/>
                      </w:divBdr>
                    </w:div>
                  </w:divsChild>
                </w:div>
                <w:div w:id="915164404">
                  <w:marLeft w:val="0"/>
                  <w:marRight w:val="0"/>
                  <w:marTop w:val="0"/>
                  <w:marBottom w:val="0"/>
                  <w:divBdr>
                    <w:top w:val="none" w:sz="0" w:space="0" w:color="auto"/>
                    <w:left w:val="none" w:sz="0" w:space="0" w:color="auto"/>
                    <w:bottom w:val="none" w:sz="0" w:space="0" w:color="auto"/>
                    <w:right w:val="none" w:sz="0" w:space="0" w:color="auto"/>
                  </w:divBdr>
                  <w:divsChild>
                    <w:div w:id="1472677681">
                      <w:marLeft w:val="0"/>
                      <w:marRight w:val="0"/>
                      <w:marTop w:val="0"/>
                      <w:marBottom w:val="0"/>
                      <w:divBdr>
                        <w:top w:val="none" w:sz="0" w:space="0" w:color="auto"/>
                        <w:left w:val="none" w:sz="0" w:space="0" w:color="auto"/>
                        <w:bottom w:val="none" w:sz="0" w:space="0" w:color="auto"/>
                        <w:right w:val="none" w:sz="0" w:space="0" w:color="auto"/>
                      </w:divBdr>
                    </w:div>
                  </w:divsChild>
                </w:div>
                <w:div w:id="263615667">
                  <w:marLeft w:val="0"/>
                  <w:marRight w:val="0"/>
                  <w:marTop w:val="0"/>
                  <w:marBottom w:val="0"/>
                  <w:divBdr>
                    <w:top w:val="none" w:sz="0" w:space="0" w:color="auto"/>
                    <w:left w:val="none" w:sz="0" w:space="0" w:color="auto"/>
                    <w:bottom w:val="none" w:sz="0" w:space="0" w:color="auto"/>
                    <w:right w:val="none" w:sz="0" w:space="0" w:color="auto"/>
                  </w:divBdr>
                  <w:divsChild>
                    <w:div w:id="1184979861">
                      <w:marLeft w:val="0"/>
                      <w:marRight w:val="0"/>
                      <w:marTop w:val="0"/>
                      <w:marBottom w:val="0"/>
                      <w:divBdr>
                        <w:top w:val="none" w:sz="0" w:space="0" w:color="auto"/>
                        <w:left w:val="none" w:sz="0" w:space="0" w:color="auto"/>
                        <w:bottom w:val="none" w:sz="0" w:space="0" w:color="auto"/>
                        <w:right w:val="none" w:sz="0" w:space="0" w:color="auto"/>
                      </w:divBdr>
                    </w:div>
                  </w:divsChild>
                </w:div>
                <w:div w:id="1640959658">
                  <w:marLeft w:val="0"/>
                  <w:marRight w:val="0"/>
                  <w:marTop w:val="0"/>
                  <w:marBottom w:val="0"/>
                  <w:divBdr>
                    <w:top w:val="none" w:sz="0" w:space="0" w:color="auto"/>
                    <w:left w:val="none" w:sz="0" w:space="0" w:color="auto"/>
                    <w:bottom w:val="none" w:sz="0" w:space="0" w:color="auto"/>
                    <w:right w:val="none" w:sz="0" w:space="0" w:color="auto"/>
                  </w:divBdr>
                  <w:divsChild>
                    <w:div w:id="468862006">
                      <w:marLeft w:val="0"/>
                      <w:marRight w:val="0"/>
                      <w:marTop w:val="0"/>
                      <w:marBottom w:val="0"/>
                      <w:divBdr>
                        <w:top w:val="none" w:sz="0" w:space="0" w:color="auto"/>
                        <w:left w:val="none" w:sz="0" w:space="0" w:color="auto"/>
                        <w:bottom w:val="none" w:sz="0" w:space="0" w:color="auto"/>
                        <w:right w:val="none" w:sz="0" w:space="0" w:color="auto"/>
                      </w:divBdr>
                    </w:div>
                  </w:divsChild>
                </w:div>
                <w:div w:id="912130936">
                  <w:marLeft w:val="0"/>
                  <w:marRight w:val="0"/>
                  <w:marTop w:val="0"/>
                  <w:marBottom w:val="0"/>
                  <w:divBdr>
                    <w:top w:val="none" w:sz="0" w:space="0" w:color="auto"/>
                    <w:left w:val="none" w:sz="0" w:space="0" w:color="auto"/>
                    <w:bottom w:val="none" w:sz="0" w:space="0" w:color="auto"/>
                    <w:right w:val="none" w:sz="0" w:space="0" w:color="auto"/>
                  </w:divBdr>
                  <w:divsChild>
                    <w:div w:id="173039581">
                      <w:marLeft w:val="0"/>
                      <w:marRight w:val="0"/>
                      <w:marTop w:val="0"/>
                      <w:marBottom w:val="0"/>
                      <w:divBdr>
                        <w:top w:val="none" w:sz="0" w:space="0" w:color="auto"/>
                        <w:left w:val="none" w:sz="0" w:space="0" w:color="auto"/>
                        <w:bottom w:val="none" w:sz="0" w:space="0" w:color="auto"/>
                        <w:right w:val="none" w:sz="0" w:space="0" w:color="auto"/>
                      </w:divBdr>
                    </w:div>
                  </w:divsChild>
                </w:div>
                <w:div w:id="1754815526">
                  <w:marLeft w:val="0"/>
                  <w:marRight w:val="0"/>
                  <w:marTop w:val="0"/>
                  <w:marBottom w:val="0"/>
                  <w:divBdr>
                    <w:top w:val="none" w:sz="0" w:space="0" w:color="auto"/>
                    <w:left w:val="none" w:sz="0" w:space="0" w:color="auto"/>
                    <w:bottom w:val="none" w:sz="0" w:space="0" w:color="auto"/>
                    <w:right w:val="none" w:sz="0" w:space="0" w:color="auto"/>
                  </w:divBdr>
                  <w:divsChild>
                    <w:div w:id="577251964">
                      <w:marLeft w:val="0"/>
                      <w:marRight w:val="0"/>
                      <w:marTop w:val="0"/>
                      <w:marBottom w:val="0"/>
                      <w:divBdr>
                        <w:top w:val="none" w:sz="0" w:space="0" w:color="auto"/>
                        <w:left w:val="none" w:sz="0" w:space="0" w:color="auto"/>
                        <w:bottom w:val="none" w:sz="0" w:space="0" w:color="auto"/>
                        <w:right w:val="none" w:sz="0" w:space="0" w:color="auto"/>
                      </w:divBdr>
                    </w:div>
                  </w:divsChild>
                </w:div>
                <w:div w:id="443620503">
                  <w:marLeft w:val="0"/>
                  <w:marRight w:val="0"/>
                  <w:marTop w:val="0"/>
                  <w:marBottom w:val="0"/>
                  <w:divBdr>
                    <w:top w:val="none" w:sz="0" w:space="0" w:color="auto"/>
                    <w:left w:val="none" w:sz="0" w:space="0" w:color="auto"/>
                    <w:bottom w:val="none" w:sz="0" w:space="0" w:color="auto"/>
                    <w:right w:val="none" w:sz="0" w:space="0" w:color="auto"/>
                  </w:divBdr>
                  <w:divsChild>
                    <w:div w:id="1172843382">
                      <w:marLeft w:val="0"/>
                      <w:marRight w:val="0"/>
                      <w:marTop w:val="0"/>
                      <w:marBottom w:val="0"/>
                      <w:divBdr>
                        <w:top w:val="none" w:sz="0" w:space="0" w:color="auto"/>
                        <w:left w:val="none" w:sz="0" w:space="0" w:color="auto"/>
                        <w:bottom w:val="none" w:sz="0" w:space="0" w:color="auto"/>
                        <w:right w:val="none" w:sz="0" w:space="0" w:color="auto"/>
                      </w:divBdr>
                    </w:div>
                    <w:div w:id="1616863743">
                      <w:marLeft w:val="0"/>
                      <w:marRight w:val="0"/>
                      <w:marTop w:val="0"/>
                      <w:marBottom w:val="0"/>
                      <w:divBdr>
                        <w:top w:val="none" w:sz="0" w:space="0" w:color="auto"/>
                        <w:left w:val="none" w:sz="0" w:space="0" w:color="auto"/>
                        <w:bottom w:val="none" w:sz="0" w:space="0" w:color="auto"/>
                        <w:right w:val="none" w:sz="0" w:space="0" w:color="auto"/>
                      </w:divBdr>
                    </w:div>
                  </w:divsChild>
                </w:div>
                <w:div w:id="1993827891">
                  <w:marLeft w:val="0"/>
                  <w:marRight w:val="0"/>
                  <w:marTop w:val="0"/>
                  <w:marBottom w:val="0"/>
                  <w:divBdr>
                    <w:top w:val="none" w:sz="0" w:space="0" w:color="auto"/>
                    <w:left w:val="none" w:sz="0" w:space="0" w:color="auto"/>
                    <w:bottom w:val="none" w:sz="0" w:space="0" w:color="auto"/>
                    <w:right w:val="none" w:sz="0" w:space="0" w:color="auto"/>
                  </w:divBdr>
                  <w:divsChild>
                    <w:div w:id="1425495814">
                      <w:marLeft w:val="0"/>
                      <w:marRight w:val="0"/>
                      <w:marTop w:val="0"/>
                      <w:marBottom w:val="0"/>
                      <w:divBdr>
                        <w:top w:val="none" w:sz="0" w:space="0" w:color="auto"/>
                        <w:left w:val="none" w:sz="0" w:space="0" w:color="auto"/>
                        <w:bottom w:val="none" w:sz="0" w:space="0" w:color="auto"/>
                        <w:right w:val="none" w:sz="0" w:space="0" w:color="auto"/>
                      </w:divBdr>
                    </w:div>
                    <w:div w:id="627274955">
                      <w:marLeft w:val="0"/>
                      <w:marRight w:val="0"/>
                      <w:marTop w:val="0"/>
                      <w:marBottom w:val="0"/>
                      <w:divBdr>
                        <w:top w:val="none" w:sz="0" w:space="0" w:color="auto"/>
                        <w:left w:val="none" w:sz="0" w:space="0" w:color="auto"/>
                        <w:bottom w:val="none" w:sz="0" w:space="0" w:color="auto"/>
                        <w:right w:val="none" w:sz="0" w:space="0" w:color="auto"/>
                      </w:divBdr>
                    </w:div>
                    <w:div w:id="981882539">
                      <w:marLeft w:val="0"/>
                      <w:marRight w:val="0"/>
                      <w:marTop w:val="0"/>
                      <w:marBottom w:val="0"/>
                      <w:divBdr>
                        <w:top w:val="none" w:sz="0" w:space="0" w:color="auto"/>
                        <w:left w:val="none" w:sz="0" w:space="0" w:color="auto"/>
                        <w:bottom w:val="none" w:sz="0" w:space="0" w:color="auto"/>
                        <w:right w:val="none" w:sz="0" w:space="0" w:color="auto"/>
                      </w:divBdr>
                    </w:div>
                  </w:divsChild>
                </w:div>
                <w:div w:id="1182085226">
                  <w:marLeft w:val="0"/>
                  <w:marRight w:val="0"/>
                  <w:marTop w:val="0"/>
                  <w:marBottom w:val="0"/>
                  <w:divBdr>
                    <w:top w:val="none" w:sz="0" w:space="0" w:color="auto"/>
                    <w:left w:val="none" w:sz="0" w:space="0" w:color="auto"/>
                    <w:bottom w:val="none" w:sz="0" w:space="0" w:color="auto"/>
                    <w:right w:val="none" w:sz="0" w:space="0" w:color="auto"/>
                  </w:divBdr>
                  <w:divsChild>
                    <w:div w:id="1475609675">
                      <w:marLeft w:val="0"/>
                      <w:marRight w:val="0"/>
                      <w:marTop w:val="0"/>
                      <w:marBottom w:val="0"/>
                      <w:divBdr>
                        <w:top w:val="none" w:sz="0" w:space="0" w:color="auto"/>
                        <w:left w:val="none" w:sz="0" w:space="0" w:color="auto"/>
                        <w:bottom w:val="none" w:sz="0" w:space="0" w:color="auto"/>
                        <w:right w:val="none" w:sz="0" w:space="0" w:color="auto"/>
                      </w:divBdr>
                    </w:div>
                  </w:divsChild>
                </w:div>
                <w:div w:id="1213155139">
                  <w:marLeft w:val="0"/>
                  <w:marRight w:val="0"/>
                  <w:marTop w:val="0"/>
                  <w:marBottom w:val="0"/>
                  <w:divBdr>
                    <w:top w:val="none" w:sz="0" w:space="0" w:color="auto"/>
                    <w:left w:val="none" w:sz="0" w:space="0" w:color="auto"/>
                    <w:bottom w:val="none" w:sz="0" w:space="0" w:color="auto"/>
                    <w:right w:val="none" w:sz="0" w:space="0" w:color="auto"/>
                  </w:divBdr>
                  <w:divsChild>
                    <w:div w:id="1572546268">
                      <w:marLeft w:val="0"/>
                      <w:marRight w:val="0"/>
                      <w:marTop w:val="0"/>
                      <w:marBottom w:val="0"/>
                      <w:divBdr>
                        <w:top w:val="none" w:sz="0" w:space="0" w:color="auto"/>
                        <w:left w:val="none" w:sz="0" w:space="0" w:color="auto"/>
                        <w:bottom w:val="none" w:sz="0" w:space="0" w:color="auto"/>
                        <w:right w:val="none" w:sz="0" w:space="0" w:color="auto"/>
                      </w:divBdr>
                    </w:div>
                  </w:divsChild>
                </w:div>
                <w:div w:id="1870333414">
                  <w:marLeft w:val="0"/>
                  <w:marRight w:val="0"/>
                  <w:marTop w:val="0"/>
                  <w:marBottom w:val="0"/>
                  <w:divBdr>
                    <w:top w:val="none" w:sz="0" w:space="0" w:color="auto"/>
                    <w:left w:val="none" w:sz="0" w:space="0" w:color="auto"/>
                    <w:bottom w:val="none" w:sz="0" w:space="0" w:color="auto"/>
                    <w:right w:val="none" w:sz="0" w:space="0" w:color="auto"/>
                  </w:divBdr>
                  <w:divsChild>
                    <w:div w:id="1885362866">
                      <w:marLeft w:val="0"/>
                      <w:marRight w:val="0"/>
                      <w:marTop w:val="0"/>
                      <w:marBottom w:val="0"/>
                      <w:divBdr>
                        <w:top w:val="none" w:sz="0" w:space="0" w:color="auto"/>
                        <w:left w:val="none" w:sz="0" w:space="0" w:color="auto"/>
                        <w:bottom w:val="none" w:sz="0" w:space="0" w:color="auto"/>
                        <w:right w:val="none" w:sz="0" w:space="0" w:color="auto"/>
                      </w:divBdr>
                    </w:div>
                    <w:div w:id="1882785525">
                      <w:marLeft w:val="0"/>
                      <w:marRight w:val="0"/>
                      <w:marTop w:val="0"/>
                      <w:marBottom w:val="0"/>
                      <w:divBdr>
                        <w:top w:val="none" w:sz="0" w:space="0" w:color="auto"/>
                        <w:left w:val="none" w:sz="0" w:space="0" w:color="auto"/>
                        <w:bottom w:val="none" w:sz="0" w:space="0" w:color="auto"/>
                        <w:right w:val="none" w:sz="0" w:space="0" w:color="auto"/>
                      </w:divBdr>
                    </w:div>
                  </w:divsChild>
                </w:div>
                <w:div w:id="482501897">
                  <w:marLeft w:val="0"/>
                  <w:marRight w:val="0"/>
                  <w:marTop w:val="0"/>
                  <w:marBottom w:val="0"/>
                  <w:divBdr>
                    <w:top w:val="none" w:sz="0" w:space="0" w:color="auto"/>
                    <w:left w:val="none" w:sz="0" w:space="0" w:color="auto"/>
                    <w:bottom w:val="none" w:sz="0" w:space="0" w:color="auto"/>
                    <w:right w:val="none" w:sz="0" w:space="0" w:color="auto"/>
                  </w:divBdr>
                  <w:divsChild>
                    <w:div w:id="1451625465">
                      <w:marLeft w:val="0"/>
                      <w:marRight w:val="0"/>
                      <w:marTop w:val="0"/>
                      <w:marBottom w:val="0"/>
                      <w:divBdr>
                        <w:top w:val="none" w:sz="0" w:space="0" w:color="auto"/>
                        <w:left w:val="none" w:sz="0" w:space="0" w:color="auto"/>
                        <w:bottom w:val="none" w:sz="0" w:space="0" w:color="auto"/>
                        <w:right w:val="none" w:sz="0" w:space="0" w:color="auto"/>
                      </w:divBdr>
                    </w:div>
                    <w:div w:id="1536234711">
                      <w:marLeft w:val="0"/>
                      <w:marRight w:val="0"/>
                      <w:marTop w:val="0"/>
                      <w:marBottom w:val="0"/>
                      <w:divBdr>
                        <w:top w:val="none" w:sz="0" w:space="0" w:color="auto"/>
                        <w:left w:val="none" w:sz="0" w:space="0" w:color="auto"/>
                        <w:bottom w:val="none" w:sz="0" w:space="0" w:color="auto"/>
                        <w:right w:val="none" w:sz="0" w:space="0" w:color="auto"/>
                      </w:divBdr>
                    </w:div>
                    <w:div w:id="4723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888">
          <w:marLeft w:val="0"/>
          <w:marRight w:val="0"/>
          <w:marTop w:val="0"/>
          <w:marBottom w:val="0"/>
          <w:divBdr>
            <w:top w:val="none" w:sz="0" w:space="0" w:color="auto"/>
            <w:left w:val="none" w:sz="0" w:space="0" w:color="auto"/>
            <w:bottom w:val="none" w:sz="0" w:space="0" w:color="auto"/>
            <w:right w:val="none" w:sz="0" w:space="0" w:color="auto"/>
          </w:divBdr>
        </w:div>
      </w:divsChild>
    </w:div>
    <w:div w:id="871308583">
      <w:bodyDiv w:val="1"/>
      <w:marLeft w:val="0"/>
      <w:marRight w:val="0"/>
      <w:marTop w:val="0"/>
      <w:marBottom w:val="0"/>
      <w:divBdr>
        <w:top w:val="none" w:sz="0" w:space="0" w:color="auto"/>
        <w:left w:val="none" w:sz="0" w:space="0" w:color="auto"/>
        <w:bottom w:val="none" w:sz="0" w:space="0" w:color="auto"/>
        <w:right w:val="none" w:sz="0" w:space="0" w:color="auto"/>
      </w:divBdr>
    </w:div>
    <w:div w:id="872376413">
      <w:bodyDiv w:val="1"/>
      <w:marLeft w:val="0"/>
      <w:marRight w:val="0"/>
      <w:marTop w:val="0"/>
      <w:marBottom w:val="0"/>
      <w:divBdr>
        <w:top w:val="none" w:sz="0" w:space="0" w:color="auto"/>
        <w:left w:val="none" w:sz="0" w:space="0" w:color="auto"/>
        <w:bottom w:val="none" w:sz="0" w:space="0" w:color="auto"/>
        <w:right w:val="none" w:sz="0" w:space="0" w:color="auto"/>
      </w:divBdr>
    </w:div>
    <w:div w:id="919289338">
      <w:bodyDiv w:val="1"/>
      <w:marLeft w:val="0"/>
      <w:marRight w:val="0"/>
      <w:marTop w:val="0"/>
      <w:marBottom w:val="0"/>
      <w:divBdr>
        <w:top w:val="none" w:sz="0" w:space="0" w:color="auto"/>
        <w:left w:val="none" w:sz="0" w:space="0" w:color="auto"/>
        <w:bottom w:val="none" w:sz="0" w:space="0" w:color="auto"/>
        <w:right w:val="none" w:sz="0" w:space="0" w:color="auto"/>
      </w:divBdr>
    </w:div>
    <w:div w:id="979656008">
      <w:bodyDiv w:val="1"/>
      <w:marLeft w:val="0"/>
      <w:marRight w:val="0"/>
      <w:marTop w:val="0"/>
      <w:marBottom w:val="0"/>
      <w:divBdr>
        <w:top w:val="none" w:sz="0" w:space="0" w:color="auto"/>
        <w:left w:val="none" w:sz="0" w:space="0" w:color="auto"/>
        <w:bottom w:val="none" w:sz="0" w:space="0" w:color="auto"/>
        <w:right w:val="none" w:sz="0" w:space="0" w:color="auto"/>
      </w:divBdr>
    </w:div>
    <w:div w:id="1003242389">
      <w:marLeft w:val="0"/>
      <w:marRight w:val="0"/>
      <w:marTop w:val="0"/>
      <w:marBottom w:val="0"/>
      <w:divBdr>
        <w:top w:val="none" w:sz="0" w:space="0" w:color="auto"/>
        <w:left w:val="none" w:sz="0" w:space="0" w:color="auto"/>
        <w:bottom w:val="none" w:sz="0" w:space="0" w:color="auto"/>
        <w:right w:val="none" w:sz="0" w:space="0" w:color="auto"/>
      </w:divBdr>
    </w:div>
    <w:div w:id="1003242390">
      <w:marLeft w:val="0"/>
      <w:marRight w:val="0"/>
      <w:marTop w:val="0"/>
      <w:marBottom w:val="0"/>
      <w:divBdr>
        <w:top w:val="none" w:sz="0" w:space="0" w:color="auto"/>
        <w:left w:val="none" w:sz="0" w:space="0" w:color="auto"/>
        <w:bottom w:val="none" w:sz="0" w:space="0" w:color="auto"/>
        <w:right w:val="none" w:sz="0" w:space="0" w:color="auto"/>
      </w:divBdr>
    </w:div>
    <w:div w:id="1003242391">
      <w:marLeft w:val="0"/>
      <w:marRight w:val="0"/>
      <w:marTop w:val="0"/>
      <w:marBottom w:val="0"/>
      <w:divBdr>
        <w:top w:val="none" w:sz="0" w:space="0" w:color="auto"/>
        <w:left w:val="none" w:sz="0" w:space="0" w:color="auto"/>
        <w:bottom w:val="none" w:sz="0" w:space="0" w:color="auto"/>
        <w:right w:val="none" w:sz="0" w:space="0" w:color="auto"/>
      </w:divBdr>
    </w:div>
    <w:div w:id="1003242392">
      <w:marLeft w:val="0"/>
      <w:marRight w:val="0"/>
      <w:marTop w:val="0"/>
      <w:marBottom w:val="0"/>
      <w:divBdr>
        <w:top w:val="none" w:sz="0" w:space="0" w:color="auto"/>
        <w:left w:val="none" w:sz="0" w:space="0" w:color="auto"/>
        <w:bottom w:val="none" w:sz="0" w:space="0" w:color="auto"/>
        <w:right w:val="none" w:sz="0" w:space="0" w:color="auto"/>
      </w:divBdr>
    </w:div>
    <w:div w:id="1003242393">
      <w:marLeft w:val="0"/>
      <w:marRight w:val="0"/>
      <w:marTop w:val="0"/>
      <w:marBottom w:val="0"/>
      <w:divBdr>
        <w:top w:val="none" w:sz="0" w:space="0" w:color="auto"/>
        <w:left w:val="none" w:sz="0" w:space="0" w:color="auto"/>
        <w:bottom w:val="none" w:sz="0" w:space="0" w:color="auto"/>
        <w:right w:val="none" w:sz="0" w:space="0" w:color="auto"/>
      </w:divBdr>
    </w:div>
    <w:div w:id="1003242394">
      <w:marLeft w:val="0"/>
      <w:marRight w:val="0"/>
      <w:marTop w:val="0"/>
      <w:marBottom w:val="0"/>
      <w:divBdr>
        <w:top w:val="none" w:sz="0" w:space="0" w:color="auto"/>
        <w:left w:val="none" w:sz="0" w:space="0" w:color="auto"/>
        <w:bottom w:val="none" w:sz="0" w:space="0" w:color="auto"/>
        <w:right w:val="none" w:sz="0" w:space="0" w:color="auto"/>
      </w:divBdr>
    </w:div>
    <w:div w:id="1003242395">
      <w:marLeft w:val="0"/>
      <w:marRight w:val="0"/>
      <w:marTop w:val="0"/>
      <w:marBottom w:val="0"/>
      <w:divBdr>
        <w:top w:val="none" w:sz="0" w:space="0" w:color="auto"/>
        <w:left w:val="none" w:sz="0" w:space="0" w:color="auto"/>
        <w:bottom w:val="none" w:sz="0" w:space="0" w:color="auto"/>
        <w:right w:val="none" w:sz="0" w:space="0" w:color="auto"/>
      </w:divBdr>
    </w:div>
    <w:div w:id="1003242396">
      <w:marLeft w:val="0"/>
      <w:marRight w:val="0"/>
      <w:marTop w:val="0"/>
      <w:marBottom w:val="0"/>
      <w:divBdr>
        <w:top w:val="none" w:sz="0" w:space="0" w:color="auto"/>
        <w:left w:val="none" w:sz="0" w:space="0" w:color="auto"/>
        <w:bottom w:val="none" w:sz="0" w:space="0" w:color="auto"/>
        <w:right w:val="none" w:sz="0" w:space="0" w:color="auto"/>
      </w:divBdr>
    </w:div>
    <w:div w:id="1024594228">
      <w:bodyDiv w:val="1"/>
      <w:marLeft w:val="0"/>
      <w:marRight w:val="0"/>
      <w:marTop w:val="0"/>
      <w:marBottom w:val="0"/>
      <w:divBdr>
        <w:top w:val="none" w:sz="0" w:space="0" w:color="auto"/>
        <w:left w:val="none" w:sz="0" w:space="0" w:color="auto"/>
        <w:bottom w:val="none" w:sz="0" w:space="0" w:color="auto"/>
        <w:right w:val="none" w:sz="0" w:space="0" w:color="auto"/>
      </w:divBdr>
    </w:div>
    <w:div w:id="1025523171">
      <w:bodyDiv w:val="1"/>
      <w:marLeft w:val="0"/>
      <w:marRight w:val="0"/>
      <w:marTop w:val="0"/>
      <w:marBottom w:val="0"/>
      <w:divBdr>
        <w:top w:val="none" w:sz="0" w:space="0" w:color="auto"/>
        <w:left w:val="none" w:sz="0" w:space="0" w:color="auto"/>
        <w:bottom w:val="none" w:sz="0" w:space="0" w:color="auto"/>
        <w:right w:val="none" w:sz="0" w:space="0" w:color="auto"/>
      </w:divBdr>
    </w:div>
    <w:div w:id="1028070635">
      <w:bodyDiv w:val="1"/>
      <w:marLeft w:val="0"/>
      <w:marRight w:val="0"/>
      <w:marTop w:val="0"/>
      <w:marBottom w:val="0"/>
      <w:divBdr>
        <w:top w:val="none" w:sz="0" w:space="0" w:color="auto"/>
        <w:left w:val="none" w:sz="0" w:space="0" w:color="auto"/>
        <w:bottom w:val="none" w:sz="0" w:space="0" w:color="auto"/>
        <w:right w:val="none" w:sz="0" w:space="0" w:color="auto"/>
      </w:divBdr>
    </w:div>
    <w:div w:id="1054430390">
      <w:bodyDiv w:val="1"/>
      <w:marLeft w:val="0"/>
      <w:marRight w:val="0"/>
      <w:marTop w:val="0"/>
      <w:marBottom w:val="0"/>
      <w:divBdr>
        <w:top w:val="none" w:sz="0" w:space="0" w:color="auto"/>
        <w:left w:val="none" w:sz="0" w:space="0" w:color="auto"/>
        <w:bottom w:val="none" w:sz="0" w:space="0" w:color="auto"/>
        <w:right w:val="none" w:sz="0" w:space="0" w:color="auto"/>
      </w:divBdr>
    </w:div>
    <w:div w:id="1132558221">
      <w:bodyDiv w:val="1"/>
      <w:marLeft w:val="0"/>
      <w:marRight w:val="0"/>
      <w:marTop w:val="0"/>
      <w:marBottom w:val="0"/>
      <w:divBdr>
        <w:top w:val="none" w:sz="0" w:space="0" w:color="auto"/>
        <w:left w:val="none" w:sz="0" w:space="0" w:color="auto"/>
        <w:bottom w:val="none" w:sz="0" w:space="0" w:color="auto"/>
        <w:right w:val="none" w:sz="0" w:space="0" w:color="auto"/>
      </w:divBdr>
    </w:div>
    <w:div w:id="1150438012">
      <w:bodyDiv w:val="1"/>
      <w:marLeft w:val="0"/>
      <w:marRight w:val="0"/>
      <w:marTop w:val="0"/>
      <w:marBottom w:val="0"/>
      <w:divBdr>
        <w:top w:val="none" w:sz="0" w:space="0" w:color="auto"/>
        <w:left w:val="none" w:sz="0" w:space="0" w:color="auto"/>
        <w:bottom w:val="none" w:sz="0" w:space="0" w:color="auto"/>
        <w:right w:val="none" w:sz="0" w:space="0" w:color="auto"/>
      </w:divBdr>
    </w:div>
    <w:div w:id="1191993120">
      <w:bodyDiv w:val="1"/>
      <w:marLeft w:val="0"/>
      <w:marRight w:val="0"/>
      <w:marTop w:val="0"/>
      <w:marBottom w:val="0"/>
      <w:divBdr>
        <w:top w:val="none" w:sz="0" w:space="0" w:color="auto"/>
        <w:left w:val="none" w:sz="0" w:space="0" w:color="auto"/>
        <w:bottom w:val="none" w:sz="0" w:space="0" w:color="auto"/>
        <w:right w:val="none" w:sz="0" w:space="0" w:color="auto"/>
      </w:divBdr>
      <w:divsChild>
        <w:div w:id="2031564562">
          <w:marLeft w:val="0"/>
          <w:marRight w:val="0"/>
          <w:marTop w:val="0"/>
          <w:marBottom w:val="0"/>
          <w:divBdr>
            <w:top w:val="none" w:sz="0" w:space="0" w:color="auto"/>
            <w:left w:val="none" w:sz="0" w:space="0" w:color="auto"/>
            <w:bottom w:val="none" w:sz="0" w:space="0" w:color="auto"/>
            <w:right w:val="none" w:sz="0" w:space="0" w:color="auto"/>
          </w:divBdr>
        </w:div>
        <w:div w:id="1054237947">
          <w:marLeft w:val="0"/>
          <w:marRight w:val="0"/>
          <w:marTop w:val="0"/>
          <w:marBottom w:val="0"/>
          <w:divBdr>
            <w:top w:val="none" w:sz="0" w:space="0" w:color="auto"/>
            <w:left w:val="none" w:sz="0" w:space="0" w:color="auto"/>
            <w:bottom w:val="none" w:sz="0" w:space="0" w:color="auto"/>
            <w:right w:val="none" w:sz="0" w:space="0" w:color="auto"/>
          </w:divBdr>
        </w:div>
        <w:div w:id="117528654">
          <w:marLeft w:val="0"/>
          <w:marRight w:val="0"/>
          <w:marTop w:val="0"/>
          <w:marBottom w:val="0"/>
          <w:divBdr>
            <w:top w:val="none" w:sz="0" w:space="0" w:color="auto"/>
            <w:left w:val="none" w:sz="0" w:space="0" w:color="auto"/>
            <w:bottom w:val="none" w:sz="0" w:space="0" w:color="auto"/>
            <w:right w:val="none" w:sz="0" w:space="0" w:color="auto"/>
          </w:divBdr>
          <w:divsChild>
            <w:div w:id="946814226">
              <w:marLeft w:val="-75"/>
              <w:marRight w:val="0"/>
              <w:marTop w:val="30"/>
              <w:marBottom w:val="30"/>
              <w:divBdr>
                <w:top w:val="none" w:sz="0" w:space="0" w:color="auto"/>
                <w:left w:val="none" w:sz="0" w:space="0" w:color="auto"/>
                <w:bottom w:val="none" w:sz="0" w:space="0" w:color="auto"/>
                <w:right w:val="none" w:sz="0" w:space="0" w:color="auto"/>
              </w:divBdr>
              <w:divsChild>
                <w:div w:id="1474247950">
                  <w:marLeft w:val="0"/>
                  <w:marRight w:val="0"/>
                  <w:marTop w:val="0"/>
                  <w:marBottom w:val="0"/>
                  <w:divBdr>
                    <w:top w:val="none" w:sz="0" w:space="0" w:color="auto"/>
                    <w:left w:val="none" w:sz="0" w:space="0" w:color="auto"/>
                    <w:bottom w:val="none" w:sz="0" w:space="0" w:color="auto"/>
                    <w:right w:val="none" w:sz="0" w:space="0" w:color="auto"/>
                  </w:divBdr>
                  <w:divsChild>
                    <w:div w:id="311563288">
                      <w:marLeft w:val="0"/>
                      <w:marRight w:val="0"/>
                      <w:marTop w:val="0"/>
                      <w:marBottom w:val="0"/>
                      <w:divBdr>
                        <w:top w:val="none" w:sz="0" w:space="0" w:color="auto"/>
                        <w:left w:val="none" w:sz="0" w:space="0" w:color="auto"/>
                        <w:bottom w:val="none" w:sz="0" w:space="0" w:color="auto"/>
                        <w:right w:val="none" w:sz="0" w:space="0" w:color="auto"/>
                      </w:divBdr>
                    </w:div>
                  </w:divsChild>
                </w:div>
                <w:div w:id="396368893">
                  <w:marLeft w:val="0"/>
                  <w:marRight w:val="0"/>
                  <w:marTop w:val="0"/>
                  <w:marBottom w:val="0"/>
                  <w:divBdr>
                    <w:top w:val="none" w:sz="0" w:space="0" w:color="auto"/>
                    <w:left w:val="none" w:sz="0" w:space="0" w:color="auto"/>
                    <w:bottom w:val="none" w:sz="0" w:space="0" w:color="auto"/>
                    <w:right w:val="none" w:sz="0" w:space="0" w:color="auto"/>
                  </w:divBdr>
                  <w:divsChild>
                    <w:div w:id="1775637092">
                      <w:marLeft w:val="0"/>
                      <w:marRight w:val="0"/>
                      <w:marTop w:val="0"/>
                      <w:marBottom w:val="0"/>
                      <w:divBdr>
                        <w:top w:val="none" w:sz="0" w:space="0" w:color="auto"/>
                        <w:left w:val="none" w:sz="0" w:space="0" w:color="auto"/>
                        <w:bottom w:val="none" w:sz="0" w:space="0" w:color="auto"/>
                        <w:right w:val="none" w:sz="0" w:space="0" w:color="auto"/>
                      </w:divBdr>
                    </w:div>
                  </w:divsChild>
                </w:div>
                <w:div w:id="1709909292">
                  <w:marLeft w:val="0"/>
                  <w:marRight w:val="0"/>
                  <w:marTop w:val="0"/>
                  <w:marBottom w:val="0"/>
                  <w:divBdr>
                    <w:top w:val="none" w:sz="0" w:space="0" w:color="auto"/>
                    <w:left w:val="none" w:sz="0" w:space="0" w:color="auto"/>
                    <w:bottom w:val="none" w:sz="0" w:space="0" w:color="auto"/>
                    <w:right w:val="none" w:sz="0" w:space="0" w:color="auto"/>
                  </w:divBdr>
                  <w:divsChild>
                    <w:div w:id="1055936183">
                      <w:marLeft w:val="0"/>
                      <w:marRight w:val="0"/>
                      <w:marTop w:val="0"/>
                      <w:marBottom w:val="0"/>
                      <w:divBdr>
                        <w:top w:val="none" w:sz="0" w:space="0" w:color="auto"/>
                        <w:left w:val="none" w:sz="0" w:space="0" w:color="auto"/>
                        <w:bottom w:val="none" w:sz="0" w:space="0" w:color="auto"/>
                        <w:right w:val="none" w:sz="0" w:space="0" w:color="auto"/>
                      </w:divBdr>
                    </w:div>
                  </w:divsChild>
                </w:div>
                <w:div w:id="1351374577">
                  <w:marLeft w:val="0"/>
                  <w:marRight w:val="0"/>
                  <w:marTop w:val="0"/>
                  <w:marBottom w:val="0"/>
                  <w:divBdr>
                    <w:top w:val="none" w:sz="0" w:space="0" w:color="auto"/>
                    <w:left w:val="none" w:sz="0" w:space="0" w:color="auto"/>
                    <w:bottom w:val="none" w:sz="0" w:space="0" w:color="auto"/>
                    <w:right w:val="none" w:sz="0" w:space="0" w:color="auto"/>
                  </w:divBdr>
                  <w:divsChild>
                    <w:div w:id="528950830">
                      <w:marLeft w:val="0"/>
                      <w:marRight w:val="0"/>
                      <w:marTop w:val="0"/>
                      <w:marBottom w:val="0"/>
                      <w:divBdr>
                        <w:top w:val="none" w:sz="0" w:space="0" w:color="auto"/>
                        <w:left w:val="none" w:sz="0" w:space="0" w:color="auto"/>
                        <w:bottom w:val="none" w:sz="0" w:space="0" w:color="auto"/>
                        <w:right w:val="none" w:sz="0" w:space="0" w:color="auto"/>
                      </w:divBdr>
                    </w:div>
                  </w:divsChild>
                </w:div>
                <w:div w:id="1206672560">
                  <w:marLeft w:val="0"/>
                  <w:marRight w:val="0"/>
                  <w:marTop w:val="0"/>
                  <w:marBottom w:val="0"/>
                  <w:divBdr>
                    <w:top w:val="none" w:sz="0" w:space="0" w:color="auto"/>
                    <w:left w:val="none" w:sz="0" w:space="0" w:color="auto"/>
                    <w:bottom w:val="none" w:sz="0" w:space="0" w:color="auto"/>
                    <w:right w:val="none" w:sz="0" w:space="0" w:color="auto"/>
                  </w:divBdr>
                  <w:divsChild>
                    <w:div w:id="1843230286">
                      <w:marLeft w:val="0"/>
                      <w:marRight w:val="0"/>
                      <w:marTop w:val="0"/>
                      <w:marBottom w:val="0"/>
                      <w:divBdr>
                        <w:top w:val="none" w:sz="0" w:space="0" w:color="auto"/>
                        <w:left w:val="none" w:sz="0" w:space="0" w:color="auto"/>
                        <w:bottom w:val="none" w:sz="0" w:space="0" w:color="auto"/>
                        <w:right w:val="none" w:sz="0" w:space="0" w:color="auto"/>
                      </w:divBdr>
                    </w:div>
                  </w:divsChild>
                </w:div>
                <w:div w:id="769933241">
                  <w:marLeft w:val="0"/>
                  <w:marRight w:val="0"/>
                  <w:marTop w:val="0"/>
                  <w:marBottom w:val="0"/>
                  <w:divBdr>
                    <w:top w:val="none" w:sz="0" w:space="0" w:color="auto"/>
                    <w:left w:val="none" w:sz="0" w:space="0" w:color="auto"/>
                    <w:bottom w:val="none" w:sz="0" w:space="0" w:color="auto"/>
                    <w:right w:val="none" w:sz="0" w:space="0" w:color="auto"/>
                  </w:divBdr>
                  <w:divsChild>
                    <w:div w:id="1655335857">
                      <w:marLeft w:val="0"/>
                      <w:marRight w:val="0"/>
                      <w:marTop w:val="0"/>
                      <w:marBottom w:val="0"/>
                      <w:divBdr>
                        <w:top w:val="none" w:sz="0" w:space="0" w:color="auto"/>
                        <w:left w:val="none" w:sz="0" w:space="0" w:color="auto"/>
                        <w:bottom w:val="none" w:sz="0" w:space="0" w:color="auto"/>
                        <w:right w:val="none" w:sz="0" w:space="0" w:color="auto"/>
                      </w:divBdr>
                    </w:div>
                    <w:div w:id="118842987">
                      <w:marLeft w:val="0"/>
                      <w:marRight w:val="0"/>
                      <w:marTop w:val="0"/>
                      <w:marBottom w:val="0"/>
                      <w:divBdr>
                        <w:top w:val="none" w:sz="0" w:space="0" w:color="auto"/>
                        <w:left w:val="none" w:sz="0" w:space="0" w:color="auto"/>
                        <w:bottom w:val="none" w:sz="0" w:space="0" w:color="auto"/>
                        <w:right w:val="none" w:sz="0" w:space="0" w:color="auto"/>
                      </w:divBdr>
                    </w:div>
                  </w:divsChild>
                </w:div>
                <w:div w:id="2120561858">
                  <w:marLeft w:val="0"/>
                  <w:marRight w:val="0"/>
                  <w:marTop w:val="0"/>
                  <w:marBottom w:val="0"/>
                  <w:divBdr>
                    <w:top w:val="none" w:sz="0" w:space="0" w:color="auto"/>
                    <w:left w:val="none" w:sz="0" w:space="0" w:color="auto"/>
                    <w:bottom w:val="none" w:sz="0" w:space="0" w:color="auto"/>
                    <w:right w:val="none" w:sz="0" w:space="0" w:color="auto"/>
                  </w:divBdr>
                  <w:divsChild>
                    <w:div w:id="1240673039">
                      <w:marLeft w:val="0"/>
                      <w:marRight w:val="0"/>
                      <w:marTop w:val="0"/>
                      <w:marBottom w:val="0"/>
                      <w:divBdr>
                        <w:top w:val="none" w:sz="0" w:space="0" w:color="auto"/>
                        <w:left w:val="none" w:sz="0" w:space="0" w:color="auto"/>
                        <w:bottom w:val="none" w:sz="0" w:space="0" w:color="auto"/>
                        <w:right w:val="none" w:sz="0" w:space="0" w:color="auto"/>
                      </w:divBdr>
                    </w:div>
                  </w:divsChild>
                </w:div>
                <w:div w:id="1164663794">
                  <w:marLeft w:val="0"/>
                  <w:marRight w:val="0"/>
                  <w:marTop w:val="0"/>
                  <w:marBottom w:val="0"/>
                  <w:divBdr>
                    <w:top w:val="none" w:sz="0" w:space="0" w:color="auto"/>
                    <w:left w:val="none" w:sz="0" w:space="0" w:color="auto"/>
                    <w:bottom w:val="none" w:sz="0" w:space="0" w:color="auto"/>
                    <w:right w:val="none" w:sz="0" w:space="0" w:color="auto"/>
                  </w:divBdr>
                  <w:divsChild>
                    <w:div w:id="526024514">
                      <w:marLeft w:val="0"/>
                      <w:marRight w:val="0"/>
                      <w:marTop w:val="0"/>
                      <w:marBottom w:val="0"/>
                      <w:divBdr>
                        <w:top w:val="none" w:sz="0" w:space="0" w:color="auto"/>
                        <w:left w:val="none" w:sz="0" w:space="0" w:color="auto"/>
                        <w:bottom w:val="none" w:sz="0" w:space="0" w:color="auto"/>
                        <w:right w:val="none" w:sz="0" w:space="0" w:color="auto"/>
                      </w:divBdr>
                    </w:div>
                  </w:divsChild>
                </w:div>
                <w:div w:id="661082188">
                  <w:marLeft w:val="0"/>
                  <w:marRight w:val="0"/>
                  <w:marTop w:val="0"/>
                  <w:marBottom w:val="0"/>
                  <w:divBdr>
                    <w:top w:val="none" w:sz="0" w:space="0" w:color="auto"/>
                    <w:left w:val="none" w:sz="0" w:space="0" w:color="auto"/>
                    <w:bottom w:val="none" w:sz="0" w:space="0" w:color="auto"/>
                    <w:right w:val="none" w:sz="0" w:space="0" w:color="auto"/>
                  </w:divBdr>
                  <w:divsChild>
                    <w:div w:id="2063559170">
                      <w:marLeft w:val="0"/>
                      <w:marRight w:val="0"/>
                      <w:marTop w:val="0"/>
                      <w:marBottom w:val="0"/>
                      <w:divBdr>
                        <w:top w:val="none" w:sz="0" w:space="0" w:color="auto"/>
                        <w:left w:val="none" w:sz="0" w:space="0" w:color="auto"/>
                        <w:bottom w:val="none" w:sz="0" w:space="0" w:color="auto"/>
                        <w:right w:val="none" w:sz="0" w:space="0" w:color="auto"/>
                      </w:divBdr>
                    </w:div>
                    <w:div w:id="47844951">
                      <w:marLeft w:val="0"/>
                      <w:marRight w:val="0"/>
                      <w:marTop w:val="0"/>
                      <w:marBottom w:val="0"/>
                      <w:divBdr>
                        <w:top w:val="none" w:sz="0" w:space="0" w:color="auto"/>
                        <w:left w:val="none" w:sz="0" w:space="0" w:color="auto"/>
                        <w:bottom w:val="none" w:sz="0" w:space="0" w:color="auto"/>
                        <w:right w:val="none" w:sz="0" w:space="0" w:color="auto"/>
                      </w:divBdr>
                    </w:div>
                    <w:div w:id="704057631">
                      <w:marLeft w:val="0"/>
                      <w:marRight w:val="0"/>
                      <w:marTop w:val="0"/>
                      <w:marBottom w:val="0"/>
                      <w:divBdr>
                        <w:top w:val="none" w:sz="0" w:space="0" w:color="auto"/>
                        <w:left w:val="none" w:sz="0" w:space="0" w:color="auto"/>
                        <w:bottom w:val="none" w:sz="0" w:space="0" w:color="auto"/>
                        <w:right w:val="none" w:sz="0" w:space="0" w:color="auto"/>
                      </w:divBdr>
                    </w:div>
                    <w:div w:id="1692684846">
                      <w:marLeft w:val="0"/>
                      <w:marRight w:val="0"/>
                      <w:marTop w:val="0"/>
                      <w:marBottom w:val="0"/>
                      <w:divBdr>
                        <w:top w:val="none" w:sz="0" w:space="0" w:color="auto"/>
                        <w:left w:val="none" w:sz="0" w:space="0" w:color="auto"/>
                        <w:bottom w:val="none" w:sz="0" w:space="0" w:color="auto"/>
                        <w:right w:val="none" w:sz="0" w:space="0" w:color="auto"/>
                      </w:divBdr>
                    </w:div>
                    <w:div w:id="1044909095">
                      <w:marLeft w:val="0"/>
                      <w:marRight w:val="0"/>
                      <w:marTop w:val="0"/>
                      <w:marBottom w:val="0"/>
                      <w:divBdr>
                        <w:top w:val="none" w:sz="0" w:space="0" w:color="auto"/>
                        <w:left w:val="none" w:sz="0" w:space="0" w:color="auto"/>
                        <w:bottom w:val="none" w:sz="0" w:space="0" w:color="auto"/>
                        <w:right w:val="none" w:sz="0" w:space="0" w:color="auto"/>
                      </w:divBdr>
                    </w:div>
                    <w:div w:id="1300646668">
                      <w:marLeft w:val="0"/>
                      <w:marRight w:val="0"/>
                      <w:marTop w:val="0"/>
                      <w:marBottom w:val="0"/>
                      <w:divBdr>
                        <w:top w:val="none" w:sz="0" w:space="0" w:color="auto"/>
                        <w:left w:val="none" w:sz="0" w:space="0" w:color="auto"/>
                        <w:bottom w:val="none" w:sz="0" w:space="0" w:color="auto"/>
                        <w:right w:val="none" w:sz="0" w:space="0" w:color="auto"/>
                      </w:divBdr>
                    </w:div>
                  </w:divsChild>
                </w:div>
                <w:div w:id="1678728246">
                  <w:marLeft w:val="0"/>
                  <w:marRight w:val="0"/>
                  <w:marTop w:val="0"/>
                  <w:marBottom w:val="0"/>
                  <w:divBdr>
                    <w:top w:val="none" w:sz="0" w:space="0" w:color="auto"/>
                    <w:left w:val="none" w:sz="0" w:space="0" w:color="auto"/>
                    <w:bottom w:val="none" w:sz="0" w:space="0" w:color="auto"/>
                    <w:right w:val="none" w:sz="0" w:space="0" w:color="auto"/>
                  </w:divBdr>
                  <w:divsChild>
                    <w:div w:id="6568119">
                      <w:marLeft w:val="0"/>
                      <w:marRight w:val="0"/>
                      <w:marTop w:val="0"/>
                      <w:marBottom w:val="0"/>
                      <w:divBdr>
                        <w:top w:val="none" w:sz="0" w:space="0" w:color="auto"/>
                        <w:left w:val="none" w:sz="0" w:space="0" w:color="auto"/>
                        <w:bottom w:val="none" w:sz="0" w:space="0" w:color="auto"/>
                        <w:right w:val="none" w:sz="0" w:space="0" w:color="auto"/>
                      </w:divBdr>
                    </w:div>
                    <w:div w:id="1312444920">
                      <w:marLeft w:val="0"/>
                      <w:marRight w:val="0"/>
                      <w:marTop w:val="0"/>
                      <w:marBottom w:val="0"/>
                      <w:divBdr>
                        <w:top w:val="none" w:sz="0" w:space="0" w:color="auto"/>
                        <w:left w:val="none" w:sz="0" w:space="0" w:color="auto"/>
                        <w:bottom w:val="none" w:sz="0" w:space="0" w:color="auto"/>
                        <w:right w:val="none" w:sz="0" w:space="0" w:color="auto"/>
                      </w:divBdr>
                    </w:div>
                    <w:div w:id="712996863">
                      <w:marLeft w:val="0"/>
                      <w:marRight w:val="0"/>
                      <w:marTop w:val="0"/>
                      <w:marBottom w:val="0"/>
                      <w:divBdr>
                        <w:top w:val="none" w:sz="0" w:space="0" w:color="auto"/>
                        <w:left w:val="none" w:sz="0" w:space="0" w:color="auto"/>
                        <w:bottom w:val="none" w:sz="0" w:space="0" w:color="auto"/>
                        <w:right w:val="none" w:sz="0" w:space="0" w:color="auto"/>
                      </w:divBdr>
                    </w:div>
                    <w:div w:id="303241452">
                      <w:marLeft w:val="0"/>
                      <w:marRight w:val="0"/>
                      <w:marTop w:val="0"/>
                      <w:marBottom w:val="0"/>
                      <w:divBdr>
                        <w:top w:val="none" w:sz="0" w:space="0" w:color="auto"/>
                        <w:left w:val="none" w:sz="0" w:space="0" w:color="auto"/>
                        <w:bottom w:val="none" w:sz="0" w:space="0" w:color="auto"/>
                        <w:right w:val="none" w:sz="0" w:space="0" w:color="auto"/>
                      </w:divBdr>
                    </w:div>
                    <w:div w:id="739642220">
                      <w:marLeft w:val="0"/>
                      <w:marRight w:val="0"/>
                      <w:marTop w:val="0"/>
                      <w:marBottom w:val="0"/>
                      <w:divBdr>
                        <w:top w:val="none" w:sz="0" w:space="0" w:color="auto"/>
                        <w:left w:val="none" w:sz="0" w:space="0" w:color="auto"/>
                        <w:bottom w:val="none" w:sz="0" w:space="0" w:color="auto"/>
                        <w:right w:val="none" w:sz="0" w:space="0" w:color="auto"/>
                      </w:divBdr>
                    </w:div>
                    <w:div w:id="774902901">
                      <w:marLeft w:val="0"/>
                      <w:marRight w:val="0"/>
                      <w:marTop w:val="0"/>
                      <w:marBottom w:val="0"/>
                      <w:divBdr>
                        <w:top w:val="none" w:sz="0" w:space="0" w:color="auto"/>
                        <w:left w:val="none" w:sz="0" w:space="0" w:color="auto"/>
                        <w:bottom w:val="none" w:sz="0" w:space="0" w:color="auto"/>
                        <w:right w:val="none" w:sz="0" w:space="0" w:color="auto"/>
                      </w:divBdr>
                    </w:div>
                  </w:divsChild>
                </w:div>
                <w:div w:id="1646468509">
                  <w:marLeft w:val="0"/>
                  <w:marRight w:val="0"/>
                  <w:marTop w:val="0"/>
                  <w:marBottom w:val="0"/>
                  <w:divBdr>
                    <w:top w:val="none" w:sz="0" w:space="0" w:color="auto"/>
                    <w:left w:val="none" w:sz="0" w:space="0" w:color="auto"/>
                    <w:bottom w:val="none" w:sz="0" w:space="0" w:color="auto"/>
                    <w:right w:val="none" w:sz="0" w:space="0" w:color="auto"/>
                  </w:divBdr>
                  <w:divsChild>
                    <w:div w:id="480466212">
                      <w:marLeft w:val="0"/>
                      <w:marRight w:val="0"/>
                      <w:marTop w:val="0"/>
                      <w:marBottom w:val="0"/>
                      <w:divBdr>
                        <w:top w:val="none" w:sz="0" w:space="0" w:color="auto"/>
                        <w:left w:val="none" w:sz="0" w:space="0" w:color="auto"/>
                        <w:bottom w:val="none" w:sz="0" w:space="0" w:color="auto"/>
                        <w:right w:val="none" w:sz="0" w:space="0" w:color="auto"/>
                      </w:divBdr>
                    </w:div>
                  </w:divsChild>
                </w:div>
                <w:div w:id="411239312">
                  <w:marLeft w:val="0"/>
                  <w:marRight w:val="0"/>
                  <w:marTop w:val="0"/>
                  <w:marBottom w:val="0"/>
                  <w:divBdr>
                    <w:top w:val="none" w:sz="0" w:space="0" w:color="auto"/>
                    <w:left w:val="none" w:sz="0" w:space="0" w:color="auto"/>
                    <w:bottom w:val="none" w:sz="0" w:space="0" w:color="auto"/>
                    <w:right w:val="none" w:sz="0" w:space="0" w:color="auto"/>
                  </w:divBdr>
                  <w:divsChild>
                    <w:div w:id="432171771">
                      <w:marLeft w:val="0"/>
                      <w:marRight w:val="0"/>
                      <w:marTop w:val="0"/>
                      <w:marBottom w:val="0"/>
                      <w:divBdr>
                        <w:top w:val="none" w:sz="0" w:space="0" w:color="auto"/>
                        <w:left w:val="none" w:sz="0" w:space="0" w:color="auto"/>
                        <w:bottom w:val="none" w:sz="0" w:space="0" w:color="auto"/>
                        <w:right w:val="none" w:sz="0" w:space="0" w:color="auto"/>
                      </w:divBdr>
                    </w:div>
                    <w:div w:id="1094784969">
                      <w:marLeft w:val="0"/>
                      <w:marRight w:val="0"/>
                      <w:marTop w:val="0"/>
                      <w:marBottom w:val="0"/>
                      <w:divBdr>
                        <w:top w:val="none" w:sz="0" w:space="0" w:color="auto"/>
                        <w:left w:val="none" w:sz="0" w:space="0" w:color="auto"/>
                        <w:bottom w:val="none" w:sz="0" w:space="0" w:color="auto"/>
                        <w:right w:val="none" w:sz="0" w:space="0" w:color="auto"/>
                      </w:divBdr>
                    </w:div>
                  </w:divsChild>
                </w:div>
                <w:div w:id="1844974994">
                  <w:marLeft w:val="0"/>
                  <w:marRight w:val="0"/>
                  <w:marTop w:val="0"/>
                  <w:marBottom w:val="0"/>
                  <w:divBdr>
                    <w:top w:val="none" w:sz="0" w:space="0" w:color="auto"/>
                    <w:left w:val="none" w:sz="0" w:space="0" w:color="auto"/>
                    <w:bottom w:val="none" w:sz="0" w:space="0" w:color="auto"/>
                    <w:right w:val="none" w:sz="0" w:space="0" w:color="auto"/>
                  </w:divBdr>
                  <w:divsChild>
                    <w:div w:id="835993512">
                      <w:marLeft w:val="0"/>
                      <w:marRight w:val="0"/>
                      <w:marTop w:val="0"/>
                      <w:marBottom w:val="0"/>
                      <w:divBdr>
                        <w:top w:val="none" w:sz="0" w:space="0" w:color="auto"/>
                        <w:left w:val="none" w:sz="0" w:space="0" w:color="auto"/>
                        <w:bottom w:val="none" w:sz="0" w:space="0" w:color="auto"/>
                        <w:right w:val="none" w:sz="0" w:space="0" w:color="auto"/>
                      </w:divBdr>
                    </w:div>
                    <w:div w:id="857162753">
                      <w:marLeft w:val="0"/>
                      <w:marRight w:val="0"/>
                      <w:marTop w:val="0"/>
                      <w:marBottom w:val="0"/>
                      <w:divBdr>
                        <w:top w:val="none" w:sz="0" w:space="0" w:color="auto"/>
                        <w:left w:val="none" w:sz="0" w:space="0" w:color="auto"/>
                        <w:bottom w:val="none" w:sz="0" w:space="0" w:color="auto"/>
                        <w:right w:val="none" w:sz="0" w:space="0" w:color="auto"/>
                      </w:divBdr>
                    </w:div>
                  </w:divsChild>
                </w:div>
                <w:div w:id="951866542">
                  <w:marLeft w:val="0"/>
                  <w:marRight w:val="0"/>
                  <w:marTop w:val="0"/>
                  <w:marBottom w:val="0"/>
                  <w:divBdr>
                    <w:top w:val="none" w:sz="0" w:space="0" w:color="auto"/>
                    <w:left w:val="none" w:sz="0" w:space="0" w:color="auto"/>
                    <w:bottom w:val="none" w:sz="0" w:space="0" w:color="auto"/>
                    <w:right w:val="none" w:sz="0" w:space="0" w:color="auto"/>
                  </w:divBdr>
                  <w:divsChild>
                    <w:div w:id="2147234434">
                      <w:marLeft w:val="0"/>
                      <w:marRight w:val="0"/>
                      <w:marTop w:val="0"/>
                      <w:marBottom w:val="0"/>
                      <w:divBdr>
                        <w:top w:val="none" w:sz="0" w:space="0" w:color="auto"/>
                        <w:left w:val="none" w:sz="0" w:space="0" w:color="auto"/>
                        <w:bottom w:val="none" w:sz="0" w:space="0" w:color="auto"/>
                        <w:right w:val="none" w:sz="0" w:space="0" w:color="auto"/>
                      </w:divBdr>
                    </w:div>
                  </w:divsChild>
                </w:div>
                <w:div w:id="2012484076">
                  <w:marLeft w:val="0"/>
                  <w:marRight w:val="0"/>
                  <w:marTop w:val="0"/>
                  <w:marBottom w:val="0"/>
                  <w:divBdr>
                    <w:top w:val="none" w:sz="0" w:space="0" w:color="auto"/>
                    <w:left w:val="none" w:sz="0" w:space="0" w:color="auto"/>
                    <w:bottom w:val="none" w:sz="0" w:space="0" w:color="auto"/>
                    <w:right w:val="none" w:sz="0" w:space="0" w:color="auto"/>
                  </w:divBdr>
                  <w:divsChild>
                    <w:div w:id="1236009026">
                      <w:marLeft w:val="0"/>
                      <w:marRight w:val="0"/>
                      <w:marTop w:val="0"/>
                      <w:marBottom w:val="0"/>
                      <w:divBdr>
                        <w:top w:val="none" w:sz="0" w:space="0" w:color="auto"/>
                        <w:left w:val="none" w:sz="0" w:space="0" w:color="auto"/>
                        <w:bottom w:val="none" w:sz="0" w:space="0" w:color="auto"/>
                        <w:right w:val="none" w:sz="0" w:space="0" w:color="auto"/>
                      </w:divBdr>
                    </w:div>
                  </w:divsChild>
                </w:div>
                <w:div w:id="497966067">
                  <w:marLeft w:val="0"/>
                  <w:marRight w:val="0"/>
                  <w:marTop w:val="0"/>
                  <w:marBottom w:val="0"/>
                  <w:divBdr>
                    <w:top w:val="none" w:sz="0" w:space="0" w:color="auto"/>
                    <w:left w:val="none" w:sz="0" w:space="0" w:color="auto"/>
                    <w:bottom w:val="none" w:sz="0" w:space="0" w:color="auto"/>
                    <w:right w:val="none" w:sz="0" w:space="0" w:color="auto"/>
                  </w:divBdr>
                  <w:divsChild>
                    <w:div w:id="277030399">
                      <w:marLeft w:val="0"/>
                      <w:marRight w:val="0"/>
                      <w:marTop w:val="0"/>
                      <w:marBottom w:val="0"/>
                      <w:divBdr>
                        <w:top w:val="none" w:sz="0" w:space="0" w:color="auto"/>
                        <w:left w:val="none" w:sz="0" w:space="0" w:color="auto"/>
                        <w:bottom w:val="none" w:sz="0" w:space="0" w:color="auto"/>
                        <w:right w:val="none" w:sz="0" w:space="0" w:color="auto"/>
                      </w:divBdr>
                    </w:div>
                    <w:div w:id="1114053157">
                      <w:marLeft w:val="0"/>
                      <w:marRight w:val="0"/>
                      <w:marTop w:val="0"/>
                      <w:marBottom w:val="0"/>
                      <w:divBdr>
                        <w:top w:val="none" w:sz="0" w:space="0" w:color="auto"/>
                        <w:left w:val="none" w:sz="0" w:space="0" w:color="auto"/>
                        <w:bottom w:val="none" w:sz="0" w:space="0" w:color="auto"/>
                        <w:right w:val="none" w:sz="0" w:space="0" w:color="auto"/>
                      </w:divBdr>
                    </w:div>
                  </w:divsChild>
                </w:div>
                <w:div w:id="165562985">
                  <w:marLeft w:val="0"/>
                  <w:marRight w:val="0"/>
                  <w:marTop w:val="0"/>
                  <w:marBottom w:val="0"/>
                  <w:divBdr>
                    <w:top w:val="none" w:sz="0" w:space="0" w:color="auto"/>
                    <w:left w:val="none" w:sz="0" w:space="0" w:color="auto"/>
                    <w:bottom w:val="none" w:sz="0" w:space="0" w:color="auto"/>
                    <w:right w:val="none" w:sz="0" w:space="0" w:color="auto"/>
                  </w:divBdr>
                  <w:divsChild>
                    <w:div w:id="399255098">
                      <w:marLeft w:val="0"/>
                      <w:marRight w:val="0"/>
                      <w:marTop w:val="0"/>
                      <w:marBottom w:val="0"/>
                      <w:divBdr>
                        <w:top w:val="none" w:sz="0" w:space="0" w:color="auto"/>
                        <w:left w:val="none" w:sz="0" w:space="0" w:color="auto"/>
                        <w:bottom w:val="none" w:sz="0" w:space="0" w:color="auto"/>
                        <w:right w:val="none" w:sz="0" w:space="0" w:color="auto"/>
                      </w:divBdr>
                    </w:div>
                  </w:divsChild>
                </w:div>
                <w:div w:id="548566263">
                  <w:marLeft w:val="0"/>
                  <w:marRight w:val="0"/>
                  <w:marTop w:val="0"/>
                  <w:marBottom w:val="0"/>
                  <w:divBdr>
                    <w:top w:val="none" w:sz="0" w:space="0" w:color="auto"/>
                    <w:left w:val="none" w:sz="0" w:space="0" w:color="auto"/>
                    <w:bottom w:val="none" w:sz="0" w:space="0" w:color="auto"/>
                    <w:right w:val="none" w:sz="0" w:space="0" w:color="auto"/>
                  </w:divBdr>
                  <w:divsChild>
                    <w:div w:id="1302347884">
                      <w:marLeft w:val="0"/>
                      <w:marRight w:val="0"/>
                      <w:marTop w:val="0"/>
                      <w:marBottom w:val="0"/>
                      <w:divBdr>
                        <w:top w:val="none" w:sz="0" w:space="0" w:color="auto"/>
                        <w:left w:val="none" w:sz="0" w:space="0" w:color="auto"/>
                        <w:bottom w:val="none" w:sz="0" w:space="0" w:color="auto"/>
                        <w:right w:val="none" w:sz="0" w:space="0" w:color="auto"/>
                      </w:divBdr>
                    </w:div>
                    <w:div w:id="106121732">
                      <w:marLeft w:val="0"/>
                      <w:marRight w:val="0"/>
                      <w:marTop w:val="0"/>
                      <w:marBottom w:val="0"/>
                      <w:divBdr>
                        <w:top w:val="none" w:sz="0" w:space="0" w:color="auto"/>
                        <w:left w:val="none" w:sz="0" w:space="0" w:color="auto"/>
                        <w:bottom w:val="none" w:sz="0" w:space="0" w:color="auto"/>
                        <w:right w:val="none" w:sz="0" w:space="0" w:color="auto"/>
                      </w:divBdr>
                    </w:div>
                  </w:divsChild>
                </w:div>
                <w:div w:id="312486769">
                  <w:marLeft w:val="0"/>
                  <w:marRight w:val="0"/>
                  <w:marTop w:val="0"/>
                  <w:marBottom w:val="0"/>
                  <w:divBdr>
                    <w:top w:val="none" w:sz="0" w:space="0" w:color="auto"/>
                    <w:left w:val="none" w:sz="0" w:space="0" w:color="auto"/>
                    <w:bottom w:val="none" w:sz="0" w:space="0" w:color="auto"/>
                    <w:right w:val="none" w:sz="0" w:space="0" w:color="auto"/>
                  </w:divBdr>
                  <w:divsChild>
                    <w:div w:id="1696268986">
                      <w:marLeft w:val="0"/>
                      <w:marRight w:val="0"/>
                      <w:marTop w:val="0"/>
                      <w:marBottom w:val="0"/>
                      <w:divBdr>
                        <w:top w:val="none" w:sz="0" w:space="0" w:color="auto"/>
                        <w:left w:val="none" w:sz="0" w:space="0" w:color="auto"/>
                        <w:bottom w:val="none" w:sz="0" w:space="0" w:color="auto"/>
                        <w:right w:val="none" w:sz="0" w:space="0" w:color="auto"/>
                      </w:divBdr>
                    </w:div>
                  </w:divsChild>
                </w:div>
                <w:div w:id="68118170">
                  <w:marLeft w:val="0"/>
                  <w:marRight w:val="0"/>
                  <w:marTop w:val="0"/>
                  <w:marBottom w:val="0"/>
                  <w:divBdr>
                    <w:top w:val="none" w:sz="0" w:space="0" w:color="auto"/>
                    <w:left w:val="none" w:sz="0" w:space="0" w:color="auto"/>
                    <w:bottom w:val="none" w:sz="0" w:space="0" w:color="auto"/>
                    <w:right w:val="none" w:sz="0" w:space="0" w:color="auto"/>
                  </w:divBdr>
                  <w:divsChild>
                    <w:div w:id="865406316">
                      <w:marLeft w:val="0"/>
                      <w:marRight w:val="0"/>
                      <w:marTop w:val="0"/>
                      <w:marBottom w:val="0"/>
                      <w:divBdr>
                        <w:top w:val="none" w:sz="0" w:space="0" w:color="auto"/>
                        <w:left w:val="none" w:sz="0" w:space="0" w:color="auto"/>
                        <w:bottom w:val="none" w:sz="0" w:space="0" w:color="auto"/>
                        <w:right w:val="none" w:sz="0" w:space="0" w:color="auto"/>
                      </w:divBdr>
                    </w:div>
                    <w:div w:id="36903614">
                      <w:marLeft w:val="0"/>
                      <w:marRight w:val="0"/>
                      <w:marTop w:val="0"/>
                      <w:marBottom w:val="0"/>
                      <w:divBdr>
                        <w:top w:val="none" w:sz="0" w:space="0" w:color="auto"/>
                        <w:left w:val="none" w:sz="0" w:space="0" w:color="auto"/>
                        <w:bottom w:val="none" w:sz="0" w:space="0" w:color="auto"/>
                        <w:right w:val="none" w:sz="0" w:space="0" w:color="auto"/>
                      </w:divBdr>
                    </w:div>
                  </w:divsChild>
                </w:div>
                <w:div w:id="1873181739">
                  <w:marLeft w:val="0"/>
                  <w:marRight w:val="0"/>
                  <w:marTop w:val="0"/>
                  <w:marBottom w:val="0"/>
                  <w:divBdr>
                    <w:top w:val="none" w:sz="0" w:space="0" w:color="auto"/>
                    <w:left w:val="none" w:sz="0" w:space="0" w:color="auto"/>
                    <w:bottom w:val="none" w:sz="0" w:space="0" w:color="auto"/>
                    <w:right w:val="none" w:sz="0" w:space="0" w:color="auto"/>
                  </w:divBdr>
                  <w:divsChild>
                    <w:div w:id="1011687703">
                      <w:marLeft w:val="0"/>
                      <w:marRight w:val="0"/>
                      <w:marTop w:val="0"/>
                      <w:marBottom w:val="0"/>
                      <w:divBdr>
                        <w:top w:val="none" w:sz="0" w:space="0" w:color="auto"/>
                        <w:left w:val="none" w:sz="0" w:space="0" w:color="auto"/>
                        <w:bottom w:val="none" w:sz="0" w:space="0" w:color="auto"/>
                        <w:right w:val="none" w:sz="0" w:space="0" w:color="auto"/>
                      </w:divBdr>
                    </w:div>
                  </w:divsChild>
                </w:div>
                <w:div w:id="1658145276">
                  <w:marLeft w:val="0"/>
                  <w:marRight w:val="0"/>
                  <w:marTop w:val="0"/>
                  <w:marBottom w:val="0"/>
                  <w:divBdr>
                    <w:top w:val="none" w:sz="0" w:space="0" w:color="auto"/>
                    <w:left w:val="none" w:sz="0" w:space="0" w:color="auto"/>
                    <w:bottom w:val="none" w:sz="0" w:space="0" w:color="auto"/>
                    <w:right w:val="none" w:sz="0" w:space="0" w:color="auto"/>
                  </w:divBdr>
                  <w:divsChild>
                    <w:div w:id="410468657">
                      <w:marLeft w:val="0"/>
                      <w:marRight w:val="0"/>
                      <w:marTop w:val="0"/>
                      <w:marBottom w:val="0"/>
                      <w:divBdr>
                        <w:top w:val="none" w:sz="0" w:space="0" w:color="auto"/>
                        <w:left w:val="none" w:sz="0" w:space="0" w:color="auto"/>
                        <w:bottom w:val="none" w:sz="0" w:space="0" w:color="auto"/>
                        <w:right w:val="none" w:sz="0" w:space="0" w:color="auto"/>
                      </w:divBdr>
                    </w:div>
                    <w:div w:id="246768559">
                      <w:marLeft w:val="0"/>
                      <w:marRight w:val="0"/>
                      <w:marTop w:val="0"/>
                      <w:marBottom w:val="0"/>
                      <w:divBdr>
                        <w:top w:val="none" w:sz="0" w:space="0" w:color="auto"/>
                        <w:left w:val="none" w:sz="0" w:space="0" w:color="auto"/>
                        <w:bottom w:val="none" w:sz="0" w:space="0" w:color="auto"/>
                        <w:right w:val="none" w:sz="0" w:space="0" w:color="auto"/>
                      </w:divBdr>
                    </w:div>
                  </w:divsChild>
                </w:div>
                <w:div w:id="823737653">
                  <w:marLeft w:val="0"/>
                  <w:marRight w:val="0"/>
                  <w:marTop w:val="0"/>
                  <w:marBottom w:val="0"/>
                  <w:divBdr>
                    <w:top w:val="none" w:sz="0" w:space="0" w:color="auto"/>
                    <w:left w:val="none" w:sz="0" w:space="0" w:color="auto"/>
                    <w:bottom w:val="none" w:sz="0" w:space="0" w:color="auto"/>
                    <w:right w:val="none" w:sz="0" w:space="0" w:color="auto"/>
                  </w:divBdr>
                  <w:divsChild>
                    <w:div w:id="1979843822">
                      <w:marLeft w:val="0"/>
                      <w:marRight w:val="0"/>
                      <w:marTop w:val="0"/>
                      <w:marBottom w:val="0"/>
                      <w:divBdr>
                        <w:top w:val="none" w:sz="0" w:space="0" w:color="auto"/>
                        <w:left w:val="none" w:sz="0" w:space="0" w:color="auto"/>
                        <w:bottom w:val="none" w:sz="0" w:space="0" w:color="auto"/>
                        <w:right w:val="none" w:sz="0" w:space="0" w:color="auto"/>
                      </w:divBdr>
                    </w:div>
                  </w:divsChild>
                </w:div>
                <w:div w:id="138033718">
                  <w:marLeft w:val="0"/>
                  <w:marRight w:val="0"/>
                  <w:marTop w:val="0"/>
                  <w:marBottom w:val="0"/>
                  <w:divBdr>
                    <w:top w:val="none" w:sz="0" w:space="0" w:color="auto"/>
                    <w:left w:val="none" w:sz="0" w:space="0" w:color="auto"/>
                    <w:bottom w:val="none" w:sz="0" w:space="0" w:color="auto"/>
                    <w:right w:val="none" w:sz="0" w:space="0" w:color="auto"/>
                  </w:divBdr>
                  <w:divsChild>
                    <w:div w:id="677848180">
                      <w:marLeft w:val="0"/>
                      <w:marRight w:val="0"/>
                      <w:marTop w:val="0"/>
                      <w:marBottom w:val="0"/>
                      <w:divBdr>
                        <w:top w:val="none" w:sz="0" w:space="0" w:color="auto"/>
                        <w:left w:val="none" w:sz="0" w:space="0" w:color="auto"/>
                        <w:bottom w:val="none" w:sz="0" w:space="0" w:color="auto"/>
                        <w:right w:val="none" w:sz="0" w:space="0" w:color="auto"/>
                      </w:divBdr>
                    </w:div>
                  </w:divsChild>
                </w:div>
                <w:div w:id="704209503">
                  <w:marLeft w:val="0"/>
                  <w:marRight w:val="0"/>
                  <w:marTop w:val="0"/>
                  <w:marBottom w:val="0"/>
                  <w:divBdr>
                    <w:top w:val="none" w:sz="0" w:space="0" w:color="auto"/>
                    <w:left w:val="none" w:sz="0" w:space="0" w:color="auto"/>
                    <w:bottom w:val="none" w:sz="0" w:space="0" w:color="auto"/>
                    <w:right w:val="none" w:sz="0" w:space="0" w:color="auto"/>
                  </w:divBdr>
                  <w:divsChild>
                    <w:div w:id="1311709247">
                      <w:marLeft w:val="0"/>
                      <w:marRight w:val="0"/>
                      <w:marTop w:val="0"/>
                      <w:marBottom w:val="0"/>
                      <w:divBdr>
                        <w:top w:val="none" w:sz="0" w:space="0" w:color="auto"/>
                        <w:left w:val="none" w:sz="0" w:space="0" w:color="auto"/>
                        <w:bottom w:val="none" w:sz="0" w:space="0" w:color="auto"/>
                        <w:right w:val="none" w:sz="0" w:space="0" w:color="auto"/>
                      </w:divBdr>
                    </w:div>
                  </w:divsChild>
                </w:div>
                <w:div w:id="456067303">
                  <w:marLeft w:val="0"/>
                  <w:marRight w:val="0"/>
                  <w:marTop w:val="0"/>
                  <w:marBottom w:val="0"/>
                  <w:divBdr>
                    <w:top w:val="none" w:sz="0" w:space="0" w:color="auto"/>
                    <w:left w:val="none" w:sz="0" w:space="0" w:color="auto"/>
                    <w:bottom w:val="none" w:sz="0" w:space="0" w:color="auto"/>
                    <w:right w:val="none" w:sz="0" w:space="0" w:color="auto"/>
                  </w:divBdr>
                  <w:divsChild>
                    <w:div w:id="240481856">
                      <w:marLeft w:val="0"/>
                      <w:marRight w:val="0"/>
                      <w:marTop w:val="0"/>
                      <w:marBottom w:val="0"/>
                      <w:divBdr>
                        <w:top w:val="none" w:sz="0" w:space="0" w:color="auto"/>
                        <w:left w:val="none" w:sz="0" w:space="0" w:color="auto"/>
                        <w:bottom w:val="none" w:sz="0" w:space="0" w:color="auto"/>
                        <w:right w:val="none" w:sz="0" w:space="0" w:color="auto"/>
                      </w:divBdr>
                    </w:div>
                    <w:div w:id="455636771">
                      <w:marLeft w:val="0"/>
                      <w:marRight w:val="0"/>
                      <w:marTop w:val="0"/>
                      <w:marBottom w:val="0"/>
                      <w:divBdr>
                        <w:top w:val="none" w:sz="0" w:space="0" w:color="auto"/>
                        <w:left w:val="none" w:sz="0" w:space="0" w:color="auto"/>
                        <w:bottom w:val="none" w:sz="0" w:space="0" w:color="auto"/>
                        <w:right w:val="none" w:sz="0" w:space="0" w:color="auto"/>
                      </w:divBdr>
                    </w:div>
                  </w:divsChild>
                </w:div>
                <w:div w:id="1531072423">
                  <w:marLeft w:val="0"/>
                  <w:marRight w:val="0"/>
                  <w:marTop w:val="0"/>
                  <w:marBottom w:val="0"/>
                  <w:divBdr>
                    <w:top w:val="none" w:sz="0" w:space="0" w:color="auto"/>
                    <w:left w:val="none" w:sz="0" w:space="0" w:color="auto"/>
                    <w:bottom w:val="none" w:sz="0" w:space="0" w:color="auto"/>
                    <w:right w:val="none" w:sz="0" w:space="0" w:color="auto"/>
                  </w:divBdr>
                  <w:divsChild>
                    <w:div w:id="416555578">
                      <w:marLeft w:val="0"/>
                      <w:marRight w:val="0"/>
                      <w:marTop w:val="0"/>
                      <w:marBottom w:val="0"/>
                      <w:divBdr>
                        <w:top w:val="none" w:sz="0" w:space="0" w:color="auto"/>
                        <w:left w:val="none" w:sz="0" w:space="0" w:color="auto"/>
                        <w:bottom w:val="none" w:sz="0" w:space="0" w:color="auto"/>
                        <w:right w:val="none" w:sz="0" w:space="0" w:color="auto"/>
                      </w:divBdr>
                    </w:div>
                    <w:div w:id="481890908">
                      <w:marLeft w:val="0"/>
                      <w:marRight w:val="0"/>
                      <w:marTop w:val="0"/>
                      <w:marBottom w:val="0"/>
                      <w:divBdr>
                        <w:top w:val="none" w:sz="0" w:space="0" w:color="auto"/>
                        <w:left w:val="none" w:sz="0" w:space="0" w:color="auto"/>
                        <w:bottom w:val="none" w:sz="0" w:space="0" w:color="auto"/>
                        <w:right w:val="none" w:sz="0" w:space="0" w:color="auto"/>
                      </w:divBdr>
                    </w:div>
                    <w:div w:id="1800756474">
                      <w:marLeft w:val="0"/>
                      <w:marRight w:val="0"/>
                      <w:marTop w:val="0"/>
                      <w:marBottom w:val="0"/>
                      <w:divBdr>
                        <w:top w:val="none" w:sz="0" w:space="0" w:color="auto"/>
                        <w:left w:val="none" w:sz="0" w:space="0" w:color="auto"/>
                        <w:bottom w:val="none" w:sz="0" w:space="0" w:color="auto"/>
                        <w:right w:val="none" w:sz="0" w:space="0" w:color="auto"/>
                      </w:divBdr>
                    </w:div>
                    <w:div w:id="1935624790">
                      <w:marLeft w:val="0"/>
                      <w:marRight w:val="0"/>
                      <w:marTop w:val="0"/>
                      <w:marBottom w:val="0"/>
                      <w:divBdr>
                        <w:top w:val="none" w:sz="0" w:space="0" w:color="auto"/>
                        <w:left w:val="none" w:sz="0" w:space="0" w:color="auto"/>
                        <w:bottom w:val="none" w:sz="0" w:space="0" w:color="auto"/>
                        <w:right w:val="none" w:sz="0" w:space="0" w:color="auto"/>
                      </w:divBdr>
                    </w:div>
                  </w:divsChild>
                </w:div>
                <w:div w:id="2115780065">
                  <w:marLeft w:val="0"/>
                  <w:marRight w:val="0"/>
                  <w:marTop w:val="0"/>
                  <w:marBottom w:val="0"/>
                  <w:divBdr>
                    <w:top w:val="none" w:sz="0" w:space="0" w:color="auto"/>
                    <w:left w:val="none" w:sz="0" w:space="0" w:color="auto"/>
                    <w:bottom w:val="none" w:sz="0" w:space="0" w:color="auto"/>
                    <w:right w:val="none" w:sz="0" w:space="0" w:color="auto"/>
                  </w:divBdr>
                  <w:divsChild>
                    <w:div w:id="1400904102">
                      <w:marLeft w:val="0"/>
                      <w:marRight w:val="0"/>
                      <w:marTop w:val="0"/>
                      <w:marBottom w:val="0"/>
                      <w:divBdr>
                        <w:top w:val="none" w:sz="0" w:space="0" w:color="auto"/>
                        <w:left w:val="none" w:sz="0" w:space="0" w:color="auto"/>
                        <w:bottom w:val="none" w:sz="0" w:space="0" w:color="auto"/>
                        <w:right w:val="none" w:sz="0" w:space="0" w:color="auto"/>
                      </w:divBdr>
                    </w:div>
                  </w:divsChild>
                </w:div>
                <w:div w:id="1993755454">
                  <w:marLeft w:val="0"/>
                  <w:marRight w:val="0"/>
                  <w:marTop w:val="0"/>
                  <w:marBottom w:val="0"/>
                  <w:divBdr>
                    <w:top w:val="none" w:sz="0" w:space="0" w:color="auto"/>
                    <w:left w:val="none" w:sz="0" w:space="0" w:color="auto"/>
                    <w:bottom w:val="none" w:sz="0" w:space="0" w:color="auto"/>
                    <w:right w:val="none" w:sz="0" w:space="0" w:color="auto"/>
                  </w:divBdr>
                  <w:divsChild>
                    <w:div w:id="1959530947">
                      <w:marLeft w:val="0"/>
                      <w:marRight w:val="0"/>
                      <w:marTop w:val="0"/>
                      <w:marBottom w:val="0"/>
                      <w:divBdr>
                        <w:top w:val="none" w:sz="0" w:space="0" w:color="auto"/>
                        <w:left w:val="none" w:sz="0" w:space="0" w:color="auto"/>
                        <w:bottom w:val="none" w:sz="0" w:space="0" w:color="auto"/>
                        <w:right w:val="none" w:sz="0" w:space="0" w:color="auto"/>
                      </w:divBdr>
                    </w:div>
                  </w:divsChild>
                </w:div>
                <w:div w:id="2078894471">
                  <w:marLeft w:val="0"/>
                  <w:marRight w:val="0"/>
                  <w:marTop w:val="0"/>
                  <w:marBottom w:val="0"/>
                  <w:divBdr>
                    <w:top w:val="none" w:sz="0" w:space="0" w:color="auto"/>
                    <w:left w:val="none" w:sz="0" w:space="0" w:color="auto"/>
                    <w:bottom w:val="none" w:sz="0" w:space="0" w:color="auto"/>
                    <w:right w:val="none" w:sz="0" w:space="0" w:color="auto"/>
                  </w:divBdr>
                  <w:divsChild>
                    <w:div w:id="887187703">
                      <w:marLeft w:val="0"/>
                      <w:marRight w:val="0"/>
                      <w:marTop w:val="0"/>
                      <w:marBottom w:val="0"/>
                      <w:divBdr>
                        <w:top w:val="none" w:sz="0" w:space="0" w:color="auto"/>
                        <w:left w:val="none" w:sz="0" w:space="0" w:color="auto"/>
                        <w:bottom w:val="none" w:sz="0" w:space="0" w:color="auto"/>
                        <w:right w:val="none" w:sz="0" w:space="0" w:color="auto"/>
                      </w:divBdr>
                    </w:div>
                  </w:divsChild>
                </w:div>
                <w:div w:id="1358120522">
                  <w:marLeft w:val="0"/>
                  <w:marRight w:val="0"/>
                  <w:marTop w:val="0"/>
                  <w:marBottom w:val="0"/>
                  <w:divBdr>
                    <w:top w:val="none" w:sz="0" w:space="0" w:color="auto"/>
                    <w:left w:val="none" w:sz="0" w:space="0" w:color="auto"/>
                    <w:bottom w:val="none" w:sz="0" w:space="0" w:color="auto"/>
                    <w:right w:val="none" w:sz="0" w:space="0" w:color="auto"/>
                  </w:divBdr>
                  <w:divsChild>
                    <w:div w:id="289166691">
                      <w:marLeft w:val="0"/>
                      <w:marRight w:val="0"/>
                      <w:marTop w:val="0"/>
                      <w:marBottom w:val="0"/>
                      <w:divBdr>
                        <w:top w:val="none" w:sz="0" w:space="0" w:color="auto"/>
                        <w:left w:val="none" w:sz="0" w:space="0" w:color="auto"/>
                        <w:bottom w:val="none" w:sz="0" w:space="0" w:color="auto"/>
                        <w:right w:val="none" w:sz="0" w:space="0" w:color="auto"/>
                      </w:divBdr>
                    </w:div>
                  </w:divsChild>
                </w:div>
                <w:div w:id="2039038913">
                  <w:marLeft w:val="0"/>
                  <w:marRight w:val="0"/>
                  <w:marTop w:val="0"/>
                  <w:marBottom w:val="0"/>
                  <w:divBdr>
                    <w:top w:val="none" w:sz="0" w:space="0" w:color="auto"/>
                    <w:left w:val="none" w:sz="0" w:space="0" w:color="auto"/>
                    <w:bottom w:val="none" w:sz="0" w:space="0" w:color="auto"/>
                    <w:right w:val="none" w:sz="0" w:space="0" w:color="auto"/>
                  </w:divBdr>
                  <w:divsChild>
                    <w:div w:id="765345306">
                      <w:marLeft w:val="0"/>
                      <w:marRight w:val="0"/>
                      <w:marTop w:val="0"/>
                      <w:marBottom w:val="0"/>
                      <w:divBdr>
                        <w:top w:val="none" w:sz="0" w:space="0" w:color="auto"/>
                        <w:left w:val="none" w:sz="0" w:space="0" w:color="auto"/>
                        <w:bottom w:val="none" w:sz="0" w:space="0" w:color="auto"/>
                        <w:right w:val="none" w:sz="0" w:space="0" w:color="auto"/>
                      </w:divBdr>
                    </w:div>
                  </w:divsChild>
                </w:div>
                <w:div w:id="924652010">
                  <w:marLeft w:val="0"/>
                  <w:marRight w:val="0"/>
                  <w:marTop w:val="0"/>
                  <w:marBottom w:val="0"/>
                  <w:divBdr>
                    <w:top w:val="none" w:sz="0" w:space="0" w:color="auto"/>
                    <w:left w:val="none" w:sz="0" w:space="0" w:color="auto"/>
                    <w:bottom w:val="none" w:sz="0" w:space="0" w:color="auto"/>
                    <w:right w:val="none" w:sz="0" w:space="0" w:color="auto"/>
                  </w:divBdr>
                  <w:divsChild>
                    <w:div w:id="1411653072">
                      <w:marLeft w:val="0"/>
                      <w:marRight w:val="0"/>
                      <w:marTop w:val="0"/>
                      <w:marBottom w:val="0"/>
                      <w:divBdr>
                        <w:top w:val="none" w:sz="0" w:space="0" w:color="auto"/>
                        <w:left w:val="none" w:sz="0" w:space="0" w:color="auto"/>
                        <w:bottom w:val="none" w:sz="0" w:space="0" w:color="auto"/>
                        <w:right w:val="none" w:sz="0" w:space="0" w:color="auto"/>
                      </w:divBdr>
                    </w:div>
                  </w:divsChild>
                </w:div>
                <w:div w:id="661934991">
                  <w:marLeft w:val="0"/>
                  <w:marRight w:val="0"/>
                  <w:marTop w:val="0"/>
                  <w:marBottom w:val="0"/>
                  <w:divBdr>
                    <w:top w:val="none" w:sz="0" w:space="0" w:color="auto"/>
                    <w:left w:val="none" w:sz="0" w:space="0" w:color="auto"/>
                    <w:bottom w:val="none" w:sz="0" w:space="0" w:color="auto"/>
                    <w:right w:val="none" w:sz="0" w:space="0" w:color="auto"/>
                  </w:divBdr>
                  <w:divsChild>
                    <w:div w:id="989603790">
                      <w:marLeft w:val="0"/>
                      <w:marRight w:val="0"/>
                      <w:marTop w:val="0"/>
                      <w:marBottom w:val="0"/>
                      <w:divBdr>
                        <w:top w:val="none" w:sz="0" w:space="0" w:color="auto"/>
                        <w:left w:val="none" w:sz="0" w:space="0" w:color="auto"/>
                        <w:bottom w:val="none" w:sz="0" w:space="0" w:color="auto"/>
                        <w:right w:val="none" w:sz="0" w:space="0" w:color="auto"/>
                      </w:divBdr>
                    </w:div>
                  </w:divsChild>
                </w:div>
                <w:div w:id="1583374235">
                  <w:marLeft w:val="0"/>
                  <w:marRight w:val="0"/>
                  <w:marTop w:val="0"/>
                  <w:marBottom w:val="0"/>
                  <w:divBdr>
                    <w:top w:val="none" w:sz="0" w:space="0" w:color="auto"/>
                    <w:left w:val="none" w:sz="0" w:space="0" w:color="auto"/>
                    <w:bottom w:val="none" w:sz="0" w:space="0" w:color="auto"/>
                    <w:right w:val="none" w:sz="0" w:space="0" w:color="auto"/>
                  </w:divBdr>
                  <w:divsChild>
                    <w:div w:id="762067571">
                      <w:marLeft w:val="0"/>
                      <w:marRight w:val="0"/>
                      <w:marTop w:val="0"/>
                      <w:marBottom w:val="0"/>
                      <w:divBdr>
                        <w:top w:val="none" w:sz="0" w:space="0" w:color="auto"/>
                        <w:left w:val="none" w:sz="0" w:space="0" w:color="auto"/>
                        <w:bottom w:val="none" w:sz="0" w:space="0" w:color="auto"/>
                        <w:right w:val="none" w:sz="0" w:space="0" w:color="auto"/>
                      </w:divBdr>
                    </w:div>
                  </w:divsChild>
                </w:div>
                <w:div w:id="2116441141">
                  <w:marLeft w:val="0"/>
                  <w:marRight w:val="0"/>
                  <w:marTop w:val="0"/>
                  <w:marBottom w:val="0"/>
                  <w:divBdr>
                    <w:top w:val="none" w:sz="0" w:space="0" w:color="auto"/>
                    <w:left w:val="none" w:sz="0" w:space="0" w:color="auto"/>
                    <w:bottom w:val="none" w:sz="0" w:space="0" w:color="auto"/>
                    <w:right w:val="none" w:sz="0" w:space="0" w:color="auto"/>
                  </w:divBdr>
                  <w:divsChild>
                    <w:div w:id="1766343321">
                      <w:marLeft w:val="0"/>
                      <w:marRight w:val="0"/>
                      <w:marTop w:val="0"/>
                      <w:marBottom w:val="0"/>
                      <w:divBdr>
                        <w:top w:val="none" w:sz="0" w:space="0" w:color="auto"/>
                        <w:left w:val="none" w:sz="0" w:space="0" w:color="auto"/>
                        <w:bottom w:val="none" w:sz="0" w:space="0" w:color="auto"/>
                        <w:right w:val="none" w:sz="0" w:space="0" w:color="auto"/>
                      </w:divBdr>
                    </w:div>
                    <w:div w:id="1911110116">
                      <w:marLeft w:val="0"/>
                      <w:marRight w:val="0"/>
                      <w:marTop w:val="0"/>
                      <w:marBottom w:val="0"/>
                      <w:divBdr>
                        <w:top w:val="none" w:sz="0" w:space="0" w:color="auto"/>
                        <w:left w:val="none" w:sz="0" w:space="0" w:color="auto"/>
                        <w:bottom w:val="none" w:sz="0" w:space="0" w:color="auto"/>
                        <w:right w:val="none" w:sz="0" w:space="0" w:color="auto"/>
                      </w:divBdr>
                    </w:div>
                  </w:divsChild>
                </w:div>
                <w:div w:id="51468790">
                  <w:marLeft w:val="0"/>
                  <w:marRight w:val="0"/>
                  <w:marTop w:val="0"/>
                  <w:marBottom w:val="0"/>
                  <w:divBdr>
                    <w:top w:val="none" w:sz="0" w:space="0" w:color="auto"/>
                    <w:left w:val="none" w:sz="0" w:space="0" w:color="auto"/>
                    <w:bottom w:val="none" w:sz="0" w:space="0" w:color="auto"/>
                    <w:right w:val="none" w:sz="0" w:space="0" w:color="auto"/>
                  </w:divBdr>
                  <w:divsChild>
                    <w:div w:id="282924363">
                      <w:marLeft w:val="0"/>
                      <w:marRight w:val="0"/>
                      <w:marTop w:val="0"/>
                      <w:marBottom w:val="0"/>
                      <w:divBdr>
                        <w:top w:val="none" w:sz="0" w:space="0" w:color="auto"/>
                        <w:left w:val="none" w:sz="0" w:space="0" w:color="auto"/>
                        <w:bottom w:val="none" w:sz="0" w:space="0" w:color="auto"/>
                        <w:right w:val="none" w:sz="0" w:space="0" w:color="auto"/>
                      </w:divBdr>
                    </w:div>
                    <w:div w:id="1879000735">
                      <w:marLeft w:val="0"/>
                      <w:marRight w:val="0"/>
                      <w:marTop w:val="0"/>
                      <w:marBottom w:val="0"/>
                      <w:divBdr>
                        <w:top w:val="none" w:sz="0" w:space="0" w:color="auto"/>
                        <w:left w:val="none" w:sz="0" w:space="0" w:color="auto"/>
                        <w:bottom w:val="none" w:sz="0" w:space="0" w:color="auto"/>
                        <w:right w:val="none" w:sz="0" w:space="0" w:color="auto"/>
                      </w:divBdr>
                    </w:div>
                    <w:div w:id="1512716872">
                      <w:marLeft w:val="0"/>
                      <w:marRight w:val="0"/>
                      <w:marTop w:val="0"/>
                      <w:marBottom w:val="0"/>
                      <w:divBdr>
                        <w:top w:val="none" w:sz="0" w:space="0" w:color="auto"/>
                        <w:left w:val="none" w:sz="0" w:space="0" w:color="auto"/>
                        <w:bottom w:val="none" w:sz="0" w:space="0" w:color="auto"/>
                        <w:right w:val="none" w:sz="0" w:space="0" w:color="auto"/>
                      </w:divBdr>
                    </w:div>
                  </w:divsChild>
                </w:div>
                <w:div w:id="47002274">
                  <w:marLeft w:val="0"/>
                  <w:marRight w:val="0"/>
                  <w:marTop w:val="0"/>
                  <w:marBottom w:val="0"/>
                  <w:divBdr>
                    <w:top w:val="none" w:sz="0" w:space="0" w:color="auto"/>
                    <w:left w:val="none" w:sz="0" w:space="0" w:color="auto"/>
                    <w:bottom w:val="none" w:sz="0" w:space="0" w:color="auto"/>
                    <w:right w:val="none" w:sz="0" w:space="0" w:color="auto"/>
                  </w:divBdr>
                  <w:divsChild>
                    <w:div w:id="1294485899">
                      <w:marLeft w:val="0"/>
                      <w:marRight w:val="0"/>
                      <w:marTop w:val="0"/>
                      <w:marBottom w:val="0"/>
                      <w:divBdr>
                        <w:top w:val="none" w:sz="0" w:space="0" w:color="auto"/>
                        <w:left w:val="none" w:sz="0" w:space="0" w:color="auto"/>
                        <w:bottom w:val="none" w:sz="0" w:space="0" w:color="auto"/>
                        <w:right w:val="none" w:sz="0" w:space="0" w:color="auto"/>
                      </w:divBdr>
                    </w:div>
                  </w:divsChild>
                </w:div>
                <w:div w:id="35786198">
                  <w:marLeft w:val="0"/>
                  <w:marRight w:val="0"/>
                  <w:marTop w:val="0"/>
                  <w:marBottom w:val="0"/>
                  <w:divBdr>
                    <w:top w:val="none" w:sz="0" w:space="0" w:color="auto"/>
                    <w:left w:val="none" w:sz="0" w:space="0" w:color="auto"/>
                    <w:bottom w:val="none" w:sz="0" w:space="0" w:color="auto"/>
                    <w:right w:val="none" w:sz="0" w:space="0" w:color="auto"/>
                  </w:divBdr>
                  <w:divsChild>
                    <w:div w:id="303511839">
                      <w:marLeft w:val="0"/>
                      <w:marRight w:val="0"/>
                      <w:marTop w:val="0"/>
                      <w:marBottom w:val="0"/>
                      <w:divBdr>
                        <w:top w:val="none" w:sz="0" w:space="0" w:color="auto"/>
                        <w:left w:val="none" w:sz="0" w:space="0" w:color="auto"/>
                        <w:bottom w:val="none" w:sz="0" w:space="0" w:color="auto"/>
                        <w:right w:val="none" w:sz="0" w:space="0" w:color="auto"/>
                      </w:divBdr>
                    </w:div>
                  </w:divsChild>
                </w:div>
                <w:div w:id="901909182">
                  <w:marLeft w:val="0"/>
                  <w:marRight w:val="0"/>
                  <w:marTop w:val="0"/>
                  <w:marBottom w:val="0"/>
                  <w:divBdr>
                    <w:top w:val="none" w:sz="0" w:space="0" w:color="auto"/>
                    <w:left w:val="none" w:sz="0" w:space="0" w:color="auto"/>
                    <w:bottom w:val="none" w:sz="0" w:space="0" w:color="auto"/>
                    <w:right w:val="none" w:sz="0" w:space="0" w:color="auto"/>
                  </w:divBdr>
                  <w:divsChild>
                    <w:div w:id="1345477106">
                      <w:marLeft w:val="0"/>
                      <w:marRight w:val="0"/>
                      <w:marTop w:val="0"/>
                      <w:marBottom w:val="0"/>
                      <w:divBdr>
                        <w:top w:val="none" w:sz="0" w:space="0" w:color="auto"/>
                        <w:left w:val="none" w:sz="0" w:space="0" w:color="auto"/>
                        <w:bottom w:val="none" w:sz="0" w:space="0" w:color="auto"/>
                        <w:right w:val="none" w:sz="0" w:space="0" w:color="auto"/>
                      </w:divBdr>
                    </w:div>
                    <w:div w:id="1057363714">
                      <w:marLeft w:val="0"/>
                      <w:marRight w:val="0"/>
                      <w:marTop w:val="0"/>
                      <w:marBottom w:val="0"/>
                      <w:divBdr>
                        <w:top w:val="none" w:sz="0" w:space="0" w:color="auto"/>
                        <w:left w:val="none" w:sz="0" w:space="0" w:color="auto"/>
                        <w:bottom w:val="none" w:sz="0" w:space="0" w:color="auto"/>
                        <w:right w:val="none" w:sz="0" w:space="0" w:color="auto"/>
                      </w:divBdr>
                    </w:div>
                  </w:divsChild>
                </w:div>
                <w:div w:id="1466192863">
                  <w:marLeft w:val="0"/>
                  <w:marRight w:val="0"/>
                  <w:marTop w:val="0"/>
                  <w:marBottom w:val="0"/>
                  <w:divBdr>
                    <w:top w:val="none" w:sz="0" w:space="0" w:color="auto"/>
                    <w:left w:val="none" w:sz="0" w:space="0" w:color="auto"/>
                    <w:bottom w:val="none" w:sz="0" w:space="0" w:color="auto"/>
                    <w:right w:val="none" w:sz="0" w:space="0" w:color="auto"/>
                  </w:divBdr>
                  <w:divsChild>
                    <w:div w:id="560218525">
                      <w:marLeft w:val="0"/>
                      <w:marRight w:val="0"/>
                      <w:marTop w:val="0"/>
                      <w:marBottom w:val="0"/>
                      <w:divBdr>
                        <w:top w:val="none" w:sz="0" w:space="0" w:color="auto"/>
                        <w:left w:val="none" w:sz="0" w:space="0" w:color="auto"/>
                        <w:bottom w:val="none" w:sz="0" w:space="0" w:color="auto"/>
                        <w:right w:val="none" w:sz="0" w:space="0" w:color="auto"/>
                      </w:divBdr>
                    </w:div>
                    <w:div w:id="960500092">
                      <w:marLeft w:val="0"/>
                      <w:marRight w:val="0"/>
                      <w:marTop w:val="0"/>
                      <w:marBottom w:val="0"/>
                      <w:divBdr>
                        <w:top w:val="none" w:sz="0" w:space="0" w:color="auto"/>
                        <w:left w:val="none" w:sz="0" w:space="0" w:color="auto"/>
                        <w:bottom w:val="none" w:sz="0" w:space="0" w:color="auto"/>
                        <w:right w:val="none" w:sz="0" w:space="0" w:color="auto"/>
                      </w:divBdr>
                    </w:div>
                    <w:div w:id="10644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4150">
          <w:marLeft w:val="0"/>
          <w:marRight w:val="0"/>
          <w:marTop w:val="0"/>
          <w:marBottom w:val="0"/>
          <w:divBdr>
            <w:top w:val="none" w:sz="0" w:space="0" w:color="auto"/>
            <w:left w:val="none" w:sz="0" w:space="0" w:color="auto"/>
            <w:bottom w:val="none" w:sz="0" w:space="0" w:color="auto"/>
            <w:right w:val="none" w:sz="0" w:space="0" w:color="auto"/>
          </w:divBdr>
        </w:div>
      </w:divsChild>
    </w:div>
    <w:div w:id="1208495163">
      <w:bodyDiv w:val="1"/>
      <w:marLeft w:val="0"/>
      <w:marRight w:val="0"/>
      <w:marTop w:val="0"/>
      <w:marBottom w:val="0"/>
      <w:divBdr>
        <w:top w:val="none" w:sz="0" w:space="0" w:color="auto"/>
        <w:left w:val="none" w:sz="0" w:space="0" w:color="auto"/>
        <w:bottom w:val="none" w:sz="0" w:space="0" w:color="auto"/>
        <w:right w:val="none" w:sz="0" w:space="0" w:color="auto"/>
      </w:divBdr>
    </w:div>
    <w:div w:id="1260211602">
      <w:bodyDiv w:val="1"/>
      <w:marLeft w:val="0"/>
      <w:marRight w:val="0"/>
      <w:marTop w:val="0"/>
      <w:marBottom w:val="0"/>
      <w:divBdr>
        <w:top w:val="none" w:sz="0" w:space="0" w:color="auto"/>
        <w:left w:val="none" w:sz="0" w:space="0" w:color="auto"/>
        <w:bottom w:val="none" w:sz="0" w:space="0" w:color="auto"/>
        <w:right w:val="none" w:sz="0" w:space="0" w:color="auto"/>
      </w:divBdr>
      <w:divsChild>
        <w:div w:id="1513760942">
          <w:marLeft w:val="-75"/>
          <w:marRight w:val="0"/>
          <w:marTop w:val="30"/>
          <w:marBottom w:val="30"/>
          <w:divBdr>
            <w:top w:val="none" w:sz="0" w:space="0" w:color="auto"/>
            <w:left w:val="none" w:sz="0" w:space="0" w:color="auto"/>
            <w:bottom w:val="none" w:sz="0" w:space="0" w:color="auto"/>
            <w:right w:val="none" w:sz="0" w:space="0" w:color="auto"/>
          </w:divBdr>
          <w:divsChild>
            <w:div w:id="854418914">
              <w:marLeft w:val="0"/>
              <w:marRight w:val="0"/>
              <w:marTop w:val="0"/>
              <w:marBottom w:val="0"/>
              <w:divBdr>
                <w:top w:val="none" w:sz="0" w:space="0" w:color="auto"/>
                <w:left w:val="none" w:sz="0" w:space="0" w:color="auto"/>
                <w:bottom w:val="none" w:sz="0" w:space="0" w:color="auto"/>
                <w:right w:val="none" w:sz="0" w:space="0" w:color="auto"/>
              </w:divBdr>
              <w:divsChild>
                <w:div w:id="656033461">
                  <w:marLeft w:val="0"/>
                  <w:marRight w:val="0"/>
                  <w:marTop w:val="0"/>
                  <w:marBottom w:val="0"/>
                  <w:divBdr>
                    <w:top w:val="none" w:sz="0" w:space="0" w:color="auto"/>
                    <w:left w:val="none" w:sz="0" w:space="0" w:color="auto"/>
                    <w:bottom w:val="none" w:sz="0" w:space="0" w:color="auto"/>
                    <w:right w:val="none" w:sz="0" w:space="0" w:color="auto"/>
                  </w:divBdr>
                </w:div>
              </w:divsChild>
            </w:div>
            <w:div w:id="1642539779">
              <w:marLeft w:val="0"/>
              <w:marRight w:val="0"/>
              <w:marTop w:val="0"/>
              <w:marBottom w:val="0"/>
              <w:divBdr>
                <w:top w:val="none" w:sz="0" w:space="0" w:color="auto"/>
                <w:left w:val="none" w:sz="0" w:space="0" w:color="auto"/>
                <w:bottom w:val="none" w:sz="0" w:space="0" w:color="auto"/>
                <w:right w:val="none" w:sz="0" w:space="0" w:color="auto"/>
              </w:divBdr>
              <w:divsChild>
                <w:div w:id="878476423">
                  <w:marLeft w:val="0"/>
                  <w:marRight w:val="0"/>
                  <w:marTop w:val="0"/>
                  <w:marBottom w:val="0"/>
                  <w:divBdr>
                    <w:top w:val="none" w:sz="0" w:space="0" w:color="auto"/>
                    <w:left w:val="none" w:sz="0" w:space="0" w:color="auto"/>
                    <w:bottom w:val="none" w:sz="0" w:space="0" w:color="auto"/>
                    <w:right w:val="none" w:sz="0" w:space="0" w:color="auto"/>
                  </w:divBdr>
                </w:div>
              </w:divsChild>
            </w:div>
            <w:div w:id="10956547">
              <w:marLeft w:val="0"/>
              <w:marRight w:val="0"/>
              <w:marTop w:val="0"/>
              <w:marBottom w:val="0"/>
              <w:divBdr>
                <w:top w:val="none" w:sz="0" w:space="0" w:color="auto"/>
                <w:left w:val="none" w:sz="0" w:space="0" w:color="auto"/>
                <w:bottom w:val="none" w:sz="0" w:space="0" w:color="auto"/>
                <w:right w:val="none" w:sz="0" w:space="0" w:color="auto"/>
              </w:divBdr>
              <w:divsChild>
                <w:div w:id="950668199">
                  <w:marLeft w:val="0"/>
                  <w:marRight w:val="0"/>
                  <w:marTop w:val="0"/>
                  <w:marBottom w:val="0"/>
                  <w:divBdr>
                    <w:top w:val="none" w:sz="0" w:space="0" w:color="auto"/>
                    <w:left w:val="none" w:sz="0" w:space="0" w:color="auto"/>
                    <w:bottom w:val="none" w:sz="0" w:space="0" w:color="auto"/>
                    <w:right w:val="none" w:sz="0" w:space="0" w:color="auto"/>
                  </w:divBdr>
                </w:div>
              </w:divsChild>
            </w:div>
            <w:div w:id="205723456">
              <w:marLeft w:val="0"/>
              <w:marRight w:val="0"/>
              <w:marTop w:val="0"/>
              <w:marBottom w:val="0"/>
              <w:divBdr>
                <w:top w:val="none" w:sz="0" w:space="0" w:color="auto"/>
                <w:left w:val="none" w:sz="0" w:space="0" w:color="auto"/>
                <w:bottom w:val="none" w:sz="0" w:space="0" w:color="auto"/>
                <w:right w:val="none" w:sz="0" w:space="0" w:color="auto"/>
              </w:divBdr>
              <w:divsChild>
                <w:div w:id="610935050">
                  <w:marLeft w:val="0"/>
                  <w:marRight w:val="0"/>
                  <w:marTop w:val="0"/>
                  <w:marBottom w:val="0"/>
                  <w:divBdr>
                    <w:top w:val="none" w:sz="0" w:space="0" w:color="auto"/>
                    <w:left w:val="none" w:sz="0" w:space="0" w:color="auto"/>
                    <w:bottom w:val="none" w:sz="0" w:space="0" w:color="auto"/>
                    <w:right w:val="none" w:sz="0" w:space="0" w:color="auto"/>
                  </w:divBdr>
                </w:div>
              </w:divsChild>
            </w:div>
            <w:div w:id="347028781">
              <w:marLeft w:val="0"/>
              <w:marRight w:val="0"/>
              <w:marTop w:val="0"/>
              <w:marBottom w:val="0"/>
              <w:divBdr>
                <w:top w:val="none" w:sz="0" w:space="0" w:color="auto"/>
                <w:left w:val="none" w:sz="0" w:space="0" w:color="auto"/>
                <w:bottom w:val="none" w:sz="0" w:space="0" w:color="auto"/>
                <w:right w:val="none" w:sz="0" w:space="0" w:color="auto"/>
              </w:divBdr>
              <w:divsChild>
                <w:div w:id="1969780748">
                  <w:marLeft w:val="0"/>
                  <w:marRight w:val="0"/>
                  <w:marTop w:val="0"/>
                  <w:marBottom w:val="0"/>
                  <w:divBdr>
                    <w:top w:val="none" w:sz="0" w:space="0" w:color="auto"/>
                    <w:left w:val="none" w:sz="0" w:space="0" w:color="auto"/>
                    <w:bottom w:val="none" w:sz="0" w:space="0" w:color="auto"/>
                    <w:right w:val="none" w:sz="0" w:space="0" w:color="auto"/>
                  </w:divBdr>
                </w:div>
              </w:divsChild>
            </w:div>
            <w:div w:id="372538380">
              <w:marLeft w:val="0"/>
              <w:marRight w:val="0"/>
              <w:marTop w:val="0"/>
              <w:marBottom w:val="0"/>
              <w:divBdr>
                <w:top w:val="none" w:sz="0" w:space="0" w:color="auto"/>
                <w:left w:val="none" w:sz="0" w:space="0" w:color="auto"/>
                <w:bottom w:val="none" w:sz="0" w:space="0" w:color="auto"/>
                <w:right w:val="none" w:sz="0" w:space="0" w:color="auto"/>
              </w:divBdr>
              <w:divsChild>
                <w:div w:id="6911596">
                  <w:marLeft w:val="0"/>
                  <w:marRight w:val="0"/>
                  <w:marTop w:val="0"/>
                  <w:marBottom w:val="0"/>
                  <w:divBdr>
                    <w:top w:val="none" w:sz="0" w:space="0" w:color="auto"/>
                    <w:left w:val="none" w:sz="0" w:space="0" w:color="auto"/>
                    <w:bottom w:val="none" w:sz="0" w:space="0" w:color="auto"/>
                    <w:right w:val="none" w:sz="0" w:space="0" w:color="auto"/>
                  </w:divBdr>
                </w:div>
                <w:div w:id="1071346660">
                  <w:marLeft w:val="0"/>
                  <w:marRight w:val="0"/>
                  <w:marTop w:val="0"/>
                  <w:marBottom w:val="0"/>
                  <w:divBdr>
                    <w:top w:val="none" w:sz="0" w:space="0" w:color="auto"/>
                    <w:left w:val="none" w:sz="0" w:space="0" w:color="auto"/>
                    <w:bottom w:val="none" w:sz="0" w:space="0" w:color="auto"/>
                    <w:right w:val="none" w:sz="0" w:space="0" w:color="auto"/>
                  </w:divBdr>
                </w:div>
                <w:div w:id="219943434">
                  <w:marLeft w:val="0"/>
                  <w:marRight w:val="0"/>
                  <w:marTop w:val="0"/>
                  <w:marBottom w:val="0"/>
                  <w:divBdr>
                    <w:top w:val="none" w:sz="0" w:space="0" w:color="auto"/>
                    <w:left w:val="none" w:sz="0" w:space="0" w:color="auto"/>
                    <w:bottom w:val="none" w:sz="0" w:space="0" w:color="auto"/>
                    <w:right w:val="none" w:sz="0" w:space="0" w:color="auto"/>
                  </w:divBdr>
                </w:div>
              </w:divsChild>
            </w:div>
            <w:div w:id="256328587">
              <w:marLeft w:val="0"/>
              <w:marRight w:val="0"/>
              <w:marTop w:val="0"/>
              <w:marBottom w:val="0"/>
              <w:divBdr>
                <w:top w:val="none" w:sz="0" w:space="0" w:color="auto"/>
                <w:left w:val="none" w:sz="0" w:space="0" w:color="auto"/>
                <w:bottom w:val="none" w:sz="0" w:space="0" w:color="auto"/>
                <w:right w:val="none" w:sz="0" w:space="0" w:color="auto"/>
              </w:divBdr>
              <w:divsChild>
                <w:div w:id="379482883">
                  <w:marLeft w:val="0"/>
                  <w:marRight w:val="0"/>
                  <w:marTop w:val="0"/>
                  <w:marBottom w:val="0"/>
                  <w:divBdr>
                    <w:top w:val="none" w:sz="0" w:space="0" w:color="auto"/>
                    <w:left w:val="none" w:sz="0" w:space="0" w:color="auto"/>
                    <w:bottom w:val="none" w:sz="0" w:space="0" w:color="auto"/>
                    <w:right w:val="none" w:sz="0" w:space="0" w:color="auto"/>
                  </w:divBdr>
                </w:div>
                <w:div w:id="1484469224">
                  <w:marLeft w:val="0"/>
                  <w:marRight w:val="0"/>
                  <w:marTop w:val="0"/>
                  <w:marBottom w:val="0"/>
                  <w:divBdr>
                    <w:top w:val="none" w:sz="0" w:space="0" w:color="auto"/>
                    <w:left w:val="none" w:sz="0" w:space="0" w:color="auto"/>
                    <w:bottom w:val="none" w:sz="0" w:space="0" w:color="auto"/>
                    <w:right w:val="none" w:sz="0" w:space="0" w:color="auto"/>
                  </w:divBdr>
                </w:div>
                <w:div w:id="1881042912">
                  <w:marLeft w:val="0"/>
                  <w:marRight w:val="0"/>
                  <w:marTop w:val="0"/>
                  <w:marBottom w:val="0"/>
                  <w:divBdr>
                    <w:top w:val="none" w:sz="0" w:space="0" w:color="auto"/>
                    <w:left w:val="none" w:sz="0" w:space="0" w:color="auto"/>
                    <w:bottom w:val="none" w:sz="0" w:space="0" w:color="auto"/>
                    <w:right w:val="none" w:sz="0" w:space="0" w:color="auto"/>
                  </w:divBdr>
                </w:div>
              </w:divsChild>
            </w:div>
            <w:div w:id="1798641715">
              <w:marLeft w:val="0"/>
              <w:marRight w:val="0"/>
              <w:marTop w:val="0"/>
              <w:marBottom w:val="0"/>
              <w:divBdr>
                <w:top w:val="none" w:sz="0" w:space="0" w:color="auto"/>
                <w:left w:val="none" w:sz="0" w:space="0" w:color="auto"/>
                <w:bottom w:val="none" w:sz="0" w:space="0" w:color="auto"/>
                <w:right w:val="none" w:sz="0" w:space="0" w:color="auto"/>
              </w:divBdr>
              <w:divsChild>
                <w:div w:id="1491024296">
                  <w:marLeft w:val="0"/>
                  <w:marRight w:val="0"/>
                  <w:marTop w:val="0"/>
                  <w:marBottom w:val="0"/>
                  <w:divBdr>
                    <w:top w:val="none" w:sz="0" w:space="0" w:color="auto"/>
                    <w:left w:val="none" w:sz="0" w:space="0" w:color="auto"/>
                    <w:bottom w:val="none" w:sz="0" w:space="0" w:color="auto"/>
                    <w:right w:val="none" w:sz="0" w:space="0" w:color="auto"/>
                  </w:divBdr>
                </w:div>
                <w:div w:id="55709913">
                  <w:marLeft w:val="0"/>
                  <w:marRight w:val="0"/>
                  <w:marTop w:val="0"/>
                  <w:marBottom w:val="0"/>
                  <w:divBdr>
                    <w:top w:val="none" w:sz="0" w:space="0" w:color="auto"/>
                    <w:left w:val="none" w:sz="0" w:space="0" w:color="auto"/>
                    <w:bottom w:val="none" w:sz="0" w:space="0" w:color="auto"/>
                    <w:right w:val="none" w:sz="0" w:space="0" w:color="auto"/>
                  </w:divBdr>
                </w:div>
              </w:divsChild>
            </w:div>
            <w:div w:id="355735671">
              <w:marLeft w:val="0"/>
              <w:marRight w:val="0"/>
              <w:marTop w:val="0"/>
              <w:marBottom w:val="0"/>
              <w:divBdr>
                <w:top w:val="none" w:sz="0" w:space="0" w:color="auto"/>
                <w:left w:val="none" w:sz="0" w:space="0" w:color="auto"/>
                <w:bottom w:val="none" w:sz="0" w:space="0" w:color="auto"/>
                <w:right w:val="none" w:sz="0" w:space="0" w:color="auto"/>
              </w:divBdr>
              <w:divsChild>
                <w:div w:id="2053922629">
                  <w:marLeft w:val="0"/>
                  <w:marRight w:val="0"/>
                  <w:marTop w:val="0"/>
                  <w:marBottom w:val="0"/>
                  <w:divBdr>
                    <w:top w:val="none" w:sz="0" w:space="0" w:color="auto"/>
                    <w:left w:val="none" w:sz="0" w:space="0" w:color="auto"/>
                    <w:bottom w:val="none" w:sz="0" w:space="0" w:color="auto"/>
                    <w:right w:val="none" w:sz="0" w:space="0" w:color="auto"/>
                  </w:divBdr>
                </w:div>
                <w:div w:id="2012834134">
                  <w:marLeft w:val="0"/>
                  <w:marRight w:val="0"/>
                  <w:marTop w:val="0"/>
                  <w:marBottom w:val="0"/>
                  <w:divBdr>
                    <w:top w:val="none" w:sz="0" w:space="0" w:color="auto"/>
                    <w:left w:val="none" w:sz="0" w:space="0" w:color="auto"/>
                    <w:bottom w:val="none" w:sz="0" w:space="0" w:color="auto"/>
                    <w:right w:val="none" w:sz="0" w:space="0" w:color="auto"/>
                  </w:divBdr>
                </w:div>
                <w:div w:id="851840096">
                  <w:marLeft w:val="0"/>
                  <w:marRight w:val="0"/>
                  <w:marTop w:val="0"/>
                  <w:marBottom w:val="0"/>
                  <w:divBdr>
                    <w:top w:val="none" w:sz="0" w:space="0" w:color="auto"/>
                    <w:left w:val="none" w:sz="0" w:space="0" w:color="auto"/>
                    <w:bottom w:val="none" w:sz="0" w:space="0" w:color="auto"/>
                    <w:right w:val="none" w:sz="0" w:space="0" w:color="auto"/>
                  </w:divBdr>
                </w:div>
                <w:div w:id="1033074166">
                  <w:marLeft w:val="0"/>
                  <w:marRight w:val="0"/>
                  <w:marTop w:val="0"/>
                  <w:marBottom w:val="0"/>
                  <w:divBdr>
                    <w:top w:val="none" w:sz="0" w:space="0" w:color="auto"/>
                    <w:left w:val="none" w:sz="0" w:space="0" w:color="auto"/>
                    <w:bottom w:val="none" w:sz="0" w:space="0" w:color="auto"/>
                    <w:right w:val="none" w:sz="0" w:space="0" w:color="auto"/>
                  </w:divBdr>
                </w:div>
              </w:divsChild>
            </w:div>
            <w:div w:id="801922129">
              <w:marLeft w:val="0"/>
              <w:marRight w:val="0"/>
              <w:marTop w:val="0"/>
              <w:marBottom w:val="0"/>
              <w:divBdr>
                <w:top w:val="none" w:sz="0" w:space="0" w:color="auto"/>
                <w:left w:val="none" w:sz="0" w:space="0" w:color="auto"/>
                <w:bottom w:val="none" w:sz="0" w:space="0" w:color="auto"/>
                <w:right w:val="none" w:sz="0" w:space="0" w:color="auto"/>
              </w:divBdr>
              <w:divsChild>
                <w:div w:id="238254806">
                  <w:marLeft w:val="0"/>
                  <w:marRight w:val="0"/>
                  <w:marTop w:val="0"/>
                  <w:marBottom w:val="0"/>
                  <w:divBdr>
                    <w:top w:val="none" w:sz="0" w:space="0" w:color="auto"/>
                    <w:left w:val="none" w:sz="0" w:space="0" w:color="auto"/>
                    <w:bottom w:val="none" w:sz="0" w:space="0" w:color="auto"/>
                    <w:right w:val="none" w:sz="0" w:space="0" w:color="auto"/>
                  </w:divBdr>
                </w:div>
                <w:div w:id="551745">
                  <w:marLeft w:val="0"/>
                  <w:marRight w:val="0"/>
                  <w:marTop w:val="0"/>
                  <w:marBottom w:val="0"/>
                  <w:divBdr>
                    <w:top w:val="none" w:sz="0" w:space="0" w:color="auto"/>
                    <w:left w:val="none" w:sz="0" w:space="0" w:color="auto"/>
                    <w:bottom w:val="none" w:sz="0" w:space="0" w:color="auto"/>
                    <w:right w:val="none" w:sz="0" w:space="0" w:color="auto"/>
                  </w:divBdr>
                </w:div>
                <w:div w:id="1274439368">
                  <w:marLeft w:val="0"/>
                  <w:marRight w:val="0"/>
                  <w:marTop w:val="0"/>
                  <w:marBottom w:val="0"/>
                  <w:divBdr>
                    <w:top w:val="none" w:sz="0" w:space="0" w:color="auto"/>
                    <w:left w:val="none" w:sz="0" w:space="0" w:color="auto"/>
                    <w:bottom w:val="none" w:sz="0" w:space="0" w:color="auto"/>
                    <w:right w:val="none" w:sz="0" w:space="0" w:color="auto"/>
                  </w:divBdr>
                </w:div>
                <w:div w:id="815949058">
                  <w:marLeft w:val="0"/>
                  <w:marRight w:val="0"/>
                  <w:marTop w:val="0"/>
                  <w:marBottom w:val="0"/>
                  <w:divBdr>
                    <w:top w:val="none" w:sz="0" w:space="0" w:color="auto"/>
                    <w:left w:val="none" w:sz="0" w:space="0" w:color="auto"/>
                    <w:bottom w:val="none" w:sz="0" w:space="0" w:color="auto"/>
                    <w:right w:val="none" w:sz="0" w:space="0" w:color="auto"/>
                  </w:divBdr>
                </w:div>
              </w:divsChild>
            </w:div>
            <w:div w:id="52394337">
              <w:marLeft w:val="0"/>
              <w:marRight w:val="0"/>
              <w:marTop w:val="0"/>
              <w:marBottom w:val="0"/>
              <w:divBdr>
                <w:top w:val="none" w:sz="0" w:space="0" w:color="auto"/>
                <w:left w:val="none" w:sz="0" w:space="0" w:color="auto"/>
                <w:bottom w:val="none" w:sz="0" w:space="0" w:color="auto"/>
                <w:right w:val="none" w:sz="0" w:space="0" w:color="auto"/>
              </w:divBdr>
              <w:divsChild>
                <w:div w:id="1150636480">
                  <w:marLeft w:val="0"/>
                  <w:marRight w:val="0"/>
                  <w:marTop w:val="0"/>
                  <w:marBottom w:val="0"/>
                  <w:divBdr>
                    <w:top w:val="none" w:sz="0" w:space="0" w:color="auto"/>
                    <w:left w:val="none" w:sz="0" w:space="0" w:color="auto"/>
                    <w:bottom w:val="none" w:sz="0" w:space="0" w:color="auto"/>
                    <w:right w:val="none" w:sz="0" w:space="0" w:color="auto"/>
                  </w:divBdr>
                </w:div>
                <w:div w:id="1347705796">
                  <w:marLeft w:val="0"/>
                  <w:marRight w:val="0"/>
                  <w:marTop w:val="0"/>
                  <w:marBottom w:val="0"/>
                  <w:divBdr>
                    <w:top w:val="none" w:sz="0" w:space="0" w:color="auto"/>
                    <w:left w:val="none" w:sz="0" w:space="0" w:color="auto"/>
                    <w:bottom w:val="none" w:sz="0" w:space="0" w:color="auto"/>
                    <w:right w:val="none" w:sz="0" w:space="0" w:color="auto"/>
                  </w:divBdr>
                </w:div>
              </w:divsChild>
            </w:div>
            <w:div w:id="183137220">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
                <w:div w:id="1766027729">
                  <w:marLeft w:val="0"/>
                  <w:marRight w:val="0"/>
                  <w:marTop w:val="0"/>
                  <w:marBottom w:val="0"/>
                  <w:divBdr>
                    <w:top w:val="none" w:sz="0" w:space="0" w:color="auto"/>
                    <w:left w:val="none" w:sz="0" w:space="0" w:color="auto"/>
                    <w:bottom w:val="none" w:sz="0" w:space="0" w:color="auto"/>
                    <w:right w:val="none" w:sz="0" w:space="0" w:color="auto"/>
                  </w:divBdr>
                </w:div>
                <w:div w:id="332806486">
                  <w:marLeft w:val="0"/>
                  <w:marRight w:val="0"/>
                  <w:marTop w:val="0"/>
                  <w:marBottom w:val="0"/>
                  <w:divBdr>
                    <w:top w:val="none" w:sz="0" w:space="0" w:color="auto"/>
                    <w:left w:val="none" w:sz="0" w:space="0" w:color="auto"/>
                    <w:bottom w:val="none" w:sz="0" w:space="0" w:color="auto"/>
                    <w:right w:val="none" w:sz="0" w:space="0" w:color="auto"/>
                  </w:divBdr>
                </w:div>
                <w:div w:id="513301394">
                  <w:marLeft w:val="0"/>
                  <w:marRight w:val="0"/>
                  <w:marTop w:val="0"/>
                  <w:marBottom w:val="0"/>
                  <w:divBdr>
                    <w:top w:val="none" w:sz="0" w:space="0" w:color="auto"/>
                    <w:left w:val="none" w:sz="0" w:space="0" w:color="auto"/>
                    <w:bottom w:val="none" w:sz="0" w:space="0" w:color="auto"/>
                    <w:right w:val="none" w:sz="0" w:space="0" w:color="auto"/>
                  </w:divBdr>
                </w:div>
                <w:div w:id="133722406">
                  <w:marLeft w:val="0"/>
                  <w:marRight w:val="0"/>
                  <w:marTop w:val="0"/>
                  <w:marBottom w:val="0"/>
                  <w:divBdr>
                    <w:top w:val="none" w:sz="0" w:space="0" w:color="auto"/>
                    <w:left w:val="none" w:sz="0" w:space="0" w:color="auto"/>
                    <w:bottom w:val="none" w:sz="0" w:space="0" w:color="auto"/>
                    <w:right w:val="none" w:sz="0" w:space="0" w:color="auto"/>
                  </w:divBdr>
                </w:div>
                <w:div w:id="1554585085">
                  <w:marLeft w:val="0"/>
                  <w:marRight w:val="0"/>
                  <w:marTop w:val="0"/>
                  <w:marBottom w:val="0"/>
                  <w:divBdr>
                    <w:top w:val="none" w:sz="0" w:space="0" w:color="auto"/>
                    <w:left w:val="none" w:sz="0" w:space="0" w:color="auto"/>
                    <w:bottom w:val="none" w:sz="0" w:space="0" w:color="auto"/>
                    <w:right w:val="none" w:sz="0" w:space="0" w:color="auto"/>
                  </w:divBdr>
                </w:div>
              </w:divsChild>
            </w:div>
            <w:div w:id="839661415">
              <w:marLeft w:val="0"/>
              <w:marRight w:val="0"/>
              <w:marTop w:val="0"/>
              <w:marBottom w:val="0"/>
              <w:divBdr>
                <w:top w:val="none" w:sz="0" w:space="0" w:color="auto"/>
                <w:left w:val="none" w:sz="0" w:space="0" w:color="auto"/>
                <w:bottom w:val="none" w:sz="0" w:space="0" w:color="auto"/>
                <w:right w:val="none" w:sz="0" w:space="0" w:color="auto"/>
              </w:divBdr>
              <w:divsChild>
                <w:div w:id="1630745089">
                  <w:marLeft w:val="0"/>
                  <w:marRight w:val="0"/>
                  <w:marTop w:val="0"/>
                  <w:marBottom w:val="0"/>
                  <w:divBdr>
                    <w:top w:val="none" w:sz="0" w:space="0" w:color="auto"/>
                    <w:left w:val="none" w:sz="0" w:space="0" w:color="auto"/>
                    <w:bottom w:val="none" w:sz="0" w:space="0" w:color="auto"/>
                    <w:right w:val="none" w:sz="0" w:space="0" w:color="auto"/>
                  </w:divBdr>
                </w:div>
                <w:div w:id="1734158821">
                  <w:marLeft w:val="0"/>
                  <w:marRight w:val="0"/>
                  <w:marTop w:val="0"/>
                  <w:marBottom w:val="0"/>
                  <w:divBdr>
                    <w:top w:val="none" w:sz="0" w:space="0" w:color="auto"/>
                    <w:left w:val="none" w:sz="0" w:space="0" w:color="auto"/>
                    <w:bottom w:val="none" w:sz="0" w:space="0" w:color="auto"/>
                    <w:right w:val="none" w:sz="0" w:space="0" w:color="auto"/>
                  </w:divBdr>
                </w:div>
                <w:div w:id="1203908645">
                  <w:marLeft w:val="0"/>
                  <w:marRight w:val="0"/>
                  <w:marTop w:val="0"/>
                  <w:marBottom w:val="0"/>
                  <w:divBdr>
                    <w:top w:val="none" w:sz="0" w:space="0" w:color="auto"/>
                    <w:left w:val="none" w:sz="0" w:space="0" w:color="auto"/>
                    <w:bottom w:val="none" w:sz="0" w:space="0" w:color="auto"/>
                    <w:right w:val="none" w:sz="0" w:space="0" w:color="auto"/>
                  </w:divBdr>
                </w:div>
                <w:div w:id="507451887">
                  <w:marLeft w:val="0"/>
                  <w:marRight w:val="0"/>
                  <w:marTop w:val="0"/>
                  <w:marBottom w:val="0"/>
                  <w:divBdr>
                    <w:top w:val="none" w:sz="0" w:space="0" w:color="auto"/>
                    <w:left w:val="none" w:sz="0" w:space="0" w:color="auto"/>
                    <w:bottom w:val="none" w:sz="0" w:space="0" w:color="auto"/>
                    <w:right w:val="none" w:sz="0" w:space="0" w:color="auto"/>
                  </w:divBdr>
                </w:div>
                <w:div w:id="2057660242">
                  <w:marLeft w:val="0"/>
                  <w:marRight w:val="0"/>
                  <w:marTop w:val="0"/>
                  <w:marBottom w:val="0"/>
                  <w:divBdr>
                    <w:top w:val="none" w:sz="0" w:space="0" w:color="auto"/>
                    <w:left w:val="none" w:sz="0" w:space="0" w:color="auto"/>
                    <w:bottom w:val="none" w:sz="0" w:space="0" w:color="auto"/>
                    <w:right w:val="none" w:sz="0" w:space="0" w:color="auto"/>
                  </w:divBdr>
                </w:div>
                <w:div w:id="1697384693">
                  <w:marLeft w:val="0"/>
                  <w:marRight w:val="0"/>
                  <w:marTop w:val="0"/>
                  <w:marBottom w:val="0"/>
                  <w:divBdr>
                    <w:top w:val="none" w:sz="0" w:space="0" w:color="auto"/>
                    <w:left w:val="none" w:sz="0" w:space="0" w:color="auto"/>
                    <w:bottom w:val="none" w:sz="0" w:space="0" w:color="auto"/>
                    <w:right w:val="none" w:sz="0" w:space="0" w:color="auto"/>
                  </w:divBdr>
                </w:div>
              </w:divsChild>
            </w:div>
            <w:div w:id="537933647">
              <w:marLeft w:val="0"/>
              <w:marRight w:val="0"/>
              <w:marTop w:val="0"/>
              <w:marBottom w:val="0"/>
              <w:divBdr>
                <w:top w:val="none" w:sz="0" w:space="0" w:color="auto"/>
                <w:left w:val="none" w:sz="0" w:space="0" w:color="auto"/>
                <w:bottom w:val="none" w:sz="0" w:space="0" w:color="auto"/>
                <w:right w:val="none" w:sz="0" w:space="0" w:color="auto"/>
              </w:divBdr>
              <w:divsChild>
                <w:div w:id="1881358368">
                  <w:marLeft w:val="0"/>
                  <w:marRight w:val="0"/>
                  <w:marTop w:val="0"/>
                  <w:marBottom w:val="0"/>
                  <w:divBdr>
                    <w:top w:val="none" w:sz="0" w:space="0" w:color="auto"/>
                    <w:left w:val="none" w:sz="0" w:space="0" w:color="auto"/>
                    <w:bottom w:val="none" w:sz="0" w:space="0" w:color="auto"/>
                    <w:right w:val="none" w:sz="0" w:space="0" w:color="auto"/>
                  </w:divBdr>
                </w:div>
              </w:divsChild>
            </w:div>
            <w:div w:id="1181503346">
              <w:marLeft w:val="0"/>
              <w:marRight w:val="0"/>
              <w:marTop w:val="0"/>
              <w:marBottom w:val="0"/>
              <w:divBdr>
                <w:top w:val="none" w:sz="0" w:space="0" w:color="auto"/>
                <w:left w:val="none" w:sz="0" w:space="0" w:color="auto"/>
                <w:bottom w:val="none" w:sz="0" w:space="0" w:color="auto"/>
                <w:right w:val="none" w:sz="0" w:space="0" w:color="auto"/>
              </w:divBdr>
              <w:divsChild>
                <w:div w:id="1961573252">
                  <w:marLeft w:val="0"/>
                  <w:marRight w:val="0"/>
                  <w:marTop w:val="0"/>
                  <w:marBottom w:val="0"/>
                  <w:divBdr>
                    <w:top w:val="none" w:sz="0" w:space="0" w:color="auto"/>
                    <w:left w:val="none" w:sz="0" w:space="0" w:color="auto"/>
                    <w:bottom w:val="none" w:sz="0" w:space="0" w:color="auto"/>
                    <w:right w:val="none" w:sz="0" w:space="0" w:color="auto"/>
                  </w:divBdr>
                </w:div>
              </w:divsChild>
            </w:div>
            <w:div w:id="1121650964">
              <w:marLeft w:val="0"/>
              <w:marRight w:val="0"/>
              <w:marTop w:val="0"/>
              <w:marBottom w:val="0"/>
              <w:divBdr>
                <w:top w:val="none" w:sz="0" w:space="0" w:color="auto"/>
                <w:left w:val="none" w:sz="0" w:space="0" w:color="auto"/>
                <w:bottom w:val="none" w:sz="0" w:space="0" w:color="auto"/>
                <w:right w:val="none" w:sz="0" w:space="0" w:color="auto"/>
              </w:divBdr>
              <w:divsChild>
                <w:div w:id="1763261159">
                  <w:marLeft w:val="0"/>
                  <w:marRight w:val="0"/>
                  <w:marTop w:val="0"/>
                  <w:marBottom w:val="0"/>
                  <w:divBdr>
                    <w:top w:val="none" w:sz="0" w:space="0" w:color="auto"/>
                    <w:left w:val="none" w:sz="0" w:space="0" w:color="auto"/>
                    <w:bottom w:val="none" w:sz="0" w:space="0" w:color="auto"/>
                    <w:right w:val="none" w:sz="0" w:space="0" w:color="auto"/>
                  </w:divBdr>
                </w:div>
              </w:divsChild>
            </w:div>
            <w:div w:id="1785422937">
              <w:marLeft w:val="0"/>
              <w:marRight w:val="0"/>
              <w:marTop w:val="0"/>
              <w:marBottom w:val="0"/>
              <w:divBdr>
                <w:top w:val="none" w:sz="0" w:space="0" w:color="auto"/>
                <w:left w:val="none" w:sz="0" w:space="0" w:color="auto"/>
                <w:bottom w:val="none" w:sz="0" w:space="0" w:color="auto"/>
                <w:right w:val="none" w:sz="0" w:space="0" w:color="auto"/>
              </w:divBdr>
              <w:divsChild>
                <w:div w:id="1247962643">
                  <w:marLeft w:val="0"/>
                  <w:marRight w:val="0"/>
                  <w:marTop w:val="0"/>
                  <w:marBottom w:val="0"/>
                  <w:divBdr>
                    <w:top w:val="none" w:sz="0" w:space="0" w:color="auto"/>
                    <w:left w:val="none" w:sz="0" w:space="0" w:color="auto"/>
                    <w:bottom w:val="none" w:sz="0" w:space="0" w:color="auto"/>
                    <w:right w:val="none" w:sz="0" w:space="0" w:color="auto"/>
                  </w:divBdr>
                </w:div>
                <w:div w:id="2108307776">
                  <w:marLeft w:val="0"/>
                  <w:marRight w:val="0"/>
                  <w:marTop w:val="0"/>
                  <w:marBottom w:val="0"/>
                  <w:divBdr>
                    <w:top w:val="none" w:sz="0" w:space="0" w:color="auto"/>
                    <w:left w:val="none" w:sz="0" w:space="0" w:color="auto"/>
                    <w:bottom w:val="none" w:sz="0" w:space="0" w:color="auto"/>
                    <w:right w:val="none" w:sz="0" w:space="0" w:color="auto"/>
                  </w:divBdr>
                </w:div>
              </w:divsChild>
            </w:div>
            <w:div w:id="1247837469">
              <w:marLeft w:val="0"/>
              <w:marRight w:val="0"/>
              <w:marTop w:val="0"/>
              <w:marBottom w:val="0"/>
              <w:divBdr>
                <w:top w:val="none" w:sz="0" w:space="0" w:color="auto"/>
                <w:left w:val="none" w:sz="0" w:space="0" w:color="auto"/>
                <w:bottom w:val="none" w:sz="0" w:space="0" w:color="auto"/>
                <w:right w:val="none" w:sz="0" w:space="0" w:color="auto"/>
              </w:divBdr>
              <w:divsChild>
                <w:div w:id="1138299086">
                  <w:marLeft w:val="0"/>
                  <w:marRight w:val="0"/>
                  <w:marTop w:val="0"/>
                  <w:marBottom w:val="0"/>
                  <w:divBdr>
                    <w:top w:val="none" w:sz="0" w:space="0" w:color="auto"/>
                    <w:left w:val="none" w:sz="0" w:space="0" w:color="auto"/>
                    <w:bottom w:val="none" w:sz="0" w:space="0" w:color="auto"/>
                    <w:right w:val="none" w:sz="0" w:space="0" w:color="auto"/>
                  </w:divBdr>
                </w:div>
              </w:divsChild>
            </w:div>
            <w:div w:id="1027830370">
              <w:marLeft w:val="0"/>
              <w:marRight w:val="0"/>
              <w:marTop w:val="0"/>
              <w:marBottom w:val="0"/>
              <w:divBdr>
                <w:top w:val="none" w:sz="0" w:space="0" w:color="auto"/>
                <w:left w:val="none" w:sz="0" w:space="0" w:color="auto"/>
                <w:bottom w:val="none" w:sz="0" w:space="0" w:color="auto"/>
                <w:right w:val="none" w:sz="0" w:space="0" w:color="auto"/>
              </w:divBdr>
              <w:divsChild>
                <w:div w:id="1907378006">
                  <w:marLeft w:val="0"/>
                  <w:marRight w:val="0"/>
                  <w:marTop w:val="0"/>
                  <w:marBottom w:val="0"/>
                  <w:divBdr>
                    <w:top w:val="none" w:sz="0" w:space="0" w:color="auto"/>
                    <w:left w:val="none" w:sz="0" w:space="0" w:color="auto"/>
                    <w:bottom w:val="none" w:sz="0" w:space="0" w:color="auto"/>
                    <w:right w:val="none" w:sz="0" w:space="0" w:color="auto"/>
                  </w:divBdr>
                </w:div>
              </w:divsChild>
            </w:div>
            <w:div w:id="680282889">
              <w:marLeft w:val="0"/>
              <w:marRight w:val="0"/>
              <w:marTop w:val="0"/>
              <w:marBottom w:val="0"/>
              <w:divBdr>
                <w:top w:val="none" w:sz="0" w:space="0" w:color="auto"/>
                <w:left w:val="none" w:sz="0" w:space="0" w:color="auto"/>
                <w:bottom w:val="none" w:sz="0" w:space="0" w:color="auto"/>
                <w:right w:val="none" w:sz="0" w:space="0" w:color="auto"/>
              </w:divBdr>
              <w:divsChild>
                <w:div w:id="1403989088">
                  <w:marLeft w:val="0"/>
                  <w:marRight w:val="0"/>
                  <w:marTop w:val="0"/>
                  <w:marBottom w:val="0"/>
                  <w:divBdr>
                    <w:top w:val="none" w:sz="0" w:space="0" w:color="auto"/>
                    <w:left w:val="none" w:sz="0" w:space="0" w:color="auto"/>
                    <w:bottom w:val="none" w:sz="0" w:space="0" w:color="auto"/>
                    <w:right w:val="none" w:sz="0" w:space="0" w:color="auto"/>
                  </w:divBdr>
                </w:div>
                <w:div w:id="1796554915">
                  <w:marLeft w:val="0"/>
                  <w:marRight w:val="0"/>
                  <w:marTop w:val="0"/>
                  <w:marBottom w:val="0"/>
                  <w:divBdr>
                    <w:top w:val="none" w:sz="0" w:space="0" w:color="auto"/>
                    <w:left w:val="none" w:sz="0" w:space="0" w:color="auto"/>
                    <w:bottom w:val="none" w:sz="0" w:space="0" w:color="auto"/>
                    <w:right w:val="none" w:sz="0" w:space="0" w:color="auto"/>
                  </w:divBdr>
                </w:div>
                <w:div w:id="914629896">
                  <w:marLeft w:val="0"/>
                  <w:marRight w:val="0"/>
                  <w:marTop w:val="0"/>
                  <w:marBottom w:val="0"/>
                  <w:divBdr>
                    <w:top w:val="none" w:sz="0" w:space="0" w:color="auto"/>
                    <w:left w:val="none" w:sz="0" w:space="0" w:color="auto"/>
                    <w:bottom w:val="none" w:sz="0" w:space="0" w:color="auto"/>
                    <w:right w:val="none" w:sz="0" w:space="0" w:color="auto"/>
                  </w:divBdr>
                </w:div>
                <w:div w:id="1162163933">
                  <w:marLeft w:val="0"/>
                  <w:marRight w:val="0"/>
                  <w:marTop w:val="0"/>
                  <w:marBottom w:val="0"/>
                  <w:divBdr>
                    <w:top w:val="none" w:sz="0" w:space="0" w:color="auto"/>
                    <w:left w:val="none" w:sz="0" w:space="0" w:color="auto"/>
                    <w:bottom w:val="none" w:sz="0" w:space="0" w:color="auto"/>
                    <w:right w:val="none" w:sz="0" w:space="0" w:color="auto"/>
                  </w:divBdr>
                </w:div>
                <w:div w:id="1514371034">
                  <w:marLeft w:val="0"/>
                  <w:marRight w:val="0"/>
                  <w:marTop w:val="0"/>
                  <w:marBottom w:val="0"/>
                  <w:divBdr>
                    <w:top w:val="none" w:sz="0" w:space="0" w:color="auto"/>
                    <w:left w:val="none" w:sz="0" w:space="0" w:color="auto"/>
                    <w:bottom w:val="none" w:sz="0" w:space="0" w:color="auto"/>
                    <w:right w:val="none" w:sz="0" w:space="0" w:color="auto"/>
                  </w:divBdr>
                </w:div>
                <w:div w:id="105780670">
                  <w:marLeft w:val="0"/>
                  <w:marRight w:val="0"/>
                  <w:marTop w:val="0"/>
                  <w:marBottom w:val="0"/>
                  <w:divBdr>
                    <w:top w:val="none" w:sz="0" w:space="0" w:color="auto"/>
                    <w:left w:val="none" w:sz="0" w:space="0" w:color="auto"/>
                    <w:bottom w:val="none" w:sz="0" w:space="0" w:color="auto"/>
                    <w:right w:val="none" w:sz="0" w:space="0" w:color="auto"/>
                  </w:divBdr>
                </w:div>
              </w:divsChild>
            </w:div>
            <w:div w:id="144056565">
              <w:marLeft w:val="0"/>
              <w:marRight w:val="0"/>
              <w:marTop w:val="0"/>
              <w:marBottom w:val="0"/>
              <w:divBdr>
                <w:top w:val="none" w:sz="0" w:space="0" w:color="auto"/>
                <w:left w:val="none" w:sz="0" w:space="0" w:color="auto"/>
                <w:bottom w:val="none" w:sz="0" w:space="0" w:color="auto"/>
                <w:right w:val="none" w:sz="0" w:space="0" w:color="auto"/>
              </w:divBdr>
              <w:divsChild>
                <w:div w:id="1166434606">
                  <w:marLeft w:val="0"/>
                  <w:marRight w:val="0"/>
                  <w:marTop w:val="0"/>
                  <w:marBottom w:val="0"/>
                  <w:divBdr>
                    <w:top w:val="none" w:sz="0" w:space="0" w:color="auto"/>
                    <w:left w:val="none" w:sz="0" w:space="0" w:color="auto"/>
                    <w:bottom w:val="none" w:sz="0" w:space="0" w:color="auto"/>
                    <w:right w:val="none" w:sz="0" w:space="0" w:color="auto"/>
                  </w:divBdr>
                </w:div>
                <w:div w:id="1270232851">
                  <w:marLeft w:val="0"/>
                  <w:marRight w:val="0"/>
                  <w:marTop w:val="0"/>
                  <w:marBottom w:val="0"/>
                  <w:divBdr>
                    <w:top w:val="none" w:sz="0" w:space="0" w:color="auto"/>
                    <w:left w:val="none" w:sz="0" w:space="0" w:color="auto"/>
                    <w:bottom w:val="none" w:sz="0" w:space="0" w:color="auto"/>
                    <w:right w:val="none" w:sz="0" w:space="0" w:color="auto"/>
                  </w:divBdr>
                </w:div>
                <w:div w:id="2069449056">
                  <w:marLeft w:val="0"/>
                  <w:marRight w:val="0"/>
                  <w:marTop w:val="0"/>
                  <w:marBottom w:val="0"/>
                  <w:divBdr>
                    <w:top w:val="none" w:sz="0" w:space="0" w:color="auto"/>
                    <w:left w:val="none" w:sz="0" w:space="0" w:color="auto"/>
                    <w:bottom w:val="none" w:sz="0" w:space="0" w:color="auto"/>
                    <w:right w:val="none" w:sz="0" w:space="0" w:color="auto"/>
                  </w:divBdr>
                </w:div>
                <w:div w:id="87972259">
                  <w:marLeft w:val="0"/>
                  <w:marRight w:val="0"/>
                  <w:marTop w:val="0"/>
                  <w:marBottom w:val="0"/>
                  <w:divBdr>
                    <w:top w:val="none" w:sz="0" w:space="0" w:color="auto"/>
                    <w:left w:val="none" w:sz="0" w:space="0" w:color="auto"/>
                    <w:bottom w:val="none" w:sz="0" w:space="0" w:color="auto"/>
                    <w:right w:val="none" w:sz="0" w:space="0" w:color="auto"/>
                  </w:divBdr>
                </w:div>
                <w:div w:id="1577666348">
                  <w:marLeft w:val="0"/>
                  <w:marRight w:val="0"/>
                  <w:marTop w:val="0"/>
                  <w:marBottom w:val="0"/>
                  <w:divBdr>
                    <w:top w:val="none" w:sz="0" w:space="0" w:color="auto"/>
                    <w:left w:val="none" w:sz="0" w:space="0" w:color="auto"/>
                    <w:bottom w:val="none" w:sz="0" w:space="0" w:color="auto"/>
                    <w:right w:val="none" w:sz="0" w:space="0" w:color="auto"/>
                  </w:divBdr>
                </w:div>
                <w:div w:id="2001083620">
                  <w:marLeft w:val="0"/>
                  <w:marRight w:val="0"/>
                  <w:marTop w:val="0"/>
                  <w:marBottom w:val="0"/>
                  <w:divBdr>
                    <w:top w:val="none" w:sz="0" w:space="0" w:color="auto"/>
                    <w:left w:val="none" w:sz="0" w:space="0" w:color="auto"/>
                    <w:bottom w:val="none" w:sz="0" w:space="0" w:color="auto"/>
                    <w:right w:val="none" w:sz="0" w:space="0" w:color="auto"/>
                  </w:divBdr>
                </w:div>
                <w:div w:id="1915627249">
                  <w:marLeft w:val="0"/>
                  <w:marRight w:val="0"/>
                  <w:marTop w:val="0"/>
                  <w:marBottom w:val="0"/>
                  <w:divBdr>
                    <w:top w:val="none" w:sz="0" w:space="0" w:color="auto"/>
                    <w:left w:val="none" w:sz="0" w:space="0" w:color="auto"/>
                    <w:bottom w:val="none" w:sz="0" w:space="0" w:color="auto"/>
                    <w:right w:val="none" w:sz="0" w:space="0" w:color="auto"/>
                  </w:divBdr>
                </w:div>
                <w:div w:id="1909876043">
                  <w:marLeft w:val="0"/>
                  <w:marRight w:val="0"/>
                  <w:marTop w:val="0"/>
                  <w:marBottom w:val="0"/>
                  <w:divBdr>
                    <w:top w:val="none" w:sz="0" w:space="0" w:color="auto"/>
                    <w:left w:val="none" w:sz="0" w:space="0" w:color="auto"/>
                    <w:bottom w:val="none" w:sz="0" w:space="0" w:color="auto"/>
                    <w:right w:val="none" w:sz="0" w:space="0" w:color="auto"/>
                  </w:divBdr>
                </w:div>
                <w:div w:id="186139889">
                  <w:marLeft w:val="0"/>
                  <w:marRight w:val="0"/>
                  <w:marTop w:val="0"/>
                  <w:marBottom w:val="0"/>
                  <w:divBdr>
                    <w:top w:val="none" w:sz="0" w:space="0" w:color="auto"/>
                    <w:left w:val="none" w:sz="0" w:space="0" w:color="auto"/>
                    <w:bottom w:val="none" w:sz="0" w:space="0" w:color="auto"/>
                    <w:right w:val="none" w:sz="0" w:space="0" w:color="auto"/>
                  </w:divBdr>
                </w:div>
                <w:div w:id="2039088182">
                  <w:marLeft w:val="0"/>
                  <w:marRight w:val="0"/>
                  <w:marTop w:val="0"/>
                  <w:marBottom w:val="0"/>
                  <w:divBdr>
                    <w:top w:val="none" w:sz="0" w:space="0" w:color="auto"/>
                    <w:left w:val="none" w:sz="0" w:space="0" w:color="auto"/>
                    <w:bottom w:val="none" w:sz="0" w:space="0" w:color="auto"/>
                    <w:right w:val="none" w:sz="0" w:space="0" w:color="auto"/>
                  </w:divBdr>
                </w:div>
              </w:divsChild>
            </w:div>
            <w:div w:id="1023941152">
              <w:marLeft w:val="0"/>
              <w:marRight w:val="0"/>
              <w:marTop w:val="0"/>
              <w:marBottom w:val="0"/>
              <w:divBdr>
                <w:top w:val="none" w:sz="0" w:space="0" w:color="auto"/>
                <w:left w:val="none" w:sz="0" w:space="0" w:color="auto"/>
                <w:bottom w:val="none" w:sz="0" w:space="0" w:color="auto"/>
                <w:right w:val="none" w:sz="0" w:space="0" w:color="auto"/>
              </w:divBdr>
              <w:divsChild>
                <w:div w:id="1855224101">
                  <w:marLeft w:val="0"/>
                  <w:marRight w:val="0"/>
                  <w:marTop w:val="0"/>
                  <w:marBottom w:val="0"/>
                  <w:divBdr>
                    <w:top w:val="none" w:sz="0" w:space="0" w:color="auto"/>
                    <w:left w:val="none" w:sz="0" w:space="0" w:color="auto"/>
                    <w:bottom w:val="none" w:sz="0" w:space="0" w:color="auto"/>
                    <w:right w:val="none" w:sz="0" w:space="0" w:color="auto"/>
                  </w:divBdr>
                </w:div>
              </w:divsChild>
            </w:div>
            <w:div w:id="1528955058">
              <w:marLeft w:val="0"/>
              <w:marRight w:val="0"/>
              <w:marTop w:val="0"/>
              <w:marBottom w:val="0"/>
              <w:divBdr>
                <w:top w:val="none" w:sz="0" w:space="0" w:color="auto"/>
                <w:left w:val="none" w:sz="0" w:space="0" w:color="auto"/>
                <w:bottom w:val="none" w:sz="0" w:space="0" w:color="auto"/>
                <w:right w:val="none" w:sz="0" w:space="0" w:color="auto"/>
              </w:divBdr>
              <w:divsChild>
                <w:div w:id="1574659411">
                  <w:marLeft w:val="0"/>
                  <w:marRight w:val="0"/>
                  <w:marTop w:val="0"/>
                  <w:marBottom w:val="0"/>
                  <w:divBdr>
                    <w:top w:val="none" w:sz="0" w:space="0" w:color="auto"/>
                    <w:left w:val="none" w:sz="0" w:space="0" w:color="auto"/>
                    <w:bottom w:val="none" w:sz="0" w:space="0" w:color="auto"/>
                    <w:right w:val="none" w:sz="0" w:space="0" w:color="auto"/>
                  </w:divBdr>
                </w:div>
                <w:div w:id="1281179128">
                  <w:marLeft w:val="0"/>
                  <w:marRight w:val="0"/>
                  <w:marTop w:val="0"/>
                  <w:marBottom w:val="0"/>
                  <w:divBdr>
                    <w:top w:val="none" w:sz="0" w:space="0" w:color="auto"/>
                    <w:left w:val="none" w:sz="0" w:space="0" w:color="auto"/>
                    <w:bottom w:val="none" w:sz="0" w:space="0" w:color="auto"/>
                    <w:right w:val="none" w:sz="0" w:space="0" w:color="auto"/>
                  </w:divBdr>
                </w:div>
              </w:divsChild>
            </w:div>
            <w:div w:id="1033846304">
              <w:marLeft w:val="0"/>
              <w:marRight w:val="0"/>
              <w:marTop w:val="0"/>
              <w:marBottom w:val="0"/>
              <w:divBdr>
                <w:top w:val="none" w:sz="0" w:space="0" w:color="auto"/>
                <w:left w:val="none" w:sz="0" w:space="0" w:color="auto"/>
                <w:bottom w:val="none" w:sz="0" w:space="0" w:color="auto"/>
                <w:right w:val="none" w:sz="0" w:space="0" w:color="auto"/>
              </w:divBdr>
              <w:divsChild>
                <w:div w:id="787772929">
                  <w:marLeft w:val="0"/>
                  <w:marRight w:val="0"/>
                  <w:marTop w:val="0"/>
                  <w:marBottom w:val="0"/>
                  <w:divBdr>
                    <w:top w:val="none" w:sz="0" w:space="0" w:color="auto"/>
                    <w:left w:val="none" w:sz="0" w:space="0" w:color="auto"/>
                    <w:bottom w:val="none" w:sz="0" w:space="0" w:color="auto"/>
                    <w:right w:val="none" w:sz="0" w:space="0" w:color="auto"/>
                  </w:divBdr>
                </w:div>
                <w:div w:id="950630934">
                  <w:marLeft w:val="0"/>
                  <w:marRight w:val="0"/>
                  <w:marTop w:val="0"/>
                  <w:marBottom w:val="0"/>
                  <w:divBdr>
                    <w:top w:val="none" w:sz="0" w:space="0" w:color="auto"/>
                    <w:left w:val="none" w:sz="0" w:space="0" w:color="auto"/>
                    <w:bottom w:val="none" w:sz="0" w:space="0" w:color="auto"/>
                    <w:right w:val="none" w:sz="0" w:space="0" w:color="auto"/>
                  </w:divBdr>
                </w:div>
              </w:divsChild>
            </w:div>
            <w:div w:id="1972243620">
              <w:marLeft w:val="0"/>
              <w:marRight w:val="0"/>
              <w:marTop w:val="0"/>
              <w:marBottom w:val="0"/>
              <w:divBdr>
                <w:top w:val="none" w:sz="0" w:space="0" w:color="auto"/>
                <w:left w:val="none" w:sz="0" w:space="0" w:color="auto"/>
                <w:bottom w:val="none" w:sz="0" w:space="0" w:color="auto"/>
                <w:right w:val="none" w:sz="0" w:space="0" w:color="auto"/>
              </w:divBdr>
              <w:divsChild>
                <w:div w:id="1757360519">
                  <w:marLeft w:val="0"/>
                  <w:marRight w:val="0"/>
                  <w:marTop w:val="0"/>
                  <w:marBottom w:val="0"/>
                  <w:divBdr>
                    <w:top w:val="none" w:sz="0" w:space="0" w:color="auto"/>
                    <w:left w:val="none" w:sz="0" w:space="0" w:color="auto"/>
                    <w:bottom w:val="none" w:sz="0" w:space="0" w:color="auto"/>
                    <w:right w:val="none" w:sz="0" w:space="0" w:color="auto"/>
                  </w:divBdr>
                </w:div>
                <w:div w:id="2480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5215">
      <w:bodyDiv w:val="1"/>
      <w:marLeft w:val="0"/>
      <w:marRight w:val="0"/>
      <w:marTop w:val="0"/>
      <w:marBottom w:val="0"/>
      <w:divBdr>
        <w:top w:val="none" w:sz="0" w:space="0" w:color="auto"/>
        <w:left w:val="none" w:sz="0" w:space="0" w:color="auto"/>
        <w:bottom w:val="none" w:sz="0" w:space="0" w:color="auto"/>
        <w:right w:val="none" w:sz="0" w:space="0" w:color="auto"/>
      </w:divBdr>
    </w:div>
    <w:div w:id="1321155187">
      <w:bodyDiv w:val="1"/>
      <w:marLeft w:val="0"/>
      <w:marRight w:val="0"/>
      <w:marTop w:val="0"/>
      <w:marBottom w:val="0"/>
      <w:divBdr>
        <w:top w:val="none" w:sz="0" w:space="0" w:color="auto"/>
        <w:left w:val="none" w:sz="0" w:space="0" w:color="auto"/>
        <w:bottom w:val="none" w:sz="0" w:space="0" w:color="auto"/>
        <w:right w:val="none" w:sz="0" w:space="0" w:color="auto"/>
      </w:divBdr>
    </w:div>
    <w:div w:id="1328826604">
      <w:bodyDiv w:val="1"/>
      <w:marLeft w:val="0"/>
      <w:marRight w:val="0"/>
      <w:marTop w:val="0"/>
      <w:marBottom w:val="0"/>
      <w:divBdr>
        <w:top w:val="none" w:sz="0" w:space="0" w:color="auto"/>
        <w:left w:val="none" w:sz="0" w:space="0" w:color="auto"/>
        <w:bottom w:val="none" w:sz="0" w:space="0" w:color="auto"/>
        <w:right w:val="none" w:sz="0" w:space="0" w:color="auto"/>
      </w:divBdr>
    </w:div>
    <w:div w:id="1339842450">
      <w:bodyDiv w:val="1"/>
      <w:marLeft w:val="0"/>
      <w:marRight w:val="0"/>
      <w:marTop w:val="0"/>
      <w:marBottom w:val="0"/>
      <w:divBdr>
        <w:top w:val="none" w:sz="0" w:space="0" w:color="auto"/>
        <w:left w:val="none" w:sz="0" w:space="0" w:color="auto"/>
        <w:bottom w:val="none" w:sz="0" w:space="0" w:color="auto"/>
        <w:right w:val="none" w:sz="0" w:space="0" w:color="auto"/>
      </w:divBdr>
    </w:div>
    <w:div w:id="1389919581">
      <w:bodyDiv w:val="1"/>
      <w:marLeft w:val="0"/>
      <w:marRight w:val="0"/>
      <w:marTop w:val="0"/>
      <w:marBottom w:val="0"/>
      <w:divBdr>
        <w:top w:val="none" w:sz="0" w:space="0" w:color="auto"/>
        <w:left w:val="none" w:sz="0" w:space="0" w:color="auto"/>
        <w:bottom w:val="none" w:sz="0" w:space="0" w:color="auto"/>
        <w:right w:val="none" w:sz="0" w:space="0" w:color="auto"/>
      </w:divBdr>
    </w:div>
    <w:div w:id="1449426118">
      <w:bodyDiv w:val="1"/>
      <w:marLeft w:val="0"/>
      <w:marRight w:val="0"/>
      <w:marTop w:val="0"/>
      <w:marBottom w:val="0"/>
      <w:divBdr>
        <w:top w:val="none" w:sz="0" w:space="0" w:color="auto"/>
        <w:left w:val="none" w:sz="0" w:space="0" w:color="auto"/>
        <w:bottom w:val="none" w:sz="0" w:space="0" w:color="auto"/>
        <w:right w:val="none" w:sz="0" w:space="0" w:color="auto"/>
      </w:divBdr>
    </w:div>
    <w:div w:id="1519856876">
      <w:bodyDiv w:val="1"/>
      <w:marLeft w:val="0"/>
      <w:marRight w:val="0"/>
      <w:marTop w:val="0"/>
      <w:marBottom w:val="0"/>
      <w:divBdr>
        <w:top w:val="none" w:sz="0" w:space="0" w:color="auto"/>
        <w:left w:val="none" w:sz="0" w:space="0" w:color="auto"/>
        <w:bottom w:val="none" w:sz="0" w:space="0" w:color="auto"/>
        <w:right w:val="none" w:sz="0" w:space="0" w:color="auto"/>
      </w:divBdr>
    </w:div>
    <w:div w:id="1527448480">
      <w:bodyDiv w:val="1"/>
      <w:marLeft w:val="0"/>
      <w:marRight w:val="0"/>
      <w:marTop w:val="0"/>
      <w:marBottom w:val="0"/>
      <w:divBdr>
        <w:top w:val="none" w:sz="0" w:space="0" w:color="auto"/>
        <w:left w:val="none" w:sz="0" w:space="0" w:color="auto"/>
        <w:bottom w:val="none" w:sz="0" w:space="0" w:color="auto"/>
        <w:right w:val="none" w:sz="0" w:space="0" w:color="auto"/>
      </w:divBdr>
    </w:div>
    <w:div w:id="1581334667">
      <w:bodyDiv w:val="1"/>
      <w:marLeft w:val="0"/>
      <w:marRight w:val="0"/>
      <w:marTop w:val="0"/>
      <w:marBottom w:val="0"/>
      <w:divBdr>
        <w:top w:val="none" w:sz="0" w:space="0" w:color="auto"/>
        <w:left w:val="none" w:sz="0" w:space="0" w:color="auto"/>
        <w:bottom w:val="none" w:sz="0" w:space="0" w:color="auto"/>
        <w:right w:val="none" w:sz="0" w:space="0" w:color="auto"/>
      </w:divBdr>
    </w:div>
    <w:div w:id="1664117125">
      <w:bodyDiv w:val="1"/>
      <w:marLeft w:val="0"/>
      <w:marRight w:val="0"/>
      <w:marTop w:val="0"/>
      <w:marBottom w:val="0"/>
      <w:divBdr>
        <w:top w:val="none" w:sz="0" w:space="0" w:color="auto"/>
        <w:left w:val="none" w:sz="0" w:space="0" w:color="auto"/>
        <w:bottom w:val="none" w:sz="0" w:space="0" w:color="auto"/>
        <w:right w:val="none" w:sz="0" w:space="0" w:color="auto"/>
      </w:divBdr>
    </w:div>
    <w:div w:id="1674606735">
      <w:bodyDiv w:val="1"/>
      <w:marLeft w:val="0"/>
      <w:marRight w:val="0"/>
      <w:marTop w:val="0"/>
      <w:marBottom w:val="0"/>
      <w:divBdr>
        <w:top w:val="none" w:sz="0" w:space="0" w:color="auto"/>
        <w:left w:val="none" w:sz="0" w:space="0" w:color="auto"/>
        <w:bottom w:val="none" w:sz="0" w:space="0" w:color="auto"/>
        <w:right w:val="none" w:sz="0" w:space="0" w:color="auto"/>
      </w:divBdr>
    </w:div>
    <w:div w:id="1706327019">
      <w:bodyDiv w:val="1"/>
      <w:marLeft w:val="0"/>
      <w:marRight w:val="0"/>
      <w:marTop w:val="0"/>
      <w:marBottom w:val="0"/>
      <w:divBdr>
        <w:top w:val="none" w:sz="0" w:space="0" w:color="auto"/>
        <w:left w:val="none" w:sz="0" w:space="0" w:color="auto"/>
        <w:bottom w:val="none" w:sz="0" w:space="0" w:color="auto"/>
        <w:right w:val="none" w:sz="0" w:space="0" w:color="auto"/>
      </w:divBdr>
    </w:div>
    <w:div w:id="1731339157">
      <w:bodyDiv w:val="1"/>
      <w:marLeft w:val="0"/>
      <w:marRight w:val="0"/>
      <w:marTop w:val="0"/>
      <w:marBottom w:val="0"/>
      <w:divBdr>
        <w:top w:val="none" w:sz="0" w:space="0" w:color="auto"/>
        <w:left w:val="none" w:sz="0" w:space="0" w:color="auto"/>
        <w:bottom w:val="none" w:sz="0" w:space="0" w:color="auto"/>
        <w:right w:val="none" w:sz="0" w:space="0" w:color="auto"/>
      </w:divBdr>
    </w:div>
    <w:div w:id="1790784520">
      <w:bodyDiv w:val="1"/>
      <w:marLeft w:val="0"/>
      <w:marRight w:val="0"/>
      <w:marTop w:val="0"/>
      <w:marBottom w:val="0"/>
      <w:divBdr>
        <w:top w:val="none" w:sz="0" w:space="0" w:color="auto"/>
        <w:left w:val="none" w:sz="0" w:space="0" w:color="auto"/>
        <w:bottom w:val="none" w:sz="0" w:space="0" w:color="auto"/>
        <w:right w:val="none" w:sz="0" w:space="0" w:color="auto"/>
      </w:divBdr>
    </w:div>
    <w:div w:id="1820418748">
      <w:bodyDiv w:val="1"/>
      <w:marLeft w:val="0"/>
      <w:marRight w:val="0"/>
      <w:marTop w:val="0"/>
      <w:marBottom w:val="0"/>
      <w:divBdr>
        <w:top w:val="none" w:sz="0" w:space="0" w:color="auto"/>
        <w:left w:val="none" w:sz="0" w:space="0" w:color="auto"/>
        <w:bottom w:val="none" w:sz="0" w:space="0" w:color="auto"/>
        <w:right w:val="none" w:sz="0" w:space="0" w:color="auto"/>
      </w:divBdr>
    </w:div>
    <w:div w:id="1889683079">
      <w:bodyDiv w:val="1"/>
      <w:marLeft w:val="0"/>
      <w:marRight w:val="0"/>
      <w:marTop w:val="0"/>
      <w:marBottom w:val="0"/>
      <w:divBdr>
        <w:top w:val="none" w:sz="0" w:space="0" w:color="auto"/>
        <w:left w:val="none" w:sz="0" w:space="0" w:color="auto"/>
        <w:bottom w:val="none" w:sz="0" w:space="0" w:color="auto"/>
        <w:right w:val="none" w:sz="0" w:space="0" w:color="auto"/>
      </w:divBdr>
    </w:div>
    <w:div w:id="1919821764">
      <w:bodyDiv w:val="1"/>
      <w:marLeft w:val="0"/>
      <w:marRight w:val="0"/>
      <w:marTop w:val="0"/>
      <w:marBottom w:val="0"/>
      <w:divBdr>
        <w:top w:val="none" w:sz="0" w:space="0" w:color="auto"/>
        <w:left w:val="none" w:sz="0" w:space="0" w:color="auto"/>
        <w:bottom w:val="none" w:sz="0" w:space="0" w:color="auto"/>
        <w:right w:val="none" w:sz="0" w:space="0" w:color="auto"/>
      </w:divBdr>
    </w:div>
    <w:div w:id="1952084527">
      <w:bodyDiv w:val="1"/>
      <w:marLeft w:val="0"/>
      <w:marRight w:val="0"/>
      <w:marTop w:val="0"/>
      <w:marBottom w:val="0"/>
      <w:divBdr>
        <w:top w:val="none" w:sz="0" w:space="0" w:color="auto"/>
        <w:left w:val="none" w:sz="0" w:space="0" w:color="auto"/>
        <w:bottom w:val="none" w:sz="0" w:space="0" w:color="auto"/>
        <w:right w:val="none" w:sz="0" w:space="0" w:color="auto"/>
      </w:divBdr>
    </w:div>
    <w:div w:id="2001080818">
      <w:bodyDiv w:val="1"/>
      <w:marLeft w:val="0"/>
      <w:marRight w:val="0"/>
      <w:marTop w:val="0"/>
      <w:marBottom w:val="0"/>
      <w:divBdr>
        <w:top w:val="none" w:sz="0" w:space="0" w:color="auto"/>
        <w:left w:val="none" w:sz="0" w:space="0" w:color="auto"/>
        <w:bottom w:val="none" w:sz="0" w:space="0" w:color="auto"/>
        <w:right w:val="none" w:sz="0" w:space="0" w:color="auto"/>
      </w:divBdr>
    </w:div>
    <w:div w:id="2004895684">
      <w:bodyDiv w:val="1"/>
      <w:marLeft w:val="0"/>
      <w:marRight w:val="0"/>
      <w:marTop w:val="0"/>
      <w:marBottom w:val="0"/>
      <w:divBdr>
        <w:top w:val="none" w:sz="0" w:space="0" w:color="auto"/>
        <w:left w:val="none" w:sz="0" w:space="0" w:color="auto"/>
        <w:bottom w:val="none" w:sz="0" w:space="0" w:color="auto"/>
        <w:right w:val="none" w:sz="0" w:space="0" w:color="auto"/>
      </w:divBdr>
    </w:div>
    <w:div w:id="2043363138">
      <w:bodyDiv w:val="1"/>
      <w:marLeft w:val="0"/>
      <w:marRight w:val="0"/>
      <w:marTop w:val="0"/>
      <w:marBottom w:val="0"/>
      <w:divBdr>
        <w:top w:val="none" w:sz="0" w:space="0" w:color="auto"/>
        <w:left w:val="none" w:sz="0" w:space="0" w:color="auto"/>
        <w:bottom w:val="none" w:sz="0" w:space="0" w:color="auto"/>
        <w:right w:val="none" w:sz="0" w:space="0" w:color="auto"/>
      </w:divBdr>
    </w:div>
    <w:div w:id="20579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7728</Words>
  <Characters>45199</Characters>
  <Application>Microsoft Office Word</Application>
  <DocSecurity>0</DocSecurity>
  <Lines>1762</Lines>
  <Paragraphs>743</Paragraphs>
  <ScaleCrop>false</ScaleCrop>
  <HeadingPairs>
    <vt:vector size="2" baseType="variant">
      <vt:variant>
        <vt:lpstr>Title</vt:lpstr>
      </vt:variant>
      <vt:variant>
        <vt:i4>1</vt:i4>
      </vt:variant>
    </vt:vector>
  </HeadingPairs>
  <TitlesOfParts>
    <vt:vector size="1" baseType="lpstr">
      <vt:lpstr>National Agreement on Social Housing and Homelessness</vt:lpstr>
    </vt:vector>
  </TitlesOfParts>
  <Company/>
  <LinksUpToDate>false</LinksUpToDate>
  <CharactersWithSpaces>52572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Agreement on Social Housing and Homelessness</dc:title>
  <dc:subject/>
  <dc:creator/>
  <cp:keywords/>
  <dc:description/>
  <cp:lastModifiedBy/>
  <cp:revision>1</cp:revision>
  <dcterms:created xsi:type="dcterms:W3CDTF">2024-06-28T06:42:00Z</dcterms:created>
  <dcterms:modified xsi:type="dcterms:W3CDTF">2024-06-28T06:43:00Z</dcterms:modified>
  <cp:category/>
</cp:coreProperties>
</file>