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AA118" w14:textId="77777777" w:rsidR="00C91B5F" w:rsidRPr="00F1227F" w:rsidRDefault="00317FB3" w:rsidP="00C91B5F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3C62FBEC" w14:textId="77777777" w:rsidR="00C91B5F" w:rsidRPr="001E20F4" w:rsidRDefault="00CD0B39" w:rsidP="00C91B5F">
      <w:pPr>
        <w:pStyle w:val="Title"/>
      </w:pPr>
      <w:r>
        <w:t xml:space="preserve">Central Australia </w:t>
      </w:r>
      <w:r w:rsidR="00F954F7">
        <w:t>Plan</w:t>
      </w:r>
      <w:r w:rsidR="00487E19">
        <w:t xml:space="preserve">: </w:t>
      </w:r>
      <w:r>
        <w:t>Community Infrastructure P</w:t>
      </w:r>
      <w:r w:rsidR="00F954F7">
        <w:t>ackage</w:t>
      </w:r>
    </w:p>
    <w:p w14:paraId="3C675D48" w14:textId="77777777" w:rsidR="00C91B5F" w:rsidRPr="00BE249A" w:rsidRDefault="00D54783" w:rsidP="00C91B5F">
      <w:pPr>
        <w:pStyle w:val="Subtitle"/>
      </w:pPr>
      <w:r>
        <w:t xml:space="preserve">FEDERATION FUNDING AGREEMENT – </w:t>
      </w:r>
      <w:r w:rsidR="00CB2ED7">
        <w:t>INFRASTRUCTURE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C91B5F" w:rsidRPr="00F00A18" w14:paraId="165052DA" w14:textId="77777777" w:rsidTr="10EE0AA5">
        <w:tc>
          <w:tcPr>
            <w:tcW w:w="9629" w:type="dxa"/>
            <w:gridSpan w:val="2"/>
            <w:shd w:val="clear" w:color="auto" w:fill="DEEAF6" w:themeFill="accent1" w:themeFillTint="33"/>
          </w:tcPr>
          <w:p w14:paraId="6472771C" w14:textId="77777777" w:rsidR="00C91B5F" w:rsidRPr="00F00A18" w:rsidRDefault="00C91B5F" w:rsidP="007D1AB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1: Formalities and operation of schedule</w:t>
            </w:r>
          </w:p>
        </w:tc>
      </w:tr>
      <w:tr w:rsidR="00C91B5F" w:rsidRPr="00C64417" w14:paraId="65956972" w14:textId="77777777" w:rsidTr="10EE0AA5">
        <w:tc>
          <w:tcPr>
            <w:tcW w:w="1691" w:type="dxa"/>
            <w:shd w:val="clear" w:color="auto" w:fill="auto"/>
          </w:tcPr>
          <w:p w14:paraId="22873B55" w14:textId="77777777" w:rsidR="00C91B5F" w:rsidRPr="00C64417" w:rsidRDefault="00C91B5F" w:rsidP="007D1AB3">
            <w:pPr>
              <w:pStyle w:val="Tableformat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Parties</w:t>
            </w:r>
          </w:p>
        </w:tc>
        <w:tc>
          <w:tcPr>
            <w:tcW w:w="7938" w:type="dxa"/>
            <w:shd w:val="clear" w:color="auto" w:fill="auto"/>
          </w:tcPr>
          <w:p w14:paraId="38FBDFF4" w14:textId="77777777" w:rsidR="00C91B5F" w:rsidRPr="00C64417" w:rsidRDefault="00C91B5F" w:rsidP="002E221C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Commonwealth</w:t>
            </w:r>
          </w:p>
          <w:p w14:paraId="31CB76B2" w14:textId="77777777" w:rsidR="00C91B5F" w:rsidRPr="00C64417" w:rsidRDefault="00CD0B39" w:rsidP="002E221C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Northern Territory</w:t>
            </w:r>
          </w:p>
        </w:tc>
      </w:tr>
      <w:tr w:rsidR="00C91B5F" w:rsidRPr="00C64417" w14:paraId="449CA781" w14:textId="77777777" w:rsidTr="10EE0AA5">
        <w:tc>
          <w:tcPr>
            <w:tcW w:w="1691" w:type="dxa"/>
            <w:shd w:val="clear" w:color="auto" w:fill="auto"/>
          </w:tcPr>
          <w:p w14:paraId="2FFB3200" w14:textId="77777777" w:rsidR="00C91B5F" w:rsidRPr="00C64417" w:rsidRDefault="00C91B5F" w:rsidP="007D1AB3">
            <w:pPr>
              <w:pStyle w:val="Tableformat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Duration</w:t>
            </w:r>
          </w:p>
        </w:tc>
        <w:tc>
          <w:tcPr>
            <w:tcW w:w="7938" w:type="dxa"/>
            <w:shd w:val="clear" w:color="auto" w:fill="auto"/>
          </w:tcPr>
          <w:p w14:paraId="52B9FFF1" w14:textId="77777777" w:rsidR="00C91B5F" w:rsidRPr="00C64417" w:rsidRDefault="00C91B5F" w:rsidP="10EE0AA5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10EE0AA5">
              <w:rPr>
                <w:color w:val="auto"/>
                <w:sz w:val="24"/>
                <w:szCs w:val="24"/>
              </w:rPr>
              <w:t xml:space="preserve">This Schedule is expected to expire on </w:t>
            </w:r>
            <w:r w:rsidR="003B41AF" w:rsidRPr="10EE0AA5">
              <w:rPr>
                <w:color w:val="auto"/>
                <w:sz w:val="24"/>
                <w:szCs w:val="24"/>
              </w:rPr>
              <w:t>31 December 2027</w:t>
            </w:r>
            <w:r w:rsidR="00CD0B39" w:rsidRPr="10EE0AA5">
              <w:rPr>
                <w:color w:val="auto"/>
                <w:sz w:val="24"/>
                <w:szCs w:val="24"/>
              </w:rPr>
              <w:t xml:space="preserve"> or when all project deliverables outlined in this Schedule have been completed and acquitted. </w:t>
            </w:r>
          </w:p>
        </w:tc>
      </w:tr>
      <w:tr w:rsidR="00C91B5F" w:rsidRPr="00C64417" w14:paraId="35981036" w14:textId="77777777" w:rsidTr="10EE0AA5">
        <w:tc>
          <w:tcPr>
            <w:tcW w:w="1691" w:type="dxa"/>
            <w:shd w:val="clear" w:color="auto" w:fill="auto"/>
          </w:tcPr>
          <w:p w14:paraId="48D2C95E" w14:textId="77777777" w:rsidR="00C91B5F" w:rsidRPr="00C64417" w:rsidRDefault="00C91B5F" w:rsidP="007D1AB3">
            <w:pPr>
              <w:pStyle w:val="Tableformat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3771330A" w14:textId="417BED10" w:rsidR="00384304" w:rsidRPr="00C64417" w:rsidRDefault="00BF2124" w:rsidP="10EE0AA5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10EE0AA5">
              <w:rPr>
                <w:color w:val="auto"/>
                <w:sz w:val="24"/>
                <w:szCs w:val="24"/>
              </w:rPr>
              <w:t xml:space="preserve">The funding under this Schedule forms part of the </w:t>
            </w:r>
            <w:r w:rsidR="00384304" w:rsidRPr="10EE0AA5">
              <w:rPr>
                <w:color w:val="auto"/>
                <w:sz w:val="24"/>
                <w:szCs w:val="24"/>
              </w:rPr>
              <w:t xml:space="preserve">Australian Government’s </w:t>
            </w:r>
            <w:r w:rsidRPr="10EE0AA5">
              <w:rPr>
                <w:i/>
                <w:color w:val="auto"/>
                <w:sz w:val="24"/>
                <w:szCs w:val="24"/>
              </w:rPr>
              <w:t>A Better, Safer Future for Central Australia plan</w:t>
            </w:r>
            <w:r w:rsidRPr="10EE0AA5">
              <w:rPr>
                <w:color w:val="auto"/>
                <w:sz w:val="24"/>
                <w:szCs w:val="24"/>
              </w:rPr>
              <w:t xml:space="preserve">, specifically the </w:t>
            </w:r>
            <w:r w:rsidR="006F4B6F" w:rsidRPr="10EE0AA5">
              <w:rPr>
                <w:color w:val="auto"/>
                <w:sz w:val="24"/>
                <w:szCs w:val="24"/>
              </w:rPr>
              <w:t>Community Infrastructure Package</w:t>
            </w:r>
            <w:r w:rsidR="00BA3D10" w:rsidRPr="10EE0AA5">
              <w:rPr>
                <w:color w:val="auto"/>
                <w:sz w:val="24"/>
                <w:szCs w:val="24"/>
              </w:rPr>
              <w:t xml:space="preserve"> (the Package)</w:t>
            </w:r>
            <w:r w:rsidR="006F4B6F" w:rsidRPr="10EE0AA5">
              <w:rPr>
                <w:color w:val="auto"/>
                <w:sz w:val="24"/>
                <w:szCs w:val="24"/>
              </w:rPr>
              <w:t xml:space="preserve"> which will support</w:t>
            </w:r>
            <w:r w:rsidR="003B41AF" w:rsidRPr="10EE0AA5">
              <w:rPr>
                <w:color w:val="auto"/>
                <w:sz w:val="24"/>
                <w:szCs w:val="24"/>
              </w:rPr>
              <w:t xml:space="preserve"> the construction of community infrastructure projects that </w:t>
            </w:r>
            <w:r w:rsidR="006F4B6F" w:rsidRPr="10EE0AA5">
              <w:rPr>
                <w:color w:val="auto"/>
                <w:sz w:val="24"/>
                <w:szCs w:val="24"/>
              </w:rPr>
              <w:t>improve regional development, economic, social and cultural outcomes across the Central Australia region</w:t>
            </w:r>
            <w:r w:rsidR="003B41AF" w:rsidRPr="10EE0AA5">
              <w:rPr>
                <w:color w:val="auto"/>
                <w:sz w:val="24"/>
                <w:szCs w:val="24"/>
              </w:rPr>
              <w:t xml:space="preserve">. </w:t>
            </w:r>
          </w:p>
          <w:p w14:paraId="0CBFCFEB" w14:textId="60FFD437" w:rsidR="00704FB9" w:rsidRPr="00C64417" w:rsidRDefault="003B41AF" w:rsidP="10EE0AA5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10EE0AA5">
              <w:rPr>
                <w:color w:val="auto"/>
                <w:sz w:val="24"/>
                <w:szCs w:val="24"/>
              </w:rPr>
              <w:t>The funding will be made available</w:t>
            </w:r>
            <w:r w:rsidR="00384304" w:rsidRPr="10EE0AA5">
              <w:rPr>
                <w:color w:val="auto"/>
                <w:sz w:val="24"/>
                <w:szCs w:val="24"/>
              </w:rPr>
              <w:t xml:space="preserve"> via a</w:t>
            </w:r>
            <w:r w:rsidR="0013354A" w:rsidRPr="10EE0AA5">
              <w:rPr>
                <w:color w:val="auto"/>
                <w:sz w:val="24"/>
                <w:szCs w:val="24"/>
              </w:rPr>
              <w:t xml:space="preserve"> fit-for purpose</w:t>
            </w:r>
            <w:r w:rsidR="00384304" w:rsidRPr="10EE0AA5">
              <w:rPr>
                <w:color w:val="auto"/>
                <w:sz w:val="24"/>
                <w:szCs w:val="24"/>
              </w:rPr>
              <w:t xml:space="preserve"> Northern Territory Government Program</w:t>
            </w:r>
            <w:r w:rsidRPr="10EE0AA5">
              <w:rPr>
                <w:color w:val="auto"/>
                <w:sz w:val="24"/>
                <w:szCs w:val="24"/>
              </w:rPr>
              <w:t xml:space="preserve"> </w:t>
            </w:r>
            <w:r w:rsidR="0013354A" w:rsidRPr="10EE0AA5">
              <w:rPr>
                <w:color w:val="auto"/>
                <w:sz w:val="24"/>
                <w:szCs w:val="24"/>
              </w:rPr>
              <w:t xml:space="preserve">in accordance with appropriate financial oversight and governance arrangements </w:t>
            </w:r>
            <w:r w:rsidRPr="10EE0AA5">
              <w:rPr>
                <w:color w:val="auto"/>
                <w:sz w:val="24"/>
                <w:szCs w:val="24"/>
              </w:rPr>
              <w:t xml:space="preserve">to </w:t>
            </w:r>
            <w:r w:rsidR="00704FB9" w:rsidRPr="10EE0AA5">
              <w:rPr>
                <w:color w:val="auto"/>
                <w:sz w:val="24"/>
                <w:szCs w:val="24"/>
              </w:rPr>
              <w:t>MacDonnell</w:t>
            </w:r>
            <w:r w:rsidR="00A33FF0" w:rsidRPr="10EE0AA5">
              <w:rPr>
                <w:color w:val="auto"/>
                <w:sz w:val="24"/>
                <w:szCs w:val="24"/>
              </w:rPr>
              <w:t xml:space="preserve"> and Central Desert </w:t>
            </w:r>
            <w:r w:rsidR="004E488C">
              <w:rPr>
                <w:color w:val="auto"/>
                <w:sz w:val="24"/>
                <w:szCs w:val="24"/>
              </w:rPr>
              <w:t>R</w:t>
            </w:r>
            <w:r w:rsidR="00704FB9" w:rsidRPr="10EE0AA5">
              <w:rPr>
                <w:color w:val="auto"/>
                <w:sz w:val="24"/>
                <w:szCs w:val="24"/>
              </w:rPr>
              <w:t xml:space="preserve">egional </w:t>
            </w:r>
            <w:r w:rsidR="004E488C">
              <w:rPr>
                <w:color w:val="auto"/>
                <w:sz w:val="24"/>
                <w:szCs w:val="24"/>
              </w:rPr>
              <w:t>C</w:t>
            </w:r>
            <w:r w:rsidR="00704FB9" w:rsidRPr="10EE0AA5">
              <w:rPr>
                <w:color w:val="auto"/>
                <w:sz w:val="24"/>
                <w:szCs w:val="24"/>
              </w:rPr>
              <w:t>ouncil</w:t>
            </w:r>
            <w:r w:rsidR="00A33FF0" w:rsidRPr="10EE0AA5">
              <w:rPr>
                <w:color w:val="auto"/>
                <w:sz w:val="24"/>
                <w:szCs w:val="24"/>
              </w:rPr>
              <w:t>s</w:t>
            </w:r>
            <w:r w:rsidR="00704FB9" w:rsidRPr="10EE0AA5">
              <w:rPr>
                <w:color w:val="auto"/>
                <w:sz w:val="24"/>
                <w:szCs w:val="24"/>
              </w:rPr>
              <w:t xml:space="preserve"> (eligible </w:t>
            </w:r>
            <w:r w:rsidR="00A9177B" w:rsidRPr="00A9177B">
              <w:rPr>
                <w:color w:val="auto"/>
                <w:sz w:val="24"/>
                <w:szCs w:val="24"/>
              </w:rPr>
              <w:t>Regional Councils</w:t>
            </w:r>
            <w:r w:rsidR="00704FB9" w:rsidRPr="10EE0AA5">
              <w:rPr>
                <w:color w:val="auto"/>
                <w:sz w:val="24"/>
                <w:szCs w:val="24"/>
              </w:rPr>
              <w:t>)</w:t>
            </w:r>
            <w:r w:rsidRPr="10EE0AA5">
              <w:rPr>
                <w:color w:val="auto"/>
                <w:sz w:val="24"/>
                <w:szCs w:val="24"/>
              </w:rPr>
              <w:t xml:space="preserve"> to support the construction of</w:t>
            </w:r>
            <w:r w:rsidR="00B47B46" w:rsidRPr="10EE0AA5">
              <w:rPr>
                <w:color w:val="auto"/>
                <w:sz w:val="24"/>
                <w:szCs w:val="24"/>
              </w:rPr>
              <w:t xml:space="preserve"> community infrastructure priorities.</w:t>
            </w:r>
          </w:p>
        </w:tc>
      </w:tr>
      <w:tr w:rsidR="00C91B5F" w:rsidRPr="00C64417" w14:paraId="407DCB97" w14:textId="77777777" w:rsidTr="10EE0AA5">
        <w:trPr>
          <w:trHeight w:val="1256"/>
        </w:trPr>
        <w:tc>
          <w:tcPr>
            <w:tcW w:w="1691" w:type="dxa"/>
            <w:shd w:val="clear" w:color="auto" w:fill="auto"/>
          </w:tcPr>
          <w:p w14:paraId="25B2B70B" w14:textId="77777777" w:rsidR="00C91B5F" w:rsidRPr="00C64417" w:rsidRDefault="00C91B5F" w:rsidP="007D1AB3">
            <w:pPr>
              <w:pStyle w:val="Tableformat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Estimated financial contributions</w:t>
            </w:r>
          </w:p>
        </w:tc>
        <w:tc>
          <w:tcPr>
            <w:tcW w:w="7938" w:type="dxa"/>
            <w:shd w:val="clear" w:color="auto" w:fill="auto"/>
          </w:tcPr>
          <w:p w14:paraId="271153F0" w14:textId="237E3197" w:rsidR="00384304" w:rsidRPr="00C64417" w:rsidRDefault="00C91B5F" w:rsidP="002E221C">
            <w:pPr>
              <w:pStyle w:val="Tableforma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 xml:space="preserve">The Commonwealth will provide an estimated total financial contribution to the </w:t>
            </w:r>
            <w:r w:rsidR="00B93E4F" w:rsidRPr="00C64417">
              <w:rPr>
                <w:color w:val="auto"/>
                <w:sz w:val="24"/>
                <w:szCs w:val="24"/>
              </w:rPr>
              <w:t>Northern Territory</w:t>
            </w:r>
            <w:r w:rsidRPr="00C64417">
              <w:rPr>
                <w:color w:val="auto"/>
                <w:sz w:val="24"/>
                <w:szCs w:val="24"/>
              </w:rPr>
              <w:t xml:space="preserve"> of $</w:t>
            </w:r>
            <w:r w:rsidR="00CD0B39" w:rsidRPr="00C64417">
              <w:rPr>
                <w:color w:val="auto"/>
                <w:sz w:val="24"/>
                <w:szCs w:val="24"/>
              </w:rPr>
              <w:t>50.0</w:t>
            </w:r>
            <w:r w:rsidRPr="00C64417">
              <w:rPr>
                <w:color w:val="auto"/>
                <w:sz w:val="24"/>
                <w:szCs w:val="24"/>
              </w:rPr>
              <w:t xml:space="preserve">m in respect of this </w:t>
            </w:r>
            <w:r w:rsidRPr="00C64417">
              <w:rPr>
                <w:color w:val="000000" w:themeColor="text1"/>
                <w:sz w:val="24"/>
                <w:szCs w:val="24"/>
              </w:rPr>
              <w:t>Schedule.</w:t>
            </w:r>
          </w:p>
          <w:p w14:paraId="5ECDDEB3" w14:textId="463E42AD" w:rsidR="00246E99" w:rsidRPr="00C64417" w:rsidRDefault="00246E99" w:rsidP="10EE0AA5">
            <w:pPr>
              <w:pStyle w:val="Tableforma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noProof/>
                <w:color w:val="000000" w:themeColor="text1"/>
                <w:sz w:val="24"/>
                <w:szCs w:val="24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3318FA9" wp14:editId="5D90C1A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546100</wp:posOffset>
                      </wp:positionV>
                      <wp:extent cx="5133340" cy="1003300"/>
                      <wp:effectExtent l="0" t="0" r="0" b="6350"/>
                      <wp:wrapSquare wrapText="bothSides"/>
                      <wp:docPr id="422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7"/>
                                    <w:gridCol w:w="942"/>
                                    <w:gridCol w:w="943"/>
                                    <w:gridCol w:w="942"/>
                                    <w:gridCol w:w="943"/>
                                    <w:gridCol w:w="943"/>
                                  </w:tblGrid>
                                  <w:tr w:rsidR="00FA2552" w:rsidRPr="00101AB3" w14:paraId="6C9C255B" w14:textId="77777777" w:rsidTr="00A67CA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01F645C" w14:textId="77777777" w:rsidR="00FA2552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1F59E92D" w14:textId="77777777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57532F53" w14:textId="77777777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2023-24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D4B6409" w14:textId="77777777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404981CA" w14:textId="77777777" w:rsidR="00FA2552" w:rsidRPr="005D39DD" w:rsidRDefault="00FA2552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5F04F806" w14:textId="77777777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2026-27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5CABEF9F" w14:textId="77777777" w:rsidR="00FA2552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B1480C0" w14:textId="77777777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FA2552" w:rsidRPr="00101AB3" w14:paraId="471BA3C7" w14:textId="77777777" w:rsidTr="00A67CA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3D520B92" w14:textId="77777777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0F92AF17" w14:textId="27559E65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2.7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0953D109" w14:textId="1AAA4DEE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17.3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F870B47" w14:textId="1FA015C1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2AC887CC" w14:textId="4B9B3C53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A0E7140" w14:textId="77777777" w:rsidR="00FA2552" w:rsidRPr="005D39DD" w:rsidRDefault="00FA2552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50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</w:tr>
                                  <w:tr w:rsidR="00FA2552" w:rsidRPr="00101AB3" w14:paraId="6167629D" w14:textId="77777777" w:rsidTr="00A67CA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0A66E8FB" w14:textId="77777777" w:rsidR="00FA2552" w:rsidRPr="008C6B79" w:rsidRDefault="00FA2552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290496F0" w14:textId="77777777" w:rsidR="00FA2552" w:rsidRPr="005D39DD" w:rsidRDefault="00FA2552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301F400B" w14:textId="77777777" w:rsidR="00FA2552" w:rsidRPr="005D39DD" w:rsidRDefault="00FA2552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39E8AB15" w14:textId="77777777" w:rsidR="00FA2552" w:rsidRPr="005D39DD" w:rsidRDefault="00FA2552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2DF80A3D" w14:textId="77777777" w:rsidR="00FA2552" w:rsidRPr="005D39DD" w:rsidRDefault="00FA2552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FAD9630" w14:textId="77777777" w:rsidR="00FA2552" w:rsidRPr="005D39DD" w:rsidRDefault="00FA2552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63EFD32" w14:textId="77777777" w:rsidR="00FA2552" w:rsidRPr="00101AB3" w:rsidRDefault="00FA2552" w:rsidP="00BA3D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18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2" o:spid="_x0000_s1026" type="#_x0000_t202" style="position:absolute;margin-left:-4.9pt;margin-top:43pt;width:404.2pt;height:7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942"/>
                              <w:gridCol w:w="943"/>
                              <w:gridCol w:w="942"/>
                              <w:gridCol w:w="943"/>
                              <w:gridCol w:w="943"/>
                            </w:tblGrid>
                            <w:tr w:rsidR="00FA2552" w:rsidRPr="00101AB3" w14:paraId="6C9C255B" w14:textId="77777777" w:rsidTr="00A67CAE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01F645C" w14:textId="77777777" w:rsidR="00FA2552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1F59E92D" w14:textId="77777777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57532F53" w14:textId="77777777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2023-24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D4B6409" w14:textId="77777777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404981CA" w14:textId="77777777" w:rsidR="00FA2552" w:rsidRPr="005D39DD" w:rsidRDefault="00FA2552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5F04F806" w14:textId="77777777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2026-27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5CABEF9F" w14:textId="77777777" w:rsidR="00FA2552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B1480C0" w14:textId="77777777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FA2552" w:rsidRPr="00101AB3" w14:paraId="471BA3C7" w14:textId="77777777" w:rsidTr="00A67CAE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3D520B92" w14:textId="77777777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0F92AF17" w14:textId="27559E65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0953D109" w14:textId="1AAA4DEE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17.3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F870B47" w14:textId="1FA015C1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2AC887CC" w14:textId="4B9B3C53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A0E7140" w14:textId="77777777" w:rsidR="00FA2552" w:rsidRPr="005D39DD" w:rsidRDefault="00FA2552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50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FA2552" w:rsidRPr="00101AB3" w14:paraId="6167629D" w14:textId="77777777" w:rsidTr="00A67CAE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0A66E8FB" w14:textId="77777777" w:rsidR="00FA2552" w:rsidRPr="008C6B79" w:rsidRDefault="00FA2552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290496F0" w14:textId="77777777" w:rsidR="00FA2552" w:rsidRPr="005D39DD" w:rsidRDefault="00FA2552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301F400B" w14:textId="77777777" w:rsidR="00FA2552" w:rsidRPr="005D39DD" w:rsidRDefault="00FA2552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39E8AB15" w14:textId="77777777" w:rsidR="00FA2552" w:rsidRPr="005D39DD" w:rsidRDefault="00FA2552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2DF80A3D" w14:textId="77777777" w:rsidR="00FA2552" w:rsidRPr="005D39DD" w:rsidRDefault="00FA2552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FAD9630" w14:textId="77777777" w:rsidR="00FA2552" w:rsidRPr="005D39DD" w:rsidRDefault="00FA2552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3EFD32" w14:textId="77777777" w:rsidR="00FA2552" w:rsidRPr="00101AB3" w:rsidRDefault="00FA2552" w:rsidP="00BA3D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10EE0AA5">
              <w:rPr>
                <w:color w:val="000000" w:themeColor="text1"/>
                <w:sz w:val="24"/>
                <w:szCs w:val="24"/>
              </w:rPr>
              <w:t>Details of the estimated financial contributions by project are set out in Tables 2 and below</w:t>
            </w:r>
            <w:r w:rsidR="0054571A">
              <w:rPr>
                <w:color w:val="000000" w:themeColor="text1"/>
                <w:sz w:val="24"/>
                <w:szCs w:val="24"/>
              </w:rPr>
              <w:t>:</w:t>
            </w:r>
          </w:p>
          <w:p w14:paraId="1AE561EE" w14:textId="77777777" w:rsidR="00303E0D" w:rsidRPr="00C64417" w:rsidRDefault="00303E0D" w:rsidP="002E221C">
            <w:pPr>
              <w:pStyle w:val="Tableforma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The funding will be available in three Tranches:</w:t>
            </w:r>
          </w:p>
          <w:p w14:paraId="6CEAA653" w14:textId="74A61651" w:rsidR="00303E0D" w:rsidRPr="00C64417" w:rsidRDefault="00303E0D" w:rsidP="002E221C">
            <w:pPr>
              <w:pStyle w:val="Tableformat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Tranche 1 (Immediate Projects 2023-24) – </w:t>
            </w:r>
            <w:r w:rsidR="008C226A">
              <w:rPr>
                <w:color w:val="000000" w:themeColor="text1"/>
                <w:sz w:val="24"/>
                <w:szCs w:val="24"/>
              </w:rPr>
              <w:t>up to</w:t>
            </w:r>
            <w:r w:rsidRPr="00C64417">
              <w:rPr>
                <w:color w:val="000000" w:themeColor="text1"/>
                <w:sz w:val="24"/>
                <w:szCs w:val="24"/>
              </w:rPr>
              <w:t xml:space="preserve"> $5.</w:t>
            </w:r>
            <w:r w:rsidR="00F35A71">
              <w:rPr>
                <w:color w:val="000000" w:themeColor="text1"/>
                <w:sz w:val="24"/>
                <w:szCs w:val="24"/>
              </w:rPr>
              <w:t>3</w:t>
            </w:r>
            <w:r w:rsidRPr="00C64417">
              <w:rPr>
                <w:color w:val="000000" w:themeColor="text1"/>
                <w:sz w:val="24"/>
                <w:szCs w:val="24"/>
              </w:rPr>
              <w:t>m;</w:t>
            </w:r>
          </w:p>
          <w:p w14:paraId="00FBA735" w14:textId="4A0492EE" w:rsidR="00303E0D" w:rsidRPr="00C64417" w:rsidRDefault="00303E0D" w:rsidP="002E221C">
            <w:pPr>
              <w:pStyle w:val="Tableformat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Tranche 2 (Medium Term Projects 2024-25 &amp; 2025-26) </w:t>
            </w:r>
            <w:proofErr w:type="gramStart"/>
            <w:r w:rsidRPr="00C6441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9D2EA6">
              <w:rPr>
                <w:color w:val="000000" w:themeColor="text1"/>
                <w:sz w:val="24"/>
                <w:szCs w:val="24"/>
              </w:rPr>
              <w:t xml:space="preserve"> up</w:t>
            </w:r>
            <w:proofErr w:type="gramEnd"/>
            <w:r w:rsidR="009D2EA6">
              <w:rPr>
                <w:color w:val="000000" w:themeColor="text1"/>
                <w:sz w:val="24"/>
                <w:szCs w:val="24"/>
              </w:rPr>
              <w:t xml:space="preserve"> to</w:t>
            </w:r>
            <w:r w:rsidR="009468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4417">
              <w:rPr>
                <w:color w:val="000000" w:themeColor="text1"/>
                <w:sz w:val="24"/>
                <w:szCs w:val="24"/>
              </w:rPr>
              <w:t>$</w:t>
            </w:r>
            <w:r w:rsidR="004E488C">
              <w:rPr>
                <w:color w:val="000000" w:themeColor="text1"/>
                <w:sz w:val="24"/>
                <w:szCs w:val="24"/>
              </w:rPr>
              <w:t>30.0</w:t>
            </w:r>
            <w:r w:rsidRPr="00C64417">
              <w:rPr>
                <w:color w:val="000000" w:themeColor="text1"/>
                <w:sz w:val="24"/>
                <w:szCs w:val="24"/>
              </w:rPr>
              <w:t>m</w:t>
            </w:r>
            <w:r w:rsidR="00021DAB">
              <w:rPr>
                <w:color w:val="000000" w:themeColor="text1"/>
                <w:sz w:val="24"/>
                <w:szCs w:val="24"/>
              </w:rPr>
              <w:t xml:space="preserve"> and any uncommitted funds from </w:t>
            </w:r>
            <w:r w:rsidR="00E56ACB">
              <w:rPr>
                <w:color w:val="000000" w:themeColor="text1"/>
                <w:sz w:val="24"/>
                <w:szCs w:val="24"/>
              </w:rPr>
              <w:t>Tranche 1</w:t>
            </w:r>
            <w:r w:rsidRPr="00C64417">
              <w:rPr>
                <w:color w:val="000000" w:themeColor="text1"/>
                <w:sz w:val="24"/>
                <w:szCs w:val="24"/>
              </w:rPr>
              <w:t>; and</w:t>
            </w:r>
          </w:p>
          <w:p w14:paraId="514A42D7" w14:textId="19A59DAD" w:rsidR="00303E0D" w:rsidRPr="00C64417" w:rsidRDefault="00303E0D" w:rsidP="002E221C">
            <w:pPr>
              <w:pStyle w:val="Tableformat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Tranche 3 (Long Term Projects 2026-27) – </w:t>
            </w:r>
            <w:r w:rsidR="009C34B1">
              <w:rPr>
                <w:color w:val="000000" w:themeColor="text1"/>
                <w:sz w:val="24"/>
                <w:szCs w:val="24"/>
              </w:rPr>
              <w:t>up to</w:t>
            </w:r>
            <w:r w:rsidR="00237AB8" w:rsidRPr="00C644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4417">
              <w:rPr>
                <w:color w:val="000000" w:themeColor="text1"/>
                <w:sz w:val="24"/>
                <w:szCs w:val="24"/>
              </w:rPr>
              <w:t>$</w:t>
            </w:r>
            <w:r w:rsidR="004E488C">
              <w:rPr>
                <w:color w:val="000000" w:themeColor="text1"/>
                <w:sz w:val="24"/>
                <w:szCs w:val="24"/>
              </w:rPr>
              <w:t>14.7</w:t>
            </w:r>
            <w:r w:rsidRPr="00C64417">
              <w:rPr>
                <w:color w:val="000000" w:themeColor="text1"/>
                <w:sz w:val="24"/>
                <w:szCs w:val="24"/>
              </w:rPr>
              <w:t>m and any uncommitted funds from Tranches 1 and 2.</w:t>
            </w:r>
          </w:p>
          <w:p w14:paraId="12401BF9" w14:textId="127C50A5" w:rsidR="004F69CD" w:rsidRPr="008F3B66" w:rsidRDefault="00246E99" w:rsidP="00D43E36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00504377">
              <w:rPr>
                <w:color w:val="000000" w:themeColor="text1"/>
                <w:sz w:val="24"/>
                <w:szCs w:val="24"/>
              </w:rPr>
              <w:t xml:space="preserve">The Commonwealth’s </w:t>
            </w:r>
            <w:r w:rsidRPr="10EE0AA5">
              <w:rPr>
                <w:color w:val="000000" w:themeColor="text1"/>
                <w:sz w:val="24"/>
                <w:szCs w:val="24"/>
              </w:rPr>
              <w:t xml:space="preserve">funding is capped at $50.0 million. </w:t>
            </w:r>
            <w:r w:rsidR="006E52A6" w:rsidRPr="10EE0AA5">
              <w:rPr>
                <w:color w:val="000000" w:themeColor="text1"/>
                <w:sz w:val="24"/>
                <w:szCs w:val="24"/>
              </w:rPr>
              <w:t xml:space="preserve">As such the Commonwealth will not bear the financial risk if the cost of the initiative exceeds the financial contribution as set out in this Schedule. Risk of cost </w:t>
            </w:r>
            <w:r w:rsidR="006E52A6" w:rsidRPr="10EE0AA5">
              <w:rPr>
                <w:color w:val="000000" w:themeColor="text1"/>
                <w:sz w:val="24"/>
                <w:szCs w:val="24"/>
              </w:rPr>
              <w:lastRenderedPageBreak/>
              <w:t>overruns</w:t>
            </w:r>
            <w:r w:rsidR="005E03BF" w:rsidRPr="10EE0AA5">
              <w:t xml:space="preserve"> </w:t>
            </w:r>
            <w:r w:rsidR="005E03BF" w:rsidRPr="10EE0AA5">
              <w:rPr>
                <w:color w:val="000000" w:themeColor="text1"/>
                <w:sz w:val="24"/>
                <w:szCs w:val="24"/>
              </w:rPr>
              <w:t>(</w:t>
            </w:r>
            <w:r w:rsidR="005E03BF" w:rsidRPr="00504377">
              <w:rPr>
                <w:color w:val="000000" w:themeColor="text1"/>
                <w:sz w:val="24"/>
                <w:szCs w:val="24"/>
              </w:rPr>
              <w:t xml:space="preserve">particularly in Tranche </w:t>
            </w:r>
            <w:r w:rsidR="00BD2E1C" w:rsidRPr="00504377">
              <w:rPr>
                <w:color w:val="000000" w:themeColor="text1"/>
                <w:sz w:val="24"/>
                <w:szCs w:val="24"/>
              </w:rPr>
              <w:t xml:space="preserve">2 and </w:t>
            </w:r>
            <w:r w:rsidR="005E03BF" w:rsidRPr="00504377">
              <w:rPr>
                <w:color w:val="000000" w:themeColor="text1"/>
                <w:sz w:val="24"/>
                <w:szCs w:val="24"/>
              </w:rPr>
              <w:t>3</w:t>
            </w:r>
            <w:r w:rsidR="005E03BF" w:rsidRPr="10EE0AA5">
              <w:rPr>
                <w:color w:val="000000" w:themeColor="text1"/>
                <w:sz w:val="24"/>
                <w:szCs w:val="24"/>
              </w:rPr>
              <w:t>)</w:t>
            </w:r>
            <w:r w:rsidR="006E52A6" w:rsidRPr="10EE0AA5">
              <w:rPr>
                <w:color w:val="000000" w:themeColor="text1"/>
                <w:sz w:val="24"/>
                <w:szCs w:val="24"/>
              </w:rPr>
              <w:t xml:space="preserve"> should be closely managed through effective contract management with eligible </w:t>
            </w:r>
            <w:r w:rsidR="004E488C">
              <w:rPr>
                <w:color w:val="000000" w:themeColor="text1"/>
                <w:sz w:val="24"/>
                <w:szCs w:val="24"/>
              </w:rPr>
              <w:t>Regional Councils</w:t>
            </w:r>
            <w:r w:rsidR="00210964" w:rsidRPr="10EE0AA5">
              <w:rPr>
                <w:color w:val="auto"/>
                <w:sz w:val="24"/>
                <w:szCs w:val="24"/>
              </w:rPr>
              <w:t>.</w:t>
            </w:r>
          </w:p>
        </w:tc>
      </w:tr>
      <w:tr w:rsidR="00487E19" w:rsidRPr="00C64417" w14:paraId="47F8119E" w14:textId="77777777" w:rsidTr="10EE0AA5">
        <w:tc>
          <w:tcPr>
            <w:tcW w:w="1691" w:type="dxa"/>
            <w:shd w:val="clear" w:color="auto" w:fill="auto"/>
          </w:tcPr>
          <w:p w14:paraId="34F8392C" w14:textId="2C8A6A9D" w:rsidR="00487E19" w:rsidRPr="00C64417" w:rsidRDefault="00B93E4F" w:rsidP="10EE0AA5">
            <w:pPr>
              <w:pStyle w:val="Tableformat"/>
              <w:spacing w:after="0"/>
              <w:rPr>
                <w:color w:val="auto"/>
                <w:sz w:val="24"/>
                <w:szCs w:val="24"/>
              </w:rPr>
            </w:pPr>
            <w:r w:rsidRPr="10EE0AA5">
              <w:rPr>
                <w:color w:val="auto"/>
                <w:sz w:val="24"/>
                <w:szCs w:val="24"/>
              </w:rPr>
              <w:lastRenderedPageBreak/>
              <w:t>Additional terms</w:t>
            </w:r>
          </w:p>
        </w:tc>
        <w:tc>
          <w:tcPr>
            <w:tcW w:w="7938" w:type="dxa"/>
            <w:shd w:val="clear" w:color="auto" w:fill="auto"/>
          </w:tcPr>
          <w:p w14:paraId="31B6143E" w14:textId="516B2FA0" w:rsidR="006F4B6F" w:rsidRDefault="006F4B6F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C64417">
              <w:rPr>
                <w:i/>
                <w:color w:val="000000" w:themeColor="text1"/>
                <w:sz w:val="24"/>
                <w:szCs w:val="24"/>
              </w:rPr>
              <w:t xml:space="preserve">Role of the Commonwealth </w:t>
            </w:r>
          </w:p>
          <w:p w14:paraId="31335E66" w14:textId="2C581050" w:rsidR="006F4B6F" w:rsidRPr="00C64417" w:rsidRDefault="006F4B6F" w:rsidP="10EE0AA5">
            <w:pPr>
              <w:pStyle w:val="Tableformat"/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 xml:space="preserve">1. In addition to Clause 19 of the FFA </w:t>
            </w:r>
            <w:r w:rsidR="00CB15CC">
              <w:rPr>
                <w:color w:val="000000" w:themeColor="text1"/>
                <w:sz w:val="24"/>
                <w:szCs w:val="24"/>
              </w:rPr>
              <w:t xml:space="preserve">– Infrastructure </w:t>
            </w:r>
            <w:r w:rsidRPr="10EE0AA5">
              <w:rPr>
                <w:color w:val="000000" w:themeColor="text1"/>
                <w:sz w:val="24"/>
                <w:szCs w:val="24"/>
              </w:rPr>
              <w:t xml:space="preserve">(Role of the Commonwealth), the Commonwealth will be responsible for: </w:t>
            </w:r>
          </w:p>
          <w:p w14:paraId="1AB93AA9" w14:textId="2C8A6A9D" w:rsidR="006F4B6F" w:rsidRPr="00C64417" w:rsidRDefault="006F4B6F" w:rsidP="10EE0AA5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 xml:space="preserve">a. overseeing the Northern Territory's implementation of the </w:t>
            </w:r>
            <w:r w:rsidR="00B47B46" w:rsidRPr="10EE0AA5">
              <w:rPr>
                <w:color w:val="000000" w:themeColor="text1"/>
                <w:sz w:val="24"/>
                <w:szCs w:val="24"/>
              </w:rPr>
              <w:t>Schedule</w:t>
            </w:r>
            <w:r w:rsidRPr="10EE0AA5">
              <w:rPr>
                <w:color w:val="000000" w:themeColor="text1"/>
                <w:sz w:val="24"/>
                <w:szCs w:val="24"/>
              </w:rPr>
              <w:t xml:space="preserve"> and, where relevant, participating in</w:t>
            </w:r>
            <w:r w:rsidR="00B47B46" w:rsidRPr="10EE0AA5">
              <w:rPr>
                <w:color w:val="000000" w:themeColor="text1"/>
                <w:sz w:val="24"/>
                <w:szCs w:val="24"/>
              </w:rPr>
              <w:t xml:space="preserve"> joint governance,</w:t>
            </w:r>
            <w:r w:rsidRPr="10EE0AA5">
              <w:rPr>
                <w:color w:val="000000" w:themeColor="text1"/>
                <w:sz w:val="24"/>
                <w:szCs w:val="24"/>
              </w:rPr>
              <w:t xml:space="preserve"> planning discussions and community consultations. </w:t>
            </w:r>
          </w:p>
          <w:p w14:paraId="1FB84273" w14:textId="77777777" w:rsidR="006F4B6F" w:rsidRPr="00C64417" w:rsidRDefault="006F4B6F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C64417">
              <w:rPr>
                <w:i/>
                <w:color w:val="000000" w:themeColor="text1"/>
                <w:sz w:val="24"/>
                <w:szCs w:val="24"/>
              </w:rPr>
              <w:t xml:space="preserve">Role of the Northern Territory </w:t>
            </w:r>
          </w:p>
          <w:p w14:paraId="7ADA098B" w14:textId="2C8A6A9D" w:rsidR="006F4B6F" w:rsidRPr="00C64417" w:rsidRDefault="006F4B6F" w:rsidP="10EE0AA5">
            <w:pPr>
              <w:pStyle w:val="Tableformat"/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 xml:space="preserve">2. In addition to Clause 20 of the FFA (Role of the States and Territories), the Northern Territory will be responsible for: </w:t>
            </w:r>
          </w:p>
          <w:p w14:paraId="19AD1C8C" w14:textId="21B0FB75" w:rsidR="003B41AF" w:rsidRPr="00C64417" w:rsidRDefault="006F4B6F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a.</w:t>
            </w:r>
            <w:r w:rsidR="00B93E4F" w:rsidRPr="00C64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>supporting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 xml:space="preserve"> eligible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E488C">
              <w:rPr>
                <w:color w:val="000000" w:themeColor="text1"/>
                <w:sz w:val="24"/>
                <w:szCs w:val="24"/>
              </w:rPr>
              <w:t>Regional Councils</w:t>
            </w:r>
            <w:r w:rsidR="00B93E4F" w:rsidRPr="00C64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 xml:space="preserve">to 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 xml:space="preserve">develop 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 xml:space="preserve">project plans 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>that outline projects, drawn from community consultation, proposed to be funded through the measure</w:t>
            </w:r>
            <w:r w:rsidR="00BA3D10" w:rsidRPr="00C64417">
              <w:rPr>
                <w:color w:val="000000" w:themeColor="text1"/>
                <w:sz w:val="24"/>
                <w:szCs w:val="24"/>
              </w:rPr>
              <w:t>;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12CF4DD" w14:textId="1DAB7BC4" w:rsidR="00B93E4F" w:rsidRPr="00C64417" w:rsidRDefault="00B93E4F" w:rsidP="10EE0AA5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 xml:space="preserve">b. forwarding Commonwealth funding contributions to </w:t>
            </w:r>
            <w:r w:rsidR="00704FB9" w:rsidRPr="10EE0AA5">
              <w:rPr>
                <w:color w:val="000000" w:themeColor="text1"/>
                <w:sz w:val="24"/>
                <w:szCs w:val="24"/>
              </w:rPr>
              <w:t xml:space="preserve">eligible </w:t>
            </w:r>
            <w:r w:rsidR="004E488C">
              <w:rPr>
                <w:color w:val="000000" w:themeColor="text1"/>
                <w:sz w:val="24"/>
                <w:szCs w:val="24"/>
              </w:rPr>
              <w:t>Regional Councils</w:t>
            </w:r>
            <w:r w:rsidR="0073056A" w:rsidRPr="10EE0AA5">
              <w:rPr>
                <w:color w:val="000000" w:themeColor="text1"/>
                <w:sz w:val="24"/>
                <w:szCs w:val="24"/>
              </w:rPr>
              <w:t xml:space="preserve"> via an appropriate Northern Territory Government Program</w:t>
            </w:r>
            <w:r w:rsidR="003B41AF" w:rsidRPr="10EE0AA5">
              <w:rPr>
                <w:color w:val="000000" w:themeColor="text1"/>
                <w:sz w:val="24"/>
                <w:szCs w:val="24"/>
              </w:rPr>
              <w:t xml:space="preserve"> </w:t>
            </w:r>
            <w:r w:rsidRPr="10EE0AA5">
              <w:rPr>
                <w:color w:val="000000" w:themeColor="text1"/>
                <w:sz w:val="24"/>
                <w:szCs w:val="24"/>
              </w:rPr>
              <w:t>for the purpose of meeting the requirements of the Schedule</w:t>
            </w:r>
            <w:r w:rsidR="00BA3D10" w:rsidRPr="10EE0AA5">
              <w:rPr>
                <w:color w:val="000000" w:themeColor="text1"/>
                <w:sz w:val="24"/>
                <w:szCs w:val="24"/>
              </w:rPr>
              <w:t>;</w:t>
            </w:r>
          </w:p>
          <w:p w14:paraId="54BA7922" w14:textId="2C8A6A9D" w:rsidR="009233ED" w:rsidRPr="00C64417" w:rsidRDefault="009233ED" w:rsidP="10EE0AA5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>c. maximising opportunities for local businesses and employees to be involved in the delivery of the projects</w:t>
            </w:r>
            <w:r w:rsidR="00BA3D10" w:rsidRPr="10EE0AA5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14:paraId="10C5E5B2" w14:textId="2C8A6A9D" w:rsidR="009233ED" w:rsidRPr="00C64417" w:rsidRDefault="009233ED" w:rsidP="10EE0AA5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>d. ensuring that Indigenous Australians realise employment and business opportunities by incorporating appropriate Indigenous employment and Indigenous supplier-requirements</w:t>
            </w:r>
            <w:r w:rsidR="00EF3926" w:rsidRPr="10EE0AA5">
              <w:rPr>
                <w:color w:val="000000" w:themeColor="text1"/>
                <w:sz w:val="24"/>
                <w:szCs w:val="24"/>
              </w:rPr>
              <w:t>; and</w:t>
            </w:r>
          </w:p>
          <w:p w14:paraId="4D20FDBB" w14:textId="77777777" w:rsidR="002E221C" w:rsidRDefault="00045EFF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e. reporting on progress of the delivery of each project output in the manner and form agreed between the Commonwealth and Northern Territory.</w:t>
            </w:r>
          </w:p>
          <w:p w14:paraId="13099710" w14:textId="620AA320" w:rsidR="00246E99" w:rsidRPr="00C64417" w:rsidRDefault="006E4CF3" w:rsidP="002E221C">
            <w:pPr>
              <w:pStyle w:val="Tableformat"/>
              <w:numPr>
                <w:ilvl w:val="0"/>
                <w:numId w:val="12"/>
              </w:num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Additionally, the Northern Territory agrees to:</w:t>
            </w:r>
          </w:p>
          <w:p w14:paraId="71F4F988" w14:textId="2C8A6A9D" w:rsidR="006E4CF3" w:rsidRPr="00C64417" w:rsidRDefault="006E4CF3" w:rsidP="10EE0AA5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 xml:space="preserve">a. </w:t>
            </w:r>
            <w:r w:rsidR="00E54FCA" w:rsidRPr="10EE0AA5">
              <w:rPr>
                <w:color w:val="000000" w:themeColor="text1"/>
                <w:sz w:val="24"/>
                <w:szCs w:val="24"/>
              </w:rPr>
              <w:t>acknowledge</w:t>
            </w:r>
            <w:r w:rsidRPr="10EE0AA5">
              <w:rPr>
                <w:color w:val="000000" w:themeColor="text1"/>
                <w:sz w:val="24"/>
                <w:szCs w:val="24"/>
              </w:rPr>
              <w:t xml:space="preserve"> the Commonwealth in any branding or signage that is displayed in relation to the projects</w:t>
            </w:r>
            <w:r w:rsidR="00EF3926" w:rsidRPr="10EE0AA5">
              <w:rPr>
                <w:color w:val="000000" w:themeColor="text1"/>
                <w:sz w:val="24"/>
                <w:szCs w:val="24"/>
              </w:rPr>
              <w:t>; and</w:t>
            </w:r>
          </w:p>
          <w:p w14:paraId="619C4A84" w14:textId="56B7D3E3" w:rsidR="000B6A9A" w:rsidRPr="00C64417" w:rsidRDefault="006E4CF3" w:rsidP="10EE0AA5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 xml:space="preserve">b. </w:t>
            </w:r>
            <w:proofErr w:type="gramStart"/>
            <w:r w:rsidRPr="10EE0AA5">
              <w:rPr>
                <w:color w:val="000000" w:themeColor="text1"/>
                <w:sz w:val="24"/>
                <w:szCs w:val="24"/>
              </w:rPr>
              <w:t>liaise</w:t>
            </w:r>
            <w:proofErr w:type="gramEnd"/>
            <w:r w:rsidRPr="10EE0AA5">
              <w:rPr>
                <w:color w:val="000000" w:themeColor="text1"/>
                <w:sz w:val="24"/>
                <w:szCs w:val="24"/>
              </w:rPr>
              <w:t xml:space="preserve"> with </w:t>
            </w:r>
            <w:r w:rsidR="00A7557C" w:rsidRPr="10EE0AA5">
              <w:rPr>
                <w:color w:val="000000" w:themeColor="text1"/>
                <w:sz w:val="24"/>
                <w:szCs w:val="24"/>
              </w:rPr>
              <w:t xml:space="preserve">the </w:t>
            </w:r>
            <w:r w:rsidRPr="10EE0AA5">
              <w:rPr>
                <w:color w:val="000000" w:themeColor="text1"/>
                <w:sz w:val="24"/>
                <w:szCs w:val="24"/>
              </w:rPr>
              <w:t>Commonwealth prior to the release of any media statements relating to the project.</w:t>
            </w:r>
          </w:p>
          <w:p w14:paraId="1ED606DC" w14:textId="2BAAC4A2" w:rsidR="00E11230" w:rsidRPr="00BD4FF2" w:rsidRDefault="00192F59" w:rsidP="000D1D6C">
            <w:pPr>
              <w:pStyle w:val="Tableformat"/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BD4FF2">
              <w:rPr>
                <w:color w:val="auto"/>
                <w:sz w:val="24"/>
                <w:szCs w:val="24"/>
              </w:rPr>
              <w:t>Where a</w:t>
            </w:r>
            <w:r w:rsidR="00BD4FF2" w:rsidRPr="00BD4FF2">
              <w:rPr>
                <w:color w:val="auto"/>
                <w:sz w:val="24"/>
                <w:szCs w:val="24"/>
              </w:rPr>
              <w:t xml:space="preserve"> project</w:t>
            </w:r>
            <w:r w:rsidRPr="00BD4FF2">
              <w:rPr>
                <w:color w:val="auto"/>
                <w:sz w:val="24"/>
                <w:szCs w:val="24"/>
              </w:rPr>
              <w:t xml:space="preserve"> </w:t>
            </w:r>
            <w:r w:rsidR="00B35E16" w:rsidRPr="00BD4FF2">
              <w:rPr>
                <w:color w:val="auto"/>
                <w:sz w:val="24"/>
                <w:szCs w:val="24"/>
              </w:rPr>
              <w:t>underspend</w:t>
            </w:r>
            <w:r w:rsidR="00BD4FF2" w:rsidRPr="00BD4FF2">
              <w:rPr>
                <w:color w:val="auto"/>
                <w:sz w:val="24"/>
                <w:szCs w:val="24"/>
              </w:rPr>
              <w:t xml:space="preserve"> of $10,000 or greater</w:t>
            </w:r>
            <w:r w:rsidR="00B35E16" w:rsidRPr="00BD4FF2">
              <w:rPr>
                <w:color w:val="auto"/>
                <w:sz w:val="24"/>
                <w:szCs w:val="24"/>
              </w:rPr>
              <w:t xml:space="preserve"> is </w:t>
            </w:r>
            <w:r w:rsidRPr="00BD4FF2">
              <w:rPr>
                <w:color w:val="auto"/>
                <w:sz w:val="24"/>
                <w:szCs w:val="24"/>
              </w:rPr>
              <w:t>reported, the remaining funds will be re-invested. Re-investment</w:t>
            </w:r>
            <w:r w:rsidR="005E2ED1" w:rsidRPr="00BD4FF2">
              <w:rPr>
                <w:color w:val="auto"/>
                <w:sz w:val="24"/>
                <w:szCs w:val="24"/>
              </w:rPr>
              <w:t xml:space="preserve"> </w:t>
            </w:r>
            <w:r w:rsidRPr="00BD4FF2">
              <w:rPr>
                <w:color w:val="auto"/>
                <w:sz w:val="24"/>
                <w:szCs w:val="24"/>
              </w:rPr>
              <w:t xml:space="preserve">will be in either existing </w:t>
            </w:r>
            <w:r w:rsidR="001D02C6" w:rsidRPr="00BD4FF2">
              <w:rPr>
                <w:color w:val="auto"/>
                <w:sz w:val="24"/>
                <w:szCs w:val="24"/>
              </w:rPr>
              <w:t>Central</w:t>
            </w:r>
            <w:r w:rsidRPr="00BD4FF2">
              <w:rPr>
                <w:color w:val="auto"/>
                <w:sz w:val="24"/>
                <w:szCs w:val="24"/>
              </w:rPr>
              <w:t xml:space="preserve"> </w:t>
            </w:r>
            <w:r w:rsidR="001B1295" w:rsidRPr="00BD4FF2">
              <w:rPr>
                <w:color w:val="auto"/>
                <w:sz w:val="24"/>
                <w:szCs w:val="24"/>
              </w:rPr>
              <w:t xml:space="preserve">Australian </w:t>
            </w:r>
            <w:r w:rsidR="00341D11" w:rsidRPr="00BD4FF2">
              <w:rPr>
                <w:color w:val="auto"/>
                <w:sz w:val="24"/>
                <w:szCs w:val="24"/>
              </w:rPr>
              <w:t>P</w:t>
            </w:r>
            <w:r w:rsidR="00342E49" w:rsidRPr="00BD4FF2">
              <w:rPr>
                <w:color w:val="auto"/>
                <w:sz w:val="24"/>
                <w:szCs w:val="24"/>
              </w:rPr>
              <w:t xml:space="preserve">rogram </w:t>
            </w:r>
            <w:r w:rsidR="00E665A6" w:rsidRPr="00BD4FF2">
              <w:rPr>
                <w:color w:val="auto"/>
                <w:sz w:val="24"/>
                <w:szCs w:val="24"/>
              </w:rPr>
              <w:t xml:space="preserve">Community </w:t>
            </w:r>
            <w:r w:rsidR="00223B4A" w:rsidRPr="00BD4FF2">
              <w:rPr>
                <w:color w:val="auto"/>
                <w:sz w:val="24"/>
                <w:szCs w:val="24"/>
              </w:rPr>
              <w:t>Infrastructure</w:t>
            </w:r>
            <w:r w:rsidR="00E665A6" w:rsidRPr="00BD4FF2">
              <w:rPr>
                <w:color w:val="auto"/>
                <w:sz w:val="24"/>
                <w:szCs w:val="24"/>
              </w:rPr>
              <w:t xml:space="preserve"> Package </w:t>
            </w:r>
            <w:r w:rsidRPr="00BD4FF2">
              <w:rPr>
                <w:color w:val="auto"/>
                <w:sz w:val="24"/>
                <w:szCs w:val="24"/>
              </w:rPr>
              <w:t xml:space="preserve">projects outlined in Table 2 of this FFA Schedule or projects consistent with the </w:t>
            </w:r>
            <w:r w:rsidR="005E2ED1" w:rsidRPr="00BD4FF2">
              <w:rPr>
                <w:color w:val="auto"/>
                <w:sz w:val="24"/>
                <w:szCs w:val="24"/>
              </w:rPr>
              <w:t>p</w:t>
            </w:r>
            <w:r w:rsidRPr="00BD4FF2">
              <w:rPr>
                <w:color w:val="auto"/>
                <w:sz w:val="24"/>
                <w:szCs w:val="24"/>
              </w:rPr>
              <w:t>urpose specified in Table 2 of this Schedule.</w:t>
            </w:r>
          </w:p>
          <w:p w14:paraId="4D25473A" w14:textId="09E10606" w:rsidR="00210964" w:rsidRPr="00BD4FF2" w:rsidRDefault="001472F6" w:rsidP="002E221C">
            <w:pPr>
              <w:pStyle w:val="Tableformat"/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BD4FF2">
              <w:rPr>
                <w:iCs w:val="0"/>
                <w:color w:val="auto"/>
                <w:sz w:val="24"/>
                <w:szCs w:val="24"/>
              </w:rPr>
              <w:t>In relation to reallocation of surplus funds, both parties will agree to how funds will be re-invested</w:t>
            </w:r>
            <w:r w:rsidR="00F34386" w:rsidRPr="00BD4FF2">
              <w:rPr>
                <w:color w:val="auto"/>
                <w:sz w:val="24"/>
                <w:szCs w:val="24"/>
              </w:rPr>
              <w:t>.</w:t>
            </w:r>
          </w:p>
          <w:p w14:paraId="38B534B5" w14:textId="1BE89ED6" w:rsidR="00210964" w:rsidRPr="000D1D6C" w:rsidRDefault="00480CC4" w:rsidP="002E221C">
            <w:pPr>
              <w:pStyle w:val="Tableformat"/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BD4FF2">
              <w:rPr>
                <w:color w:val="auto"/>
                <w:sz w:val="24"/>
                <w:szCs w:val="24"/>
              </w:rPr>
              <w:lastRenderedPageBreak/>
              <w:t>Where</w:t>
            </w:r>
            <w:r w:rsidR="00840512" w:rsidRPr="00BD4FF2">
              <w:rPr>
                <w:color w:val="auto"/>
                <w:sz w:val="24"/>
                <w:szCs w:val="24"/>
              </w:rPr>
              <w:t xml:space="preserve"> </w:t>
            </w:r>
            <w:r w:rsidRPr="00BD4FF2">
              <w:rPr>
                <w:color w:val="auto"/>
                <w:sz w:val="24"/>
                <w:szCs w:val="24"/>
              </w:rPr>
              <w:t>a decision is made not to continue with a project, both parties will agree</w:t>
            </w:r>
            <w:r w:rsidR="009C3E0B" w:rsidRPr="00BD4FF2">
              <w:rPr>
                <w:color w:val="auto"/>
                <w:sz w:val="24"/>
                <w:szCs w:val="24"/>
              </w:rPr>
              <w:t xml:space="preserve"> as</w:t>
            </w:r>
            <w:r w:rsidRPr="00BD4FF2">
              <w:rPr>
                <w:color w:val="auto"/>
                <w:sz w:val="24"/>
                <w:szCs w:val="24"/>
              </w:rPr>
              <w:t xml:space="preserve"> to how the remaining funds for that project will be re-allocated.</w:t>
            </w:r>
          </w:p>
          <w:p w14:paraId="232B367F" w14:textId="77777777" w:rsidR="006E52A6" w:rsidRDefault="006E52A6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6ABBF3E" w14:textId="2A2A6D70" w:rsidR="00B93E4F" w:rsidRPr="00C64417" w:rsidRDefault="006F4B6F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C64417">
              <w:rPr>
                <w:i/>
                <w:color w:val="000000" w:themeColor="text1"/>
                <w:sz w:val="24"/>
                <w:szCs w:val="24"/>
              </w:rPr>
              <w:t>Shared Roles and Responsibilities</w:t>
            </w:r>
          </w:p>
          <w:p w14:paraId="25D468F2" w14:textId="220438C6" w:rsidR="00B93E4F" w:rsidRPr="00C64417" w:rsidRDefault="006F4B6F" w:rsidP="002E221C">
            <w:pPr>
              <w:pStyle w:val="Tableformat"/>
              <w:numPr>
                <w:ilvl w:val="0"/>
                <w:numId w:val="11"/>
              </w:num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In addition to Clause 21 of the FFA </w:t>
            </w:r>
            <w:r w:rsidR="00840512">
              <w:rPr>
                <w:color w:val="000000" w:themeColor="text1"/>
                <w:sz w:val="24"/>
                <w:szCs w:val="24"/>
              </w:rPr>
              <w:t xml:space="preserve">– Infrastructure </w:t>
            </w:r>
            <w:r w:rsidRPr="00C64417">
              <w:rPr>
                <w:color w:val="000000" w:themeColor="text1"/>
                <w:sz w:val="24"/>
                <w:szCs w:val="24"/>
              </w:rPr>
              <w:t xml:space="preserve">(Shared roles and responsibilities), the Commonwealth and the Northern Territory agree to cooperate to fulfil the requirements of this Schedule. </w:t>
            </w:r>
          </w:p>
          <w:p w14:paraId="5D598E48" w14:textId="29C197ED" w:rsidR="000E0907" w:rsidRPr="00C64417" w:rsidRDefault="000E0907" w:rsidP="10EE0AA5">
            <w:pPr>
              <w:pStyle w:val="Tableformat"/>
              <w:numPr>
                <w:ilvl w:val="0"/>
                <w:numId w:val="11"/>
              </w:num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10EE0AA5">
              <w:rPr>
                <w:color w:val="auto"/>
                <w:sz w:val="24"/>
                <w:szCs w:val="24"/>
              </w:rPr>
              <w:t xml:space="preserve">The Northern Territory and </w:t>
            </w:r>
            <w:r w:rsidR="00C461C6">
              <w:rPr>
                <w:color w:val="auto"/>
                <w:sz w:val="24"/>
                <w:szCs w:val="24"/>
              </w:rPr>
              <w:t>R</w:t>
            </w:r>
            <w:r w:rsidR="004E488C">
              <w:rPr>
                <w:color w:val="auto"/>
                <w:sz w:val="24"/>
                <w:szCs w:val="24"/>
              </w:rPr>
              <w:t xml:space="preserve">egional </w:t>
            </w:r>
            <w:r w:rsidR="00C461C6">
              <w:rPr>
                <w:color w:val="auto"/>
                <w:sz w:val="24"/>
                <w:szCs w:val="24"/>
              </w:rPr>
              <w:t>C</w:t>
            </w:r>
            <w:r w:rsidR="004E488C">
              <w:rPr>
                <w:color w:val="auto"/>
                <w:sz w:val="24"/>
                <w:szCs w:val="24"/>
              </w:rPr>
              <w:t xml:space="preserve">ouncils </w:t>
            </w:r>
            <w:r w:rsidRPr="10EE0AA5">
              <w:rPr>
                <w:color w:val="auto"/>
                <w:sz w:val="24"/>
                <w:szCs w:val="24"/>
              </w:rPr>
              <w:t xml:space="preserve">will participate in regular project oversight meetings for the purpose of monitoring and assessing performance in delivery of the </w:t>
            </w:r>
            <w:r w:rsidR="00BA3D10" w:rsidRPr="10EE0AA5">
              <w:rPr>
                <w:color w:val="auto"/>
                <w:sz w:val="24"/>
                <w:szCs w:val="24"/>
              </w:rPr>
              <w:t>Package</w:t>
            </w:r>
            <w:r w:rsidRPr="10EE0AA5">
              <w:rPr>
                <w:color w:val="auto"/>
                <w:sz w:val="24"/>
                <w:szCs w:val="24"/>
              </w:rPr>
              <w:t xml:space="preserve"> under this Schedule. In particular, the </w:t>
            </w:r>
            <w:r w:rsidRPr="10EE0AA5">
              <w:rPr>
                <w:color w:val="000000" w:themeColor="text1"/>
                <w:sz w:val="24"/>
                <w:szCs w:val="24"/>
              </w:rPr>
              <w:t>Northern Territory</w:t>
            </w:r>
            <w:r w:rsidRPr="10EE0AA5">
              <w:rPr>
                <w:color w:val="auto"/>
                <w:sz w:val="24"/>
                <w:szCs w:val="24"/>
              </w:rPr>
              <w:t xml:space="preserve"> and </w:t>
            </w:r>
            <w:r w:rsidR="004E488C">
              <w:rPr>
                <w:color w:val="000000" w:themeColor="text1"/>
                <w:sz w:val="24"/>
                <w:szCs w:val="24"/>
              </w:rPr>
              <w:t>Regional Councils</w:t>
            </w:r>
            <w:r w:rsidRPr="10EE0AA5">
              <w:rPr>
                <w:color w:val="auto"/>
                <w:sz w:val="24"/>
                <w:szCs w:val="24"/>
              </w:rPr>
              <w:t xml:space="preserve"> will provide relevant information on the development and progress of funded project</w:t>
            </w:r>
            <w:r w:rsidR="00BA3D10" w:rsidRPr="10EE0AA5">
              <w:rPr>
                <w:color w:val="auto"/>
                <w:sz w:val="24"/>
                <w:szCs w:val="24"/>
              </w:rPr>
              <w:t>s</w:t>
            </w:r>
            <w:r w:rsidRPr="10EE0AA5">
              <w:rPr>
                <w:color w:val="auto"/>
                <w:sz w:val="24"/>
                <w:szCs w:val="24"/>
              </w:rPr>
              <w:t xml:space="preserve"> to the Commonwealth on request, to assist the Commonwealth with performing its roles and responsibilities.</w:t>
            </w:r>
          </w:p>
          <w:p w14:paraId="5457ACCF" w14:textId="2C8A6A9D" w:rsidR="001C6A54" w:rsidRPr="00C64417" w:rsidRDefault="001C6A54" w:rsidP="10EE0AA5">
            <w:pPr>
              <w:pStyle w:val="Tableformat"/>
              <w:numPr>
                <w:ilvl w:val="0"/>
                <w:numId w:val="11"/>
              </w:num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 xml:space="preserve">The Parties </w:t>
            </w:r>
            <w:r w:rsidR="00B47B46" w:rsidRPr="10EE0AA5">
              <w:rPr>
                <w:color w:val="000000" w:themeColor="text1"/>
                <w:sz w:val="24"/>
                <w:szCs w:val="24"/>
              </w:rPr>
              <w:t xml:space="preserve">will also </w:t>
            </w:r>
            <w:r w:rsidRPr="10EE0AA5">
              <w:rPr>
                <w:color w:val="000000" w:themeColor="text1"/>
                <w:sz w:val="24"/>
                <w:szCs w:val="24"/>
              </w:rPr>
              <w:t>establish a Project Advisory Committee that will bring together agreed Central Australia stakeholders to support the identification of community infrastructure priorities.</w:t>
            </w:r>
          </w:p>
          <w:p w14:paraId="40E38CD7" w14:textId="2C8A6A9D" w:rsidR="00045EFF" w:rsidRPr="00C64417" w:rsidRDefault="001C6A54" w:rsidP="10EE0AA5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10EE0AA5">
              <w:rPr>
                <w:color w:val="000000" w:themeColor="text1"/>
                <w:sz w:val="24"/>
                <w:szCs w:val="24"/>
              </w:rPr>
              <w:t xml:space="preserve">a. this may be achieved through establishing a specific forum or utilising an existing forum and inviting additional stakeholders as required (e.g. the Office of the Central Australia Regional Controller, and the Central Australia Aboriginal Leadership Group). </w:t>
            </w:r>
          </w:p>
          <w:p w14:paraId="428D7616" w14:textId="37098645" w:rsidR="004B70A1" w:rsidRPr="00C64417" w:rsidRDefault="004B70A1" w:rsidP="002E221C">
            <w:pPr>
              <w:pStyle w:val="Tableformat"/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2C8BC42" w14:textId="77777777" w:rsidR="00C91B5F" w:rsidRPr="00C64417" w:rsidRDefault="00C91B5F" w:rsidP="00C91B5F">
      <w:pPr>
        <w:rPr>
          <w:sz w:val="24"/>
          <w:szCs w:val="24"/>
        </w:rPr>
      </w:pPr>
    </w:p>
    <w:p w14:paraId="39EAEBFF" w14:textId="77777777" w:rsidR="000E0907" w:rsidRPr="00C64417" w:rsidRDefault="000E0907" w:rsidP="00C91B5F">
      <w:pPr>
        <w:rPr>
          <w:sz w:val="24"/>
          <w:szCs w:val="24"/>
        </w:rPr>
      </w:pPr>
    </w:p>
    <w:p w14:paraId="046C5C13" w14:textId="77777777" w:rsidR="000E0907" w:rsidRPr="00F00A18" w:rsidRDefault="000E0907" w:rsidP="00C91B5F">
      <w:pPr>
        <w:sectPr w:rsidR="000E0907" w:rsidRPr="00F00A18" w:rsidSect="007D1AB3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9072"/>
        <w:gridCol w:w="1542"/>
        <w:gridCol w:w="1633"/>
      </w:tblGrid>
      <w:tr w:rsidR="00C91B5F" w:rsidRPr="00F00A18" w14:paraId="5A0E03FB" w14:textId="77777777" w:rsidTr="10EE0AA5">
        <w:tc>
          <w:tcPr>
            <w:tcW w:w="13938" w:type="dxa"/>
            <w:gridSpan w:val="4"/>
            <w:shd w:val="clear" w:color="auto" w:fill="DEEAF6" w:themeFill="accent1" w:themeFillTint="33"/>
          </w:tcPr>
          <w:p w14:paraId="4C14EE7D" w14:textId="241DF920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lastRenderedPageBreak/>
              <w:t>Table 2: Performance requirements, reporting and payment summary</w:t>
            </w:r>
          </w:p>
        </w:tc>
      </w:tr>
      <w:tr w:rsidR="00C91B5F" w:rsidRPr="00F00A18" w14:paraId="03600555" w14:textId="77777777" w:rsidTr="008F3B66">
        <w:tc>
          <w:tcPr>
            <w:tcW w:w="1691" w:type="dxa"/>
            <w:shd w:val="clear" w:color="auto" w:fill="F2F2F2" w:themeFill="background1" w:themeFillShade="F2"/>
          </w:tcPr>
          <w:p w14:paraId="66BB9477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Output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53B82BB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Performance milestones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1713102F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Report due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5160A328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Payment</w:t>
            </w:r>
            <w:r w:rsidR="00590405">
              <w:rPr>
                <w:b/>
                <w:color w:val="auto"/>
              </w:rPr>
              <w:t>*</w:t>
            </w:r>
          </w:p>
        </w:tc>
      </w:tr>
      <w:tr w:rsidR="0073056A" w:rsidRPr="00CD7E2E" w14:paraId="34637A2D" w14:textId="77777777" w:rsidTr="008F3B66">
        <w:tc>
          <w:tcPr>
            <w:tcW w:w="169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2E5ABE25" w14:textId="77777777" w:rsidR="00A04705" w:rsidRDefault="0073056A" w:rsidP="002E221C">
            <w:pPr>
              <w:pStyle w:val="Milestonetable"/>
              <w:spacing w:before="0" w:after="0" w:line="276" w:lineRule="auto"/>
              <w:rPr>
                <w:color w:val="auto"/>
              </w:rPr>
            </w:pPr>
            <w:r w:rsidRPr="00013C74">
              <w:rPr>
                <w:color w:val="auto"/>
              </w:rPr>
              <w:t>Community Infrastructure P</w:t>
            </w:r>
            <w:r w:rsidR="00590FF2">
              <w:rPr>
                <w:color w:val="auto"/>
              </w:rPr>
              <w:t xml:space="preserve">ackage </w:t>
            </w:r>
          </w:p>
          <w:p w14:paraId="15B95284" w14:textId="230B8D5C" w:rsidR="0073056A" w:rsidRPr="00013C74" w:rsidRDefault="0073056A" w:rsidP="10EE0AA5">
            <w:pPr>
              <w:pStyle w:val="Milestonetable"/>
              <w:spacing w:before="0" w:after="0" w:line="276" w:lineRule="auto"/>
              <w:rPr>
                <w:color w:val="auto"/>
              </w:rPr>
            </w:pPr>
            <w:r w:rsidRPr="10EE0AA5">
              <w:rPr>
                <w:color w:val="auto"/>
              </w:rPr>
              <w:t xml:space="preserve">Tranche 1 </w:t>
            </w:r>
            <w:r w:rsidR="009D6BFF" w:rsidRPr="10EE0AA5">
              <w:rPr>
                <w:color w:val="auto"/>
              </w:rPr>
              <w:t xml:space="preserve">up to </w:t>
            </w:r>
            <w:r w:rsidR="00C62B36" w:rsidRPr="10EE0AA5">
              <w:rPr>
                <w:color w:val="auto"/>
              </w:rPr>
              <w:t>$5.</w:t>
            </w:r>
            <w:r w:rsidR="00B47F49">
              <w:rPr>
                <w:color w:val="auto"/>
              </w:rPr>
              <w:t>3</w:t>
            </w:r>
            <w:r w:rsidR="00C62B36" w:rsidRPr="10EE0AA5">
              <w:rPr>
                <w:color w:val="auto"/>
              </w:rPr>
              <w:t>m</w:t>
            </w:r>
          </w:p>
          <w:p w14:paraId="019F541E" w14:textId="77777777" w:rsidR="0073056A" w:rsidRPr="00CD7E2E" w:rsidRDefault="0073056A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00013C74">
              <w:rPr>
                <w:color w:val="auto"/>
              </w:rPr>
              <w:t>(Immediate Projects 2023-24)</w:t>
            </w:r>
          </w:p>
        </w:tc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9546E9" w14:textId="2A4154C9" w:rsidR="0013354A" w:rsidRDefault="0073056A" w:rsidP="002E221C">
            <w:pPr>
              <w:pStyle w:val="Milestonetable"/>
              <w:spacing w:before="0" w:after="0" w:line="276" w:lineRule="auto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1 – </w:t>
            </w:r>
            <w:r w:rsidR="0013354A" w:rsidRPr="00CD7E2E">
              <w:rPr>
                <w:b/>
                <w:color w:val="auto"/>
                <w:sz w:val="22"/>
                <w:szCs w:val="22"/>
              </w:rPr>
              <w:t>Commonwealth approval and agreement of eligible projects</w:t>
            </w:r>
          </w:p>
          <w:p w14:paraId="474B4AB9" w14:textId="0014AA7E" w:rsidR="006F4465" w:rsidRPr="00CD7E2E" w:rsidRDefault="0073056A" w:rsidP="10EE0AA5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>The following projects are approved under Tranche 1 (Immediate Projects</w:t>
            </w:r>
            <w:r w:rsidRPr="00CD7E2E">
              <w:rPr>
                <w:color w:val="auto"/>
                <w:sz w:val="22"/>
                <w:szCs w:val="22"/>
              </w:rPr>
              <w:t>) and should commence as soon as possible:</w:t>
            </w:r>
          </w:p>
          <w:p w14:paraId="61C471E6" w14:textId="77777777" w:rsidR="00C64417" w:rsidRPr="00CD7E2E" w:rsidRDefault="00C64417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bookmarkStart w:id="0" w:name="_Hlk153356406"/>
          </w:p>
          <w:tbl>
            <w:tblPr>
              <w:tblW w:w="7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4394"/>
              <w:gridCol w:w="2126"/>
            </w:tblGrid>
            <w:tr w:rsidR="00BA1937" w:rsidRPr="00CD7E2E" w14:paraId="1622A26E" w14:textId="484FCBF9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95457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No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5778E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Project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85648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Community</w:t>
                  </w:r>
                </w:p>
              </w:tc>
            </w:tr>
            <w:tr w:rsidR="00BA1937" w:rsidRPr="00CD7E2E" w14:paraId="156D3140" w14:textId="77777777" w:rsidTr="006F4465">
              <w:tc>
                <w:tcPr>
                  <w:tcW w:w="710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47BC5" w14:textId="6BFC9794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b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b/>
                      <w:iCs/>
                      <w:lang w:eastAsia="en-AU"/>
                    </w:rPr>
                    <w:t>CENTRAL DESERT REGIONAL COUNCIL</w:t>
                  </w:r>
                </w:p>
              </w:tc>
            </w:tr>
            <w:tr w:rsidR="00BA1937" w:rsidRPr="00CD7E2E" w14:paraId="349BAA3E" w14:textId="112A3045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E23A9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1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6AF219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Playground Upgrade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D66B8C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Atitjere</w:t>
                  </w:r>
                </w:p>
              </w:tc>
            </w:tr>
            <w:tr w:rsidR="00BA1937" w:rsidRPr="00CD7E2E" w14:paraId="7559D25C" w14:textId="4EFBE79D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DEEEAE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2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77611A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New Playground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D4FEC1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Engawala</w:t>
                  </w:r>
                </w:p>
              </w:tc>
            </w:tr>
            <w:tr w:rsidR="00BA1937" w:rsidRPr="00CD7E2E" w14:paraId="6D65ACD8" w14:textId="35575245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810B5" w14:textId="663C23C7" w:rsidR="00BA1937" w:rsidRPr="00CD7E2E" w:rsidRDefault="00AE4CAB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>
                    <w:rPr>
                      <w:rFonts w:ascii="Corbel" w:eastAsia="Times New Roman" w:hAnsi="Corbel" w:cs="Arial"/>
                      <w:iCs/>
                      <w:lang w:eastAsia="en-AU"/>
                    </w:rPr>
                    <w:t>3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D597D8" w14:textId="6C662228" w:rsidR="00BA1937" w:rsidRPr="00CD7E2E" w:rsidRDefault="00AE4CAB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Oval Lights (training)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EF3C4" w14:textId="685DBCFC" w:rsidR="00BA1937" w:rsidRPr="00CD7E2E" w:rsidRDefault="00AE4CAB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Laramba</w:t>
                  </w:r>
                </w:p>
              </w:tc>
            </w:tr>
            <w:tr w:rsidR="00AE4CAB" w:rsidRPr="00CD7E2E" w14:paraId="61AD4483" w14:textId="6A28EFB6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4D187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4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071A01" w14:textId="680A1CFF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New Play System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7DA334" w14:textId="48F1B67F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Nturiya</w:t>
                  </w:r>
                </w:p>
              </w:tc>
            </w:tr>
            <w:tr w:rsidR="00AE4CAB" w:rsidRPr="00CD7E2E" w14:paraId="66B78696" w14:textId="537955B5" w:rsidTr="00AE4CAB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A3D5D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5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810895" w14:textId="192404AC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Change Rooms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32EFE7" w14:textId="10EA59BD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Pmara Jutunta</w:t>
                  </w:r>
                </w:p>
              </w:tc>
            </w:tr>
            <w:tr w:rsidR="00AE4CAB" w:rsidRPr="00CD7E2E" w14:paraId="5BECB257" w14:textId="70368FCD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B31C7C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6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587B6A" w14:textId="0B0FAFB6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Oval Lights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837E73" w14:textId="342C466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Ti Tree</w:t>
                  </w:r>
                </w:p>
              </w:tc>
            </w:tr>
            <w:tr w:rsidR="00AE4CAB" w:rsidRPr="00CD7E2E" w14:paraId="3332AE56" w14:textId="0B2958F1" w:rsidTr="00AE4CAB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2A7BF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7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A12B2" w14:textId="04F36D9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Half Basketball Court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BF501" w14:textId="78D4A6FB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Wilora</w:t>
                  </w:r>
                </w:p>
              </w:tc>
            </w:tr>
            <w:tr w:rsidR="00AE4CAB" w:rsidRPr="00CD7E2E" w14:paraId="13C76107" w14:textId="77777777" w:rsidTr="006F4465">
              <w:tc>
                <w:tcPr>
                  <w:tcW w:w="710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A0039" w14:textId="0755520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b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b/>
                      <w:iCs/>
                      <w:lang w:eastAsia="en-AU"/>
                    </w:rPr>
                    <w:t>MACDONNELL REGIONAL COUNCIL</w:t>
                  </w:r>
                </w:p>
              </w:tc>
            </w:tr>
            <w:tr w:rsidR="00AE4CAB" w:rsidRPr="00CD7E2E" w14:paraId="4FC359D2" w14:textId="5FDD805E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0BAD11" w14:textId="2B2236FD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>
                    <w:rPr>
                      <w:rFonts w:ascii="Corbel" w:eastAsia="Times New Roman" w:hAnsi="Corbel" w:cs="Arial"/>
                      <w:iCs/>
                      <w:lang w:eastAsia="en-AU"/>
                    </w:rPr>
                    <w:t>8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FB2218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Oval Lights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57C00B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Kintore</w:t>
                  </w:r>
                </w:p>
              </w:tc>
            </w:tr>
            <w:tr w:rsidR="00AE4CAB" w:rsidRPr="00CD7E2E" w14:paraId="52754509" w14:textId="41AAF9E4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59B405" w14:textId="7D50478B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>
                    <w:rPr>
                      <w:rFonts w:ascii="Corbel" w:eastAsia="Times New Roman" w:hAnsi="Corbel" w:cs="Arial"/>
                      <w:iCs/>
                      <w:lang w:eastAsia="en-AU"/>
                    </w:rPr>
                    <w:t>9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5BD86A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Oval Lights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8A47FA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Titjikala</w:t>
                  </w:r>
                </w:p>
              </w:tc>
            </w:tr>
            <w:bookmarkEnd w:id="0"/>
          </w:tbl>
          <w:p w14:paraId="1B1E98D0" w14:textId="77777777" w:rsidR="00C64417" w:rsidRPr="00CD7E2E" w:rsidRDefault="00C64417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</w:p>
          <w:p w14:paraId="4A5ABE01" w14:textId="77777777" w:rsidR="00900FDB" w:rsidRPr="00CD7E2E" w:rsidRDefault="0073056A" w:rsidP="10EE0AA5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 xml:space="preserve">This Schedule constitutes written agreement of community infrastructure priorities eligible to be supported through Tranche 1. </w:t>
            </w:r>
          </w:p>
          <w:p w14:paraId="1A05F034" w14:textId="7FD931DC" w:rsidR="00C64417" w:rsidRPr="00CD7E2E" w:rsidRDefault="00C64417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0DCAD64" w14:textId="77777777" w:rsidR="0073056A" w:rsidRPr="00CD7E2E" w:rsidRDefault="0073056A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CF4BF80" w14:textId="77777777" w:rsidR="0073056A" w:rsidRPr="00CD7E2E" w:rsidRDefault="0073056A" w:rsidP="002E221C">
            <w:pPr>
              <w:pStyle w:val="Milestonetable"/>
              <w:spacing w:before="0" w:after="0" w:line="276" w:lineRule="auto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N/A</w:t>
            </w:r>
          </w:p>
        </w:tc>
      </w:tr>
    </w:tbl>
    <w:p w14:paraId="541ED8F3" w14:textId="77777777" w:rsidR="006F4465" w:rsidRPr="00CD7E2E" w:rsidRDefault="006F4465" w:rsidP="00C64417">
      <w:pPr>
        <w:rPr>
          <w:rFonts w:ascii="Corbel" w:hAnsi="Corbel"/>
        </w:rPr>
      </w:pPr>
      <w:r w:rsidRPr="00CD7E2E">
        <w:rPr>
          <w:rFonts w:ascii="Corbel" w:hAnsi="Corbel"/>
          <w:iCs/>
        </w:rPr>
        <w:br w:type="page"/>
      </w:r>
    </w:p>
    <w:tbl>
      <w:tblPr>
        <w:tblW w:w="5031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6"/>
        <w:gridCol w:w="9072"/>
        <w:gridCol w:w="1276"/>
        <w:gridCol w:w="1900"/>
        <w:gridCol w:w="85"/>
      </w:tblGrid>
      <w:tr w:rsidR="000877CC" w:rsidRPr="00CD7E2E" w14:paraId="78B808F4" w14:textId="77777777" w:rsidTr="008F3B66">
        <w:trPr>
          <w:gridAfter w:val="1"/>
          <w:wAfter w:w="85" w:type="dxa"/>
        </w:trPr>
        <w:tc>
          <w:tcPr>
            <w:tcW w:w="1665" w:type="dxa"/>
            <w:tcBorders>
              <w:left w:val="single" w:sz="8" w:space="0" w:color="4F81BD"/>
              <w:right w:val="single" w:sz="8" w:space="0" w:color="4F81BD"/>
            </w:tcBorders>
          </w:tcPr>
          <w:p w14:paraId="39D82860" w14:textId="6B5B0145" w:rsidR="00013C74" w:rsidRDefault="006F4465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lastRenderedPageBreak/>
              <w:t>Community Infrastructure P</w:t>
            </w:r>
            <w:r w:rsidR="00590FF2">
              <w:rPr>
                <w:color w:val="auto"/>
              </w:rPr>
              <w:t>ackage</w:t>
            </w:r>
            <w:r w:rsidRPr="00013C74">
              <w:rPr>
                <w:color w:val="auto"/>
              </w:rPr>
              <w:t xml:space="preserve"> </w:t>
            </w:r>
          </w:p>
          <w:p w14:paraId="21120FF8" w14:textId="1C9922C9" w:rsidR="00C64417" w:rsidRPr="00013C74" w:rsidRDefault="006F4465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 xml:space="preserve">Tranche 1 </w:t>
            </w:r>
          </w:p>
          <w:p w14:paraId="014FDA9A" w14:textId="241B3149" w:rsidR="006F4465" w:rsidRPr="00013C74" w:rsidRDefault="004A1030" w:rsidP="00C64417">
            <w:pPr>
              <w:pStyle w:val="Milestonetable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up to</w:t>
            </w:r>
            <w:r w:rsidR="006F4465" w:rsidRPr="00013C74">
              <w:rPr>
                <w:color w:val="auto"/>
              </w:rPr>
              <w:t xml:space="preserve"> $5.</w:t>
            </w:r>
            <w:r w:rsidR="007828BA">
              <w:rPr>
                <w:color w:val="auto"/>
              </w:rPr>
              <w:t>3</w:t>
            </w:r>
            <w:r w:rsidR="006F4465" w:rsidRPr="00013C74">
              <w:rPr>
                <w:color w:val="auto"/>
              </w:rPr>
              <w:t>m</w:t>
            </w:r>
          </w:p>
          <w:p w14:paraId="6752E0AB" w14:textId="6F8209E7" w:rsidR="0073056A" w:rsidRPr="00CD7E2E" w:rsidRDefault="006F4465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013C74">
              <w:rPr>
                <w:color w:val="auto"/>
              </w:rPr>
              <w:t>(Immediate Projects 2023-24)</w:t>
            </w:r>
          </w:p>
        </w:tc>
        <w:tc>
          <w:tcPr>
            <w:tcW w:w="909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AF1008" w14:textId="31B30245" w:rsidR="0013354A" w:rsidRPr="00CD7E2E" w:rsidRDefault="0073056A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2 </w:t>
            </w:r>
            <w:r w:rsidRPr="00CD7E2E">
              <w:rPr>
                <w:color w:val="auto"/>
                <w:sz w:val="22"/>
                <w:szCs w:val="22"/>
              </w:rPr>
              <w:t>–</w:t>
            </w:r>
            <w:r w:rsidR="00900FDB" w:rsidRPr="00CD7E2E">
              <w:rPr>
                <w:color w:val="auto"/>
                <w:sz w:val="22"/>
                <w:szCs w:val="22"/>
              </w:rPr>
              <w:t xml:space="preserve"> </w:t>
            </w:r>
            <w:r w:rsidR="0013354A" w:rsidRPr="00CD7E2E">
              <w:rPr>
                <w:b/>
                <w:color w:val="auto"/>
                <w:sz w:val="22"/>
                <w:szCs w:val="22"/>
              </w:rPr>
              <w:t>Commonwealth acceptance and approval of project plans</w:t>
            </w:r>
          </w:p>
          <w:p w14:paraId="180F31C6" w14:textId="77777777" w:rsidR="00C64417" w:rsidRPr="00CD7E2E" w:rsidRDefault="00C6441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21B55473" w14:textId="12300675" w:rsidR="0073056A" w:rsidRPr="00CD7E2E" w:rsidRDefault="0073056A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Written confirmation of formal agreements reached between Northern Territory and local government</w:t>
            </w:r>
            <w:r w:rsidR="004E488C">
              <w:rPr>
                <w:color w:val="auto"/>
                <w:sz w:val="22"/>
                <w:szCs w:val="22"/>
              </w:rPr>
              <w:t xml:space="preserve"> </w:t>
            </w:r>
            <w:r w:rsidRPr="00CD7E2E">
              <w:rPr>
                <w:color w:val="auto"/>
                <w:sz w:val="22"/>
                <w:szCs w:val="22"/>
              </w:rPr>
              <w:t>officials that includes:</w:t>
            </w:r>
          </w:p>
          <w:p w14:paraId="0CD7A837" w14:textId="752C659D" w:rsidR="002E221C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447584F0" w14:textId="77777777" w:rsidR="0073056A" w:rsidRPr="00CD7E2E" w:rsidRDefault="0073056A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details of the above projects to be delivered; </w:t>
            </w:r>
          </w:p>
          <w:p w14:paraId="6B79B7C3" w14:textId="77777777" w:rsidR="0073056A" w:rsidRPr="00CD7E2E" w:rsidRDefault="0073056A" w:rsidP="10EE0AA5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>details of anticipated local economic, social and cultural benefits from the projects being delivered;</w:t>
            </w:r>
          </w:p>
          <w:p w14:paraId="378BA61B" w14:textId="77777777" w:rsidR="0073056A" w:rsidRPr="00CD7E2E" w:rsidRDefault="0073056A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partnership with communities within their local government boundary in the delivery of the agreed projects; and</w:t>
            </w:r>
          </w:p>
          <w:p w14:paraId="037033CD" w14:textId="485CF7CF" w:rsidR="0073056A" w:rsidRPr="00CD7E2E" w:rsidRDefault="0073056A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participation in regular project oversight meetings.</w:t>
            </w:r>
          </w:p>
          <w:p w14:paraId="319B9206" w14:textId="77777777" w:rsidR="002E221C" w:rsidRPr="00CD7E2E" w:rsidRDefault="002E221C" w:rsidP="002E221C">
            <w:pPr>
              <w:pStyle w:val="Milestonetable"/>
              <w:spacing w:before="0" w:after="0"/>
              <w:ind w:left="720"/>
              <w:rPr>
                <w:color w:val="auto"/>
                <w:sz w:val="22"/>
                <w:szCs w:val="22"/>
              </w:rPr>
            </w:pPr>
          </w:p>
          <w:p w14:paraId="2FD69187" w14:textId="6D8A0816" w:rsidR="00CC455F" w:rsidRPr="00CD7E2E" w:rsidRDefault="00CC455F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When Project Plans are</w:t>
            </w:r>
            <w:r w:rsidR="007828BA">
              <w:rPr>
                <w:color w:val="auto"/>
                <w:sz w:val="22"/>
                <w:szCs w:val="22"/>
              </w:rPr>
              <w:t xml:space="preserve"> </w:t>
            </w:r>
            <w:r w:rsidR="0008121F">
              <w:rPr>
                <w:color w:val="auto"/>
                <w:sz w:val="22"/>
                <w:szCs w:val="22"/>
              </w:rPr>
              <w:t>approve</w:t>
            </w:r>
            <w:r w:rsidR="007828BA">
              <w:rPr>
                <w:color w:val="auto"/>
                <w:sz w:val="22"/>
                <w:szCs w:val="22"/>
              </w:rPr>
              <w:t>d</w:t>
            </w:r>
            <w:r w:rsidRPr="00CD7E2E">
              <w:rPr>
                <w:color w:val="auto"/>
                <w:sz w:val="22"/>
                <w:szCs w:val="22"/>
              </w:rPr>
              <w:t xml:space="preserve">, 50% of the approved funding for </w:t>
            </w:r>
            <w:r w:rsidR="004D7482" w:rsidRPr="00CD7E2E">
              <w:rPr>
                <w:color w:val="auto"/>
                <w:sz w:val="22"/>
                <w:szCs w:val="22"/>
              </w:rPr>
              <w:t>respective</w:t>
            </w:r>
            <w:r w:rsidRPr="00CD7E2E">
              <w:rPr>
                <w:color w:val="auto"/>
                <w:sz w:val="22"/>
                <w:szCs w:val="22"/>
              </w:rPr>
              <w:t xml:space="preserve"> project</w:t>
            </w:r>
            <w:r w:rsidR="004D7482" w:rsidRPr="00CD7E2E">
              <w:rPr>
                <w:color w:val="auto"/>
                <w:sz w:val="22"/>
                <w:szCs w:val="22"/>
              </w:rPr>
              <w:t>s</w:t>
            </w:r>
            <w:r w:rsidRPr="00CD7E2E">
              <w:rPr>
                <w:color w:val="auto"/>
                <w:sz w:val="22"/>
                <w:szCs w:val="22"/>
              </w:rPr>
              <w:t xml:space="preserve"> will be paid to the Northern Territory Government and provided to the regional councils via a </w:t>
            </w:r>
            <w:r w:rsidR="001654C8" w:rsidRPr="00CD7E2E">
              <w:rPr>
                <w:color w:val="auto"/>
                <w:sz w:val="22"/>
                <w:szCs w:val="22"/>
              </w:rPr>
              <w:t xml:space="preserve">fit-for-purpose </w:t>
            </w:r>
            <w:r w:rsidRPr="00CD7E2E">
              <w:rPr>
                <w:color w:val="auto"/>
                <w:sz w:val="22"/>
                <w:szCs w:val="22"/>
              </w:rPr>
              <w:t>Northern Territory Government program.</w:t>
            </w:r>
          </w:p>
          <w:p w14:paraId="027FF8B9" w14:textId="065617AA" w:rsidR="002E221C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757BFF" w14:textId="7DBEE30D" w:rsidR="0073056A" w:rsidRPr="00CD7E2E" w:rsidRDefault="001654C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22 January </w:t>
            </w:r>
            <w:r w:rsidR="0073056A" w:rsidRPr="00CD7E2E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DF970D" w14:textId="29BFE05A" w:rsidR="00495260" w:rsidRPr="00FA3F16" w:rsidRDefault="00124F02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For each </w:t>
            </w:r>
            <w:r w:rsidR="007419F8" w:rsidRPr="00CD7E2E">
              <w:rPr>
                <w:color w:val="auto"/>
                <w:sz w:val="22"/>
                <w:szCs w:val="22"/>
              </w:rPr>
              <w:t>P</w:t>
            </w:r>
            <w:r w:rsidRPr="00CD7E2E">
              <w:rPr>
                <w:color w:val="auto"/>
                <w:sz w:val="22"/>
                <w:szCs w:val="22"/>
              </w:rPr>
              <w:t>roject</w:t>
            </w:r>
            <w:r w:rsidR="00495260" w:rsidRPr="00CD7E2E">
              <w:rPr>
                <w:color w:val="auto"/>
                <w:sz w:val="22"/>
                <w:szCs w:val="22"/>
              </w:rPr>
              <w:t>,</w:t>
            </w:r>
            <w:r w:rsidRPr="00CD7E2E">
              <w:rPr>
                <w:color w:val="auto"/>
                <w:sz w:val="22"/>
                <w:szCs w:val="22"/>
              </w:rPr>
              <w:t xml:space="preserve"> </w:t>
            </w:r>
            <w:r w:rsidR="00CF7999" w:rsidRPr="00CD7E2E">
              <w:rPr>
                <w:color w:val="auto"/>
                <w:sz w:val="22"/>
                <w:szCs w:val="22"/>
              </w:rPr>
              <w:t xml:space="preserve">50% of </w:t>
            </w:r>
            <w:r w:rsidR="006C3470" w:rsidRPr="00CD7E2E">
              <w:rPr>
                <w:color w:val="auto"/>
                <w:sz w:val="22"/>
                <w:szCs w:val="22"/>
              </w:rPr>
              <w:t>a</w:t>
            </w:r>
            <w:r w:rsidR="00CF7999" w:rsidRPr="00CD7E2E">
              <w:rPr>
                <w:color w:val="auto"/>
                <w:sz w:val="22"/>
                <w:szCs w:val="22"/>
              </w:rPr>
              <w:t xml:space="preserve">pproved </w:t>
            </w:r>
            <w:r w:rsidR="006C3470" w:rsidRPr="00FA3F16">
              <w:rPr>
                <w:color w:val="auto"/>
                <w:sz w:val="22"/>
                <w:szCs w:val="22"/>
              </w:rPr>
              <w:t>budget</w:t>
            </w:r>
          </w:p>
          <w:p w14:paraId="5599A76E" w14:textId="77777777" w:rsidR="007419F8" w:rsidRPr="00FA3F16" w:rsidRDefault="00CF7999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FA3F16">
              <w:rPr>
                <w:color w:val="auto"/>
                <w:sz w:val="22"/>
                <w:szCs w:val="22"/>
              </w:rPr>
              <w:t xml:space="preserve"> </w:t>
            </w:r>
          </w:p>
          <w:p w14:paraId="70228E3F" w14:textId="7D42A083" w:rsidR="0073056A" w:rsidRPr="00CD7E2E" w:rsidRDefault="00CF7999" w:rsidP="00155B2C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FA3F16">
              <w:rPr>
                <w:color w:val="auto"/>
                <w:sz w:val="22"/>
                <w:szCs w:val="22"/>
              </w:rPr>
              <w:t>approx.</w:t>
            </w:r>
            <w:r w:rsidRPr="00FA3F16">
              <w:rPr>
                <w:color w:val="auto"/>
                <w:sz w:val="22"/>
              </w:rPr>
              <w:t xml:space="preserve"> $2</w:t>
            </w:r>
            <w:r w:rsidRPr="00FA3F16">
              <w:rPr>
                <w:color w:val="auto"/>
                <w:sz w:val="22"/>
                <w:szCs w:val="22"/>
              </w:rPr>
              <w:t>.5m</w:t>
            </w:r>
          </w:p>
        </w:tc>
      </w:tr>
      <w:tr w:rsidR="000877CC" w:rsidRPr="00CD7E2E" w14:paraId="61B52EC2" w14:textId="77777777" w:rsidTr="008F3B66">
        <w:tc>
          <w:tcPr>
            <w:tcW w:w="1691" w:type="dxa"/>
            <w:gridSpan w:val="2"/>
          </w:tcPr>
          <w:p w14:paraId="473C7DF0" w14:textId="77777777" w:rsidR="0073056A" w:rsidRPr="00CD7E2E" w:rsidRDefault="0073056A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B83F6B" w14:textId="1D88DD4E" w:rsidR="0073056A" w:rsidRPr="00CD7E2E" w:rsidRDefault="0073056A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3 – </w:t>
            </w:r>
            <w:r w:rsidR="00E5696E" w:rsidRPr="00CD7E2E">
              <w:rPr>
                <w:b/>
                <w:color w:val="auto"/>
                <w:sz w:val="22"/>
                <w:szCs w:val="22"/>
              </w:rPr>
              <w:t xml:space="preserve">Project </w:t>
            </w:r>
            <w:r w:rsidRPr="00CD7E2E">
              <w:rPr>
                <w:b/>
                <w:color w:val="auto"/>
                <w:sz w:val="22"/>
                <w:szCs w:val="22"/>
              </w:rPr>
              <w:t>Completion Report</w:t>
            </w:r>
            <w:r w:rsidR="005F3F09" w:rsidRPr="00CD7E2E">
              <w:rPr>
                <w:b/>
                <w:color w:val="auto"/>
                <w:sz w:val="22"/>
                <w:szCs w:val="22"/>
              </w:rPr>
              <w:t>s</w:t>
            </w:r>
            <w:r w:rsidRPr="00CD7E2E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6D81A5C7" w14:textId="77777777" w:rsidR="00C64417" w:rsidRPr="00CD7E2E" w:rsidRDefault="00C64417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1565E6E8" w14:textId="423E8F91" w:rsidR="0073056A" w:rsidRPr="00CD7E2E" w:rsidRDefault="0073056A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Acceptance</w:t>
            </w:r>
            <w:r w:rsidR="00900FDB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and approval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by </w:t>
            </w:r>
            <w:r w:rsidR="00544EDE"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Commonwealth of a Project Completion Report </w:t>
            </w:r>
            <w:r w:rsidR="004B70A1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for each project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that includes at a minimum:</w:t>
            </w:r>
          </w:p>
          <w:p w14:paraId="2A1FB214" w14:textId="77777777" w:rsidR="002E221C" w:rsidRPr="00CD7E2E" w:rsidRDefault="002E221C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01580FA7" w14:textId="77777777" w:rsidR="0073056A" w:rsidRPr="00CD7E2E" w:rsidRDefault="0073056A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funds, and</w:t>
            </w:r>
          </w:p>
          <w:p w14:paraId="2A5D2414" w14:textId="77777777" w:rsidR="0073056A" w:rsidRPr="00CD7E2E" w:rsidRDefault="0073056A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all project elements having been delivered and any changes from Project Plans agreed at Milestone 2.</w:t>
            </w:r>
          </w:p>
          <w:p w14:paraId="2102B60F" w14:textId="77777777" w:rsidR="00C64417" w:rsidRPr="00CD7E2E" w:rsidRDefault="00C64417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523DE5C3" w14:textId="7BC14B7A" w:rsidR="005F3F09" w:rsidRPr="00CD7E2E" w:rsidRDefault="00CC455F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When a Project Completion Report is accepted </w:t>
            </w:r>
            <w:r w:rsidR="004B70A1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and approved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by </w:t>
            </w:r>
            <w:r w:rsidR="00976A5D"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Commonwealth</w:t>
            </w:r>
            <w:r w:rsidR="00976A5D">
              <w:rPr>
                <w:rFonts w:ascii="Corbel" w:eastAsia="Times New Roman" w:hAnsi="Corbel" w:cs="Arial"/>
                <w:iCs/>
                <w:lang w:eastAsia="en-AU"/>
              </w:rPr>
              <w:t>,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remaining project funding will be paid to the Northern Territory Government and provided to the </w:t>
            </w:r>
            <w:r w:rsidR="00D43E36">
              <w:rPr>
                <w:rFonts w:ascii="Corbel" w:eastAsia="Times New Roman" w:hAnsi="Corbel" w:cs="Arial"/>
                <w:iCs/>
                <w:lang w:eastAsia="en-AU"/>
              </w:rPr>
              <w:t>R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egional </w:t>
            </w:r>
            <w:r w:rsidR="00D43E36">
              <w:rPr>
                <w:rFonts w:ascii="Corbel" w:eastAsia="Times New Roman" w:hAnsi="Corbel" w:cs="Arial"/>
                <w:iCs/>
                <w:lang w:eastAsia="en-AU"/>
              </w:rPr>
              <w:t>C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ouncils via an appropriate Northern Territory Government program.</w:t>
            </w:r>
          </w:p>
          <w:p w14:paraId="2BA44EA8" w14:textId="41797B62" w:rsidR="005F3F09" w:rsidRPr="00CD7E2E" w:rsidRDefault="005F3F09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Where possible, the Northern Territory Government should submit</w:t>
            </w:r>
            <w:r w:rsidR="008902FD">
              <w:rPr>
                <w:rFonts w:ascii="Corbel" w:eastAsia="Times New Roman" w:hAnsi="Corbel" w:cs="Arial"/>
                <w:iCs/>
                <w:lang w:eastAsia="en-AU"/>
              </w:rPr>
              <w:t xml:space="preserve"> Project Completion Reports to </w:t>
            </w:r>
            <w:r w:rsidR="00F80313"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="008902FD">
              <w:rPr>
                <w:rFonts w:ascii="Corbel" w:eastAsia="Times New Roman" w:hAnsi="Corbel" w:cs="Arial"/>
                <w:iCs/>
                <w:lang w:eastAsia="en-AU"/>
              </w:rPr>
              <w:t xml:space="preserve">Commonwealth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in batches </w:t>
            </w:r>
            <w:r w:rsidR="004D7482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to allow efficient </w:t>
            </w:r>
            <w:r w:rsidR="002C07D4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processing and </w:t>
            </w:r>
            <w:r w:rsidR="004D7482" w:rsidRPr="00CD7E2E">
              <w:rPr>
                <w:rFonts w:ascii="Corbel" w:eastAsia="Times New Roman" w:hAnsi="Corbel" w:cs="Arial"/>
                <w:iCs/>
                <w:lang w:eastAsia="en-AU"/>
              </w:rPr>
              <w:t>provision</w:t>
            </w:r>
            <w:r w:rsidR="008902FD">
              <w:rPr>
                <w:rFonts w:ascii="Corbel" w:eastAsia="Times New Roman" w:hAnsi="Corbel" w:cs="Arial"/>
                <w:iCs/>
                <w:lang w:eastAsia="en-AU"/>
              </w:rPr>
              <w:t xml:space="preserve"> of </w:t>
            </w:r>
            <w:r w:rsidR="004D7482" w:rsidRPr="00CD7E2E">
              <w:rPr>
                <w:rFonts w:ascii="Corbel" w:eastAsia="Times New Roman" w:hAnsi="Corbel" w:cs="Arial"/>
                <w:iCs/>
                <w:lang w:eastAsia="en-AU"/>
              </w:rPr>
              <w:t>remaining</w:t>
            </w:r>
            <w:r w:rsidR="008902FD">
              <w:rPr>
                <w:rFonts w:ascii="Corbel" w:eastAsia="Times New Roman" w:hAnsi="Corbel" w:cs="Arial"/>
                <w:iCs/>
                <w:lang w:eastAsia="en-AU"/>
              </w:rPr>
              <w:t xml:space="preserve"> project </w:t>
            </w:r>
            <w:r w:rsidR="004D7482" w:rsidRPr="00CD7E2E">
              <w:rPr>
                <w:rFonts w:ascii="Corbel" w:eastAsia="Times New Roman" w:hAnsi="Corbel" w:cs="Arial"/>
                <w:iCs/>
                <w:lang w:eastAsia="en-AU"/>
              </w:rPr>
              <w:t>funding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.</w:t>
            </w:r>
            <w:r w:rsidR="00F80313">
              <w:rPr>
                <w:rFonts w:ascii="Corbel" w:eastAsia="Times New Roman" w:hAnsi="Corbel" w:cs="Arial"/>
                <w:iCs/>
                <w:lang w:eastAsia="en-AU"/>
              </w:rPr>
              <w:t xml:space="preserve"> </w:t>
            </w:r>
            <w:r w:rsidR="00F80313" w:rsidRPr="00F80313">
              <w:rPr>
                <w:rFonts w:ascii="Corbel" w:eastAsia="Times New Roman" w:hAnsi="Corbel" w:cs="Arial"/>
                <w:iCs/>
                <w:lang w:eastAsia="en-AU"/>
              </w:rPr>
              <w:t>If batching occurs, Project Completion Reports may be submitted to the Commonwealth later than within 3 months of the project completion date, to reduce administrative burden.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96A58E6" w14:textId="008C1DEC" w:rsidR="0073056A" w:rsidRPr="00CD7E2E" w:rsidRDefault="004B70A1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Within 3 months of project completion</w:t>
            </w:r>
            <w:r w:rsidR="00574F2F" w:rsidRPr="00CD7E2E">
              <w:rPr>
                <w:color w:val="auto"/>
                <w:sz w:val="22"/>
                <w:szCs w:val="22"/>
              </w:rPr>
              <w:t xml:space="preserve"> </w:t>
            </w:r>
            <w:r w:rsidRPr="00CD7E2E">
              <w:rPr>
                <w:color w:val="auto"/>
                <w:sz w:val="22"/>
                <w:szCs w:val="22"/>
              </w:rPr>
              <w:t>date</w:t>
            </w:r>
          </w:p>
        </w:tc>
        <w:tc>
          <w:tcPr>
            <w:tcW w:w="198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E14F89" w14:textId="62DB3A42" w:rsidR="0073056A" w:rsidRPr="00CD7E2E" w:rsidRDefault="006C3470" w:rsidP="10EE0AA5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>For each</w:t>
            </w:r>
            <w:r w:rsidR="00FD69AC" w:rsidRPr="10EE0AA5">
              <w:rPr>
                <w:color w:val="auto"/>
                <w:sz w:val="22"/>
                <w:szCs w:val="22"/>
              </w:rPr>
              <w:t xml:space="preserve"> completed</w:t>
            </w:r>
            <w:r w:rsidR="00495260" w:rsidRPr="10EE0AA5">
              <w:rPr>
                <w:color w:val="auto"/>
                <w:sz w:val="22"/>
                <w:szCs w:val="22"/>
              </w:rPr>
              <w:t xml:space="preserve"> </w:t>
            </w:r>
            <w:r w:rsidR="007419F8" w:rsidRPr="10EE0AA5">
              <w:rPr>
                <w:color w:val="auto"/>
                <w:sz w:val="22"/>
                <w:szCs w:val="22"/>
              </w:rPr>
              <w:t>P</w:t>
            </w:r>
            <w:r w:rsidRPr="10EE0AA5">
              <w:rPr>
                <w:color w:val="auto"/>
                <w:sz w:val="22"/>
                <w:szCs w:val="22"/>
              </w:rPr>
              <w:t>roject</w:t>
            </w:r>
            <w:r w:rsidR="00495260" w:rsidRPr="10EE0AA5">
              <w:rPr>
                <w:color w:val="auto"/>
                <w:sz w:val="22"/>
                <w:szCs w:val="22"/>
              </w:rPr>
              <w:t>,</w:t>
            </w:r>
            <w:r w:rsidRPr="10EE0AA5">
              <w:rPr>
                <w:color w:val="auto"/>
                <w:sz w:val="22"/>
                <w:szCs w:val="22"/>
              </w:rPr>
              <w:t xml:space="preserve"> r</w:t>
            </w:r>
            <w:r w:rsidR="00CF7999" w:rsidRPr="10EE0AA5">
              <w:rPr>
                <w:color w:val="auto"/>
                <w:sz w:val="22"/>
                <w:szCs w:val="22"/>
              </w:rPr>
              <w:t xml:space="preserve">emainder of </w:t>
            </w:r>
            <w:r w:rsidR="00FD69AC" w:rsidRPr="10EE0AA5">
              <w:rPr>
                <w:color w:val="auto"/>
                <w:sz w:val="22"/>
                <w:szCs w:val="22"/>
              </w:rPr>
              <w:t>approved</w:t>
            </w:r>
            <w:r w:rsidR="00531BEB" w:rsidRPr="10EE0AA5">
              <w:rPr>
                <w:color w:val="auto"/>
                <w:sz w:val="22"/>
                <w:szCs w:val="22"/>
              </w:rPr>
              <w:t xml:space="preserve"> </w:t>
            </w:r>
            <w:r w:rsidRPr="10EE0AA5">
              <w:rPr>
                <w:color w:val="auto"/>
                <w:sz w:val="22"/>
                <w:szCs w:val="22"/>
              </w:rPr>
              <w:t>budget</w:t>
            </w:r>
            <w:r w:rsidR="00CF7999" w:rsidRPr="10EE0AA5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CF738F0" w14:textId="383DB125" w:rsidR="00C64417" w:rsidRPr="00CD7E2E" w:rsidRDefault="00C64417" w:rsidP="00C64417">
      <w:pPr>
        <w:rPr>
          <w:rFonts w:ascii="Corbel" w:hAnsi="Corbel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9072"/>
        <w:gridCol w:w="1418"/>
        <w:gridCol w:w="1757"/>
      </w:tblGrid>
      <w:tr w:rsidR="000877CC" w:rsidRPr="00CD7E2E" w14:paraId="450FFB97" w14:textId="77777777" w:rsidTr="008F3B66">
        <w:tc>
          <w:tcPr>
            <w:tcW w:w="1691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51BB896A" w14:textId="203EE5A0" w:rsidR="00013C74" w:rsidRDefault="00237AB8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lastRenderedPageBreak/>
              <w:t>Community Infrastructure P</w:t>
            </w:r>
            <w:r w:rsidR="00590FF2">
              <w:rPr>
                <w:color w:val="auto"/>
              </w:rPr>
              <w:t>ackage</w:t>
            </w:r>
            <w:r w:rsidRPr="00013C74">
              <w:rPr>
                <w:color w:val="auto"/>
              </w:rPr>
              <w:t xml:space="preserve"> </w:t>
            </w:r>
          </w:p>
          <w:p w14:paraId="7ECFA935" w14:textId="0F56E386" w:rsidR="00237AB8" w:rsidRPr="00013C74" w:rsidRDefault="00237AB8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 xml:space="preserve">Tranche 2 </w:t>
            </w:r>
            <w:r w:rsidR="0056241B">
              <w:rPr>
                <w:color w:val="auto"/>
              </w:rPr>
              <w:t>up t</w:t>
            </w:r>
            <w:r w:rsidR="00B47F49">
              <w:rPr>
                <w:color w:val="auto"/>
              </w:rPr>
              <w:t>o</w:t>
            </w:r>
            <w:r w:rsidRPr="00013C74">
              <w:rPr>
                <w:color w:val="auto"/>
              </w:rPr>
              <w:t xml:space="preserve"> $</w:t>
            </w:r>
            <w:r w:rsidR="0056241B">
              <w:rPr>
                <w:color w:val="auto"/>
              </w:rPr>
              <w:t>2</w:t>
            </w:r>
            <w:r w:rsidR="00BA6A73">
              <w:rPr>
                <w:color w:val="auto"/>
              </w:rPr>
              <w:t>9</w:t>
            </w:r>
            <w:r w:rsidRPr="00013C74">
              <w:rPr>
                <w:color w:val="auto"/>
              </w:rPr>
              <w:t>.</w:t>
            </w:r>
            <w:r w:rsidR="0056241B">
              <w:rPr>
                <w:color w:val="auto"/>
              </w:rPr>
              <w:t>7</w:t>
            </w:r>
            <w:r w:rsidRPr="00013C74">
              <w:rPr>
                <w:color w:val="auto"/>
              </w:rPr>
              <w:t>m</w:t>
            </w:r>
            <w:r w:rsidR="007828BA">
              <w:rPr>
                <w:color w:val="auto"/>
              </w:rPr>
              <w:t xml:space="preserve"> </w:t>
            </w:r>
            <w:r w:rsidR="007828BA" w:rsidRPr="007828BA">
              <w:rPr>
                <w:color w:val="auto"/>
              </w:rPr>
              <w:t>and any uncommitted funds from Tranche 1</w:t>
            </w:r>
          </w:p>
          <w:p w14:paraId="3B83CC6E" w14:textId="77777777" w:rsidR="00C64417" w:rsidRPr="00013C74" w:rsidRDefault="00237AB8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 xml:space="preserve">(Medium Term Projects </w:t>
            </w:r>
          </w:p>
          <w:p w14:paraId="7D388F36" w14:textId="36036699" w:rsidR="00237AB8" w:rsidRPr="00013C74" w:rsidRDefault="00237AB8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2024-25 and 2025-26)</w:t>
            </w:r>
          </w:p>
          <w:p w14:paraId="56BC71BA" w14:textId="77777777" w:rsidR="00C64417" w:rsidRPr="00CD7E2E" w:rsidRDefault="00C6441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2D082915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441D3351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3CC63379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7DC734F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731D8A01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AC3074A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3D292EA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18C6E4AB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EEA69BD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FA4CA67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6A7F0546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B1557A7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7039B448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7CEA9CCE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98D1AFC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31A87C0F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13196E4E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6C9907AF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40298F86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1871AA92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BF2A5E9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4A8C1668" w14:textId="13DCA2F2" w:rsidR="00013C74" w:rsidRDefault="00C6441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lastRenderedPageBreak/>
              <w:t>Community Infrastructure P</w:t>
            </w:r>
            <w:r w:rsidR="00590FF2">
              <w:rPr>
                <w:color w:val="auto"/>
              </w:rPr>
              <w:t>ackage</w:t>
            </w:r>
          </w:p>
          <w:p w14:paraId="622674F9" w14:textId="13635497" w:rsidR="00C64417" w:rsidRPr="00013C74" w:rsidRDefault="00C6441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 xml:space="preserve">Tranche 2 </w:t>
            </w:r>
            <w:r w:rsidR="00B47F49">
              <w:rPr>
                <w:color w:val="auto"/>
              </w:rPr>
              <w:t>up to</w:t>
            </w:r>
            <w:r w:rsidR="00B47F49" w:rsidRPr="00013C74">
              <w:rPr>
                <w:color w:val="auto"/>
              </w:rPr>
              <w:t xml:space="preserve"> $</w:t>
            </w:r>
            <w:r w:rsidR="00B47F49">
              <w:rPr>
                <w:color w:val="auto"/>
              </w:rPr>
              <w:t>2</w:t>
            </w:r>
            <w:r w:rsidR="00BA6A73">
              <w:rPr>
                <w:color w:val="auto"/>
              </w:rPr>
              <w:t>9</w:t>
            </w:r>
            <w:r w:rsidR="00B47F49" w:rsidRPr="00013C74">
              <w:rPr>
                <w:color w:val="auto"/>
              </w:rPr>
              <w:t>.</w:t>
            </w:r>
            <w:r w:rsidR="00B47F49">
              <w:rPr>
                <w:color w:val="auto"/>
              </w:rPr>
              <w:t>7</w:t>
            </w:r>
            <w:r w:rsidR="00B47F49" w:rsidRPr="00013C74">
              <w:rPr>
                <w:color w:val="auto"/>
              </w:rPr>
              <w:t>m</w:t>
            </w:r>
            <w:r w:rsidR="00B47F49">
              <w:rPr>
                <w:color w:val="auto"/>
              </w:rPr>
              <w:t xml:space="preserve"> </w:t>
            </w:r>
            <w:r w:rsidR="00B47F49" w:rsidRPr="007828BA">
              <w:rPr>
                <w:color w:val="auto"/>
              </w:rPr>
              <w:t>and any uncommitted funds from Tranche 1</w:t>
            </w:r>
          </w:p>
          <w:p w14:paraId="3536DCE7" w14:textId="786251E4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  <w:r w:rsidRPr="00013C74">
              <w:rPr>
                <w:rFonts w:ascii="Corbel" w:hAnsi="Corbel"/>
                <w:sz w:val="20"/>
                <w:szCs w:val="20"/>
              </w:rPr>
              <w:t>(Medium Term Projects 2024-25 and 2025-26)</w:t>
            </w:r>
          </w:p>
        </w:tc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E48EE5" w14:textId="60CB1BC2" w:rsidR="00900FDB" w:rsidRDefault="00237AB8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lastRenderedPageBreak/>
              <w:t xml:space="preserve">Milestone 1 – </w:t>
            </w:r>
            <w:r w:rsidR="00900FDB" w:rsidRPr="00CD7E2E">
              <w:rPr>
                <w:b/>
                <w:color w:val="auto"/>
                <w:sz w:val="22"/>
                <w:szCs w:val="22"/>
              </w:rPr>
              <w:t xml:space="preserve">Commonwealth acceptance and approval of eligible </w:t>
            </w:r>
            <w:r w:rsidR="00DF1804" w:rsidRPr="00CD7E2E">
              <w:rPr>
                <w:b/>
                <w:color w:val="auto"/>
                <w:sz w:val="22"/>
                <w:szCs w:val="22"/>
              </w:rPr>
              <w:t>P</w:t>
            </w:r>
            <w:r w:rsidR="00900FDB" w:rsidRPr="00CD7E2E">
              <w:rPr>
                <w:b/>
                <w:color w:val="auto"/>
                <w:sz w:val="22"/>
                <w:szCs w:val="22"/>
              </w:rPr>
              <w:t>rojects</w:t>
            </w:r>
          </w:p>
          <w:p w14:paraId="6AF4C7D4" w14:textId="77777777" w:rsidR="00BA0BA9" w:rsidRPr="00CD7E2E" w:rsidRDefault="00BA0BA9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4B4041A7" w14:textId="56826D02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Written agreement by Commonwealth and Northern Territory ministers of community infrastructure </w:t>
            </w:r>
            <w:r w:rsidR="000F21B7" w:rsidRPr="00CD7E2E">
              <w:rPr>
                <w:color w:val="auto"/>
                <w:sz w:val="22"/>
                <w:szCs w:val="22"/>
              </w:rPr>
              <w:t xml:space="preserve">projects </w:t>
            </w:r>
            <w:r w:rsidRPr="00CD7E2E">
              <w:rPr>
                <w:color w:val="auto"/>
                <w:sz w:val="22"/>
                <w:szCs w:val="22"/>
              </w:rPr>
              <w:t xml:space="preserve">eligible to be supported through Tranche 2 (Medium Term Projects). </w:t>
            </w:r>
          </w:p>
          <w:p w14:paraId="7B23836D" w14:textId="5DAE515F" w:rsidR="002E221C" w:rsidRPr="00CD7E2E" w:rsidRDefault="002E221C" w:rsidP="005E4CE6">
            <w:pPr>
              <w:pStyle w:val="Milestonetable"/>
              <w:spacing w:before="0" w:after="0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C75E2B0" w14:textId="2A134C05" w:rsidR="00237AB8" w:rsidRPr="00CD7E2E" w:rsidRDefault="004B70A1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3</w:t>
            </w:r>
            <w:r w:rsidR="00BA0BA9">
              <w:rPr>
                <w:color w:val="auto"/>
                <w:sz w:val="22"/>
                <w:szCs w:val="22"/>
              </w:rPr>
              <w:t xml:space="preserve">1 June </w:t>
            </w:r>
            <w:r w:rsidR="00237AB8" w:rsidRPr="00CD7E2E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86379A" w14:textId="7F85086B" w:rsidR="00237AB8" w:rsidRPr="00CD7E2E" w:rsidRDefault="00237AB8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N/A</w:t>
            </w:r>
          </w:p>
        </w:tc>
      </w:tr>
      <w:tr w:rsidR="00237AB8" w:rsidRPr="00CD7E2E" w14:paraId="1A56B244" w14:textId="77777777" w:rsidTr="008F3B66">
        <w:tc>
          <w:tcPr>
            <w:tcW w:w="1691" w:type="dxa"/>
            <w:vMerge/>
          </w:tcPr>
          <w:p w14:paraId="1133B862" w14:textId="77777777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4A4804A" w14:textId="77777777" w:rsidR="00BA0BA9" w:rsidRPr="00017977" w:rsidRDefault="00237AB8" w:rsidP="00C64417">
            <w:pPr>
              <w:pStyle w:val="Milestonetable"/>
              <w:spacing w:before="0" w:after="0"/>
              <w:rPr>
                <w:b/>
                <w:color w:val="auto"/>
                <w:sz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2 – </w:t>
            </w:r>
            <w:r w:rsidR="0013354A" w:rsidRPr="00CD7E2E">
              <w:rPr>
                <w:b/>
                <w:color w:val="auto"/>
                <w:sz w:val="22"/>
                <w:szCs w:val="22"/>
              </w:rPr>
              <w:t>Commonwealth acceptance and approval of project plans</w:t>
            </w:r>
          </w:p>
          <w:p w14:paraId="721ED57E" w14:textId="4158331C" w:rsidR="0013354A" w:rsidRPr="00CD7E2E" w:rsidRDefault="0013354A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7F644633" w14:textId="6EB1A57F" w:rsidR="00237AB8" w:rsidRPr="00CD7E2E" w:rsidRDefault="00AC078B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Acceptance and approval by the Commonwealth of w</w:t>
            </w:r>
            <w:r w:rsidR="00237AB8" w:rsidRPr="00CD7E2E">
              <w:rPr>
                <w:color w:val="auto"/>
                <w:sz w:val="22"/>
                <w:szCs w:val="22"/>
              </w:rPr>
              <w:t>ritten confirmation of formal agreements</w:t>
            </w:r>
            <w:r w:rsidR="006E133D">
              <w:rPr>
                <w:color w:val="auto"/>
                <w:sz w:val="22"/>
                <w:szCs w:val="22"/>
              </w:rPr>
              <w:t xml:space="preserve"> (</w:t>
            </w:r>
            <w:r w:rsidR="00343C3A">
              <w:rPr>
                <w:color w:val="auto"/>
                <w:sz w:val="22"/>
                <w:szCs w:val="22"/>
              </w:rPr>
              <w:t>project plans</w:t>
            </w:r>
            <w:r w:rsidR="006E133D">
              <w:rPr>
                <w:color w:val="auto"/>
                <w:sz w:val="22"/>
                <w:szCs w:val="22"/>
              </w:rPr>
              <w:t>)</w:t>
            </w:r>
            <w:r w:rsidR="00343C3A">
              <w:rPr>
                <w:color w:val="auto"/>
                <w:sz w:val="22"/>
                <w:szCs w:val="22"/>
              </w:rPr>
              <w:t>,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 reached between the </w:t>
            </w:r>
            <w:r w:rsidR="00BA0BA9" w:rsidRPr="00CD7E2E">
              <w:rPr>
                <w:color w:val="auto"/>
                <w:sz w:val="22"/>
                <w:szCs w:val="22"/>
              </w:rPr>
              <w:t>Northern</w:t>
            </w:r>
            <w:r w:rsidR="00BA0BA9">
              <w:rPr>
                <w:color w:val="auto"/>
                <w:sz w:val="22"/>
                <w:szCs w:val="22"/>
              </w:rPr>
              <w:t> 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Territory and </w:t>
            </w:r>
            <w:r w:rsidR="004E488C" w:rsidRPr="004E488C">
              <w:rPr>
                <w:color w:val="auto"/>
                <w:sz w:val="22"/>
                <w:szCs w:val="22"/>
              </w:rPr>
              <w:t>Regional Council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 officials for all Tranche 2 projects that include:</w:t>
            </w:r>
          </w:p>
          <w:p w14:paraId="235DA416" w14:textId="77777777" w:rsidR="002E221C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44E603D2" w14:textId="77777777" w:rsidR="00237AB8" w:rsidRPr="00CD7E2E" w:rsidRDefault="00237AB8" w:rsidP="07F3F766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7F3F766">
              <w:rPr>
                <w:color w:val="auto"/>
                <w:sz w:val="22"/>
                <w:szCs w:val="22"/>
              </w:rPr>
              <w:t xml:space="preserve">details of identified projects to be delivered; </w:t>
            </w:r>
          </w:p>
          <w:p w14:paraId="472D5B57" w14:textId="77777777" w:rsidR="00237AB8" w:rsidRPr="00CD7E2E" w:rsidRDefault="00237AB8" w:rsidP="10EE0AA5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>details of anticipated local economic, social and cultural benefits from the projects being delivered;</w:t>
            </w:r>
          </w:p>
          <w:p w14:paraId="32160075" w14:textId="77777777" w:rsidR="00237AB8" w:rsidRPr="00CD7E2E" w:rsidRDefault="00237AB8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partnership with communities within their local government boundary in the delivery of the agreed projects; and</w:t>
            </w:r>
          </w:p>
          <w:p w14:paraId="111C58E8" w14:textId="5A6CAEBE" w:rsidR="00237AB8" w:rsidRPr="00CD7E2E" w:rsidRDefault="00237AB8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participation in regular project oversight meetings.</w:t>
            </w:r>
          </w:p>
          <w:p w14:paraId="16788532" w14:textId="77777777" w:rsidR="002E221C" w:rsidRPr="00CD7E2E" w:rsidRDefault="002E221C" w:rsidP="002E221C">
            <w:pPr>
              <w:pStyle w:val="Milestonetable"/>
              <w:spacing w:before="0" w:after="0"/>
              <w:ind w:left="720"/>
              <w:rPr>
                <w:color w:val="auto"/>
                <w:sz w:val="22"/>
                <w:szCs w:val="22"/>
              </w:rPr>
            </w:pPr>
          </w:p>
          <w:p w14:paraId="49EBE6C0" w14:textId="6A8E229A" w:rsidR="00237AB8" w:rsidRDefault="00237AB8" w:rsidP="10EE0AA5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 xml:space="preserve">When </w:t>
            </w:r>
            <w:r w:rsidR="0075367E">
              <w:rPr>
                <w:color w:val="auto"/>
                <w:sz w:val="22"/>
                <w:szCs w:val="22"/>
              </w:rPr>
              <w:t>the Commonwealth</w:t>
            </w:r>
            <w:r w:rsidR="00343C3A">
              <w:rPr>
                <w:color w:val="auto"/>
                <w:sz w:val="22"/>
                <w:szCs w:val="22"/>
              </w:rPr>
              <w:t xml:space="preserve"> has</w:t>
            </w:r>
            <w:r w:rsidR="0075367E">
              <w:rPr>
                <w:color w:val="auto"/>
                <w:sz w:val="22"/>
                <w:szCs w:val="22"/>
              </w:rPr>
              <w:t xml:space="preserve"> approve</w:t>
            </w:r>
            <w:r w:rsidR="00343C3A">
              <w:rPr>
                <w:color w:val="auto"/>
                <w:sz w:val="22"/>
                <w:szCs w:val="22"/>
              </w:rPr>
              <w:t>d</w:t>
            </w:r>
            <w:r w:rsidR="0075367E">
              <w:rPr>
                <w:color w:val="auto"/>
                <w:sz w:val="22"/>
                <w:szCs w:val="22"/>
              </w:rPr>
              <w:t xml:space="preserve"> </w:t>
            </w:r>
            <w:r w:rsidR="00343C3A">
              <w:rPr>
                <w:color w:val="auto"/>
                <w:sz w:val="22"/>
                <w:szCs w:val="22"/>
              </w:rPr>
              <w:t>p</w:t>
            </w:r>
            <w:r w:rsidRPr="10EE0AA5">
              <w:rPr>
                <w:color w:val="auto"/>
                <w:sz w:val="22"/>
                <w:szCs w:val="22"/>
              </w:rPr>
              <w:t xml:space="preserve">roject </w:t>
            </w:r>
            <w:r w:rsidR="00343C3A">
              <w:rPr>
                <w:color w:val="auto"/>
                <w:sz w:val="22"/>
                <w:szCs w:val="22"/>
              </w:rPr>
              <w:t>p</w:t>
            </w:r>
            <w:r w:rsidRPr="10EE0AA5">
              <w:rPr>
                <w:color w:val="auto"/>
                <w:sz w:val="22"/>
                <w:szCs w:val="22"/>
              </w:rPr>
              <w:t xml:space="preserve">lans, 50% of the approved funding for respective projects will be paid to the Northern Territory Government and provided to the </w:t>
            </w:r>
            <w:r w:rsidR="004E488C">
              <w:rPr>
                <w:color w:val="auto"/>
                <w:sz w:val="22"/>
                <w:szCs w:val="22"/>
              </w:rPr>
              <w:t>R</w:t>
            </w:r>
            <w:r w:rsidRPr="10EE0AA5">
              <w:rPr>
                <w:color w:val="auto"/>
                <w:sz w:val="22"/>
                <w:szCs w:val="22"/>
              </w:rPr>
              <w:t xml:space="preserve">egional </w:t>
            </w:r>
            <w:r w:rsidR="004E488C">
              <w:rPr>
                <w:color w:val="auto"/>
                <w:sz w:val="22"/>
                <w:szCs w:val="22"/>
              </w:rPr>
              <w:t>C</w:t>
            </w:r>
            <w:r w:rsidRPr="10EE0AA5">
              <w:rPr>
                <w:color w:val="auto"/>
                <w:sz w:val="22"/>
                <w:szCs w:val="22"/>
              </w:rPr>
              <w:t>ouncils via an appropriate Northern Territory Government program.</w:t>
            </w:r>
          </w:p>
          <w:p w14:paraId="4162746C" w14:textId="2EEBBA56" w:rsidR="00BA6A73" w:rsidRDefault="00BA6A73" w:rsidP="10EE0AA5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7097F766" w14:textId="5CA69722" w:rsidR="00BA6A73" w:rsidRPr="00CD7E2E" w:rsidRDefault="00BA6A73" w:rsidP="00BA6A73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Publication of a list of approved projects </w:t>
            </w:r>
            <w:r>
              <w:rPr>
                <w:color w:val="auto"/>
                <w:sz w:val="22"/>
                <w:szCs w:val="22"/>
              </w:rPr>
              <w:t xml:space="preserve">may be released </w:t>
            </w:r>
            <w:r w:rsidRPr="00CD7E2E">
              <w:rPr>
                <w:color w:val="auto"/>
                <w:sz w:val="22"/>
                <w:szCs w:val="22"/>
              </w:rPr>
              <w:t xml:space="preserve">on </w:t>
            </w:r>
            <w:r>
              <w:rPr>
                <w:color w:val="auto"/>
                <w:sz w:val="22"/>
                <w:szCs w:val="22"/>
              </w:rPr>
              <w:t xml:space="preserve">relevant Commonwealth and/or </w:t>
            </w:r>
            <w:r w:rsidRPr="00BA6A73">
              <w:rPr>
                <w:color w:val="auto"/>
                <w:sz w:val="22"/>
                <w:szCs w:val="22"/>
              </w:rPr>
              <w:t>Northern Territory Government</w:t>
            </w:r>
            <w:r w:rsidRPr="00CD7E2E">
              <w:rPr>
                <w:color w:val="auto"/>
                <w:sz w:val="22"/>
                <w:szCs w:val="22"/>
              </w:rPr>
              <w:t xml:space="preserve"> websites.</w:t>
            </w:r>
          </w:p>
          <w:p w14:paraId="0AB89DBF" w14:textId="7C2ED2C1" w:rsidR="00210964" w:rsidRPr="00CD7E2E" w:rsidRDefault="00210964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886DC5" w14:textId="69D25F9C" w:rsidR="00237AB8" w:rsidRPr="00CD7E2E" w:rsidRDefault="004B70A1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31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 </w:t>
            </w:r>
            <w:r w:rsidR="00BA0BA9">
              <w:rPr>
                <w:color w:val="auto"/>
                <w:sz w:val="22"/>
                <w:szCs w:val="22"/>
              </w:rPr>
              <w:t xml:space="preserve">August </w:t>
            </w:r>
            <w:r w:rsidR="00237AB8" w:rsidRPr="00CD7E2E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6F12DAD" w14:textId="114E5024" w:rsidR="00495260" w:rsidRPr="00CD7E2E" w:rsidRDefault="006C347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For each </w:t>
            </w:r>
            <w:r w:rsidR="00495260" w:rsidRPr="00CD7E2E">
              <w:rPr>
                <w:color w:val="auto"/>
                <w:sz w:val="22"/>
                <w:szCs w:val="22"/>
              </w:rPr>
              <w:t>P</w:t>
            </w:r>
            <w:r w:rsidRPr="00CD7E2E">
              <w:rPr>
                <w:color w:val="auto"/>
                <w:sz w:val="22"/>
                <w:szCs w:val="22"/>
              </w:rPr>
              <w:t xml:space="preserve">roject, 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50% of </w:t>
            </w:r>
            <w:r w:rsidR="006D5B79" w:rsidRPr="00CD7E2E">
              <w:rPr>
                <w:color w:val="auto"/>
                <w:sz w:val="22"/>
                <w:szCs w:val="22"/>
              </w:rPr>
              <w:t>a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pproved </w:t>
            </w:r>
            <w:r w:rsidRPr="00CD7E2E">
              <w:rPr>
                <w:color w:val="auto"/>
                <w:sz w:val="22"/>
                <w:szCs w:val="22"/>
              </w:rPr>
              <w:t>budget</w:t>
            </w:r>
            <w:r w:rsidR="004A0D47">
              <w:rPr>
                <w:color w:val="auto"/>
                <w:sz w:val="22"/>
                <w:szCs w:val="22"/>
              </w:rPr>
              <w:t xml:space="preserve"> up to</w:t>
            </w:r>
            <w:r w:rsidR="00BA0BA9">
              <w:rPr>
                <w:color w:val="auto"/>
                <w:sz w:val="22"/>
                <w:szCs w:val="22"/>
              </w:rPr>
              <w:t xml:space="preserve"> </w:t>
            </w:r>
            <w:r w:rsidR="002F33E0">
              <w:rPr>
                <w:color w:val="auto"/>
                <w:sz w:val="22"/>
                <w:szCs w:val="22"/>
              </w:rPr>
              <w:t>$1</w:t>
            </w:r>
            <w:r w:rsidR="007F560B">
              <w:rPr>
                <w:color w:val="auto"/>
                <w:sz w:val="22"/>
                <w:szCs w:val="22"/>
              </w:rPr>
              <w:t>5</w:t>
            </w:r>
            <w:r w:rsidR="002F33E0">
              <w:rPr>
                <w:color w:val="auto"/>
                <w:sz w:val="22"/>
                <w:szCs w:val="22"/>
              </w:rPr>
              <w:t>.</w:t>
            </w:r>
            <w:r w:rsidR="007F560B">
              <w:rPr>
                <w:color w:val="auto"/>
                <w:sz w:val="22"/>
                <w:szCs w:val="22"/>
              </w:rPr>
              <w:t>0</w:t>
            </w:r>
            <w:r w:rsidR="00BA0BA9">
              <w:rPr>
                <w:color w:val="auto"/>
                <w:sz w:val="22"/>
                <w:szCs w:val="22"/>
              </w:rPr>
              <w:t>m</w:t>
            </w:r>
          </w:p>
          <w:p w14:paraId="77E8000C" w14:textId="6864E0ED" w:rsidR="00237AB8" w:rsidRPr="00CD7E2E" w:rsidRDefault="00237AB8" w:rsidP="005C74B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 </w:t>
            </w:r>
            <w:r w:rsidR="00D87D3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37AB8" w:rsidRPr="00CD7E2E" w14:paraId="1AC1D5CE" w14:textId="77777777" w:rsidTr="008F3B66">
        <w:tc>
          <w:tcPr>
            <w:tcW w:w="1691" w:type="dxa"/>
            <w:vMerge/>
          </w:tcPr>
          <w:p w14:paraId="0B018F62" w14:textId="77777777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E64A50" w14:textId="77182755" w:rsidR="00237AB8" w:rsidRPr="00CD7E2E" w:rsidRDefault="00237AB8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>Milestone 3a – Interim Project Reports</w:t>
            </w:r>
          </w:p>
          <w:p w14:paraId="074B48DC" w14:textId="77777777" w:rsidR="00BA0BA9" w:rsidRPr="00017977" w:rsidRDefault="00BA0BA9" w:rsidP="00017977">
            <w:pPr>
              <w:widowControl/>
              <w:outlineLvl w:val="1"/>
              <w:rPr>
                <w:rFonts w:ascii="Corbel" w:hAnsi="Corbel"/>
              </w:rPr>
            </w:pPr>
          </w:p>
          <w:p w14:paraId="7EBDC33D" w14:textId="33275742" w:rsidR="00237AB8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Large scale projects (in excess of $2.0m) may require a</w:t>
            </w:r>
            <w:r w:rsidR="004B70A1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25%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progress paymen</w:t>
            </w:r>
            <w:r w:rsidR="004B70A1" w:rsidRPr="00CD7E2E">
              <w:rPr>
                <w:rFonts w:ascii="Corbel" w:eastAsia="Times New Roman" w:hAnsi="Corbel" w:cs="Arial"/>
                <w:iCs/>
                <w:lang w:eastAsia="en-AU"/>
              </w:rPr>
              <w:t>t at 50% completion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to ensure successful project delivery.</w:t>
            </w:r>
            <w:r w:rsidR="00BA01BF">
              <w:rPr>
                <w:rFonts w:ascii="Corbel" w:eastAsia="Times New Roman" w:hAnsi="Corbel" w:cs="Arial"/>
                <w:iCs/>
                <w:lang w:eastAsia="en-AU"/>
              </w:rPr>
              <w:t xml:space="preserve"> </w:t>
            </w:r>
            <w:r w:rsidR="00D122AA">
              <w:rPr>
                <w:rFonts w:ascii="Corbel" w:eastAsia="Times New Roman" w:hAnsi="Corbel" w:cs="Arial"/>
                <w:iCs/>
                <w:lang w:eastAsia="en-AU"/>
              </w:rPr>
              <w:t xml:space="preserve">The Commonwealth may agree that a project is a </w:t>
            </w:r>
            <w:proofErr w:type="gramStart"/>
            <w:r w:rsidR="00D122AA">
              <w:rPr>
                <w:rFonts w:ascii="Corbel" w:eastAsia="Times New Roman" w:hAnsi="Corbel" w:cs="Arial"/>
                <w:iCs/>
                <w:lang w:eastAsia="en-AU"/>
              </w:rPr>
              <w:t>large scale</w:t>
            </w:r>
            <w:proofErr w:type="gramEnd"/>
            <w:r w:rsidR="00D122AA">
              <w:rPr>
                <w:rFonts w:ascii="Corbel" w:eastAsia="Times New Roman" w:hAnsi="Corbel" w:cs="Arial"/>
                <w:iCs/>
                <w:lang w:eastAsia="en-AU"/>
              </w:rPr>
              <w:t xml:space="preserve"> project for the purpose of this milestone.</w:t>
            </w:r>
          </w:p>
          <w:p w14:paraId="2971954C" w14:textId="77777777" w:rsidR="00410544" w:rsidRDefault="00410544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50F7F5BE" w14:textId="04652257" w:rsidR="00237AB8" w:rsidRPr="00CD7E2E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Acceptance by </w:t>
            </w:r>
            <w:r w:rsidR="0075367E"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Commonwealth of an Interim Project Report for large scale projects that includes at a minimum:</w:t>
            </w:r>
          </w:p>
          <w:p w14:paraId="539B5A28" w14:textId="77777777" w:rsidR="00237AB8" w:rsidRPr="00CD7E2E" w:rsidRDefault="00237AB8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lastRenderedPageBreak/>
              <w:t>details of the use/acquittal of Australian Government funds for large scale projects progress, and</w:t>
            </w:r>
          </w:p>
          <w:p w14:paraId="09DE8C19" w14:textId="361F3508" w:rsidR="00237AB8" w:rsidRPr="00CD7E2E" w:rsidRDefault="00237AB8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hAnsi="Corbel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relevant project milestones having been delivered and any changes from the agreements reached at Milestone 2.</w:t>
            </w:r>
          </w:p>
          <w:p w14:paraId="66423D8F" w14:textId="77777777" w:rsidR="002E221C" w:rsidRPr="00CD7E2E" w:rsidRDefault="002E221C" w:rsidP="002E221C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39B14D36" w14:textId="6CD5B900" w:rsidR="00237AB8" w:rsidRPr="00CD7E2E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When an Interim Project Report </w:t>
            </w:r>
            <w:r w:rsidR="0013354A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with evidence of 50% completion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is accepted by </w:t>
            </w:r>
            <w:r w:rsidR="0075367E"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Commonwealth</w:t>
            </w:r>
            <w:r w:rsidR="0075367E">
              <w:rPr>
                <w:rFonts w:ascii="Corbel" w:eastAsia="Times New Roman" w:hAnsi="Corbel" w:cs="Arial"/>
                <w:iCs/>
                <w:lang w:eastAsia="en-AU"/>
              </w:rPr>
              <w:t>,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25% of approved project funding will be paid to the </w:t>
            </w:r>
            <w:r w:rsidR="00BA0BA9" w:rsidRPr="00CD7E2E">
              <w:rPr>
                <w:rFonts w:ascii="Corbel" w:eastAsia="Times New Roman" w:hAnsi="Corbel" w:cs="Arial"/>
                <w:iCs/>
                <w:lang w:eastAsia="en-AU"/>
              </w:rPr>
              <w:t>Northern</w:t>
            </w:r>
            <w:r w:rsidR="00BA0BA9">
              <w:rPr>
                <w:rFonts w:ascii="Corbel" w:eastAsia="Times New Roman" w:hAnsi="Corbel" w:cs="Arial"/>
                <w:iCs/>
                <w:lang w:eastAsia="en-AU"/>
              </w:rPr>
              <w:t> </w:t>
            </w:r>
            <w:r w:rsidR="00BA0BA9" w:rsidRPr="00CD7E2E">
              <w:rPr>
                <w:rFonts w:ascii="Corbel" w:eastAsia="Times New Roman" w:hAnsi="Corbel" w:cs="Arial"/>
                <w:iCs/>
                <w:lang w:eastAsia="en-AU"/>
              </w:rPr>
              <w:t>Territory</w:t>
            </w:r>
            <w:r w:rsidR="00BA0BA9">
              <w:rPr>
                <w:rFonts w:ascii="Corbel" w:eastAsia="Times New Roman" w:hAnsi="Corbel" w:cs="Arial"/>
                <w:iCs/>
                <w:lang w:eastAsia="en-AU"/>
              </w:rPr>
              <w:t> 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Government and provided to the </w:t>
            </w:r>
            <w:r w:rsidR="00D43E36">
              <w:rPr>
                <w:rFonts w:ascii="Corbel" w:eastAsia="Times New Roman" w:hAnsi="Corbel" w:cs="Arial"/>
                <w:iCs/>
                <w:lang w:eastAsia="en-AU"/>
              </w:rPr>
              <w:t>R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egional </w:t>
            </w:r>
            <w:r w:rsidR="00D43E36">
              <w:rPr>
                <w:rFonts w:ascii="Corbel" w:eastAsia="Times New Roman" w:hAnsi="Corbel" w:cs="Arial"/>
                <w:iCs/>
                <w:lang w:eastAsia="en-AU"/>
              </w:rPr>
              <w:t>C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ouncils via an appropriate Northern Territory Government program.</w:t>
            </w:r>
          </w:p>
          <w:p w14:paraId="44614275" w14:textId="77777777" w:rsidR="002E221C" w:rsidRPr="00CD7E2E" w:rsidRDefault="002E221C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21A8875E" w14:textId="77777777" w:rsidR="002E221C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Where possible, the Northern Territory Government should submit Interim Project Reports to</w:t>
            </w:r>
            <w:r w:rsidR="0075367E">
              <w:rPr>
                <w:rFonts w:ascii="Corbel" w:eastAsia="Times New Roman" w:hAnsi="Corbel" w:cs="Arial"/>
                <w:iCs/>
                <w:lang w:eastAsia="en-AU"/>
              </w:rPr>
              <w:t xml:space="preserve"> the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Commonwealth in batches to allow efficient processing and provision of interim project funding.</w:t>
            </w:r>
            <w:r w:rsidR="00F80313">
              <w:rPr>
                <w:rFonts w:ascii="Corbel" w:eastAsia="Times New Roman" w:hAnsi="Corbel" w:cs="Arial"/>
                <w:iCs/>
                <w:lang w:eastAsia="en-AU"/>
              </w:rPr>
              <w:t xml:space="preserve"> </w:t>
            </w:r>
            <w:r w:rsidR="00F80313" w:rsidRPr="00F80313">
              <w:rPr>
                <w:rFonts w:ascii="Corbel" w:eastAsia="Times New Roman" w:hAnsi="Corbel" w:cs="Arial"/>
                <w:iCs/>
                <w:lang w:eastAsia="en-AU"/>
              </w:rPr>
              <w:t>If batching occurs, Project Completion Reports may be submitted to the Commonwealth later than within 3 months of the project completion date, to reduce administrative burden.</w:t>
            </w:r>
          </w:p>
          <w:p w14:paraId="61EBD7F2" w14:textId="5907F756" w:rsidR="008F3B66" w:rsidRPr="00CD7E2E" w:rsidRDefault="008F3B66" w:rsidP="00C64417">
            <w:pPr>
              <w:widowControl/>
              <w:outlineLvl w:val="1"/>
              <w:rPr>
                <w:rFonts w:ascii="Corbel" w:hAnsi="Corbel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C85C1F" w14:textId="5F66FE66" w:rsidR="00237AB8" w:rsidRPr="00CD7E2E" w:rsidRDefault="00BA0BA9" w:rsidP="10EE0AA5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W</w:t>
            </w:r>
            <w:r w:rsidR="004B70A1" w:rsidRPr="10EE0AA5">
              <w:rPr>
                <w:color w:val="auto"/>
                <w:sz w:val="22"/>
                <w:szCs w:val="22"/>
              </w:rPr>
              <w:t>ithin 3 months of 50% project completion</w:t>
            </w:r>
            <w:r w:rsidR="00237AB8" w:rsidRPr="10EE0AA5">
              <w:rPr>
                <w:color w:val="auto"/>
                <w:sz w:val="22"/>
                <w:szCs w:val="22"/>
              </w:rPr>
              <w:t xml:space="preserve"> </w:t>
            </w:r>
            <w:r w:rsidR="000F21B7" w:rsidRPr="10EE0AA5">
              <w:rPr>
                <w:color w:val="auto"/>
                <w:sz w:val="22"/>
                <w:szCs w:val="22"/>
              </w:rPr>
              <w:t>(if required)</w:t>
            </w:r>
          </w:p>
        </w:tc>
        <w:tc>
          <w:tcPr>
            <w:tcW w:w="1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D12DC51" w14:textId="7A5FBF09" w:rsidR="00495260" w:rsidRPr="00CD7E2E" w:rsidRDefault="00237AB8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As required, </w:t>
            </w:r>
          </w:p>
          <w:p w14:paraId="0B1469CB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For each Project,</w:t>
            </w:r>
          </w:p>
          <w:p w14:paraId="3482D8BF" w14:textId="16EAB2F1" w:rsidR="00237AB8" w:rsidRPr="00CD7E2E" w:rsidRDefault="00BB2BB2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25% of </w:t>
            </w:r>
            <w:r w:rsidR="00FD69AC" w:rsidRPr="00CD7E2E">
              <w:rPr>
                <w:color w:val="auto"/>
                <w:sz w:val="22"/>
                <w:szCs w:val="22"/>
              </w:rPr>
              <w:t>a</w:t>
            </w:r>
            <w:r w:rsidRPr="00CD7E2E">
              <w:rPr>
                <w:color w:val="auto"/>
                <w:sz w:val="22"/>
                <w:szCs w:val="22"/>
              </w:rPr>
              <w:t>pproved Project</w:t>
            </w:r>
            <w:r w:rsidR="0004359E" w:rsidRPr="00CD7E2E">
              <w:rPr>
                <w:color w:val="auto"/>
                <w:sz w:val="22"/>
                <w:szCs w:val="22"/>
              </w:rPr>
              <w:t xml:space="preserve"> budget</w:t>
            </w:r>
            <w:r w:rsidRPr="00CD7E2E">
              <w:rPr>
                <w:color w:val="auto"/>
                <w:sz w:val="22"/>
                <w:szCs w:val="22"/>
              </w:rPr>
              <w:t xml:space="preserve"> </w:t>
            </w:r>
            <w:r w:rsidR="00237AB8" w:rsidRPr="00CD7E2E">
              <w:rPr>
                <w:color w:val="auto"/>
                <w:sz w:val="22"/>
                <w:szCs w:val="22"/>
              </w:rPr>
              <w:t>up to $7.5m</w:t>
            </w:r>
          </w:p>
        </w:tc>
      </w:tr>
      <w:tr w:rsidR="00237AB8" w:rsidRPr="00CD7E2E" w14:paraId="01278EA3" w14:textId="77777777" w:rsidTr="008F3B66">
        <w:tc>
          <w:tcPr>
            <w:tcW w:w="1691" w:type="dxa"/>
            <w:vMerge/>
          </w:tcPr>
          <w:p w14:paraId="1933FF14" w14:textId="77777777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CD616D" w14:textId="21EB06F1" w:rsidR="00237AB8" w:rsidRDefault="00237AB8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3b – Project Completion Report </w:t>
            </w:r>
          </w:p>
          <w:p w14:paraId="50761E59" w14:textId="77777777" w:rsidR="00CD7E2E" w:rsidRPr="00CD7E2E" w:rsidRDefault="00CD7E2E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341F9786" w14:textId="055EFAE9" w:rsidR="00237AB8" w:rsidRPr="00CD7E2E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Acceptance</w:t>
            </w:r>
            <w:r w:rsidR="000F21B7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and approval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by the Commonwealth of a </w:t>
            </w:r>
            <w:r w:rsidR="00263A12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Project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Completion Report that includes at a minimum:</w:t>
            </w:r>
          </w:p>
          <w:p w14:paraId="3B04AC26" w14:textId="77777777" w:rsidR="00237AB8" w:rsidRPr="00CD7E2E" w:rsidRDefault="00237AB8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funds, and</w:t>
            </w:r>
          </w:p>
          <w:p w14:paraId="6F4ABB10" w14:textId="77777777" w:rsidR="00210964" w:rsidRPr="008902FD" w:rsidRDefault="00237AB8" w:rsidP="000D1D6C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hAnsi="Corbel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projects having been delivered and any changes from the agreements reached at Milestone 2.</w:t>
            </w:r>
          </w:p>
          <w:p w14:paraId="0680FF5F" w14:textId="77777777" w:rsidR="00410544" w:rsidRDefault="00410544" w:rsidP="00CD7E2E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1EBB7BAB" w14:textId="77777777" w:rsidR="008902FD" w:rsidRPr="00CD7E2E" w:rsidRDefault="008902FD" w:rsidP="008902FD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When a Project Completion Report is accepted and approved by 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Commonwealth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>,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remaining project funding will be paid to the Northern Territory Government and provided to the 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>R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egional 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>C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ouncils via an appropriate Northern Territory Government program.</w:t>
            </w:r>
          </w:p>
          <w:p w14:paraId="3E7AB9E3" w14:textId="77777777" w:rsidR="00FA2552" w:rsidRDefault="00FA2552" w:rsidP="008902FD">
            <w:pPr>
              <w:widowControl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19840200" w14:textId="2EECDF63" w:rsidR="008902FD" w:rsidRDefault="00FA2552" w:rsidP="008902F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</w:pPr>
            <w:r w:rsidRPr="00FA2552">
              <w:rPr>
                <w:rFonts w:ascii="Corbel" w:eastAsia="Times New Roman" w:hAnsi="Corbel" w:cs="Arial"/>
                <w:iCs/>
                <w:lang w:eastAsia="en-AU"/>
              </w:rPr>
              <w:t>Where possible, the Northern Territory Government should submit Interim Project Reports to the Commonwealth in batches to allow efficient processing and provision of interim project funding.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 xml:space="preserve"> </w:t>
            </w:r>
            <w:r w:rsidR="008902FD">
              <w:rPr>
                <w:rFonts w:ascii="Corbel" w:eastAsia="Times New Roman" w:hAnsi="Corbel" w:cs="Arial"/>
                <w:iCs/>
                <w:lang w:eastAsia="en-AU"/>
              </w:rPr>
              <w:t>If batching occurs, Project Completion Reports may be submitted to the Commonwealth later than within 3 months of the project completion date, to reduce administrative burden.</w:t>
            </w:r>
            <w:r w:rsidR="008902FD"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  <w:t xml:space="preserve"> </w:t>
            </w:r>
          </w:p>
          <w:p w14:paraId="31B071BC" w14:textId="77777777" w:rsidR="008F3B66" w:rsidRDefault="008F3B66" w:rsidP="008902F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3D4CF7AF" w14:textId="4154DA62" w:rsidR="008902FD" w:rsidRPr="00CD7E2E" w:rsidRDefault="008902FD" w:rsidP="00017977">
            <w:pPr>
              <w:widowControl/>
              <w:outlineLvl w:val="1"/>
              <w:rPr>
                <w:rFonts w:ascii="Corbel" w:hAnsi="Corbel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C6D229" w14:textId="63851D6C" w:rsidR="00237AB8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Wi</w:t>
            </w:r>
            <w:r w:rsidR="000F21B7" w:rsidRPr="00CD7E2E">
              <w:rPr>
                <w:color w:val="auto"/>
                <w:sz w:val="22"/>
                <w:szCs w:val="22"/>
              </w:rPr>
              <w:t>thin 3 months of project completion date</w:t>
            </w:r>
          </w:p>
        </w:tc>
        <w:tc>
          <w:tcPr>
            <w:tcW w:w="1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43761B" w14:textId="354A16CA" w:rsidR="00495260" w:rsidRPr="00CD7E2E" w:rsidRDefault="0004359E" w:rsidP="10EE0AA5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 xml:space="preserve">For each </w:t>
            </w:r>
            <w:r w:rsidR="00FD69AC" w:rsidRPr="10EE0AA5">
              <w:rPr>
                <w:color w:val="auto"/>
                <w:sz w:val="22"/>
                <w:szCs w:val="22"/>
              </w:rPr>
              <w:t>completed</w:t>
            </w:r>
            <w:r w:rsidR="00495260" w:rsidRPr="10EE0AA5">
              <w:rPr>
                <w:color w:val="auto"/>
                <w:sz w:val="22"/>
                <w:szCs w:val="22"/>
              </w:rPr>
              <w:t xml:space="preserve"> </w:t>
            </w:r>
            <w:r w:rsidR="00FD69AC" w:rsidRPr="10EE0AA5">
              <w:rPr>
                <w:color w:val="auto"/>
                <w:sz w:val="22"/>
                <w:szCs w:val="22"/>
              </w:rPr>
              <w:t>P</w:t>
            </w:r>
            <w:r w:rsidRPr="10EE0AA5">
              <w:rPr>
                <w:color w:val="auto"/>
                <w:sz w:val="22"/>
                <w:szCs w:val="22"/>
              </w:rPr>
              <w:t>roject, r</w:t>
            </w:r>
            <w:r w:rsidR="00BB2BB2" w:rsidRPr="10EE0AA5">
              <w:rPr>
                <w:color w:val="auto"/>
                <w:sz w:val="22"/>
                <w:szCs w:val="22"/>
              </w:rPr>
              <w:t xml:space="preserve">emainder of </w:t>
            </w:r>
            <w:r w:rsidR="00FD69AC" w:rsidRPr="10EE0AA5">
              <w:rPr>
                <w:color w:val="auto"/>
                <w:sz w:val="22"/>
                <w:szCs w:val="22"/>
              </w:rPr>
              <w:t>approved</w:t>
            </w:r>
            <w:r w:rsidR="00BB2BB2" w:rsidRPr="10EE0AA5">
              <w:rPr>
                <w:color w:val="auto"/>
                <w:sz w:val="22"/>
                <w:szCs w:val="22"/>
              </w:rPr>
              <w:t xml:space="preserve"> </w:t>
            </w:r>
            <w:r w:rsidRPr="10EE0AA5">
              <w:rPr>
                <w:color w:val="auto"/>
                <w:sz w:val="22"/>
                <w:szCs w:val="22"/>
              </w:rPr>
              <w:t>budget</w:t>
            </w:r>
            <w:r w:rsidR="00BB2BB2" w:rsidRPr="10EE0AA5">
              <w:rPr>
                <w:color w:val="auto"/>
                <w:sz w:val="22"/>
                <w:szCs w:val="22"/>
              </w:rPr>
              <w:t xml:space="preserve"> </w:t>
            </w:r>
          </w:p>
          <w:p w14:paraId="027943B8" w14:textId="44DF7F73" w:rsidR="00237AB8" w:rsidRPr="00CD7E2E" w:rsidRDefault="000645DD" w:rsidP="0001797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up to $1</w:t>
            </w:r>
            <w:r w:rsidR="007F560B">
              <w:rPr>
                <w:color w:val="auto"/>
                <w:sz w:val="22"/>
                <w:szCs w:val="22"/>
              </w:rPr>
              <w:t>5.0</w:t>
            </w:r>
            <w:r>
              <w:rPr>
                <w:color w:val="auto"/>
                <w:sz w:val="22"/>
                <w:szCs w:val="22"/>
              </w:rPr>
              <w:t>m (</w:t>
            </w:r>
            <w:r w:rsidR="000358D7">
              <w:rPr>
                <w:color w:val="auto"/>
                <w:sz w:val="22"/>
                <w:szCs w:val="22"/>
              </w:rPr>
              <w:t>reduced by any Milestone 3a payments)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B2BB2" w:rsidRPr="00CD7E2E" w14:paraId="3C93EECD" w14:textId="77777777" w:rsidTr="008F3B66">
        <w:tc>
          <w:tcPr>
            <w:tcW w:w="1691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14:paraId="3EA04C4D" w14:textId="194DF689" w:rsidR="00013C74" w:rsidRDefault="00BB2BB2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lastRenderedPageBreak/>
              <w:t>Community Infrastructure P</w:t>
            </w:r>
            <w:r w:rsidR="00590FF2">
              <w:rPr>
                <w:color w:val="auto"/>
              </w:rPr>
              <w:t>ackage</w:t>
            </w:r>
          </w:p>
          <w:p w14:paraId="6597BDCF" w14:textId="0FC90FAC" w:rsidR="00BB2BB2" w:rsidRDefault="00BB2BB2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 xml:space="preserve">Tranche 3 </w:t>
            </w:r>
          </w:p>
          <w:p w14:paraId="084A3B31" w14:textId="77777777" w:rsidR="00B47F49" w:rsidRPr="00013C74" w:rsidRDefault="00B47F49" w:rsidP="00B47F49">
            <w:pPr>
              <w:pStyle w:val="Milestonetable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up to</w:t>
            </w:r>
            <w:r w:rsidRPr="00013C74">
              <w:rPr>
                <w:color w:val="auto"/>
              </w:rPr>
              <w:t xml:space="preserve"> $</w:t>
            </w:r>
            <w:r>
              <w:rPr>
                <w:color w:val="auto"/>
              </w:rPr>
              <w:t>15</w:t>
            </w:r>
            <w:r w:rsidRPr="00013C74">
              <w:rPr>
                <w:color w:val="auto"/>
              </w:rPr>
              <w:t xml:space="preserve">.0m </w:t>
            </w:r>
            <w:r w:rsidRPr="00B47F49">
              <w:rPr>
                <w:color w:val="auto"/>
              </w:rPr>
              <w:t>and any uncommitted funds from Tranches 1 and 2</w:t>
            </w:r>
          </w:p>
          <w:p w14:paraId="0959A0B0" w14:textId="6D0703E7" w:rsidR="00BB2BB2" w:rsidRPr="00CD7E2E" w:rsidRDefault="00B47F49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013C74" w:rsidDel="00B47F49">
              <w:rPr>
                <w:color w:val="auto"/>
              </w:rPr>
              <w:t xml:space="preserve"> </w:t>
            </w:r>
            <w:r w:rsidR="00BB2BB2" w:rsidRPr="00013C74">
              <w:rPr>
                <w:color w:val="auto"/>
              </w:rPr>
              <w:t>(Long Term Projects 2026-27)</w:t>
            </w:r>
          </w:p>
        </w:tc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EA8FD07" w14:textId="6FC94F03" w:rsidR="000F21B7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1 – </w:t>
            </w:r>
            <w:r w:rsidR="000F21B7" w:rsidRPr="00CD7E2E">
              <w:rPr>
                <w:b/>
                <w:color w:val="auto"/>
                <w:sz w:val="22"/>
                <w:szCs w:val="22"/>
              </w:rPr>
              <w:t>Commonwealth acceptance and agreement of eligible Projects</w:t>
            </w:r>
            <w:r w:rsidR="000F21B7"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4A02E01F" w14:textId="66EA6EDC" w:rsidR="00DF1804" w:rsidRPr="00CD7E2E" w:rsidRDefault="00DF1804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27E717F3" w14:textId="4AABDC5E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Written agreement by Commonwealth and Northern Territory ministers of community infrastructure </w:t>
            </w:r>
            <w:r w:rsidR="000F21B7" w:rsidRPr="00CD7E2E">
              <w:rPr>
                <w:color w:val="auto"/>
                <w:sz w:val="22"/>
                <w:szCs w:val="22"/>
              </w:rPr>
              <w:t xml:space="preserve">projects </w:t>
            </w:r>
            <w:r w:rsidRPr="00CD7E2E">
              <w:rPr>
                <w:color w:val="auto"/>
                <w:sz w:val="22"/>
                <w:szCs w:val="22"/>
              </w:rPr>
              <w:t xml:space="preserve">eligible to be supported through Tranche 3 (Long Term Projects). </w:t>
            </w:r>
          </w:p>
          <w:p w14:paraId="678E845D" w14:textId="5411E912" w:rsidR="002E221C" w:rsidRPr="00CD7E2E" w:rsidRDefault="002E221C" w:rsidP="00C64417">
            <w:pPr>
              <w:pStyle w:val="Milestonetable"/>
              <w:spacing w:before="0" w:after="0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78E1BD" w14:textId="1463D639" w:rsidR="00BB2BB2" w:rsidRPr="00CD7E2E" w:rsidRDefault="000F21B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30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 April 2026</w:t>
            </w:r>
          </w:p>
        </w:tc>
        <w:tc>
          <w:tcPr>
            <w:tcW w:w="1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578F675" w14:textId="04C69AB2" w:rsidR="00BB2BB2" w:rsidRPr="00CD7E2E" w:rsidRDefault="00BB2BB2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N/A</w:t>
            </w:r>
          </w:p>
        </w:tc>
      </w:tr>
      <w:tr w:rsidR="00BB2BB2" w:rsidRPr="00CD7E2E" w14:paraId="39E96677" w14:textId="77777777" w:rsidTr="008F3B66">
        <w:tc>
          <w:tcPr>
            <w:tcW w:w="1691" w:type="dxa"/>
            <w:vMerge/>
          </w:tcPr>
          <w:p w14:paraId="123CF189" w14:textId="77777777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0E40A8" w14:textId="3202C466" w:rsidR="000F21B7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2 – </w:t>
            </w:r>
            <w:r w:rsidR="000F21B7" w:rsidRPr="00CD7E2E">
              <w:rPr>
                <w:b/>
                <w:color w:val="auto"/>
                <w:sz w:val="22"/>
                <w:szCs w:val="22"/>
              </w:rPr>
              <w:t>Commonwealth acceptance and approval of project plans</w:t>
            </w:r>
          </w:p>
          <w:p w14:paraId="06F564EE" w14:textId="6A53BBD8" w:rsidR="00BB2BB2" w:rsidRPr="00CD7E2E" w:rsidRDefault="0075367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Acceptance and approval by the Commonwealth of w</w:t>
            </w:r>
            <w:r w:rsidR="00BB2BB2" w:rsidRPr="00CD7E2E">
              <w:rPr>
                <w:color w:val="auto"/>
                <w:sz w:val="22"/>
                <w:szCs w:val="22"/>
              </w:rPr>
              <w:t>ritten confirmation of formal agreements</w:t>
            </w:r>
            <w:r w:rsidR="006E133D">
              <w:rPr>
                <w:color w:val="auto"/>
                <w:sz w:val="22"/>
                <w:szCs w:val="22"/>
              </w:rPr>
              <w:t xml:space="preserve"> (projects </w:t>
            </w:r>
            <w:proofErr w:type="gramStart"/>
            <w:r w:rsidR="006E133D">
              <w:rPr>
                <w:color w:val="auto"/>
                <w:sz w:val="22"/>
                <w:szCs w:val="22"/>
              </w:rPr>
              <w:t>plans</w:t>
            </w:r>
            <w:proofErr w:type="gramEnd"/>
            <w:r w:rsidR="006E133D">
              <w:rPr>
                <w:color w:val="auto"/>
                <w:sz w:val="22"/>
                <w:szCs w:val="22"/>
              </w:rPr>
              <w:t>)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 reached between the </w:t>
            </w:r>
            <w:r w:rsidR="00BA0BA9" w:rsidRPr="00CD7E2E">
              <w:rPr>
                <w:color w:val="auto"/>
                <w:sz w:val="22"/>
                <w:szCs w:val="22"/>
              </w:rPr>
              <w:t>Northern</w:t>
            </w:r>
            <w:r w:rsidR="00BA0BA9">
              <w:rPr>
                <w:color w:val="auto"/>
                <w:sz w:val="22"/>
                <w:szCs w:val="22"/>
              </w:rPr>
              <w:t> 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Territory and </w:t>
            </w:r>
            <w:r w:rsidR="004E488C" w:rsidRPr="004E488C">
              <w:rPr>
                <w:color w:val="auto"/>
                <w:sz w:val="22"/>
                <w:szCs w:val="22"/>
              </w:rPr>
              <w:t>Regional Council</w:t>
            </w:r>
            <w:r w:rsidR="004E488C">
              <w:rPr>
                <w:color w:val="auto"/>
                <w:sz w:val="22"/>
                <w:szCs w:val="22"/>
              </w:rPr>
              <w:t xml:space="preserve"> </w:t>
            </w:r>
            <w:r w:rsidR="00BB2BB2" w:rsidRPr="00CD7E2E">
              <w:rPr>
                <w:color w:val="auto"/>
                <w:sz w:val="22"/>
                <w:szCs w:val="22"/>
              </w:rPr>
              <w:t>officials for all Tranche 3 projects that include:</w:t>
            </w:r>
          </w:p>
          <w:p w14:paraId="6271F969" w14:textId="77777777" w:rsidR="002E221C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0F2DA786" w14:textId="5A77BD55" w:rsidR="00BB2BB2" w:rsidRPr="00CD7E2E" w:rsidRDefault="00BB2BB2" w:rsidP="07F3F766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7F3F766">
              <w:rPr>
                <w:color w:val="auto"/>
                <w:sz w:val="22"/>
                <w:szCs w:val="22"/>
              </w:rPr>
              <w:t xml:space="preserve">details of identified projects to be delivered; </w:t>
            </w:r>
          </w:p>
          <w:p w14:paraId="658087D5" w14:textId="5A77BD55" w:rsidR="00BB2BB2" w:rsidRPr="00CD7E2E" w:rsidRDefault="00BB2BB2" w:rsidP="10EE0AA5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>details of anticipated local economic, social and cultural benefits from the projects being delivered;</w:t>
            </w:r>
          </w:p>
          <w:p w14:paraId="0EE7F383" w14:textId="77777777" w:rsidR="00BB2BB2" w:rsidRPr="00CD7E2E" w:rsidRDefault="00BB2BB2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partnership with communities within their local government boundary in the delivery of the agreed projects; and</w:t>
            </w:r>
          </w:p>
          <w:p w14:paraId="7375A91A" w14:textId="497A0DFB" w:rsidR="00BB2BB2" w:rsidRPr="00CD7E2E" w:rsidRDefault="00BB2BB2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participation in regular project oversight meetings.</w:t>
            </w:r>
          </w:p>
          <w:p w14:paraId="6A77320B" w14:textId="77777777" w:rsidR="002E221C" w:rsidRPr="00CD7E2E" w:rsidRDefault="002E221C" w:rsidP="002E221C">
            <w:pPr>
              <w:pStyle w:val="Milestonetable"/>
              <w:spacing w:before="0" w:after="0"/>
              <w:ind w:left="720"/>
              <w:rPr>
                <w:color w:val="auto"/>
                <w:sz w:val="22"/>
                <w:szCs w:val="22"/>
              </w:rPr>
            </w:pPr>
          </w:p>
          <w:p w14:paraId="5CFAEF69" w14:textId="2E3270BF" w:rsidR="00BB2BB2" w:rsidRDefault="00BB2BB2" w:rsidP="10EE0AA5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 xml:space="preserve">When </w:t>
            </w:r>
            <w:r w:rsidR="0075367E">
              <w:rPr>
                <w:color w:val="auto"/>
                <w:sz w:val="22"/>
                <w:szCs w:val="22"/>
              </w:rPr>
              <w:t>the Commonwealth approve</w:t>
            </w:r>
            <w:r w:rsidR="00343C3A">
              <w:rPr>
                <w:color w:val="auto"/>
                <w:sz w:val="22"/>
                <w:szCs w:val="22"/>
              </w:rPr>
              <w:t>d</w:t>
            </w:r>
            <w:r w:rsidR="0075367E">
              <w:rPr>
                <w:color w:val="auto"/>
                <w:sz w:val="22"/>
                <w:szCs w:val="22"/>
              </w:rPr>
              <w:t xml:space="preserve"> </w:t>
            </w:r>
            <w:r w:rsidR="00343C3A">
              <w:rPr>
                <w:color w:val="auto"/>
                <w:sz w:val="22"/>
                <w:szCs w:val="22"/>
              </w:rPr>
              <w:t>p</w:t>
            </w:r>
            <w:r w:rsidRPr="10EE0AA5">
              <w:rPr>
                <w:color w:val="auto"/>
                <w:sz w:val="22"/>
                <w:szCs w:val="22"/>
              </w:rPr>
              <w:t xml:space="preserve">roject </w:t>
            </w:r>
            <w:r w:rsidR="00343C3A">
              <w:rPr>
                <w:color w:val="auto"/>
                <w:sz w:val="22"/>
                <w:szCs w:val="22"/>
              </w:rPr>
              <w:t>p</w:t>
            </w:r>
            <w:r w:rsidRPr="10EE0AA5">
              <w:rPr>
                <w:color w:val="auto"/>
                <w:sz w:val="22"/>
                <w:szCs w:val="22"/>
              </w:rPr>
              <w:t xml:space="preserve">lans, 50% of the approved funding for respective projects will be paid to the Northern Territory Government and provided to the </w:t>
            </w:r>
            <w:r w:rsidR="00D43E36">
              <w:rPr>
                <w:color w:val="auto"/>
                <w:sz w:val="22"/>
                <w:szCs w:val="22"/>
              </w:rPr>
              <w:t>R</w:t>
            </w:r>
            <w:r w:rsidRPr="10EE0AA5">
              <w:rPr>
                <w:color w:val="auto"/>
                <w:sz w:val="22"/>
                <w:szCs w:val="22"/>
              </w:rPr>
              <w:t xml:space="preserve">egional </w:t>
            </w:r>
            <w:r w:rsidR="00D43E36">
              <w:rPr>
                <w:color w:val="auto"/>
                <w:sz w:val="22"/>
                <w:szCs w:val="22"/>
              </w:rPr>
              <w:t>C</w:t>
            </w:r>
            <w:r w:rsidRPr="10EE0AA5">
              <w:rPr>
                <w:color w:val="auto"/>
                <w:sz w:val="22"/>
                <w:szCs w:val="22"/>
              </w:rPr>
              <w:t>ouncils via an appropriate Northern Territory Government program.</w:t>
            </w:r>
          </w:p>
          <w:p w14:paraId="19AD16C8" w14:textId="5B94A884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7B447D24" w14:textId="77777777" w:rsidR="00BA6A73" w:rsidRPr="00CD7E2E" w:rsidRDefault="00BA6A73" w:rsidP="00BA6A73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Publication of a list of approved projects </w:t>
            </w:r>
            <w:r>
              <w:rPr>
                <w:color w:val="auto"/>
                <w:sz w:val="22"/>
                <w:szCs w:val="22"/>
              </w:rPr>
              <w:t xml:space="preserve">may be released </w:t>
            </w:r>
            <w:r w:rsidRPr="00CD7E2E">
              <w:rPr>
                <w:color w:val="auto"/>
                <w:sz w:val="22"/>
                <w:szCs w:val="22"/>
              </w:rPr>
              <w:t xml:space="preserve">on </w:t>
            </w:r>
            <w:r>
              <w:rPr>
                <w:color w:val="auto"/>
                <w:sz w:val="22"/>
                <w:szCs w:val="22"/>
              </w:rPr>
              <w:t xml:space="preserve">relevant Commonwealth and/or </w:t>
            </w:r>
            <w:r w:rsidRPr="00BA6A73">
              <w:rPr>
                <w:color w:val="auto"/>
                <w:sz w:val="22"/>
                <w:szCs w:val="22"/>
              </w:rPr>
              <w:t>Northern Territory Government</w:t>
            </w:r>
            <w:r w:rsidRPr="00CD7E2E">
              <w:rPr>
                <w:color w:val="auto"/>
                <w:sz w:val="22"/>
                <w:szCs w:val="22"/>
              </w:rPr>
              <w:t xml:space="preserve"> websites.</w:t>
            </w:r>
          </w:p>
          <w:p w14:paraId="0AEF9C33" w14:textId="21BF7486" w:rsidR="00C64417" w:rsidRPr="00CD7E2E" w:rsidRDefault="00C6441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481337" w14:textId="7957F4A4" w:rsidR="00BB2BB2" w:rsidRPr="00CD7E2E" w:rsidRDefault="00045EFF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1 July </w:t>
            </w:r>
            <w:r w:rsidR="000F21B7" w:rsidRPr="00CD7E2E">
              <w:rPr>
                <w:color w:val="auto"/>
                <w:sz w:val="22"/>
                <w:szCs w:val="22"/>
              </w:rPr>
              <w:t>2</w:t>
            </w:r>
            <w:r w:rsidR="00BB2BB2" w:rsidRPr="00CD7E2E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915F1C8" w14:textId="0A5A525B" w:rsidR="00BB2BB2" w:rsidRPr="00CD7E2E" w:rsidRDefault="003A6128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For each </w:t>
            </w:r>
            <w:r w:rsidR="00495260" w:rsidRPr="00CD7E2E">
              <w:rPr>
                <w:color w:val="auto"/>
                <w:sz w:val="22"/>
                <w:szCs w:val="22"/>
              </w:rPr>
              <w:t>P</w:t>
            </w:r>
            <w:r w:rsidRPr="00CD7E2E">
              <w:rPr>
                <w:color w:val="auto"/>
                <w:sz w:val="22"/>
                <w:szCs w:val="22"/>
              </w:rPr>
              <w:t xml:space="preserve">roject, 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50% of </w:t>
            </w:r>
            <w:r w:rsidR="00FD69AC" w:rsidRPr="00CD7E2E">
              <w:rPr>
                <w:color w:val="auto"/>
                <w:sz w:val="22"/>
                <w:szCs w:val="22"/>
              </w:rPr>
              <w:t>a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pproved </w:t>
            </w:r>
            <w:r w:rsidR="00E377B0" w:rsidRPr="00CD7E2E">
              <w:rPr>
                <w:color w:val="auto"/>
                <w:sz w:val="22"/>
                <w:szCs w:val="22"/>
              </w:rPr>
              <w:t>budget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 </w:t>
            </w:r>
            <w:r w:rsidR="00D87D3C">
              <w:rPr>
                <w:color w:val="auto"/>
                <w:sz w:val="22"/>
                <w:szCs w:val="22"/>
              </w:rPr>
              <w:t>up to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 $7.5m</w:t>
            </w:r>
          </w:p>
        </w:tc>
      </w:tr>
    </w:tbl>
    <w:p w14:paraId="5870AA56" w14:textId="77777777" w:rsidR="00210964" w:rsidRDefault="00210964">
      <w:r>
        <w:rPr>
          <w:iCs/>
        </w:rPr>
        <w:br w:type="page"/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761"/>
        <w:gridCol w:w="1587"/>
        <w:gridCol w:w="1899"/>
      </w:tblGrid>
      <w:tr w:rsidR="00017977" w:rsidRPr="00CD7E2E" w14:paraId="48B2A24E" w14:textId="77777777" w:rsidTr="00017977">
        <w:tc>
          <w:tcPr>
            <w:tcW w:w="1691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14:paraId="2954AFA0" w14:textId="51595A1F" w:rsidR="00013C74" w:rsidRDefault="00C6441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CD7E2E">
              <w:rPr>
                <w:rFonts w:eastAsiaTheme="minorHAnsi" w:cstheme="minorBidi"/>
                <w:iCs w:val="0"/>
                <w:color w:val="auto"/>
                <w:sz w:val="22"/>
                <w:szCs w:val="22"/>
                <w:lang w:eastAsia="en-US"/>
              </w:rPr>
              <w:lastRenderedPageBreak/>
              <w:br w:type="page"/>
            </w:r>
            <w:r w:rsidRPr="00013C74">
              <w:rPr>
                <w:color w:val="auto"/>
              </w:rPr>
              <w:t>Community Infrastructure P</w:t>
            </w:r>
            <w:r w:rsidR="00590FF2">
              <w:rPr>
                <w:color w:val="auto"/>
              </w:rPr>
              <w:t>ackage</w:t>
            </w:r>
          </w:p>
          <w:p w14:paraId="425515FC" w14:textId="77777777" w:rsidR="006D43FD" w:rsidRDefault="00C6441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Tranche 3</w:t>
            </w:r>
          </w:p>
          <w:p w14:paraId="117575E6" w14:textId="69D91CB2" w:rsidR="00C64417" w:rsidRPr="00013C74" w:rsidRDefault="00B47F49" w:rsidP="00C64417">
            <w:pPr>
              <w:pStyle w:val="Milestonetable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up to</w:t>
            </w:r>
            <w:r w:rsidR="006D43FD" w:rsidRPr="00013C74">
              <w:rPr>
                <w:color w:val="auto"/>
              </w:rPr>
              <w:t xml:space="preserve"> $</w:t>
            </w:r>
            <w:r w:rsidR="006D43FD">
              <w:rPr>
                <w:color w:val="auto"/>
              </w:rPr>
              <w:t>15</w:t>
            </w:r>
            <w:r w:rsidR="006D43FD" w:rsidRPr="00013C74">
              <w:rPr>
                <w:color w:val="auto"/>
              </w:rPr>
              <w:t>.0m</w:t>
            </w:r>
            <w:r w:rsidR="00C64417" w:rsidRPr="00013C74">
              <w:rPr>
                <w:color w:val="auto"/>
              </w:rPr>
              <w:t xml:space="preserve"> </w:t>
            </w:r>
            <w:r w:rsidRPr="00B47F49">
              <w:rPr>
                <w:color w:val="auto"/>
              </w:rPr>
              <w:t>and any uncommitted funds from Tranches 1 and 2</w:t>
            </w:r>
          </w:p>
          <w:p w14:paraId="4A0CB0C8" w14:textId="6238A0A4" w:rsidR="00BB2BB2" w:rsidRPr="00CD7E2E" w:rsidRDefault="00C6441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013C74">
              <w:rPr>
                <w:color w:val="auto"/>
              </w:rPr>
              <w:t>(Long Term Projects 2026-27)</w:t>
            </w: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E6C26B" w14:textId="6A2B2B59" w:rsidR="00BB2BB2" w:rsidRPr="00CD7E2E" w:rsidRDefault="00BB2BB2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>Milestone 3a – Interim Project Reports</w:t>
            </w:r>
          </w:p>
          <w:p w14:paraId="152AD2C5" w14:textId="77777777" w:rsidR="002E221C" w:rsidRPr="00CD7E2E" w:rsidRDefault="002E221C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26BD73F1" w14:textId="35F61B4E" w:rsidR="00BB2BB2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Large scale projects (in excess of $2.0m) may require a progress payment to ensure successful project delivery.</w:t>
            </w:r>
            <w:r w:rsidR="00D122AA">
              <w:rPr>
                <w:rFonts w:ascii="Corbel" w:eastAsia="Times New Roman" w:hAnsi="Corbel" w:cs="Arial"/>
                <w:iCs/>
                <w:lang w:eastAsia="en-AU"/>
              </w:rPr>
              <w:t xml:space="preserve"> The Commonwealth may agree that a project is a </w:t>
            </w:r>
            <w:proofErr w:type="gramStart"/>
            <w:r w:rsidR="00D122AA">
              <w:rPr>
                <w:rFonts w:ascii="Corbel" w:eastAsia="Times New Roman" w:hAnsi="Corbel" w:cs="Arial"/>
                <w:iCs/>
                <w:lang w:eastAsia="en-AU"/>
              </w:rPr>
              <w:t>large scale</w:t>
            </w:r>
            <w:proofErr w:type="gramEnd"/>
            <w:r w:rsidR="00D122AA">
              <w:rPr>
                <w:rFonts w:ascii="Corbel" w:eastAsia="Times New Roman" w:hAnsi="Corbel" w:cs="Arial"/>
                <w:iCs/>
                <w:lang w:eastAsia="en-AU"/>
              </w:rPr>
              <w:t xml:space="preserve"> project for the purpose of this milestone.</w:t>
            </w:r>
          </w:p>
          <w:p w14:paraId="5B778E42" w14:textId="77777777" w:rsidR="0075367E" w:rsidRPr="00CD7E2E" w:rsidRDefault="0075367E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4D159BB3" w14:textId="09AF5F04" w:rsidR="00BB2BB2" w:rsidRPr="00CD7E2E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Acceptance by </w:t>
            </w:r>
            <w:r w:rsidR="0075367E"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Commonwealth of an Interim Project Report for large scale projects that includes at a minimum:</w:t>
            </w:r>
          </w:p>
          <w:p w14:paraId="2A6C8D2D" w14:textId="77777777" w:rsidR="002E221C" w:rsidRPr="00CD7E2E" w:rsidRDefault="002E221C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5102EFE1" w14:textId="77777777" w:rsidR="00BB2BB2" w:rsidRPr="00CD7E2E" w:rsidRDefault="00BB2BB2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 for large scale projects progress, and</w:t>
            </w:r>
          </w:p>
          <w:p w14:paraId="44DDFF43" w14:textId="47870512" w:rsidR="006E52A6" w:rsidRPr="006E52A6" w:rsidRDefault="00BB2BB2" w:rsidP="006E52A6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hAnsi="Corbel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relevant project milestones having been delivered and any changes from the agreements reached at Milestone 2.</w:t>
            </w:r>
          </w:p>
          <w:p w14:paraId="21DA50F1" w14:textId="77777777" w:rsidR="006E52A6" w:rsidRPr="006E52A6" w:rsidRDefault="006E52A6" w:rsidP="006E52A6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79BF05AB" w14:textId="5B61434E" w:rsidR="00BB2BB2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When an Interim Project Report</w:t>
            </w:r>
            <w:r w:rsidR="0013354A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with evidence of 50% completion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is accepted by </w:t>
            </w:r>
            <w:r w:rsidR="00812CD8"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Commonwealth 25% of approved project funding will be paid to the Northern Territory Government and provided to the </w:t>
            </w:r>
            <w:r w:rsidR="00D43E36">
              <w:rPr>
                <w:rFonts w:ascii="Corbel" w:eastAsia="Times New Roman" w:hAnsi="Corbel" w:cs="Arial"/>
                <w:iCs/>
                <w:lang w:eastAsia="en-AU"/>
              </w:rPr>
              <w:t>R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egional </w:t>
            </w:r>
            <w:r w:rsidR="00D43E36">
              <w:rPr>
                <w:rFonts w:ascii="Corbel" w:eastAsia="Times New Roman" w:hAnsi="Corbel" w:cs="Arial"/>
                <w:iCs/>
                <w:lang w:eastAsia="en-AU"/>
              </w:rPr>
              <w:t>C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ouncils via an appropriate Northern Territory Government program.</w:t>
            </w:r>
          </w:p>
          <w:p w14:paraId="7BA2B1E6" w14:textId="77777777" w:rsidR="006E52A6" w:rsidRPr="00CD7E2E" w:rsidRDefault="006E52A6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4B150B1B" w14:textId="3D5FFDCC" w:rsidR="00BB2BB2" w:rsidRPr="00CD7E2E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Where possible, the Northern Territory Government should submit Interim Project Reports to </w:t>
            </w:r>
            <w:r w:rsidR="0075367E"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Commonwealth in batches to allow efficient processing and provision of interim project funding.</w:t>
            </w:r>
            <w:r w:rsidR="00D43E36">
              <w:rPr>
                <w:rFonts w:ascii="Corbel" w:eastAsia="Times New Roman" w:hAnsi="Corbel" w:cs="Arial"/>
                <w:iCs/>
                <w:lang w:eastAsia="en-AU"/>
              </w:rPr>
              <w:t xml:space="preserve"> </w:t>
            </w:r>
            <w:r w:rsidR="00F80313" w:rsidRPr="00F80313">
              <w:rPr>
                <w:rFonts w:ascii="Corbel" w:eastAsia="Times New Roman" w:hAnsi="Corbel" w:cs="Arial"/>
                <w:iCs/>
                <w:lang w:eastAsia="en-AU"/>
              </w:rPr>
              <w:t>If batching occurs, Project Completion Reports may be submitted to the Commonwealth later than within 3 months of the project completion date, to reduce administrative burden.</w:t>
            </w:r>
          </w:p>
          <w:p w14:paraId="30497692" w14:textId="75369C3F" w:rsidR="002E221C" w:rsidRPr="00CD7E2E" w:rsidRDefault="002E221C" w:rsidP="00C64417">
            <w:pPr>
              <w:widowControl/>
              <w:outlineLvl w:val="1"/>
              <w:rPr>
                <w:rFonts w:ascii="Corbel" w:hAnsi="Corbel"/>
              </w:rPr>
            </w:pPr>
          </w:p>
        </w:tc>
        <w:tc>
          <w:tcPr>
            <w:tcW w:w="15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D5685DA" w14:textId="5A77BD55" w:rsidR="00BB2BB2" w:rsidRPr="00CD7E2E" w:rsidRDefault="0013354A" w:rsidP="10EE0AA5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>within 3 months of 50% project completion (if required)</w:t>
            </w:r>
          </w:p>
        </w:tc>
        <w:tc>
          <w:tcPr>
            <w:tcW w:w="1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88A512" w14:textId="447C8506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As required, </w:t>
            </w:r>
          </w:p>
          <w:p w14:paraId="073164F5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For each Project,</w:t>
            </w:r>
          </w:p>
          <w:p w14:paraId="0CFAAE13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25% of approved Project budget </w:t>
            </w:r>
          </w:p>
          <w:p w14:paraId="53DD5464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</w:p>
          <w:p w14:paraId="4B59A242" w14:textId="07F4C2AE" w:rsidR="00BB2BB2" w:rsidRPr="00CD7E2E" w:rsidRDefault="00FD69AC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up to $3.75m</w:t>
            </w:r>
          </w:p>
        </w:tc>
      </w:tr>
      <w:tr w:rsidR="00BB2BB2" w:rsidRPr="00CD7E2E" w14:paraId="6CA2A8E2" w14:textId="77777777" w:rsidTr="00017977">
        <w:tc>
          <w:tcPr>
            <w:tcW w:w="1691" w:type="dxa"/>
            <w:vMerge/>
          </w:tcPr>
          <w:p w14:paraId="08096C7F" w14:textId="77777777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93F5A9" w14:textId="3100FE47" w:rsidR="00BB2BB2" w:rsidRPr="00CD7E2E" w:rsidRDefault="00BB2BB2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3b – Project Completion Report </w:t>
            </w:r>
          </w:p>
          <w:p w14:paraId="0E27C2A0" w14:textId="77777777" w:rsidR="002E221C" w:rsidRPr="00CD7E2E" w:rsidRDefault="002E221C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03445713" w14:textId="4F5FF961" w:rsidR="00BB2BB2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Acceptance by the Commonwealth of a </w:t>
            </w:r>
            <w:r w:rsidR="00EF64C5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Project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Completion Report that includes at a minimum:</w:t>
            </w:r>
          </w:p>
          <w:p w14:paraId="2FEED12F" w14:textId="77777777" w:rsidR="006E52A6" w:rsidRPr="00CD7E2E" w:rsidRDefault="006E52A6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6FCD1EFC" w14:textId="77777777" w:rsidR="00BB2BB2" w:rsidRPr="00CD7E2E" w:rsidRDefault="00BB2BB2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funds, and</w:t>
            </w:r>
          </w:p>
          <w:p w14:paraId="4F593CE0" w14:textId="77777777" w:rsidR="00BB2BB2" w:rsidRPr="008902FD" w:rsidRDefault="00BB2BB2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hAnsi="Corbel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projects having been delivered and any changes from the agreements reached at Milestone 2.</w:t>
            </w:r>
          </w:p>
          <w:p w14:paraId="54C22187" w14:textId="77777777" w:rsidR="008902FD" w:rsidRDefault="008902FD" w:rsidP="008902FD">
            <w:pPr>
              <w:widowControl/>
              <w:outlineLvl w:val="1"/>
              <w:rPr>
                <w:rFonts w:ascii="Corbel" w:hAnsi="Corbel"/>
              </w:rPr>
            </w:pPr>
          </w:p>
          <w:p w14:paraId="27DA1307" w14:textId="77777777" w:rsidR="00223B4A" w:rsidRDefault="008902FD" w:rsidP="00223B4A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When a Project Completion Report is accepted and approved by 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 xml:space="preserve">the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Commonwealth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>,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remaining project funding will be paid to the Northern Territory Government and provided to the 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>R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egional 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>C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ouncils via an appropriate Northern Territory Government program.</w:t>
            </w:r>
            <w:r w:rsidR="00223B4A">
              <w:rPr>
                <w:rFonts w:ascii="Corbel" w:eastAsia="Times New Roman" w:hAnsi="Corbel" w:cs="Arial"/>
                <w:iCs/>
                <w:lang w:eastAsia="en-AU"/>
              </w:rPr>
              <w:t xml:space="preserve"> </w:t>
            </w:r>
          </w:p>
          <w:p w14:paraId="769779C1" w14:textId="77777777" w:rsidR="00223B4A" w:rsidRDefault="00223B4A" w:rsidP="00223B4A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5BF6E827" w14:textId="602804CF" w:rsidR="008902FD" w:rsidRDefault="00223B4A" w:rsidP="008F3B66">
            <w:pPr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</w:pPr>
            <w:r w:rsidRPr="00223B4A">
              <w:rPr>
                <w:rFonts w:ascii="Corbel" w:eastAsia="Times New Roman" w:hAnsi="Corbel" w:cs="Arial"/>
                <w:iCs/>
                <w:lang w:eastAsia="en-AU"/>
              </w:rPr>
              <w:t>Where possible, the Northern Territory Government should submit Interim Project Reports to the Commonwealth in batches to allow efficient processing and provision of interim project funding.</w:t>
            </w:r>
            <w:r>
              <w:rPr>
                <w:rFonts w:ascii="Corbel" w:eastAsia="Times New Roman" w:hAnsi="Corbel" w:cs="Arial"/>
                <w:iCs/>
                <w:lang w:eastAsia="en-AU"/>
              </w:rPr>
              <w:t xml:space="preserve"> </w:t>
            </w:r>
            <w:r w:rsidR="008902FD">
              <w:rPr>
                <w:rFonts w:ascii="Corbel" w:eastAsia="Times New Roman" w:hAnsi="Corbel" w:cs="Arial"/>
                <w:iCs/>
                <w:lang w:eastAsia="en-AU"/>
              </w:rPr>
              <w:t>If batching occurs, Project Completion Reports may be submitted to the Commonwealth later than within 3 months of the project completion date, to reduce administrative burden.</w:t>
            </w:r>
            <w:r w:rsidR="008902FD"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  <w:t xml:space="preserve"> </w:t>
            </w:r>
          </w:p>
          <w:p w14:paraId="2B2A9466" w14:textId="2D814F0B" w:rsidR="008902FD" w:rsidRPr="00CD7E2E" w:rsidRDefault="008902FD" w:rsidP="00017977">
            <w:pPr>
              <w:widowControl/>
              <w:outlineLvl w:val="1"/>
              <w:rPr>
                <w:rFonts w:ascii="Corbel" w:hAnsi="Corbel"/>
              </w:rPr>
            </w:pPr>
          </w:p>
        </w:tc>
        <w:tc>
          <w:tcPr>
            <w:tcW w:w="15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B8BD85C" w14:textId="26622145" w:rsidR="00BB2BB2" w:rsidRPr="00CD7E2E" w:rsidRDefault="00045EFF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lastRenderedPageBreak/>
              <w:t>within 3 months of project completion date</w:t>
            </w:r>
          </w:p>
        </w:tc>
        <w:tc>
          <w:tcPr>
            <w:tcW w:w="1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650804" w14:textId="5A77BD55" w:rsidR="00495260" w:rsidRPr="00CD7E2E" w:rsidRDefault="00495260" w:rsidP="10EE0AA5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10EE0AA5">
              <w:rPr>
                <w:color w:val="auto"/>
                <w:sz w:val="22"/>
                <w:szCs w:val="22"/>
              </w:rPr>
              <w:t>For each completed Project, remainder of approved budget</w:t>
            </w:r>
          </w:p>
          <w:p w14:paraId="77C4048A" w14:textId="77777777" w:rsidR="000358D7" w:rsidRDefault="000358D7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</w:p>
          <w:p w14:paraId="5EF809F3" w14:textId="40843A4C" w:rsidR="002E221C" w:rsidRPr="00CD7E2E" w:rsidRDefault="000358D7" w:rsidP="00D87D3C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up to $7.5m (reduced by any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Milestone 3a payments)  </w:t>
            </w:r>
          </w:p>
        </w:tc>
      </w:tr>
    </w:tbl>
    <w:p w14:paraId="52D3A66A" w14:textId="77777777" w:rsidR="00210964" w:rsidRDefault="00210964" w:rsidP="00495260">
      <w:pPr>
        <w:rPr>
          <w:color w:val="FF0000"/>
          <w:sz w:val="20"/>
          <w:lang w:val="en-GB"/>
        </w:rPr>
      </w:pPr>
    </w:p>
    <w:p w14:paraId="529DEEE6" w14:textId="10EE76F0" w:rsidR="00D130F5" w:rsidRPr="00EF3926" w:rsidRDefault="00590405" w:rsidP="00495260">
      <w:pPr>
        <w:rPr>
          <w:i/>
          <w:sz w:val="18"/>
          <w:szCs w:val="18"/>
        </w:rPr>
      </w:pPr>
      <w:r w:rsidRPr="00EF3926">
        <w:rPr>
          <w:i/>
          <w:sz w:val="18"/>
          <w:szCs w:val="18"/>
        </w:rPr>
        <w:t xml:space="preserve">*Actual </w:t>
      </w:r>
      <w:r w:rsidR="00237AB8" w:rsidRPr="00EF3926">
        <w:rPr>
          <w:i/>
          <w:sz w:val="18"/>
          <w:szCs w:val="18"/>
        </w:rPr>
        <w:t xml:space="preserve">Project </w:t>
      </w:r>
      <w:r w:rsidRPr="00EF3926">
        <w:rPr>
          <w:i/>
          <w:sz w:val="18"/>
          <w:szCs w:val="18"/>
        </w:rPr>
        <w:t>payment</w:t>
      </w:r>
      <w:r w:rsidR="00237AB8" w:rsidRPr="00EF3926">
        <w:rPr>
          <w:i/>
          <w:sz w:val="18"/>
          <w:szCs w:val="18"/>
        </w:rPr>
        <w:t>s</w:t>
      </w:r>
      <w:r w:rsidRPr="00EF3926">
        <w:rPr>
          <w:i/>
          <w:sz w:val="18"/>
          <w:szCs w:val="18"/>
        </w:rPr>
        <w:t xml:space="preserve"> </w:t>
      </w:r>
      <w:r w:rsidR="00237AB8" w:rsidRPr="00EF3926">
        <w:rPr>
          <w:i/>
          <w:sz w:val="18"/>
          <w:szCs w:val="18"/>
        </w:rPr>
        <w:t>provided</w:t>
      </w:r>
      <w:r w:rsidRPr="00EF3926">
        <w:rPr>
          <w:i/>
          <w:sz w:val="18"/>
          <w:szCs w:val="18"/>
        </w:rPr>
        <w:t xml:space="preserve"> to the Northern Territory </w:t>
      </w:r>
      <w:r w:rsidR="00237AB8" w:rsidRPr="00EF3926">
        <w:rPr>
          <w:i/>
          <w:sz w:val="18"/>
          <w:szCs w:val="18"/>
        </w:rPr>
        <w:t xml:space="preserve">and made to the </w:t>
      </w:r>
      <w:r w:rsidR="00D43E36">
        <w:rPr>
          <w:i/>
          <w:sz w:val="18"/>
          <w:szCs w:val="18"/>
        </w:rPr>
        <w:t>Regional Councils</w:t>
      </w:r>
      <w:r w:rsidR="00237AB8" w:rsidRPr="00EF3926">
        <w:rPr>
          <w:i/>
          <w:sz w:val="18"/>
          <w:szCs w:val="18"/>
        </w:rPr>
        <w:t xml:space="preserve"> will be as follows:</w:t>
      </w:r>
    </w:p>
    <w:p w14:paraId="0CE25E85" w14:textId="77777777" w:rsidR="00BB2BB2" w:rsidRPr="00EF3926" w:rsidRDefault="00BB2BB2" w:rsidP="00495260">
      <w:pPr>
        <w:pStyle w:val="ListParagraph"/>
        <w:numPr>
          <w:ilvl w:val="0"/>
          <w:numId w:val="3"/>
        </w:numPr>
        <w:rPr>
          <w:i/>
          <w:sz w:val="18"/>
          <w:szCs w:val="18"/>
          <w:lang w:val="en-GB"/>
        </w:rPr>
      </w:pPr>
      <w:r w:rsidRPr="00EF3926">
        <w:rPr>
          <w:i/>
          <w:sz w:val="18"/>
          <w:szCs w:val="18"/>
          <w:lang w:val="en-GB"/>
        </w:rPr>
        <w:t>50% on Approval of Project Plans; and</w:t>
      </w:r>
    </w:p>
    <w:p w14:paraId="2B589C14" w14:textId="12A7B45D" w:rsidR="00237AB8" w:rsidRDefault="00BB2BB2" w:rsidP="00495260">
      <w:pPr>
        <w:pStyle w:val="ListParagraph"/>
        <w:numPr>
          <w:ilvl w:val="0"/>
          <w:numId w:val="3"/>
        </w:numPr>
        <w:rPr>
          <w:i/>
          <w:sz w:val="18"/>
          <w:szCs w:val="18"/>
          <w:lang w:val="en-GB"/>
        </w:rPr>
      </w:pPr>
      <w:r w:rsidRPr="00EF3926">
        <w:rPr>
          <w:i/>
          <w:sz w:val="18"/>
          <w:szCs w:val="18"/>
          <w:lang w:val="en-GB"/>
        </w:rPr>
        <w:t>50% on Acceptance of Project Completion Report</w:t>
      </w:r>
      <w:r w:rsidR="00495260" w:rsidRPr="00EF3926">
        <w:rPr>
          <w:i/>
          <w:sz w:val="18"/>
          <w:szCs w:val="18"/>
          <w:lang w:val="en-GB"/>
        </w:rPr>
        <w:t xml:space="preserve"> (or 25% at 50% completion and 25% at Acceptance of Project Completion Report for Large Scale Projects in excess of $2.0m</w:t>
      </w:r>
      <w:r w:rsidR="00B25449">
        <w:rPr>
          <w:i/>
          <w:sz w:val="18"/>
          <w:szCs w:val="18"/>
          <w:lang w:val="en-GB"/>
        </w:rPr>
        <w:t xml:space="preserve"> if required</w:t>
      </w:r>
      <w:r w:rsidR="00495260" w:rsidRPr="00EF3926">
        <w:rPr>
          <w:i/>
          <w:sz w:val="18"/>
          <w:szCs w:val="18"/>
          <w:lang w:val="en-GB"/>
        </w:rPr>
        <w:t>)</w:t>
      </w:r>
    </w:p>
    <w:p w14:paraId="632E243F" w14:textId="0D824C28" w:rsidR="006B6EAD" w:rsidRPr="001E5B82" w:rsidRDefault="006F021C" w:rsidP="001E5B82">
      <w:pPr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The payment amounts </w:t>
      </w:r>
      <w:r w:rsidR="009F435A">
        <w:rPr>
          <w:i/>
          <w:sz w:val="18"/>
          <w:szCs w:val="18"/>
          <w:lang w:val="en-GB"/>
        </w:rPr>
        <w:t xml:space="preserve">are subject to </w:t>
      </w:r>
      <w:r w:rsidR="00977893">
        <w:rPr>
          <w:i/>
          <w:sz w:val="18"/>
          <w:szCs w:val="18"/>
          <w:lang w:val="en-GB"/>
        </w:rPr>
        <w:t xml:space="preserve">adjustment for </w:t>
      </w:r>
      <w:r>
        <w:rPr>
          <w:i/>
          <w:sz w:val="18"/>
          <w:szCs w:val="18"/>
          <w:lang w:val="en-GB"/>
        </w:rPr>
        <w:t xml:space="preserve">movements of uncommitted </w:t>
      </w:r>
      <w:r w:rsidR="00BD4FF2">
        <w:rPr>
          <w:i/>
          <w:sz w:val="18"/>
          <w:szCs w:val="18"/>
          <w:lang w:val="en-GB"/>
        </w:rPr>
        <w:t xml:space="preserve">and/or unspent </w:t>
      </w:r>
      <w:r>
        <w:rPr>
          <w:i/>
          <w:sz w:val="18"/>
          <w:szCs w:val="18"/>
          <w:lang w:val="en-GB"/>
        </w:rPr>
        <w:t xml:space="preserve">funds </w:t>
      </w:r>
      <w:r w:rsidR="002815EB">
        <w:rPr>
          <w:i/>
          <w:sz w:val="18"/>
          <w:szCs w:val="18"/>
          <w:lang w:val="en-GB"/>
        </w:rPr>
        <w:t>from Tranche 1 and Tranche 2 projects to Tranche 2 or Tranche 3 projects</w:t>
      </w:r>
      <w:r w:rsidR="00D250A7">
        <w:rPr>
          <w:i/>
          <w:sz w:val="18"/>
          <w:szCs w:val="18"/>
          <w:lang w:val="en-GB"/>
        </w:rPr>
        <w:t xml:space="preserve">, as per the Estimated financial contributions </w:t>
      </w:r>
      <w:r w:rsidR="00017977">
        <w:rPr>
          <w:i/>
          <w:sz w:val="18"/>
          <w:szCs w:val="18"/>
          <w:lang w:val="en-GB"/>
        </w:rPr>
        <w:t xml:space="preserve">and Additional terms </w:t>
      </w:r>
      <w:r w:rsidR="00D250A7">
        <w:rPr>
          <w:i/>
          <w:sz w:val="18"/>
          <w:szCs w:val="18"/>
          <w:lang w:val="en-GB"/>
        </w:rPr>
        <w:t>section</w:t>
      </w:r>
      <w:r w:rsidR="00017977">
        <w:rPr>
          <w:i/>
          <w:sz w:val="18"/>
          <w:szCs w:val="18"/>
          <w:lang w:val="en-GB"/>
        </w:rPr>
        <w:t>s</w:t>
      </w:r>
      <w:r w:rsidR="002815EB">
        <w:rPr>
          <w:i/>
          <w:sz w:val="18"/>
          <w:szCs w:val="18"/>
          <w:lang w:val="en-GB"/>
        </w:rPr>
        <w:t>.</w:t>
      </w:r>
    </w:p>
    <w:p w14:paraId="1405F65C" w14:textId="0D0689C5" w:rsidR="00CD7E2E" w:rsidRDefault="00CD7E2E" w:rsidP="00CD7E2E">
      <w:pPr>
        <w:widowControl/>
        <w:spacing w:after="160" w:line="259" w:lineRule="auto"/>
        <w:rPr>
          <w:lang w:val="en-GB"/>
        </w:rPr>
      </w:pPr>
    </w:p>
    <w:tbl>
      <w:tblPr>
        <w:tblpPr w:leftFromText="180" w:rightFromText="180" w:vertAnchor="text" w:horzAnchor="margin" w:tblpY="580"/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CD7E2E" w:rsidRPr="00A50751" w14:paraId="3D40D27B" w14:textId="77777777" w:rsidTr="00CD7E2E">
        <w:trPr>
          <w:cantSplit/>
        </w:trPr>
        <w:tc>
          <w:tcPr>
            <w:tcW w:w="4536" w:type="dxa"/>
          </w:tcPr>
          <w:p w14:paraId="48F781CD" w14:textId="77777777" w:rsidR="00CD7E2E" w:rsidRPr="004A0AE7" w:rsidRDefault="00CD7E2E" w:rsidP="00CD7E2E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t>Commonwealth of Australia by</w:t>
            </w:r>
          </w:p>
          <w:p w14:paraId="5A3B796D" w14:textId="77777777" w:rsidR="00CD7E2E" w:rsidRPr="00487E19" w:rsidRDefault="00CD7E2E" w:rsidP="00CD7E2E">
            <w:pPr>
              <w:pStyle w:val="LineForSignature"/>
              <w:rPr>
                <w:color w:val="FF0000"/>
              </w:rPr>
            </w:pPr>
            <w:r w:rsidRPr="00487E19">
              <w:rPr>
                <w:color w:val="FF0000"/>
              </w:rPr>
              <w:br/>
            </w:r>
            <w:r w:rsidRPr="006F4465">
              <w:rPr>
                <w:color w:val="auto"/>
              </w:rPr>
              <w:tab/>
            </w:r>
          </w:p>
          <w:p w14:paraId="36AE3047" w14:textId="77777777" w:rsidR="00CD7E2E" w:rsidRDefault="00CD7E2E" w:rsidP="00CD7E2E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>The Honourable Catherine King MP</w:t>
            </w:r>
          </w:p>
          <w:p w14:paraId="537ED9ED" w14:textId="77777777" w:rsidR="00CD7E2E" w:rsidRDefault="00CD7E2E" w:rsidP="00CD7E2E">
            <w:pPr>
              <w:pStyle w:val="Position"/>
              <w:jc w:val="left"/>
              <w:rPr>
                <w:lang w:val="en-GB"/>
              </w:rPr>
            </w:pPr>
            <w:r>
              <w:rPr>
                <w:lang w:val="en-GB"/>
              </w:rPr>
              <w:t>Minister for Infrastructure, Transport, Regional Development and Local Government</w:t>
            </w:r>
          </w:p>
          <w:p w14:paraId="447B3389" w14:textId="1150856D" w:rsidR="00CD7E2E" w:rsidRPr="00487E19" w:rsidRDefault="00CD7E2E" w:rsidP="00CD7E2E">
            <w:pPr>
              <w:pStyle w:val="Position"/>
              <w:jc w:val="left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3F51E0">
              <w:rPr>
                <w:lang w:val="en-GB"/>
              </w:rPr>
              <w:t>Day] [Month] [</w:t>
            </w:r>
            <w:r>
              <w:rPr>
                <w:lang w:val="en-GB"/>
              </w:rPr>
              <w:t>Year]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574F1D3" w14:textId="77777777" w:rsidR="00CD7E2E" w:rsidRPr="00A50751" w:rsidRDefault="00CD7E2E" w:rsidP="00CD7E2E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4536" w:type="dxa"/>
          </w:tcPr>
          <w:p w14:paraId="326E0A70" w14:textId="77777777" w:rsidR="00CD7E2E" w:rsidRPr="004A0AE7" w:rsidRDefault="00CD7E2E" w:rsidP="00CD7E2E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br/>
            </w:r>
            <w:r>
              <w:t xml:space="preserve">Northern Territory </w:t>
            </w:r>
            <w:r w:rsidRPr="004A0AE7">
              <w:t>by</w:t>
            </w:r>
          </w:p>
          <w:p w14:paraId="42933BE9" w14:textId="77777777" w:rsidR="00CD7E2E" w:rsidRPr="00487E19" w:rsidRDefault="00CD7E2E" w:rsidP="00CD7E2E">
            <w:pPr>
              <w:pStyle w:val="LineForSignature"/>
              <w:rPr>
                <w:color w:val="FF0000"/>
              </w:rPr>
            </w:pPr>
            <w:r w:rsidRPr="00487E19">
              <w:rPr>
                <w:color w:val="FF0000"/>
              </w:rPr>
              <w:br/>
            </w:r>
            <w:r w:rsidRPr="006F4465">
              <w:rPr>
                <w:color w:val="auto"/>
              </w:rPr>
              <w:tab/>
            </w:r>
          </w:p>
          <w:p w14:paraId="256E2F97" w14:textId="77777777" w:rsidR="00CD7E2E" w:rsidRDefault="00CD7E2E" w:rsidP="00CD7E2E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>The Honourable Chansey Paech MLA</w:t>
            </w:r>
          </w:p>
          <w:p w14:paraId="0F247472" w14:textId="77777777" w:rsidR="00CD7E2E" w:rsidRDefault="00CD7E2E" w:rsidP="00CD7E2E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Attorney-General and Minister for Justice; Minister for Aboriginal Affairs and Treaty; Minister for Local Government; Minister for Arts, Culture and Heritage </w:t>
            </w:r>
          </w:p>
          <w:p w14:paraId="049402EC" w14:textId="075805BC" w:rsidR="00CD7E2E" w:rsidRPr="00A50751" w:rsidRDefault="00CD7E2E" w:rsidP="00CD7E2E">
            <w:pPr>
              <w:pStyle w:val="Position"/>
              <w:jc w:val="left"/>
              <w:rPr>
                <w:rFonts w:ascii="Book Antiqua" w:hAnsi="Book Antiqua"/>
                <w:lang w:val="en-GB"/>
              </w:rPr>
            </w:pPr>
            <w:r>
              <w:rPr>
                <w:lang w:val="en-GB"/>
              </w:rPr>
              <w:t>[</w:t>
            </w:r>
            <w:r w:rsidR="003F51E0">
              <w:rPr>
                <w:lang w:val="en-GB"/>
              </w:rPr>
              <w:t>Day] [Month] [</w:t>
            </w:r>
            <w:r>
              <w:rPr>
                <w:lang w:val="en-GB"/>
              </w:rPr>
              <w:t>Year]</w:t>
            </w:r>
          </w:p>
        </w:tc>
      </w:tr>
    </w:tbl>
    <w:p w14:paraId="5A00157F" w14:textId="392DB58A" w:rsidR="00C91B5F" w:rsidRDefault="0059776E" w:rsidP="0059776E">
      <w:pPr>
        <w:widowControl/>
        <w:spacing w:after="160" w:line="259" w:lineRule="auto"/>
        <w:rPr>
          <w:lang w:val="en-GB"/>
        </w:rPr>
      </w:pPr>
      <w:r>
        <w:rPr>
          <w:lang w:val="en-GB"/>
        </w:rPr>
        <w:t>T</w:t>
      </w:r>
      <w:r w:rsidR="00C91B5F" w:rsidRPr="00A50751">
        <w:rPr>
          <w:lang w:val="en-GB"/>
        </w:rPr>
        <w:t xml:space="preserve">he </w:t>
      </w:r>
      <w:r w:rsidR="00C91B5F" w:rsidRPr="00C57BB9">
        <w:rPr>
          <w:sz w:val="24"/>
          <w:szCs w:val="24"/>
        </w:rPr>
        <w:t>Parties</w:t>
      </w:r>
      <w:r w:rsidR="00C91B5F" w:rsidRPr="00A50751">
        <w:rPr>
          <w:lang w:val="en-GB"/>
        </w:rPr>
        <w:t xml:space="preserve"> have confirmed their commitment to this </w:t>
      </w:r>
      <w:r w:rsidR="00C91B5F">
        <w:rPr>
          <w:lang w:val="en-GB"/>
        </w:rPr>
        <w:t>schedule</w:t>
      </w:r>
      <w:r w:rsidR="00C91B5F" w:rsidRPr="00A50751">
        <w:rPr>
          <w:lang w:val="en-GB"/>
        </w:rPr>
        <w:t xml:space="preserve"> as follows:</w:t>
      </w:r>
      <w:bookmarkStart w:id="1" w:name="_GoBack"/>
      <w:bookmarkEnd w:id="1"/>
    </w:p>
    <w:p w14:paraId="3C256F74" w14:textId="77777777" w:rsidR="00C91B5F" w:rsidRDefault="00C91B5F" w:rsidP="00495260"/>
    <w:sectPr w:rsidR="00C91B5F" w:rsidSect="00384304">
      <w:headerReference w:type="even" r:id="rId18"/>
      <w:headerReference w:type="default" r:id="rId19"/>
      <w:head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19A5A" w16cex:dateUtc="2023-12-11T03:25:00Z"/>
  <w16cex:commentExtensible w16cex:durableId="2921B020" w16cex:dateUtc="2023-12-11T04:58:00Z"/>
  <w16cex:commentExtensible w16cex:durableId="2921A735" w16cex:dateUtc="2023-12-11T04:20:00Z"/>
  <w16cex:commentExtensible w16cex:durableId="29217B44" w16cex:dateUtc="2023-12-11T01:12:00Z"/>
  <w16cex:commentExtensible w16cex:durableId="2921A7C4" w16cex:dateUtc="2023-12-11T04:22:00Z"/>
  <w16cex:commentExtensible w16cex:durableId="2921A85D" w16cex:dateUtc="2023-12-11T04:25:00Z"/>
  <w16cex:commentExtensible w16cex:durableId="2921AE3D" w16cex:dateUtc="2023-12-11T04:50:00Z"/>
  <w16cex:commentExtensible w16cex:durableId="2921AEAC" w16cex:dateUtc="2023-12-11T04:52:00Z"/>
  <w16cex:commentExtensible w16cex:durableId="2921B154" w16cex:dateUtc="2023-12-11T05:03:00Z"/>
  <w16cex:commentExtensible w16cex:durableId="2921B166" w16cex:dateUtc="2023-12-11T05:03:00Z"/>
  <w16cex:commentExtensible w16cex:durableId="2921AF1D" w16cex:dateUtc="2023-12-11T0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D89F" w14:textId="77777777" w:rsidR="00450A49" w:rsidRDefault="00450A49">
      <w:r>
        <w:separator/>
      </w:r>
    </w:p>
  </w:endnote>
  <w:endnote w:type="continuationSeparator" w:id="0">
    <w:p w14:paraId="4AF51A62" w14:textId="77777777" w:rsidR="00450A49" w:rsidRDefault="00450A49">
      <w:r>
        <w:continuationSeparator/>
      </w:r>
    </w:p>
  </w:endnote>
  <w:endnote w:type="continuationNotice" w:id="1">
    <w:p w14:paraId="40B01D5C" w14:textId="77777777" w:rsidR="00450A49" w:rsidRDefault="00450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EE5F8" w14:textId="77777777" w:rsidR="00FA2552" w:rsidRDefault="00FA2552">
    <w:pPr>
      <w:pStyle w:val="FooterEven"/>
    </w:pPr>
    <w:r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9729" w14:textId="77777777" w:rsidR="00FA2552" w:rsidRDefault="00FA2552" w:rsidP="007D1AB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FBFC" w14:textId="77777777" w:rsidR="00FA2552" w:rsidRPr="00CA24B0" w:rsidRDefault="00FA2552" w:rsidP="007D1AB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E4E71" w14:textId="77777777" w:rsidR="00450A49" w:rsidRDefault="00450A49">
      <w:r>
        <w:separator/>
      </w:r>
    </w:p>
  </w:footnote>
  <w:footnote w:type="continuationSeparator" w:id="0">
    <w:p w14:paraId="1D7B5FEA" w14:textId="77777777" w:rsidR="00450A49" w:rsidRDefault="00450A49">
      <w:r>
        <w:continuationSeparator/>
      </w:r>
    </w:p>
  </w:footnote>
  <w:footnote w:type="continuationNotice" w:id="1">
    <w:p w14:paraId="336BF9DA" w14:textId="77777777" w:rsidR="00450A49" w:rsidRDefault="00450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8B7BD" w14:textId="77777777" w:rsidR="00FA2552" w:rsidRDefault="00FA2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A67A" w14:textId="77777777" w:rsidR="00FA2552" w:rsidRDefault="00FA2552" w:rsidP="007D1AB3">
    <w:pPr>
      <w:pStyle w:val="HeaderOdd"/>
      <w:tabs>
        <w:tab w:val="num" w:pos="1134"/>
      </w:tabs>
      <w:rPr>
        <w:color w:val="800000"/>
        <w:sz w:val="30"/>
        <w:szCs w:val="30"/>
      </w:rPr>
    </w:pPr>
  </w:p>
  <w:p w14:paraId="422897DF" w14:textId="77777777" w:rsidR="00FA2552" w:rsidRDefault="00FA2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9105" w14:textId="77777777" w:rsidR="00FA2552" w:rsidRDefault="00FA25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CAE8" w14:textId="77777777" w:rsidR="00FA2552" w:rsidRDefault="00FA25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12B59" w14:textId="77777777" w:rsidR="00FA2552" w:rsidRDefault="00FA2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C03"/>
    <w:multiLevelType w:val="hybridMultilevel"/>
    <w:tmpl w:val="D76E2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94D"/>
    <w:multiLevelType w:val="hybridMultilevel"/>
    <w:tmpl w:val="B9464A30"/>
    <w:lvl w:ilvl="0" w:tplc="96B4F2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9EC"/>
    <w:multiLevelType w:val="hybridMultilevel"/>
    <w:tmpl w:val="E55E02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53FE9"/>
    <w:multiLevelType w:val="hybridMultilevel"/>
    <w:tmpl w:val="80B05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26C0"/>
    <w:multiLevelType w:val="hybridMultilevel"/>
    <w:tmpl w:val="BE2C2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53DB6"/>
    <w:multiLevelType w:val="hybridMultilevel"/>
    <w:tmpl w:val="4B64D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D2B54"/>
    <w:multiLevelType w:val="hybridMultilevel"/>
    <w:tmpl w:val="EAE28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8" w15:restartNumberingAfterBreak="0">
    <w:nsid w:val="6A225B4F"/>
    <w:multiLevelType w:val="hybridMultilevel"/>
    <w:tmpl w:val="99B653CC"/>
    <w:lvl w:ilvl="0" w:tplc="22965D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9E115C"/>
    <w:multiLevelType w:val="hybridMultilevel"/>
    <w:tmpl w:val="6148880C"/>
    <w:lvl w:ilvl="0" w:tplc="5BB809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F"/>
    <w:rsid w:val="00006266"/>
    <w:rsid w:val="00007DA6"/>
    <w:rsid w:val="00013C74"/>
    <w:rsid w:val="00017977"/>
    <w:rsid w:val="00021DAB"/>
    <w:rsid w:val="000358D7"/>
    <w:rsid w:val="0004359E"/>
    <w:rsid w:val="00043BEE"/>
    <w:rsid w:val="00045EFF"/>
    <w:rsid w:val="000645DD"/>
    <w:rsid w:val="000662FA"/>
    <w:rsid w:val="0007703E"/>
    <w:rsid w:val="0008121F"/>
    <w:rsid w:val="000845F7"/>
    <w:rsid w:val="000877CC"/>
    <w:rsid w:val="00096781"/>
    <w:rsid w:val="000B1836"/>
    <w:rsid w:val="000B1EC7"/>
    <w:rsid w:val="000B5159"/>
    <w:rsid w:val="000B5493"/>
    <w:rsid w:val="000B6646"/>
    <w:rsid w:val="000B6A9A"/>
    <w:rsid w:val="000C6A98"/>
    <w:rsid w:val="000D1D6C"/>
    <w:rsid w:val="000D4978"/>
    <w:rsid w:val="000D4FC3"/>
    <w:rsid w:val="000D79B0"/>
    <w:rsid w:val="000E0907"/>
    <w:rsid w:val="000F21B7"/>
    <w:rsid w:val="000F4C64"/>
    <w:rsid w:val="000F7DB6"/>
    <w:rsid w:val="000F7E14"/>
    <w:rsid w:val="0010027D"/>
    <w:rsid w:val="001019C8"/>
    <w:rsid w:val="00101F13"/>
    <w:rsid w:val="00111CCC"/>
    <w:rsid w:val="001150B3"/>
    <w:rsid w:val="00115DFD"/>
    <w:rsid w:val="00115F47"/>
    <w:rsid w:val="00124F02"/>
    <w:rsid w:val="00127A55"/>
    <w:rsid w:val="00130A3B"/>
    <w:rsid w:val="0013354A"/>
    <w:rsid w:val="001358EB"/>
    <w:rsid w:val="0013781E"/>
    <w:rsid w:val="001405D7"/>
    <w:rsid w:val="001423A7"/>
    <w:rsid w:val="00143384"/>
    <w:rsid w:val="001472F6"/>
    <w:rsid w:val="00147CE5"/>
    <w:rsid w:val="00152DDA"/>
    <w:rsid w:val="00155B2C"/>
    <w:rsid w:val="00164A1E"/>
    <w:rsid w:val="0016522B"/>
    <w:rsid w:val="001654C8"/>
    <w:rsid w:val="00172CB0"/>
    <w:rsid w:val="00173F2F"/>
    <w:rsid w:val="0017434A"/>
    <w:rsid w:val="00180C9B"/>
    <w:rsid w:val="00181600"/>
    <w:rsid w:val="00183039"/>
    <w:rsid w:val="00183C7A"/>
    <w:rsid w:val="001907C5"/>
    <w:rsid w:val="00192F59"/>
    <w:rsid w:val="00193D65"/>
    <w:rsid w:val="00194FDE"/>
    <w:rsid w:val="001A6BB9"/>
    <w:rsid w:val="001A7339"/>
    <w:rsid w:val="001B1295"/>
    <w:rsid w:val="001C6A54"/>
    <w:rsid w:val="001C7F92"/>
    <w:rsid w:val="001D02C6"/>
    <w:rsid w:val="001D4C47"/>
    <w:rsid w:val="001E5B82"/>
    <w:rsid w:val="001F4AFF"/>
    <w:rsid w:val="00210964"/>
    <w:rsid w:val="002115D9"/>
    <w:rsid w:val="002137BD"/>
    <w:rsid w:val="00223B4A"/>
    <w:rsid w:val="00237AB8"/>
    <w:rsid w:val="00241E08"/>
    <w:rsid w:val="00246E99"/>
    <w:rsid w:val="00255883"/>
    <w:rsid w:val="00263A12"/>
    <w:rsid w:val="00271327"/>
    <w:rsid w:val="00274168"/>
    <w:rsid w:val="00275B9C"/>
    <w:rsid w:val="002815EB"/>
    <w:rsid w:val="002828CA"/>
    <w:rsid w:val="00284BE1"/>
    <w:rsid w:val="002964C7"/>
    <w:rsid w:val="002C07D4"/>
    <w:rsid w:val="002C7F6E"/>
    <w:rsid w:val="002D2196"/>
    <w:rsid w:val="002D2458"/>
    <w:rsid w:val="002D768D"/>
    <w:rsid w:val="002E084B"/>
    <w:rsid w:val="002E221C"/>
    <w:rsid w:val="002E515D"/>
    <w:rsid w:val="002E58A6"/>
    <w:rsid w:val="002F2778"/>
    <w:rsid w:val="002F33E0"/>
    <w:rsid w:val="002F41CA"/>
    <w:rsid w:val="00303E0D"/>
    <w:rsid w:val="00313A4D"/>
    <w:rsid w:val="00314D6F"/>
    <w:rsid w:val="003157A8"/>
    <w:rsid w:val="00316DFD"/>
    <w:rsid w:val="00317FB3"/>
    <w:rsid w:val="0032118A"/>
    <w:rsid w:val="0032186D"/>
    <w:rsid w:val="00331933"/>
    <w:rsid w:val="003323F6"/>
    <w:rsid w:val="00333EE1"/>
    <w:rsid w:val="00334F6E"/>
    <w:rsid w:val="00336690"/>
    <w:rsid w:val="00341D11"/>
    <w:rsid w:val="00341E7D"/>
    <w:rsid w:val="00342E49"/>
    <w:rsid w:val="00343C3A"/>
    <w:rsid w:val="00344E7C"/>
    <w:rsid w:val="00345D90"/>
    <w:rsid w:val="003531DD"/>
    <w:rsid w:val="00364738"/>
    <w:rsid w:val="00373457"/>
    <w:rsid w:val="00380E30"/>
    <w:rsid w:val="00384304"/>
    <w:rsid w:val="00396189"/>
    <w:rsid w:val="00396360"/>
    <w:rsid w:val="00396A31"/>
    <w:rsid w:val="003A1340"/>
    <w:rsid w:val="003A2E8E"/>
    <w:rsid w:val="003A6128"/>
    <w:rsid w:val="003B2A41"/>
    <w:rsid w:val="003B3316"/>
    <w:rsid w:val="003B41AF"/>
    <w:rsid w:val="003B5BBF"/>
    <w:rsid w:val="003B7363"/>
    <w:rsid w:val="003C1274"/>
    <w:rsid w:val="003C3E32"/>
    <w:rsid w:val="003D4BF9"/>
    <w:rsid w:val="003D5EDB"/>
    <w:rsid w:val="003E2EC0"/>
    <w:rsid w:val="003E6C9A"/>
    <w:rsid w:val="003E74FD"/>
    <w:rsid w:val="003F25C4"/>
    <w:rsid w:val="003F2AE2"/>
    <w:rsid w:val="003F51E0"/>
    <w:rsid w:val="00400551"/>
    <w:rsid w:val="00401945"/>
    <w:rsid w:val="00410406"/>
    <w:rsid w:val="00410544"/>
    <w:rsid w:val="00416B4B"/>
    <w:rsid w:val="0042488F"/>
    <w:rsid w:val="00433E84"/>
    <w:rsid w:val="00450A49"/>
    <w:rsid w:val="00465202"/>
    <w:rsid w:val="00467F99"/>
    <w:rsid w:val="00474EA0"/>
    <w:rsid w:val="004751D1"/>
    <w:rsid w:val="00480258"/>
    <w:rsid w:val="00480CC4"/>
    <w:rsid w:val="004847F0"/>
    <w:rsid w:val="00486F56"/>
    <w:rsid w:val="0048777A"/>
    <w:rsid w:val="00487E19"/>
    <w:rsid w:val="00495260"/>
    <w:rsid w:val="004A0D47"/>
    <w:rsid w:val="004A1030"/>
    <w:rsid w:val="004A6EBB"/>
    <w:rsid w:val="004B70A1"/>
    <w:rsid w:val="004D3F08"/>
    <w:rsid w:val="004D4809"/>
    <w:rsid w:val="004D4C89"/>
    <w:rsid w:val="004D7482"/>
    <w:rsid w:val="004E488C"/>
    <w:rsid w:val="004E5095"/>
    <w:rsid w:val="004F2926"/>
    <w:rsid w:val="004F34E4"/>
    <w:rsid w:val="004F69CD"/>
    <w:rsid w:val="00502FAD"/>
    <w:rsid w:val="00504377"/>
    <w:rsid w:val="00511E12"/>
    <w:rsid w:val="00513BD2"/>
    <w:rsid w:val="00523376"/>
    <w:rsid w:val="00525DEB"/>
    <w:rsid w:val="00531860"/>
    <w:rsid w:val="00531BEB"/>
    <w:rsid w:val="00541800"/>
    <w:rsid w:val="00543DE8"/>
    <w:rsid w:val="00544EDE"/>
    <w:rsid w:val="0054571A"/>
    <w:rsid w:val="005555C9"/>
    <w:rsid w:val="0056241B"/>
    <w:rsid w:val="005628C3"/>
    <w:rsid w:val="00563DD7"/>
    <w:rsid w:val="00564DB7"/>
    <w:rsid w:val="00567E02"/>
    <w:rsid w:val="00572801"/>
    <w:rsid w:val="00574F2F"/>
    <w:rsid w:val="00576B2D"/>
    <w:rsid w:val="005773E8"/>
    <w:rsid w:val="005844E9"/>
    <w:rsid w:val="0058470B"/>
    <w:rsid w:val="00586D5B"/>
    <w:rsid w:val="00590405"/>
    <w:rsid w:val="00590FF2"/>
    <w:rsid w:val="0059776E"/>
    <w:rsid w:val="005A29B3"/>
    <w:rsid w:val="005A6F11"/>
    <w:rsid w:val="005B3F8A"/>
    <w:rsid w:val="005B7BA9"/>
    <w:rsid w:val="005C26F7"/>
    <w:rsid w:val="005C4C58"/>
    <w:rsid w:val="005C5ECD"/>
    <w:rsid w:val="005C6252"/>
    <w:rsid w:val="005C74B7"/>
    <w:rsid w:val="005D2718"/>
    <w:rsid w:val="005E03BF"/>
    <w:rsid w:val="005E0649"/>
    <w:rsid w:val="005E0A25"/>
    <w:rsid w:val="005E2ED1"/>
    <w:rsid w:val="005E43FF"/>
    <w:rsid w:val="005E4CE6"/>
    <w:rsid w:val="005E57DB"/>
    <w:rsid w:val="005E686A"/>
    <w:rsid w:val="005F3F09"/>
    <w:rsid w:val="005F5C13"/>
    <w:rsid w:val="005F5FB8"/>
    <w:rsid w:val="005F6893"/>
    <w:rsid w:val="0061360C"/>
    <w:rsid w:val="006173AE"/>
    <w:rsid w:val="0061755C"/>
    <w:rsid w:val="00620455"/>
    <w:rsid w:val="00622244"/>
    <w:rsid w:val="00627569"/>
    <w:rsid w:val="0063319F"/>
    <w:rsid w:val="006360B6"/>
    <w:rsid w:val="0064121C"/>
    <w:rsid w:val="00651EAF"/>
    <w:rsid w:val="00652537"/>
    <w:rsid w:val="00653ACC"/>
    <w:rsid w:val="00657C69"/>
    <w:rsid w:val="00664898"/>
    <w:rsid w:val="00665F93"/>
    <w:rsid w:val="006701CE"/>
    <w:rsid w:val="006714F3"/>
    <w:rsid w:val="00684083"/>
    <w:rsid w:val="00687D0F"/>
    <w:rsid w:val="00694D49"/>
    <w:rsid w:val="006A0572"/>
    <w:rsid w:val="006A38F1"/>
    <w:rsid w:val="006A7686"/>
    <w:rsid w:val="006B6E73"/>
    <w:rsid w:val="006B6EAD"/>
    <w:rsid w:val="006C3470"/>
    <w:rsid w:val="006C3F84"/>
    <w:rsid w:val="006C5412"/>
    <w:rsid w:val="006D43FD"/>
    <w:rsid w:val="006D4E11"/>
    <w:rsid w:val="006D5B79"/>
    <w:rsid w:val="006D72FC"/>
    <w:rsid w:val="006E0A23"/>
    <w:rsid w:val="006E133D"/>
    <w:rsid w:val="006E3E89"/>
    <w:rsid w:val="006E4535"/>
    <w:rsid w:val="006E4CF3"/>
    <w:rsid w:val="006E52A6"/>
    <w:rsid w:val="006F021C"/>
    <w:rsid w:val="006F0977"/>
    <w:rsid w:val="006F4465"/>
    <w:rsid w:val="006F4B6F"/>
    <w:rsid w:val="0070056F"/>
    <w:rsid w:val="00704FB9"/>
    <w:rsid w:val="0071594C"/>
    <w:rsid w:val="007216FB"/>
    <w:rsid w:val="00721E8D"/>
    <w:rsid w:val="0073056A"/>
    <w:rsid w:val="00730FC8"/>
    <w:rsid w:val="00732108"/>
    <w:rsid w:val="00735184"/>
    <w:rsid w:val="007419F8"/>
    <w:rsid w:val="00741B76"/>
    <w:rsid w:val="00744B67"/>
    <w:rsid w:val="00750318"/>
    <w:rsid w:val="0075067B"/>
    <w:rsid w:val="0075367E"/>
    <w:rsid w:val="00754868"/>
    <w:rsid w:val="007754F1"/>
    <w:rsid w:val="007828BA"/>
    <w:rsid w:val="00783423"/>
    <w:rsid w:val="00785D1D"/>
    <w:rsid w:val="00785EC7"/>
    <w:rsid w:val="007A7619"/>
    <w:rsid w:val="007B439A"/>
    <w:rsid w:val="007B6B17"/>
    <w:rsid w:val="007D1AB3"/>
    <w:rsid w:val="007E32DE"/>
    <w:rsid w:val="007F2D67"/>
    <w:rsid w:val="007F560B"/>
    <w:rsid w:val="007F6274"/>
    <w:rsid w:val="00810EE4"/>
    <w:rsid w:val="00812CD8"/>
    <w:rsid w:val="0081315B"/>
    <w:rsid w:val="00815518"/>
    <w:rsid w:val="00816136"/>
    <w:rsid w:val="00817E33"/>
    <w:rsid w:val="0083713F"/>
    <w:rsid w:val="00840512"/>
    <w:rsid w:val="008478A3"/>
    <w:rsid w:val="00862C6C"/>
    <w:rsid w:val="00863150"/>
    <w:rsid w:val="00870E02"/>
    <w:rsid w:val="008813BC"/>
    <w:rsid w:val="00883419"/>
    <w:rsid w:val="00884E8F"/>
    <w:rsid w:val="008902FD"/>
    <w:rsid w:val="00892E42"/>
    <w:rsid w:val="00894142"/>
    <w:rsid w:val="00894E29"/>
    <w:rsid w:val="0089739D"/>
    <w:rsid w:val="008A040A"/>
    <w:rsid w:val="008A3FC8"/>
    <w:rsid w:val="008A4079"/>
    <w:rsid w:val="008A6450"/>
    <w:rsid w:val="008B38ED"/>
    <w:rsid w:val="008C1FDB"/>
    <w:rsid w:val="008C226A"/>
    <w:rsid w:val="008C3F7A"/>
    <w:rsid w:val="008C42B9"/>
    <w:rsid w:val="008D390D"/>
    <w:rsid w:val="008E3342"/>
    <w:rsid w:val="008E412A"/>
    <w:rsid w:val="008E62E2"/>
    <w:rsid w:val="008E6829"/>
    <w:rsid w:val="008F24F2"/>
    <w:rsid w:val="008F3B66"/>
    <w:rsid w:val="00900FDB"/>
    <w:rsid w:val="009020E6"/>
    <w:rsid w:val="0090253E"/>
    <w:rsid w:val="00902BD7"/>
    <w:rsid w:val="0091209C"/>
    <w:rsid w:val="0091484A"/>
    <w:rsid w:val="00922628"/>
    <w:rsid w:val="009233ED"/>
    <w:rsid w:val="00926020"/>
    <w:rsid w:val="009424C5"/>
    <w:rsid w:val="0094684D"/>
    <w:rsid w:val="00956A02"/>
    <w:rsid w:val="00956FAC"/>
    <w:rsid w:val="00965639"/>
    <w:rsid w:val="00975267"/>
    <w:rsid w:val="00976547"/>
    <w:rsid w:val="00976A5D"/>
    <w:rsid w:val="00977893"/>
    <w:rsid w:val="009A407D"/>
    <w:rsid w:val="009B6EBF"/>
    <w:rsid w:val="009C3443"/>
    <w:rsid w:val="009C34B1"/>
    <w:rsid w:val="009C3E0B"/>
    <w:rsid w:val="009C510F"/>
    <w:rsid w:val="009C678A"/>
    <w:rsid w:val="009D1959"/>
    <w:rsid w:val="009D1E51"/>
    <w:rsid w:val="009D2625"/>
    <w:rsid w:val="009D2EA6"/>
    <w:rsid w:val="009D5BA6"/>
    <w:rsid w:val="009D6BFF"/>
    <w:rsid w:val="009E0F30"/>
    <w:rsid w:val="009E50F0"/>
    <w:rsid w:val="009F435A"/>
    <w:rsid w:val="009F7724"/>
    <w:rsid w:val="00A01C34"/>
    <w:rsid w:val="00A020B2"/>
    <w:rsid w:val="00A04705"/>
    <w:rsid w:val="00A16A3E"/>
    <w:rsid w:val="00A248FE"/>
    <w:rsid w:val="00A30E4E"/>
    <w:rsid w:val="00A33FF0"/>
    <w:rsid w:val="00A37677"/>
    <w:rsid w:val="00A4368B"/>
    <w:rsid w:val="00A512DB"/>
    <w:rsid w:val="00A65C44"/>
    <w:rsid w:val="00A67CAE"/>
    <w:rsid w:val="00A7101C"/>
    <w:rsid w:val="00A727DD"/>
    <w:rsid w:val="00A7557C"/>
    <w:rsid w:val="00A87307"/>
    <w:rsid w:val="00A9177B"/>
    <w:rsid w:val="00AA11FB"/>
    <w:rsid w:val="00AA3A78"/>
    <w:rsid w:val="00AA7103"/>
    <w:rsid w:val="00AB0B4E"/>
    <w:rsid w:val="00AB1716"/>
    <w:rsid w:val="00AB4D2D"/>
    <w:rsid w:val="00AB54F0"/>
    <w:rsid w:val="00AC078B"/>
    <w:rsid w:val="00AC193F"/>
    <w:rsid w:val="00AC4941"/>
    <w:rsid w:val="00AE43E0"/>
    <w:rsid w:val="00AE4CAB"/>
    <w:rsid w:val="00AF40F6"/>
    <w:rsid w:val="00B13E50"/>
    <w:rsid w:val="00B14FD0"/>
    <w:rsid w:val="00B209C6"/>
    <w:rsid w:val="00B25449"/>
    <w:rsid w:val="00B325DA"/>
    <w:rsid w:val="00B3503A"/>
    <w:rsid w:val="00B35E16"/>
    <w:rsid w:val="00B47B46"/>
    <w:rsid w:val="00B47F49"/>
    <w:rsid w:val="00B56B88"/>
    <w:rsid w:val="00B62645"/>
    <w:rsid w:val="00B63981"/>
    <w:rsid w:val="00B705D2"/>
    <w:rsid w:val="00B76FFF"/>
    <w:rsid w:val="00B82DC4"/>
    <w:rsid w:val="00B82EAE"/>
    <w:rsid w:val="00B85DFB"/>
    <w:rsid w:val="00B93E4F"/>
    <w:rsid w:val="00BA01BF"/>
    <w:rsid w:val="00BA0BA9"/>
    <w:rsid w:val="00BA1937"/>
    <w:rsid w:val="00BA2944"/>
    <w:rsid w:val="00BA3D10"/>
    <w:rsid w:val="00BA5B79"/>
    <w:rsid w:val="00BA6A73"/>
    <w:rsid w:val="00BB05CE"/>
    <w:rsid w:val="00BB0778"/>
    <w:rsid w:val="00BB2BB2"/>
    <w:rsid w:val="00BB44B9"/>
    <w:rsid w:val="00BC4C68"/>
    <w:rsid w:val="00BD2E1C"/>
    <w:rsid w:val="00BD4FF2"/>
    <w:rsid w:val="00BD6E01"/>
    <w:rsid w:val="00BE35A1"/>
    <w:rsid w:val="00BE4435"/>
    <w:rsid w:val="00BF02F6"/>
    <w:rsid w:val="00BF2124"/>
    <w:rsid w:val="00BF6D2C"/>
    <w:rsid w:val="00C0026C"/>
    <w:rsid w:val="00C04D26"/>
    <w:rsid w:val="00C07617"/>
    <w:rsid w:val="00C212FA"/>
    <w:rsid w:val="00C32F3D"/>
    <w:rsid w:val="00C44A3F"/>
    <w:rsid w:val="00C461C6"/>
    <w:rsid w:val="00C62386"/>
    <w:rsid w:val="00C62B36"/>
    <w:rsid w:val="00C64417"/>
    <w:rsid w:val="00C65541"/>
    <w:rsid w:val="00C704D2"/>
    <w:rsid w:val="00C70E61"/>
    <w:rsid w:val="00C71D4D"/>
    <w:rsid w:val="00C73019"/>
    <w:rsid w:val="00C91B5F"/>
    <w:rsid w:val="00C95DE2"/>
    <w:rsid w:val="00C96730"/>
    <w:rsid w:val="00CA54E0"/>
    <w:rsid w:val="00CB15CC"/>
    <w:rsid w:val="00CB2ED7"/>
    <w:rsid w:val="00CB3390"/>
    <w:rsid w:val="00CB4B70"/>
    <w:rsid w:val="00CC2695"/>
    <w:rsid w:val="00CC455F"/>
    <w:rsid w:val="00CC4E8A"/>
    <w:rsid w:val="00CD02A3"/>
    <w:rsid w:val="00CD0B39"/>
    <w:rsid w:val="00CD0F5C"/>
    <w:rsid w:val="00CD7E2E"/>
    <w:rsid w:val="00CF0B25"/>
    <w:rsid w:val="00CF6E1F"/>
    <w:rsid w:val="00CF7999"/>
    <w:rsid w:val="00D0337B"/>
    <w:rsid w:val="00D122AA"/>
    <w:rsid w:val="00D126D0"/>
    <w:rsid w:val="00D130F5"/>
    <w:rsid w:val="00D177A5"/>
    <w:rsid w:val="00D2042F"/>
    <w:rsid w:val="00D250A7"/>
    <w:rsid w:val="00D35A80"/>
    <w:rsid w:val="00D36F93"/>
    <w:rsid w:val="00D42DF5"/>
    <w:rsid w:val="00D43E36"/>
    <w:rsid w:val="00D54783"/>
    <w:rsid w:val="00D60B8A"/>
    <w:rsid w:val="00D70001"/>
    <w:rsid w:val="00D712E1"/>
    <w:rsid w:val="00D72A49"/>
    <w:rsid w:val="00D80856"/>
    <w:rsid w:val="00D844F1"/>
    <w:rsid w:val="00D87D3C"/>
    <w:rsid w:val="00DA3BE1"/>
    <w:rsid w:val="00DA560F"/>
    <w:rsid w:val="00DB738B"/>
    <w:rsid w:val="00DC5755"/>
    <w:rsid w:val="00DC614E"/>
    <w:rsid w:val="00DD38C2"/>
    <w:rsid w:val="00DD3AAD"/>
    <w:rsid w:val="00DD7CCD"/>
    <w:rsid w:val="00DE0037"/>
    <w:rsid w:val="00DE1FFD"/>
    <w:rsid w:val="00DF12DA"/>
    <w:rsid w:val="00DF1804"/>
    <w:rsid w:val="00DF3882"/>
    <w:rsid w:val="00DF47DD"/>
    <w:rsid w:val="00E01035"/>
    <w:rsid w:val="00E11230"/>
    <w:rsid w:val="00E175C4"/>
    <w:rsid w:val="00E255F8"/>
    <w:rsid w:val="00E377B0"/>
    <w:rsid w:val="00E5388B"/>
    <w:rsid w:val="00E54FCA"/>
    <w:rsid w:val="00E5696E"/>
    <w:rsid w:val="00E56ACB"/>
    <w:rsid w:val="00E57D75"/>
    <w:rsid w:val="00E665A6"/>
    <w:rsid w:val="00E70E28"/>
    <w:rsid w:val="00E71F86"/>
    <w:rsid w:val="00E822F8"/>
    <w:rsid w:val="00E8440A"/>
    <w:rsid w:val="00E91DBF"/>
    <w:rsid w:val="00EA075F"/>
    <w:rsid w:val="00EA23BC"/>
    <w:rsid w:val="00EA41D5"/>
    <w:rsid w:val="00EB514E"/>
    <w:rsid w:val="00EB6E02"/>
    <w:rsid w:val="00EC0D16"/>
    <w:rsid w:val="00EC247B"/>
    <w:rsid w:val="00EE4BA0"/>
    <w:rsid w:val="00EE61E4"/>
    <w:rsid w:val="00EF3926"/>
    <w:rsid w:val="00EF5B03"/>
    <w:rsid w:val="00EF64C5"/>
    <w:rsid w:val="00F114EA"/>
    <w:rsid w:val="00F20017"/>
    <w:rsid w:val="00F24676"/>
    <w:rsid w:val="00F34386"/>
    <w:rsid w:val="00F34AAC"/>
    <w:rsid w:val="00F35A71"/>
    <w:rsid w:val="00F36190"/>
    <w:rsid w:val="00F503E3"/>
    <w:rsid w:val="00F61E13"/>
    <w:rsid w:val="00F620AA"/>
    <w:rsid w:val="00F70BF0"/>
    <w:rsid w:val="00F80313"/>
    <w:rsid w:val="00F81A3C"/>
    <w:rsid w:val="00F852E1"/>
    <w:rsid w:val="00F8562C"/>
    <w:rsid w:val="00F94977"/>
    <w:rsid w:val="00F954F7"/>
    <w:rsid w:val="00F96A0D"/>
    <w:rsid w:val="00FA0525"/>
    <w:rsid w:val="00FA2552"/>
    <w:rsid w:val="00FA3B8E"/>
    <w:rsid w:val="00FA3F16"/>
    <w:rsid w:val="00FA755D"/>
    <w:rsid w:val="00FB02BC"/>
    <w:rsid w:val="00FB18D2"/>
    <w:rsid w:val="00FB7FCD"/>
    <w:rsid w:val="00FD3BFF"/>
    <w:rsid w:val="00FD69AC"/>
    <w:rsid w:val="00FF4312"/>
    <w:rsid w:val="00FF455C"/>
    <w:rsid w:val="00FF50EE"/>
    <w:rsid w:val="00FF58DE"/>
    <w:rsid w:val="07F3F766"/>
    <w:rsid w:val="0865100E"/>
    <w:rsid w:val="10EE0AA5"/>
    <w:rsid w:val="24DCE08C"/>
    <w:rsid w:val="2563F4AE"/>
    <w:rsid w:val="7E9CF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5415"/>
  <w15:chartTrackingRefBased/>
  <w15:docId w15:val="{4FC77CFE-ADF3-435C-9C13-682BF96C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902FD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C91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C91B5F"/>
  </w:style>
  <w:style w:type="paragraph" w:styleId="Header">
    <w:name w:val="header"/>
    <w:basedOn w:val="Normal"/>
    <w:link w:val="Head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5F"/>
    <w:rPr>
      <w:lang w:val="en-US"/>
    </w:rPr>
  </w:style>
  <w:style w:type="paragraph" w:customStyle="1" w:styleId="SingleParagraph">
    <w:name w:val="Single Paragraph"/>
    <w:basedOn w:val="Normal"/>
    <w:rsid w:val="00C91B5F"/>
    <w:pPr>
      <w:widowControl/>
      <w:spacing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Bold">
    <w:name w:val="Bold"/>
    <w:rsid w:val="00C91B5F"/>
    <w:rPr>
      <w:b/>
    </w:rPr>
  </w:style>
  <w:style w:type="paragraph" w:customStyle="1" w:styleId="FooterEven">
    <w:name w:val="Footer Even"/>
    <w:basedOn w:val="Footer"/>
    <w:rsid w:val="00C91B5F"/>
    <w:pPr>
      <w:widowControl/>
      <w:tabs>
        <w:tab w:val="clear" w:pos="4513"/>
        <w:tab w:val="clear" w:pos="9026"/>
      </w:tabs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customStyle="1" w:styleId="HeaderOdd">
    <w:name w:val="Header Odd"/>
    <w:basedOn w:val="Header"/>
    <w:rsid w:val="00C91B5F"/>
    <w:pPr>
      <w:keepNext/>
      <w:widowControl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styleId="Subtitle">
    <w:name w:val="Subtitle"/>
    <w:basedOn w:val="Normal"/>
    <w:link w:val="SubtitleChar"/>
    <w:uiPriority w:val="11"/>
    <w:qFormat/>
    <w:rsid w:val="00C91B5F"/>
    <w:pPr>
      <w:widowControl/>
      <w:spacing w:after="300"/>
    </w:pPr>
    <w:rPr>
      <w:rFonts w:ascii="Consolas" w:eastAsia="Times New Roman" w:hAnsi="Consolas" w:cs="Times New Roman"/>
      <w:b/>
      <w:caps/>
      <w:color w:val="C7823E"/>
      <w:spacing w:val="50"/>
      <w:sz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91B5F"/>
    <w:rPr>
      <w:rFonts w:ascii="Consolas" w:eastAsia="Times New Roman" w:hAnsi="Consolas" w:cs="Times New Roman"/>
      <w:b/>
      <w:caps/>
      <w:color w:val="C7823E"/>
      <w:spacing w:val="50"/>
      <w:sz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C91B5F"/>
    <w:pPr>
      <w:widowControl/>
    </w:pPr>
    <w:rPr>
      <w:rFonts w:ascii="Corbel" w:eastAsia="Times New Roman" w:hAnsi="Corbel" w:cs="Times New Roman"/>
      <w:color w:val="3D4B67"/>
      <w:sz w:val="40"/>
      <w:szCs w:val="40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1B5F"/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00C91B5F"/>
    <w:pPr>
      <w:widowControl/>
      <w:spacing w:after="120"/>
      <w:jc w:val="both"/>
    </w:pPr>
    <w:rPr>
      <w:rFonts w:ascii="Book Antiqua" w:eastAsia="Times New Roman" w:hAnsi="Book Antiqua" w:cs="Times New Roman"/>
      <w:bCs/>
      <w:i/>
      <w:color w:val="000000"/>
      <w:szCs w:val="20"/>
      <w:lang w:val="en-AU" w:eastAsia="en-AU"/>
    </w:rPr>
  </w:style>
  <w:style w:type="paragraph" w:customStyle="1" w:styleId="Position">
    <w:name w:val="Position"/>
    <w:basedOn w:val="Normal"/>
    <w:rsid w:val="00C91B5F"/>
    <w:pPr>
      <w:widowControl/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val="en-AU" w:eastAsia="en-AU"/>
    </w:rPr>
  </w:style>
  <w:style w:type="character" w:customStyle="1" w:styleId="SignedBold">
    <w:name w:val="SignedBold"/>
    <w:rsid w:val="00C91B5F"/>
    <w:rPr>
      <w:b/>
      <w:i/>
    </w:rPr>
  </w:style>
  <w:style w:type="paragraph" w:customStyle="1" w:styleId="LineForSignature">
    <w:name w:val="LineForSignature"/>
    <w:basedOn w:val="Normal"/>
    <w:rsid w:val="00C91B5F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qFormat/>
    <w:rsid w:val="00C91B5F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C91B5F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Tableformat">
    <w:name w:val="Table format"/>
    <w:basedOn w:val="Heading2"/>
    <w:link w:val="TableformatChar"/>
    <w:qFormat/>
    <w:rsid w:val="00C91B5F"/>
    <w:pPr>
      <w:keepNext w:val="0"/>
      <w:keepLines w:val="0"/>
      <w:widowControl/>
      <w:spacing w:before="80" w:after="80"/>
    </w:pPr>
    <w:rPr>
      <w:rFonts w:ascii="Corbel" w:eastAsia="Times New Roman" w:hAnsi="Corbel" w:cs="Arial"/>
      <w:iCs/>
      <w:lang w:eastAsia="en-AU"/>
    </w:rPr>
  </w:style>
  <w:style w:type="character" w:customStyle="1" w:styleId="TableformatChar">
    <w:name w:val="Table format Char"/>
    <w:basedOn w:val="Heading2Char"/>
    <w:link w:val="Tableformat"/>
    <w:rsid w:val="00C91B5F"/>
    <w:rPr>
      <w:rFonts w:ascii="Corbel" w:eastAsia="Times New Roman" w:hAnsi="Corbel" w:cs="Arial"/>
      <w:iCs/>
      <w:color w:val="2E74B5" w:themeColor="accent1" w:themeShade="BF"/>
      <w:sz w:val="26"/>
      <w:szCs w:val="26"/>
      <w:lang w:val="en-US" w:eastAsia="en-AU"/>
    </w:rPr>
  </w:style>
  <w:style w:type="paragraph" w:customStyle="1" w:styleId="Milestonetable">
    <w:name w:val="Milestone table"/>
    <w:basedOn w:val="Tableformat"/>
    <w:link w:val="MilestonetableChar"/>
    <w:qFormat/>
    <w:rsid w:val="00C91B5F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rsid w:val="00C91B5F"/>
    <w:rPr>
      <w:rFonts w:ascii="Corbel" w:eastAsia="Times New Roman" w:hAnsi="Corbel" w:cs="Arial"/>
      <w:iCs/>
      <w:color w:val="2E74B5" w:themeColor="accent1" w:themeShade="BF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0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B3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B3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39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72CB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23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E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27" Type="http://schemas.microsoft.com/office/2018/08/relationships/commentsExtensible" Target="commentsExtensible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0385D6BF2DD4DACED50AE18F483D0" ma:contentTypeVersion="14" ma:contentTypeDescription="Create a new document." ma:contentTypeScope="" ma:versionID="76887fb9575c79cc395dd9c6ff3fe319">
  <xsd:schema xmlns:xsd="http://www.w3.org/2001/XMLSchema" xmlns:xs="http://www.w3.org/2001/XMLSchema" xmlns:p="http://schemas.microsoft.com/office/2006/metadata/properties" xmlns:ns2="fe39d773-a83d-4623-ae74-f25711a76616" xmlns:ns3="8a0f7cc3-c266-472c-a05b-c6f864bb8450" xmlns:ns4="66d6b57a-8878-449b-bf18-cbec9d2d9c49" targetNamespace="http://schemas.microsoft.com/office/2006/metadata/properties" ma:root="true" ma:fieldsID="a0be8288fb05a0e3667af26c7cb2c6f8" ns2:_="" ns3:_="" ns4:_="">
    <xsd:import namespace="fe39d773-a83d-4623-ae74-f25711a76616"/>
    <xsd:import namespace="8a0f7cc3-c266-472c-a05b-c6f864bb8450"/>
    <xsd:import namespace="66d6b57a-8878-449b-bf18-cbec9d2d9c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3:Agency"/>
                <xsd:element ref="ns3:Audience" minOccurs="0"/>
                <xsd:element ref="ns3:Jurisdiction" minOccurs="0"/>
                <xsd:element ref="ns3:ProductStatus" minOccurs="0"/>
                <xsd:element ref="ns3:FinancialYear1" minOccurs="0"/>
                <xsd:element ref="ns3:hb21c56c5eeb498493a0059821122609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3:SharedWithUsers" minOccurs="0"/>
                <xsd:element ref="ns3:SharedWithDetails" minOccurs="0"/>
                <xsd:element ref="ns3:SPP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fieldId="{e4fe7dcd-d1c0-411b-bf19-a4de3665191f}" ma:sspId="218240cd-c75f-40bd-87f4-262ac964b25b" ma:termSetId="280cce51-ead1-40cb-8fd9-95301ed80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fieldId="{4fc39f3e-4e27-47ae-990d-3c8bb74a5a64}" ma:sspId="218240cd-c75f-40bd-87f4-262ac964b25b" ma:termSetId="54c364aa-2b8d-4216-8243-6a5e92032b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302fafe8-a7cb-4e2f-b315-bcccc5f1e9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f7cc3-c266-472c-a05b-c6f864bb84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3c127f-6f35-4958-ad48-1154c3267515}" ma:internalName="TaxCatchAll" ma:showField="CatchAllData" ma:web="8a0f7cc3-c266-472c-a05b-c6f864bb8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73c127f-6f35-4958-ad48-1154c3267515}" ma:internalName="TaxCatchAllLabel" ma:readOnly="true" ma:showField="CatchAllDataLabel" ma:web="8a0f7cc3-c266-472c-a05b-c6f864bb8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ency" ma:index="23" ma:displayName="Agency" ma:format="Dropdown" ma:internalName="Agency">
      <xsd:simpleType>
        <xsd:union memberTypes="dms:Text">
          <xsd:simpleType>
            <xsd:restriction base="dms:Choice">
              <xsd:enumeration value="Infrastructure"/>
              <xsd:enumeration value="Health"/>
              <xsd:enumeration value="Climate Change"/>
              <xsd:enumeration value="Education"/>
              <xsd:enumeration value="Skills"/>
              <xsd:enumeration value="Attorney General"/>
              <xsd:enumeration value="Defence"/>
              <xsd:enumeration value="Finance"/>
              <xsd:enumeration value="Industry"/>
              <xsd:enumeration value="Social Services"/>
              <xsd:enumeration value="Agriculture"/>
              <xsd:enumeration value="Health Reform"/>
              <xsd:enumeration value="Treasury"/>
              <xsd:enumeration value="PM&amp;C"/>
              <xsd:enumeration value="NIAA"/>
              <xsd:enumeration value="Foreign Affairs"/>
              <xsd:enumeration value="Home Affairs"/>
              <xsd:enumeration value="NEMA"/>
            </xsd:restriction>
          </xsd:simpleType>
        </xsd:union>
      </xsd:simpleType>
    </xsd:element>
    <xsd:element name="Audience" ma:index="24" nillable="true" ma:displayName="Audience" ma:format="Dropdown" ma:internalName="Audience">
      <xsd:simpleType>
        <xsd:union memberTypes="dms:Text">
          <xsd:simpleType>
            <xsd:restriction base="dms:Choice">
              <xsd:enumeration value="CFFR"/>
              <xsd:enumeration value="HoTs"/>
              <xsd:enumeration value="DHoTs"/>
              <xsd:enumeration value="Treasurer's Office"/>
              <xsd:enumeration value="Treasury"/>
              <xsd:enumeration value="Cwth Agencies"/>
              <xsd:enumeration value="S&amp;T Agencies"/>
            </xsd:restriction>
          </xsd:simpleType>
        </xsd:union>
      </xsd:simpleType>
    </xsd:element>
    <xsd:element name="Jurisdiction" ma:index="25" nillable="true" ma:displayName="Jurisdiction" ma:format="Dropdown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SW"/>
                    <xsd:enumeration value="VIC"/>
                    <xsd:enumeration value="QLD"/>
                    <xsd:enumeration value="WA"/>
                    <xsd:enumeration value="SA"/>
                    <xsd:enumeration value="TAS"/>
                    <xsd:enumeration value="ACT"/>
                    <xsd:enumeration value="NT"/>
                    <xsd:enumeration value="Cwth"/>
                  </xsd:restriction>
                </xsd:simpleType>
              </xsd:element>
            </xsd:sequence>
          </xsd:extension>
        </xsd:complexContent>
      </xsd:complexType>
    </xsd:element>
    <xsd:element name="ProductStatus" ma:index="26" nillable="true" ma:displayName="Product Status" ma:format="Dropdown" ma:internalName="Product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Sent to others"/>
              <xsd:enumeration value="Signed"/>
              <xsd:enumeration value="Draft - with comments"/>
              <xsd:enumeration value="Working version"/>
              <xsd:enumeration value="Master"/>
              <xsd:enumeration value="Clearance"/>
            </xsd:restriction>
          </xsd:simpleType>
        </xsd:union>
      </xsd:simpleType>
    </xsd:element>
    <xsd:element name="FinancialYear1" ma:index="27" nillable="true" ma:displayName="FinancialYear" ma:format="Dropdown" ma:internalName="FinancialYear1">
      <xsd:simpleType>
        <xsd:union memberTypes="dms:Text">
          <xsd:simpleType>
            <xsd:restriction base="dms:Choice">
              <xsd:enumeration value="2019-20"/>
              <xsd:enumeration value="2020-21"/>
              <xsd:enumeration value="2021-22"/>
              <xsd:enumeration value="2022-23"/>
              <xsd:enumeration value="2023-24"/>
              <xsd:enumeration value="2024-25"/>
              <xsd:enumeration value="2025-26"/>
              <xsd:enumeration value="2026-27"/>
            </xsd:restriction>
          </xsd:simpleType>
        </xsd:union>
      </xsd:simpleType>
    </xsd:element>
    <xsd:element name="hb21c56c5eeb498493a0059821122609" ma:index="29" nillable="true" ma:taxonomy="true" ma:internalName="hb21c56c5eeb498493a0059821122609" ma:taxonomyFieldName="SPPCode" ma:displayName="SPP Code" ma:default="" ma:fieldId="{1b21c56c-5eeb-4984-93a0-059821122609}" ma:taxonomyMulti="true" ma:sspId="218240cd-c75f-40bd-87f4-262ac964b25b" ma:termSetId="6d090a40-99c6-46dd-857f-c58c5a1179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PP" ma:index="35" nillable="true" ma:displayName="SPP" ma:internalName="SPP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PP974"/>
                        <xsd:enumeration value="SPP533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b57a-8878-449b-bf18-cbec9d2d9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1113C9AE706094CA28F5BD28BAD34BE" ma:contentTypeVersion="" ma:contentTypeDescription="PDMS Document Site Content Type" ma:contentTypeScope="" ma:versionID="be17672879227dec6efd02e19814d6b7">
  <xsd:schema xmlns:xsd="http://www.w3.org/2001/XMLSchema" xmlns:xs="http://www.w3.org/2001/XMLSchema" xmlns:p="http://schemas.microsoft.com/office/2006/metadata/properties" xmlns:ns2="E7CEB4BB-BFDB-4F93-BB79-C28E8644992B" targetNamespace="http://schemas.microsoft.com/office/2006/metadata/properties" ma:root="true" ma:fieldsID="0aef4d7108ebd33dbb53c8e6073e1ce6" ns2:_="">
    <xsd:import namespace="E7CEB4BB-BFDB-4F93-BB79-C28E8644992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EB4BB-BFDB-4F93-BB79-C28E8644992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F28365E497D0A40B26763E1F1318119" ma:contentTypeVersion="" ma:contentTypeDescription="PDMS Document Site Content Type" ma:contentTypeScope="" ma:versionID="02b7f16d5c32a41b571fd214493dd361">
  <xsd:schema xmlns:xsd="http://www.w3.org/2001/XMLSchema" xmlns:xs="http://www.w3.org/2001/XMLSchema" xmlns:p="http://schemas.microsoft.com/office/2006/metadata/properties" xmlns:ns2="EFE17FE5-C587-45F3-BD8B-4F68E0DDE964" targetNamespace="http://schemas.microsoft.com/office/2006/metadata/properties" ma:root="true" ma:fieldsID="3d2ef2a3d9d293f2a56e3c099fc474a4" ns2:_="">
    <xsd:import namespace="EFE17FE5-C587-45F3-BD8B-4F68E0DDE9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7FE5-C587-45F3-BD8B-4F68E0DDE9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CEB4BB-BFDB-4F93-BB79-C28E8644992B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14ED-D77A-44E7-A7B0-DA50E02C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8a0f7cc3-c266-472c-a05b-c6f864bb8450"/>
    <ds:schemaRef ds:uri="66d6b57a-8878-449b-bf18-cbec9d2d9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1CE5D-D4AE-46CD-9983-70AF6DC83D61}"/>
</file>

<file path=customXml/itemProps3.xml><?xml version="1.0" encoding="utf-8"?>
<ds:datastoreItem xmlns:ds="http://schemas.openxmlformats.org/officeDocument/2006/customXml" ds:itemID="{766DFF39-B1A0-4D6A-871F-52A68E916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93E0C-7345-48E3-8172-D321AB41C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7FE5-C587-45F3-BD8B-4F68E0DD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D900B8-6070-407E-B433-89E316A15907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8a0f7cc3-c266-472c-a05b-c6f864bb8450"/>
  </ds:schemaRefs>
</ds:datastoreItem>
</file>

<file path=customXml/itemProps6.xml><?xml version="1.0" encoding="utf-8"?>
<ds:datastoreItem xmlns:ds="http://schemas.openxmlformats.org/officeDocument/2006/customXml" ds:itemID="{9741ECE7-E572-41D7-820E-A993ED79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CAP- Community Infrastructure Package_Mock up_Apr 2024</vt:lpstr>
    </vt:vector>
  </TitlesOfParts>
  <Company>Department of the Prime Minister and Cabinet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CAP- Community Infrastructure Package_Mock up_Apr 2024</dc:title>
  <dc:subject/>
  <dc:creator>Le, Alan</dc:creator>
  <cp:keywords/>
  <dc:description/>
  <cp:lastModifiedBy>GRZEGRZOLKA, Jonathon</cp:lastModifiedBy>
  <cp:revision>4</cp:revision>
  <dcterms:created xsi:type="dcterms:W3CDTF">2024-06-27T22:23:00Z</dcterms:created>
  <dcterms:modified xsi:type="dcterms:W3CDTF">2024-07-11T01:13:00Z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0x010100266966F133664895A6EE3632470D45F500C1113C9AE706094CA28F5BD28BAD34BE</vt:lpwstr>
  </property>
  <property fmtid="{D5CDD505-2E9C-101B-9397-08002B2CF9AE}" pid="3" name="eTheme">
    <vt:lpwstr>1</vt:lpwstr>
  </property>
  <property fmtid="{D5CDD505-2E9C-101B-9397-08002B2CF9AE}" pid="4" name="eActivity">
    <vt:lpwstr>70</vt:lpwstr>
  </property>
  <property fmtid="{D5CDD505-2E9C-101B-9397-08002B2CF9AE}" pid="5" name="_dlc_DocIdItemGuid">
    <vt:lpwstr>a757c534-692f-49d4-9a3b-e325e4b99d04</vt:lpwstr>
  </property>
  <property fmtid="{D5CDD505-2E9C-101B-9397-08002B2CF9AE}" pid="6" name="TSYStatus">
    <vt:lpwstr/>
  </property>
  <property fmtid="{D5CDD505-2E9C-101B-9397-08002B2CF9AE}" pid="7" name="SPPCode">
    <vt:lpwstr/>
  </property>
  <property fmtid="{D5CDD505-2E9C-101B-9397-08002B2CF9AE}" pid="8" name="eDocumentType">
    <vt:lpwstr>28;#Agreement (Right of use or Memorandum of understanding)|f8448f88-8343-4d6d-a573-2505a5b4876a</vt:lpwstr>
  </property>
  <property fmtid="{D5CDD505-2E9C-101B-9397-08002B2CF9AE}" pid="9" name="eTopic">
    <vt:lpwstr>30;#Federal Finances|bacab4ad-74a3-47e8-ba9b-a729110a24c1</vt:lpwstr>
  </property>
</Properties>
</file>