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452" w14:textId="26F5B6FE" w:rsidR="00030DB8" w:rsidRPr="00163D69" w:rsidRDefault="005B034A" w:rsidP="00030DB8">
      <w:pPr>
        <w:pStyle w:val="Title"/>
      </w:pPr>
      <w:bookmarkStart w:id="0" w:name="_Hlk162707251"/>
      <w:r w:rsidRPr="00163D69">
        <w:t>New South Wales</w:t>
      </w:r>
    </w:p>
    <w:p w14:paraId="71A93993" w14:textId="254CAB5C" w:rsidR="00030DB8" w:rsidRPr="00163D69" w:rsidRDefault="00030DB8" w:rsidP="00030DB8">
      <w:pPr>
        <w:pStyle w:val="Subtitle"/>
      </w:pPr>
      <w:r w:rsidRPr="00163D69">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163D69" w14:paraId="5B08D871" w14:textId="77777777" w:rsidTr="00F203E6">
        <w:tc>
          <w:tcPr>
            <w:tcW w:w="9629" w:type="dxa"/>
            <w:gridSpan w:val="2"/>
            <w:shd w:val="clear" w:color="auto" w:fill="DEEAF6" w:themeFill="accent1" w:themeFillTint="33"/>
          </w:tcPr>
          <w:p w14:paraId="0412A9CD" w14:textId="77777777" w:rsidR="00030DB8" w:rsidRPr="00163D69" w:rsidRDefault="00030DB8" w:rsidP="00675C15">
            <w:pPr>
              <w:pStyle w:val="Tableformat"/>
              <w:rPr>
                <w:b/>
                <w:color w:val="auto"/>
              </w:rPr>
            </w:pPr>
            <w:r w:rsidRPr="00163D69">
              <w:rPr>
                <w:b/>
                <w:color w:val="auto"/>
              </w:rPr>
              <w:t>Table 1: Formalities and operation of schedule</w:t>
            </w:r>
          </w:p>
        </w:tc>
      </w:tr>
      <w:tr w:rsidR="00030DB8" w:rsidRPr="00163D69" w14:paraId="754FAADA" w14:textId="77777777" w:rsidTr="37320C22">
        <w:tc>
          <w:tcPr>
            <w:tcW w:w="1691" w:type="dxa"/>
            <w:shd w:val="clear" w:color="auto" w:fill="auto"/>
          </w:tcPr>
          <w:p w14:paraId="7D643F03" w14:textId="77777777" w:rsidR="00030DB8" w:rsidRPr="00163D69" w:rsidRDefault="00030DB8" w:rsidP="00675C15">
            <w:pPr>
              <w:pStyle w:val="Tableformat"/>
              <w:rPr>
                <w:color w:val="auto"/>
              </w:rPr>
            </w:pPr>
            <w:r w:rsidRPr="00163D69">
              <w:rPr>
                <w:color w:val="auto"/>
              </w:rPr>
              <w:t>Parties</w:t>
            </w:r>
          </w:p>
        </w:tc>
        <w:tc>
          <w:tcPr>
            <w:tcW w:w="7938" w:type="dxa"/>
            <w:shd w:val="clear" w:color="auto" w:fill="auto"/>
          </w:tcPr>
          <w:p w14:paraId="09D25FBD" w14:textId="77777777" w:rsidR="00030DB8" w:rsidRPr="00163D69" w:rsidRDefault="00030DB8" w:rsidP="00675C15">
            <w:pPr>
              <w:pStyle w:val="Tableformat"/>
              <w:rPr>
                <w:color w:val="auto"/>
              </w:rPr>
            </w:pPr>
            <w:r w:rsidRPr="00163D69">
              <w:rPr>
                <w:color w:val="auto"/>
              </w:rPr>
              <w:t>Commonwealth</w:t>
            </w:r>
          </w:p>
          <w:p w14:paraId="66AF7CB2" w14:textId="3BAF0FF2" w:rsidR="00030DB8" w:rsidRPr="00163D69" w:rsidRDefault="005B034A" w:rsidP="00675C15">
            <w:pPr>
              <w:pStyle w:val="Tableformat"/>
              <w:rPr>
                <w:color w:val="auto"/>
              </w:rPr>
            </w:pPr>
            <w:r w:rsidRPr="00163D69">
              <w:rPr>
                <w:color w:val="auto"/>
              </w:rPr>
              <w:t>New South Wales</w:t>
            </w:r>
          </w:p>
        </w:tc>
      </w:tr>
      <w:tr w:rsidR="00030DB8" w:rsidRPr="00163D69" w14:paraId="476791E4" w14:textId="77777777" w:rsidTr="37320C22">
        <w:tc>
          <w:tcPr>
            <w:tcW w:w="1691" w:type="dxa"/>
            <w:shd w:val="clear" w:color="auto" w:fill="auto"/>
          </w:tcPr>
          <w:p w14:paraId="0C5A6682" w14:textId="77777777" w:rsidR="00030DB8" w:rsidRPr="00163D69" w:rsidRDefault="00030DB8" w:rsidP="00675C15">
            <w:pPr>
              <w:pStyle w:val="Tableformat"/>
              <w:rPr>
                <w:color w:val="auto"/>
              </w:rPr>
            </w:pPr>
            <w:r w:rsidRPr="00163D69">
              <w:rPr>
                <w:color w:val="auto"/>
              </w:rPr>
              <w:t>Duration</w:t>
            </w:r>
          </w:p>
        </w:tc>
        <w:tc>
          <w:tcPr>
            <w:tcW w:w="7938" w:type="dxa"/>
            <w:shd w:val="clear" w:color="auto" w:fill="auto"/>
          </w:tcPr>
          <w:p w14:paraId="031B3FB4" w14:textId="06E3E221" w:rsidR="00030DB8" w:rsidRPr="00163D69" w:rsidRDefault="00030DB8" w:rsidP="00675C15">
            <w:pPr>
              <w:pStyle w:val="Tableformat"/>
              <w:rPr>
                <w:color w:val="auto"/>
              </w:rPr>
            </w:pPr>
            <w:r w:rsidRPr="00163D69">
              <w:rPr>
                <w:color w:val="auto"/>
              </w:rPr>
              <w:t xml:space="preserve">This Schedule will commence when the Commonwealth and </w:t>
            </w:r>
            <w:r w:rsidR="005B034A" w:rsidRPr="00163D69">
              <w:rPr>
                <w:color w:val="auto"/>
              </w:rPr>
              <w:t>New South Wales</w:t>
            </w:r>
            <w:r w:rsidRPr="00163D69">
              <w:rPr>
                <w:color w:val="auto"/>
              </w:rPr>
              <w:t xml:space="preserve"> sign the schedule, and is expected to expire on 30</w:t>
            </w:r>
            <w:r w:rsidR="00C255CA" w:rsidRPr="00163D69">
              <w:rPr>
                <w:color w:val="auto"/>
              </w:rPr>
              <w:t> </w:t>
            </w:r>
            <w:r w:rsidRPr="00163D69">
              <w:rPr>
                <w:color w:val="auto"/>
              </w:rPr>
              <w:t>June</w:t>
            </w:r>
            <w:r w:rsidR="00C255CA" w:rsidRPr="00163D69">
              <w:rPr>
                <w:color w:val="auto"/>
              </w:rPr>
              <w:t> </w:t>
            </w:r>
            <w:r w:rsidRPr="00163D69">
              <w:rPr>
                <w:color w:val="auto"/>
              </w:rPr>
              <w:t>2029. It will be reviewed by 30 June 2026. It can also be changed at any time with the agreement of both parties.</w:t>
            </w:r>
          </w:p>
        </w:tc>
      </w:tr>
      <w:tr w:rsidR="00030DB8" w:rsidRPr="00163D69" w14:paraId="42EDA835" w14:textId="77777777" w:rsidTr="37320C22">
        <w:tc>
          <w:tcPr>
            <w:tcW w:w="1691" w:type="dxa"/>
            <w:shd w:val="clear" w:color="auto" w:fill="auto"/>
          </w:tcPr>
          <w:p w14:paraId="6B54A5D4" w14:textId="77777777" w:rsidR="00030DB8" w:rsidRPr="00163D69" w:rsidRDefault="00030DB8" w:rsidP="00675C15">
            <w:pPr>
              <w:pStyle w:val="Tableformat"/>
              <w:rPr>
                <w:color w:val="auto"/>
              </w:rPr>
            </w:pPr>
            <w:r w:rsidRPr="00163D69">
              <w:rPr>
                <w:color w:val="auto"/>
              </w:rPr>
              <w:t>Purpose</w:t>
            </w:r>
          </w:p>
        </w:tc>
        <w:tc>
          <w:tcPr>
            <w:tcW w:w="7938" w:type="dxa"/>
            <w:shd w:val="clear" w:color="auto" w:fill="auto"/>
          </w:tcPr>
          <w:p w14:paraId="296AAA3B" w14:textId="00B90322" w:rsidR="00030DB8" w:rsidRPr="00163D69" w:rsidRDefault="00030DB8" w:rsidP="00675C15">
            <w:pPr>
              <w:pStyle w:val="Tableformat"/>
              <w:rPr>
                <w:color w:val="auto"/>
              </w:rPr>
            </w:pPr>
            <w:r w:rsidRPr="00163D69">
              <w:rPr>
                <w:color w:val="auto"/>
              </w:rPr>
              <w:t xml:space="preserve">This Schedule will help people who are experiencing or at risk of homelessness and support the effective operation of </w:t>
            </w:r>
            <w:r w:rsidR="005B034A" w:rsidRPr="00163D69">
              <w:rPr>
                <w:color w:val="auto"/>
              </w:rPr>
              <w:t>New South Wales</w:t>
            </w:r>
            <w:r w:rsidR="00B9221E" w:rsidRPr="00163D69">
              <w:rPr>
                <w:color w:val="auto"/>
              </w:rPr>
              <w:t>’s</w:t>
            </w:r>
            <w:r w:rsidRPr="00163D69">
              <w:t xml:space="preserve"> </w:t>
            </w:r>
            <w:r w:rsidRPr="00163D69">
              <w:rPr>
                <w:color w:val="auto"/>
              </w:rPr>
              <w:t xml:space="preserve">social housing and homelessness services sectors. </w:t>
            </w:r>
          </w:p>
          <w:p w14:paraId="7C1168C8" w14:textId="0A2E6F84" w:rsidR="00030DB8" w:rsidRPr="00163D69" w:rsidRDefault="00030DB8" w:rsidP="00675C15">
            <w:pPr>
              <w:pStyle w:val="Tableformat"/>
              <w:rPr>
                <w:color w:val="auto"/>
              </w:rPr>
            </w:pPr>
            <w:r w:rsidRPr="00163D69">
              <w:rPr>
                <w:color w:val="auto"/>
              </w:rPr>
              <w:t xml:space="preserve">In committing to this Schedule, the Parties acknowledge their mutual interest in preventing homelessness and improving social housing in </w:t>
            </w:r>
            <w:r w:rsidR="005B034A" w:rsidRPr="00163D69">
              <w:rPr>
                <w:color w:val="auto"/>
              </w:rPr>
              <w:t>New South Wales</w:t>
            </w:r>
            <w:r w:rsidRPr="00163D69">
              <w:rPr>
                <w:color w:val="auto"/>
              </w:rPr>
              <w:t>, with particular regard to people experiencing disproportionate housing inequality and disadvantage.</w:t>
            </w:r>
          </w:p>
        </w:tc>
      </w:tr>
      <w:tr w:rsidR="00030DB8" w:rsidRPr="00163D69" w14:paraId="484BA0F8" w14:textId="77777777" w:rsidTr="37320C22">
        <w:trPr>
          <w:trHeight w:val="5538"/>
        </w:trPr>
        <w:tc>
          <w:tcPr>
            <w:tcW w:w="1691" w:type="dxa"/>
            <w:shd w:val="clear" w:color="auto" w:fill="auto"/>
          </w:tcPr>
          <w:p w14:paraId="325AD44B" w14:textId="77777777" w:rsidR="00030DB8" w:rsidRPr="00163D69" w:rsidRDefault="00030DB8" w:rsidP="00675C15">
            <w:pPr>
              <w:pStyle w:val="Tableformat"/>
              <w:rPr>
                <w:color w:val="auto"/>
              </w:rPr>
            </w:pPr>
            <w:r w:rsidRPr="00163D69">
              <w:rPr>
                <w:color w:val="auto"/>
              </w:rPr>
              <w:t>Estimated financial contributions</w:t>
            </w:r>
          </w:p>
        </w:tc>
        <w:tc>
          <w:tcPr>
            <w:tcW w:w="7938" w:type="dxa"/>
            <w:shd w:val="clear" w:color="auto" w:fill="auto"/>
          </w:tcPr>
          <w:p w14:paraId="618F0F52" w14:textId="0956ACAF" w:rsidR="00030DB8" w:rsidRPr="00163D69" w:rsidRDefault="00B9221E" w:rsidP="00675C15">
            <w:pPr>
              <w:pStyle w:val="Tableformat"/>
              <w:rPr>
                <w:color w:val="auto"/>
              </w:rPr>
            </w:pPr>
            <w:r w:rsidRPr="00163D69">
              <w:rPr>
                <w:noProof/>
                <w:color w:val="auto"/>
                <w:lang w:val="en-AU"/>
              </w:rPr>
              <mc:AlternateContent>
                <mc:Choice Requires="wps">
                  <w:drawing>
                    <wp:anchor distT="45720" distB="45720" distL="114300" distR="114300" simplePos="0" relativeHeight="251659264" behindDoc="0" locked="0" layoutInCell="1" allowOverlap="1" wp14:anchorId="0E354168" wp14:editId="67C92F5C">
                      <wp:simplePos x="0" y="0"/>
                      <wp:positionH relativeFrom="column">
                        <wp:posOffset>-62230</wp:posOffset>
                      </wp:positionH>
                      <wp:positionV relativeFrom="paragraph">
                        <wp:posOffset>703374</wp:posOffset>
                      </wp:positionV>
                      <wp:extent cx="5019675" cy="3114675"/>
                      <wp:effectExtent l="0" t="0" r="9525" b="9525"/>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114675"/>
                              </a:xfrm>
                              <a:prstGeom prst="rect">
                                <a:avLst/>
                              </a:prstGeom>
                              <a:solidFill>
                                <a:srgbClr val="FFFFFF"/>
                              </a:solidFill>
                              <a:ln w="9525">
                                <a:noFill/>
                                <a:miter lim="800000"/>
                                <a:headEnd/>
                                <a:tailEnd/>
                              </a:ln>
                            </wps:spPr>
                            <wps:txbx>
                              <w:txbxContent>
                                <w:p w14:paraId="342B2A2F" w14:textId="77777777" w:rsidR="00B9221E" w:rsidRDefault="00B9221E" w:rsidP="00030DB8">
                                  <w:pPr>
                                    <w:rPr>
                                      <w:sz w:val="18"/>
                                      <w:szCs w:val="18"/>
                                    </w:rPr>
                                  </w:pPr>
                                </w:p>
                                <w:tbl>
                                  <w:tblPr>
                                    <w:tblW w:w="7722" w:type="dxa"/>
                                    <w:tblLook w:val="01E0" w:firstRow="1" w:lastRow="1" w:firstColumn="1" w:lastColumn="1" w:noHBand="0" w:noVBand="0"/>
                                  </w:tblPr>
                                  <w:tblGrid>
                                    <w:gridCol w:w="1953"/>
                                    <w:gridCol w:w="919"/>
                                    <w:gridCol w:w="1039"/>
                                    <w:gridCol w:w="919"/>
                                    <w:gridCol w:w="919"/>
                                    <w:gridCol w:w="977"/>
                                    <w:gridCol w:w="996"/>
                                  </w:tblGrid>
                                  <w:tr w:rsidR="00B9221E" w:rsidRPr="00101AB3" w14:paraId="64B445A5" w14:textId="77777777" w:rsidTr="00B9221E">
                                    <w:trPr>
                                      <w:cantSplit/>
                                    </w:trPr>
                                    <w:tc>
                                      <w:tcPr>
                                        <w:tcW w:w="1953" w:type="dxa"/>
                                        <w:tcBorders>
                                          <w:top w:val="single" w:sz="4" w:space="0" w:color="000080"/>
                                          <w:bottom w:val="single" w:sz="4" w:space="0" w:color="000080"/>
                                        </w:tcBorders>
                                      </w:tcPr>
                                      <w:p w14:paraId="10372778" w14:textId="77777777" w:rsidR="00B9221E" w:rsidRDefault="00B9221E" w:rsidP="00B9221E">
                                        <w:pPr>
                                          <w:keepNext/>
                                          <w:keepLines/>
                                          <w:spacing w:before="40" w:after="40"/>
                                          <w:ind w:left="-111"/>
                                          <w:rPr>
                                            <w:b/>
                                            <w:sz w:val="21"/>
                                            <w:szCs w:val="21"/>
                                          </w:rPr>
                                        </w:pPr>
                                        <w:r>
                                          <w:rPr>
                                            <w:b/>
                                            <w:sz w:val="21"/>
                                            <w:szCs w:val="21"/>
                                          </w:rPr>
                                          <w:t>Table 1</w:t>
                                        </w:r>
                                      </w:p>
                                      <w:p w14:paraId="2EF1CE9B" w14:textId="77777777" w:rsidR="00B9221E" w:rsidRPr="005D39DD" w:rsidRDefault="00B9221E" w:rsidP="00B9221E">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0D8FEA00" w14:textId="77777777" w:rsidR="00B9221E" w:rsidRPr="002328CB" w:rsidRDefault="00B9221E" w:rsidP="00B9221E">
                                        <w:pPr>
                                          <w:keepNext/>
                                          <w:keepLines/>
                                          <w:spacing w:before="40" w:after="40"/>
                                          <w:jc w:val="right"/>
                                          <w:rPr>
                                            <w:b/>
                                            <w:i/>
                                            <w:sz w:val="21"/>
                                            <w:szCs w:val="21"/>
                                          </w:rPr>
                                        </w:pPr>
                                        <w:r>
                                          <w:rPr>
                                            <w:b/>
                                            <w:i/>
                                            <w:sz w:val="21"/>
                                            <w:szCs w:val="21"/>
                                          </w:rPr>
                                          <w:t>2024</w:t>
                                        </w:r>
                                        <w:r>
                                          <w:rPr>
                                            <w:b/>
                                            <w:i/>
                                            <w:sz w:val="21"/>
                                            <w:szCs w:val="21"/>
                                          </w:rPr>
                                          <w:noBreakHyphen/>
                                          <w:t>25</w:t>
                                        </w:r>
                                      </w:p>
                                    </w:tc>
                                    <w:tc>
                                      <w:tcPr>
                                        <w:tcW w:w="1039" w:type="dxa"/>
                                        <w:tcBorders>
                                          <w:top w:val="single" w:sz="4" w:space="0" w:color="000080"/>
                                          <w:bottom w:val="single" w:sz="4" w:space="0" w:color="000080"/>
                                        </w:tcBorders>
                                        <w:vAlign w:val="center"/>
                                      </w:tcPr>
                                      <w:p w14:paraId="6510C5BC"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F7E9EEE"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6</w:t>
                                        </w:r>
                                        <w:r>
                                          <w:rPr>
                                            <w:b/>
                                            <w:i/>
                                            <w:sz w:val="21"/>
                                            <w:szCs w:val="21"/>
                                          </w:rPr>
                                          <w:noBreakHyphen/>
                                        </w:r>
                                        <w:r w:rsidRPr="00100398">
                                          <w:rPr>
                                            <w:b/>
                                            <w:i/>
                                            <w:sz w:val="21"/>
                                            <w:szCs w:val="21"/>
                                          </w:rPr>
                                          <w:t>2</w:t>
                                        </w:r>
                                        <w:r>
                                          <w:rPr>
                                            <w:b/>
                                            <w:i/>
                                            <w:sz w:val="21"/>
                                            <w:szCs w:val="21"/>
                                          </w:rPr>
                                          <w:t>7</w:t>
                                        </w:r>
                                      </w:p>
                                    </w:tc>
                                    <w:tc>
                                      <w:tcPr>
                                        <w:tcW w:w="919" w:type="dxa"/>
                                        <w:tcBorders>
                                          <w:top w:val="single" w:sz="4" w:space="0" w:color="000080"/>
                                          <w:bottom w:val="single" w:sz="4" w:space="0" w:color="000080"/>
                                        </w:tcBorders>
                                        <w:vAlign w:val="center"/>
                                      </w:tcPr>
                                      <w:p w14:paraId="47A3DDF0"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7</w:t>
                                        </w:r>
                                        <w:r>
                                          <w:rPr>
                                            <w:b/>
                                            <w:i/>
                                            <w:sz w:val="21"/>
                                            <w:szCs w:val="21"/>
                                          </w:rPr>
                                          <w:noBreakHyphen/>
                                        </w:r>
                                        <w:r w:rsidRPr="00100398">
                                          <w:rPr>
                                            <w:b/>
                                            <w:i/>
                                            <w:sz w:val="21"/>
                                            <w:szCs w:val="21"/>
                                          </w:rPr>
                                          <w:t>2</w:t>
                                        </w:r>
                                        <w:r>
                                          <w:rPr>
                                            <w:b/>
                                            <w:i/>
                                            <w:sz w:val="21"/>
                                            <w:szCs w:val="21"/>
                                          </w:rPr>
                                          <w:t>8</w:t>
                                        </w:r>
                                      </w:p>
                                    </w:tc>
                                    <w:tc>
                                      <w:tcPr>
                                        <w:tcW w:w="977" w:type="dxa"/>
                                        <w:tcBorders>
                                          <w:top w:val="single" w:sz="4" w:space="0" w:color="000080"/>
                                          <w:bottom w:val="single" w:sz="4" w:space="0" w:color="000080"/>
                                        </w:tcBorders>
                                        <w:vAlign w:val="center"/>
                                      </w:tcPr>
                                      <w:p w14:paraId="748612FB"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96" w:type="dxa"/>
                                        <w:tcBorders>
                                          <w:top w:val="single" w:sz="4" w:space="0" w:color="000080"/>
                                          <w:bottom w:val="single" w:sz="4" w:space="0" w:color="000080"/>
                                        </w:tcBorders>
                                        <w:vAlign w:val="center"/>
                                      </w:tcPr>
                                      <w:p w14:paraId="56931C5F" w14:textId="77777777" w:rsidR="00B9221E" w:rsidRPr="002328CB" w:rsidRDefault="00B9221E" w:rsidP="00B9221E">
                                        <w:pPr>
                                          <w:keepNext/>
                                          <w:keepLines/>
                                          <w:spacing w:before="40" w:after="40"/>
                                          <w:jc w:val="right"/>
                                          <w:rPr>
                                            <w:b/>
                                            <w:i/>
                                            <w:sz w:val="21"/>
                                            <w:szCs w:val="21"/>
                                          </w:rPr>
                                        </w:pPr>
                                        <w:r w:rsidRPr="002328CB">
                                          <w:rPr>
                                            <w:b/>
                                            <w:i/>
                                            <w:sz w:val="21"/>
                                            <w:szCs w:val="21"/>
                                          </w:rPr>
                                          <w:t>Total</w:t>
                                        </w:r>
                                      </w:p>
                                    </w:tc>
                                  </w:tr>
                                  <w:tr w:rsidR="00B9221E" w:rsidRPr="00101AB3" w14:paraId="4B0C3109" w14:textId="77777777" w:rsidTr="00B9221E">
                                    <w:trPr>
                                      <w:cantSplit/>
                                    </w:trPr>
                                    <w:tc>
                                      <w:tcPr>
                                        <w:tcW w:w="1953" w:type="dxa"/>
                                        <w:tcBorders>
                                          <w:top w:val="single" w:sz="4" w:space="0" w:color="000080"/>
                                        </w:tcBorders>
                                      </w:tcPr>
                                      <w:p w14:paraId="72E0C2AD" w14:textId="77777777" w:rsidR="00B9221E" w:rsidRPr="005D39DD" w:rsidRDefault="00B9221E" w:rsidP="00B9221E">
                                        <w:pPr>
                                          <w:keepNext/>
                                          <w:keepLines/>
                                          <w:spacing w:before="60" w:after="60"/>
                                          <w:ind w:left="-111"/>
                                          <w:rPr>
                                            <w:b/>
                                            <w:sz w:val="21"/>
                                            <w:szCs w:val="21"/>
                                          </w:rPr>
                                        </w:pPr>
                                      </w:p>
                                    </w:tc>
                                    <w:tc>
                                      <w:tcPr>
                                        <w:tcW w:w="919" w:type="dxa"/>
                                        <w:tcBorders>
                                          <w:top w:val="single" w:sz="4" w:space="0" w:color="000080"/>
                                        </w:tcBorders>
                                      </w:tcPr>
                                      <w:p w14:paraId="33994ABA" w14:textId="77777777" w:rsidR="00B9221E" w:rsidRPr="005D39DD" w:rsidRDefault="00B9221E" w:rsidP="00B9221E">
                                        <w:pPr>
                                          <w:keepNext/>
                                          <w:keepLines/>
                                          <w:spacing w:before="40" w:after="40"/>
                                          <w:jc w:val="right"/>
                                          <w:rPr>
                                            <w:b/>
                                            <w:sz w:val="21"/>
                                            <w:szCs w:val="21"/>
                                          </w:rPr>
                                        </w:pPr>
                                      </w:p>
                                    </w:tc>
                                    <w:tc>
                                      <w:tcPr>
                                        <w:tcW w:w="1039" w:type="dxa"/>
                                        <w:tcBorders>
                                          <w:top w:val="single" w:sz="4" w:space="0" w:color="000080"/>
                                        </w:tcBorders>
                                      </w:tcPr>
                                      <w:p w14:paraId="1AD4A05B" w14:textId="77777777" w:rsidR="00B9221E" w:rsidRPr="005D39DD" w:rsidRDefault="00B9221E" w:rsidP="00B9221E">
                                        <w:pPr>
                                          <w:keepNext/>
                                          <w:keepLines/>
                                          <w:spacing w:before="40" w:after="40"/>
                                          <w:jc w:val="right"/>
                                          <w:rPr>
                                            <w:b/>
                                            <w:sz w:val="21"/>
                                            <w:szCs w:val="21"/>
                                          </w:rPr>
                                        </w:pPr>
                                      </w:p>
                                    </w:tc>
                                    <w:tc>
                                      <w:tcPr>
                                        <w:tcW w:w="919" w:type="dxa"/>
                                        <w:tcBorders>
                                          <w:top w:val="single" w:sz="4" w:space="0" w:color="000080"/>
                                        </w:tcBorders>
                                      </w:tcPr>
                                      <w:p w14:paraId="6A189447" w14:textId="77777777" w:rsidR="00B9221E" w:rsidRPr="005D39DD" w:rsidRDefault="00B9221E" w:rsidP="00B9221E">
                                        <w:pPr>
                                          <w:keepNext/>
                                          <w:keepLines/>
                                          <w:spacing w:before="40" w:after="40"/>
                                          <w:jc w:val="right"/>
                                          <w:rPr>
                                            <w:b/>
                                            <w:sz w:val="21"/>
                                            <w:szCs w:val="21"/>
                                          </w:rPr>
                                        </w:pPr>
                                      </w:p>
                                    </w:tc>
                                    <w:tc>
                                      <w:tcPr>
                                        <w:tcW w:w="919" w:type="dxa"/>
                                        <w:tcBorders>
                                          <w:top w:val="single" w:sz="4" w:space="0" w:color="000080"/>
                                        </w:tcBorders>
                                      </w:tcPr>
                                      <w:p w14:paraId="4BFD6419" w14:textId="77777777" w:rsidR="00B9221E" w:rsidRPr="005D39DD" w:rsidRDefault="00B9221E" w:rsidP="00B9221E">
                                        <w:pPr>
                                          <w:keepNext/>
                                          <w:keepLines/>
                                          <w:spacing w:before="40" w:after="40"/>
                                          <w:jc w:val="right"/>
                                          <w:rPr>
                                            <w:b/>
                                            <w:sz w:val="21"/>
                                            <w:szCs w:val="21"/>
                                          </w:rPr>
                                        </w:pPr>
                                      </w:p>
                                    </w:tc>
                                    <w:tc>
                                      <w:tcPr>
                                        <w:tcW w:w="977" w:type="dxa"/>
                                        <w:tcBorders>
                                          <w:top w:val="single" w:sz="4" w:space="0" w:color="000080"/>
                                        </w:tcBorders>
                                      </w:tcPr>
                                      <w:p w14:paraId="52F5FA08" w14:textId="77777777" w:rsidR="00B9221E" w:rsidRPr="005D39DD" w:rsidRDefault="00B9221E" w:rsidP="00B9221E">
                                        <w:pPr>
                                          <w:keepNext/>
                                          <w:keepLines/>
                                          <w:spacing w:before="40" w:after="40"/>
                                          <w:jc w:val="right"/>
                                          <w:rPr>
                                            <w:b/>
                                            <w:sz w:val="21"/>
                                            <w:szCs w:val="21"/>
                                          </w:rPr>
                                        </w:pPr>
                                      </w:p>
                                    </w:tc>
                                    <w:tc>
                                      <w:tcPr>
                                        <w:tcW w:w="996" w:type="dxa"/>
                                        <w:tcBorders>
                                          <w:top w:val="single" w:sz="4" w:space="0" w:color="000080"/>
                                        </w:tcBorders>
                                      </w:tcPr>
                                      <w:p w14:paraId="4185F4C6" w14:textId="77777777" w:rsidR="00B9221E" w:rsidRPr="005D39DD" w:rsidRDefault="00B9221E" w:rsidP="00B9221E">
                                        <w:pPr>
                                          <w:keepNext/>
                                          <w:keepLines/>
                                          <w:spacing w:before="40" w:after="40"/>
                                          <w:jc w:val="right"/>
                                          <w:rPr>
                                            <w:b/>
                                            <w:sz w:val="21"/>
                                            <w:szCs w:val="21"/>
                                          </w:rPr>
                                        </w:pPr>
                                      </w:p>
                                    </w:tc>
                                  </w:tr>
                                  <w:tr w:rsidR="00B9221E" w:rsidRPr="00101AB3" w14:paraId="7F9F53B4" w14:textId="77777777" w:rsidTr="00B9221E">
                                    <w:trPr>
                                      <w:cantSplit/>
                                    </w:trPr>
                                    <w:tc>
                                      <w:tcPr>
                                        <w:tcW w:w="1953" w:type="dxa"/>
                                      </w:tcPr>
                                      <w:p w14:paraId="2DC20FB2" w14:textId="77777777" w:rsidR="00B9221E" w:rsidRPr="008C6B79" w:rsidRDefault="00B9221E" w:rsidP="00B9221E">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9" w:type="dxa"/>
                                      </w:tcPr>
                                      <w:p w14:paraId="08E0E8F3" w14:textId="77777777" w:rsidR="00B9221E" w:rsidRPr="005D39DD" w:rsidRDefault="00B9221E" w:rsidP="00B9221E">
                                        <w:pPr>
                                          <w:keepNext/>
                                          <w:keepLines/>
                                          <w:spacing w:before="40" w:after="40"/>
                                          <w:jc w:val="right"/>
                                          <w:rPr>
                                            <w:sz w:val="21"/>
                                            <w:szCs w:val="21"/>
                                          </w:rPr>
                                        </w:pPr>
                                        <w:r w:rsidRPr="00241D54">
                                          <w:t xml:space="preserve"> 425.27 </w:t>
                                        </w:r>
                                      </w:p>
                                    </w:tc>
                                    <w:tc>
                                      <w:tcPr>
                                        <w:tcW w:w="1039" w:type="dxa"/>
                                      </w:tcPr>
                                      <w:p w14:paraId="3755581E" w14:textId="77777777" w:rsidR="00B9221E" w:rsidRPr="005D39DD" w:rsidRDefault="00B9221E" w:rsidP="00B9221E">
                                        <w:pPr>
                                          <w:keepNext/>
                                          <w:keepLines/>
                                          <w:spacing w:before="40" w:after="40"/>
                                          <w:jc w:val="right"/>
                                          <w:rPr>
                                            <w:sz w:val="21"/>
                                            <w:szCs w:val="21"/>
                                          </w:rPr>
                                        </w:pPr>
                                        <w:r w:rsidRPr="00241D54">
                                          <w:t xml:space="preserve"> 435.05 </w:t>
                                        </w:r>
                                      </w:p>
                                    </w:tc>
                                    <w:tc>
                                      <w:tcPr>
                                        <w:tcW w:w="919" w:type="dxa"/>
                                      </w:tcPr>
                                      <w:p w14:paraId="60224652" w14:textId="77777777" w:rsidR="00B9221E" w:rsidRPr="005D39DD" w:rsidRDefault="00B9221E" w:rsidP="00B9221E">
                                        <w:pPr>
                                          <w:keepNext/>
                                          <w:keepLines/>
                                          <w:spacing w:before="40" w:after="40"/>
                                          <w:jc w:val="right"/>
                                          <w:rPr>
                                            <w:sz w:val="21"/>
                                            <w:szCs w:val="21"/>
                                          </w:rPr>
                                        </w:pPr>
                                        <w:r w:rsidRPr="00241D54">
                                          <w:t xml:space="preserve"> 444.62 </w:t>
                                        </w:r>
                                      </w:p>
                                    </w:tc>
                                    <w:tc>
                                      <w:tcPr>
                                        <w:tcW w:w="919" w:type="dxa"/>
                                      </w:tcPr>
                                      <w:p w14:paraId="1DF0A650" w14:textId="77777777" w:rsidR="00B9221E" w:rsidRPr="005D39DD" w:rsidRDefault="00B9221E" w:rsidP="00B9221E">
                                        <w:pPr>
                                          <w:keepNext/>
                                          <w:keepLines/>
                                          <w:spacing w:before="40" w:after="40"/>
                                          <w:jc w:val="right"/>
                                          <w:rPr>
                                            <w:sz w:val="21"/>
                                            <w:szCs w:val="21"/>
                                          </w:rPr>
                                        </w:pPr>
                                        <w:r w:rsidRPr="00241D54">
                                          <w:t xml:space="preserve"> 453.51 </w:t>
                                        </w:r>
                                      </w:p>
                                    </w:tc>
                                    <w:tc>
                                      <w:tcPr>
                                        <w:tcW w:w="977" w:type="dxa"/>
                                      </w:tcPr>
                                      <w:p w14:paraId="3428FB78" w14:textId="77777777" w:rsidR="00B9221E" w:rsidRPr="005D39DD" w:rsidRDefault="00B9221E" w:rsidP="00B9221E">
                                        <w:pPr>
                                          <w:keepNext/>
                                          <w:keepLines/>
                                          <w:spacing w:before="40" w:after="40"/>
                                          <w:jc w:val="right"/>
                                          <w:rPr>
                                            <w:sz w:val="21"/>
                                            <w:szCs w:val="21"/>
                                          </w:rPr>
                                        </w:pPr>
                                        <w:r w:rsidRPr="00241D54">
                                          <w:t xml:space="preserve"> 462.58 </w:t>
                                        </w:r>
                                      </w:p>
                                    </w:tc>
                                    <w:tc>
                                      <w:tcPr>
                                        <w:tcW w:w="996" w:type="dxa"/>
                                      </w:tcPr>
                                      <w:p w14:paraId="2343EB1C" w14:textId="77777777" w:rsidR="00B9221E" w:rsidRPr="005D39DD" w:rsidRDefault="00B9221E" w:rsidP="00B9221E">
                                        <w:pPr>
                                          <w:keepNext/>
                                          <w:keepLines/>
                                          <w:spacing w:before="40" w:after="40"/>
                                          <w:jc w:val="right"/>
                                          <w:rPr>
                                            <w:sz w:val="21"/>
                                            <w:szCs w:val="21"/>
                                          </w:rPr>
                                        </w:pPr>
                                        <w:r w:rsidRPr="00241D54">
                                          <w:t xml:space="preserve">2,221.02 </w:t>
                                        </w:r>
                                      </w:p>
                                    </w:tc>
                                  </w:tr>
                                  <w:tr w:rsidR="00B9221E" w:rsidRPr="00101AB3" w14:paraId="7A3600D4" w14:textId="77777777" w:rsidTr="00B9221E">
                                    <w:trPr>
                                      <w:cantSplit/>
                                    </w:trPr>
                                    <w:tc>
                                      <w:tcPr>
                                        <w:tcW w:w="1953" w:type="dxa"/>
                                      </w:tcPr>
                                      <w:p w14:paraId="1E5B2BFC" w14:textId="77777777" w:rsidR="00B9221E" w:rsidRPr="008C6B79" w:rsidRDefault="00B9221E" w:rsidP="00B9221E">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919" w:type="dxa"/>
                                      </w:tcPr>
                                      <w:p w14:paraId="2AB3254F" w14:textId="77777777" w:rsidR="00B9221E" w:rsidRDefault="00B9221E" w:rsidP="00B9221E">
                                        <w:pPr>
                                          <w:keepNext/>
                                          <w:keepLines/>
                                          <w:spacing w:before="40" w:after="40"/>
                                          <w:jc w:val="right"/>
                                        </w:pPr>
                                        <w:r w:rsidRPr="008300D3">
                                          <w:t xml:space="preserve"> </w:t>
                                        </w:r>
                                      </w:p>
                                      <w:p w14:paraId="35AB1B78" w14:textId="77777777" w:rsidR="00B9221E" w:rsidRPr="005D39DD" w:rsidRDefault="00B9221E" w:rsidP="00B9221E">
                                        <w:pPr>
                                          <w:keepNext/>
                                          <w:keepLines/>
                                          <w:spacing w:before="40" w:after="40"/>
                                          <w:jc w:val="right"/>
                                          <w:rPr>
                                            <w:sz w:val="21"/>
                                            <w:szCs w:val="21"/>
                                          </w:rPr>
                                        </w:pPr>
                                        <w:r w:rsidRPr="008300D3">
                                          <w:t xml:space="preserve">114.33 </w:t>
                                        </w:r>
                                      </w:p>
                                    </w:tc>
                                    <w:tc>
                                      <w:tcPr>
                                        <w:tcW w:w="1039" w:type="dxa"/>
                                      </w:tcPr>
                                      <w:p w14:paraId="0049A749" w14:textId="77777777" w:rsidR="00B9221E" w:rsidRDefault="00B9221E" w:rsidP="00B9221E">
                                        <w:pPr>
                                          <w:keepNext/>
                                          <w:keepLines/>
                                          <w:spacing w:before="40" w:after="40"/>
                                          <w:jc w:val="right"/>
                                        </w:pPr>
                                        <w:r w:rsidRPr="008300D3">
                                          <w:t xml:space="preserve"> </w:t>
                                        </w:r>
                                      </w:p>
                                      <w:p w14:paraId="24A34315" w14:textId="77777777" w:rsidR="00B9221E" w:rsidRPr="005D39DD" w:rsidRDefault="00B9221E" w:rsidP="00B9221E">
                                        <w:pPr>
                                          <w:keepNext/>
                                          <w:keepLines/>
                                          <w:spacing w:before="40" w:after="40"/>
                                          <w:jc w:val="right"/>
                                          <w:rPr>
                                            <w:sz w:val="21"/>
                                            <w:szCs w:val="21"/>
                                          </w:rPr>
                                        </w:pPr>
                                        <w:r w:rsidRPr="008300D3">
                                          <w:t xml:space="preserve">116.96 </w:t>
                                        </w:r>
                                      </w:p>
                                    </w:tc>
                                    <w:tc>
                                      <w:tcPr>
                                        <w:tcW w:w="919" w:type="dxa"/>
                                      </w:tcPr>
                                      <w:p w14:paraId="265152E0" w14:textId="77777777" w:rsidR="00B9221E" w:rsidRDefault="00B9221E" w:rsidP="00B9221E">
                                        <w:pPr>
                                          <w:keepNext/>
                                          <w:keepLines/>
                                          <w:spacing w:before="40" w:after="40"/>
                                          <w:jc w:val="right"/>
                                        </w:pPr>
                                      </w:p>
                                      <w:p w14:paraId="18E51FDD" w14:textId="77777777" w:rsidR="00B9221E" w:rsidRPr="005D39DD" w:rsidRDefault="00B9221E" w:rsidP="00B9221E">
                                        <w:pPr>
                                          <w:keepNext/>
                                          <w:keepLines/>
                                          <w:spacing w:before="40" w:after="40"/>
                                          <w:jc w:val="right"/>
                                          <w:rPr>
                                            <w:sz w:val="21"/>
                                            <w:szCs w:val="21"/>
                                          </w:rPr>
                                        </w:pPr>
                                        <w:r w:rsidRPr="008300D3">
                                          <w:t xml:space="preserve"> 119.54 </w:t>
                                        </w:r>
                                      </w:p>
                                    </w:tc>
                                    <w:tc>
                                      <w:tcPr>
                                        <w:tcW w:w="919" w:type="dxa"/>
                                      </w:tcPr>
                                      <w:p w14:paraId="29041583" w14:textId="77777777" w:rsidR="00B9221E" w:rsidRDefault="00B9221E" w:rsidP="00B9221E">
                                        <w:pPr>
                                          <w:keepNext/>
                                          <w:keepLines/>
                                          <w:spacing w:before="40" w:after="40"/>
                                          <w:jc w:val="right"/>
                                        </w:pPr>
                                        <w:r w:rsidRPr="008300D3">
                                          <w:t xml:space="preserve"> </w:t>
                                        </w:r>
                                      </w:p>
                                      <w:p w14:paraId="1CBA0D39" w14:textId="77777777" w:rsidR="00B9221E" w:rsidRPr="005D39DD" w:rsidRDefault="00B9221E" w:rsidP="00B9221E">
                                        <w:pPr>
                                          <w:keepNext/>
                                          <w:keepLines/>
                                          <w:spacing w:before="40" w:after="40"/>
                                          <w:jc w:val="right"/>
                                          <w:rPr>
                                            <w:sz w:val="21"/>
                                            <w:szCs w:val="21"/>
                                          </w:rPr>
                                        </w:pPr>
                                        <w:r w:rsidRPr="008300D3">
                                          <w:t xml:space="preserve">121.93 </w:t>
                                        </w:r>
                                      </w:p>
                                    </w:tc>
                                    <w:tc>
                                      <w:tcPr>
                                        <w:tcW w:w="977" w:type="dxa"/>
                                      </w:tcPr>
                                      <w:p w14:paraId="2899F3E3" w14:textId="77777777" w:rsidR="00B9221E" w:rsidRDefault="00B9221E" w:rsidP="00B9221E">
                                        <w:pPr>
                                          <w:keepNext/>
                                          <w:keepLines/>
                                          <w:spacing w:before="40" w:after="40"/>
                                          <w:jc w:val="right"/>
                                        </w:pPr>
                                        <w:r w:rsidRPr="008300D3">
                                          <w:t xml:space="preserve"> </w:t>
                                        </w:r>
                                      </w:p>
                                      <w:p w14:paraId="352E1D70" w14:textId="77777777" w:rsidR="00B9221E" w:rsidRPr="005D39DD" w:rsidRDefault="00B9221E" w:rsidP="00B9221E">
                                        <w:pPr>
                                          <w:keepNext/>
                                          <w:keepLines/>
                                          <w:spacing w:before="40" w:after="40"/>
                                          <w:jc w:val="right"/>
                                          <w:rPr>
                                            <w:sz w:val="21"/>
                                            <w:szCs w:val="21"/>
                                          </w:rPr>
                                        </w:pPr>
                                        <w:r w:rsidRPr="008300D3">
                                          <w:t xml:space="preserve">124.37 </w:t>
                                        </w:r>
                                      </w:p>
                                    </w:tc>
                                    <w:tc>
                                      <w:tcPr>
                                        <w:tcW w:w="996" w:type="dxa"/>
                                      </w:tcPr>
                                      <w:p w14:paraId="452C2096" w14:textId="77777777" w:rsidR="00B9221E" w:rsidRDefault="00B9221E" w:rsidP="00B9221E">
                                        <w:pPr>
                                          <w:keepNext/>
                                          <w:keepLines/>
                                          <w:spacing w:before="40" w:after="40"/>
                                          <w:jc w:val="right"/>
                                        </w:pPr>
                                      </w:p>
                                      <w:p w14:paraId="48EAFE99" w14:textId="77777777" w:rsidR="00B9221E" w:rsidRPr="005D39DD" w:rsidRDefault="00B9221E" w:rsidP="00B9221E">
                                        <w:pPr>
                                          <w:keepNext/>
                                          <w:keepLines/>
                                          <w:spacing w:before="40" w:after="40"/>
                                          <w:jc w:val="right"/>
                                          <w:rPr>
                                            <w:sz w:val="21"/>
                                            <w:szCs w:val="21"/>
                                          </w:rPr>
                                        </w:pPr>
                                        <w:r w:rsidRPr="008300D3">
                                          <w:t xml:space="preserve"> 597.13 </w:t>
                                        </w:r>
                                      </w:p>
                                    </w:tc>
                                  </w:tr>
                                  <w:tr w:rsidR="00B9221E" w:rsidRPr="00101AB3" w14:paraId="2A5CB65C" w14:textId="77777777" w:rsidTr="00B9221E">
                                    <w:trPr>
                                      <w:cantSplit/>
                                    </w:trPr>
                                    <w:tc>
                                      <w:tcPr>
                                        <w:tcW w:w="1953" w:type="dxa"/>
                                        <w:tcBorders>
                                          <w:bottom w:val="single" w:sz="4" w:space="0" w:color="000080"/>
                                        </w:tcBorders>
                                      </w:tcPr>
                                      <w:p w14:paraId="04CACFA3" w14:textId="77777777" w:rsidR="00B9221E" w:rsidRPr="008C6B79" w:rsidRDefault="00B9221E" w:rsidP="00B9221E">
                                        <w:pPr>
                                          <w:keepNext/>
                                          <w:keepLines/>
                                          <w:spacing w:before="40" w:after="40"/>
                                          <w:ind w:left="-111"/>
                                          <w:rPr>
                                            <w:sz w:val="21"/>
                                            <w:szCs w:val="21"/>
                                          </w:rPr>
                                        </w:pPr>
                                        <w:r>
                                          <w:rPr>
                                            <w:sz w:val="21"/>
                                            <w:szCs w:val="21"/>
                                          </w:rPr>
                                          <w:t>New South Wales-matched homelessness funding</w:t>
                                        </w:r>
                                      </w:p>
                                    </w:tc>
                                    <w:tc>
                                      <w:tcPr>
                                        <w:tcW w:w="919" w:type="dxa"/>
                                        <w:tcBorders>
                                          <w:bottom w:val="single" w:sz="4" w:space="0" w:color="000080"/>
                                        </w:tcBorders>
                                      </w:tcPr>
                                      <w:p w14:paraId="738C5530" w14:textId="77777777" w:rsidR="00B9221E" w:rsidRPr="005D39DD" w:rsidRDefault="00B9221E" w:rsidP="00B9221E">
                                        <w:pPr>
                                          <w:keepNext/>
                                          <w:keepLines/>
                                          <w:spacing w:before="40" w:after="40"/>
                                          <w:jc w:val="right"/>
                                          <w:rPr>
                                            <w:sz w:val="21"/>
                                            <w:szCs w:val="21"/>
                                          </w:rPr>
                                        </w:pPr>
                                        <w:r w:rsidRPr="004315F0">
                                          <w:t xml:space="preserve"> 114.33 </w:t>
                                        </w:r>
                                      </w:p>
                                    </w:tc>
                                    <w:tc>
                                      <w:tcPr>
                                        <w:tcW w:w="1039" w:type="dxa"/>
                                        <w:tcBorders>
                                          <w:bottom w:val="single" w:sz="4" w:space="0" w:color="000080"/>
                                        </w:tcBorders>
                                      </w:tcPr>
                                      <w:p w14:paraId="69ACFC62" w14:textId="77777777" w:rsidR="00B9221E" w:rsidRPr="005D39DD" w:rsidRDefault="00B9221E" w:rsidP="00B9221E">
                                        <w:pPr>
                                          <w:keepNext/>
                                          <w:keepLines/>
                                          <w:spacing w:before="40" w:after="40"/>
                                          <w:jc w:val="right"/>
                                          <w:rPr>
                                            <w:sz w:val="21"/>
                                            <w:szCs w:val="21"/>
                                          </w:rPr>
                                        </w:pPr>
                                        <w:r w:rsidRPr="004315F0">
                                          <w:t xml:space="preserve"> 116.96 </w:t>
                                        </w:r>
                                      </w:p>
                                    </w:tc>
                                    <w:tc>
                                      <w:tcPr>
                                        <w:tcW w:w="919" w:type="dxa"/>
                                        <w:tcBorders>
                                          <w:bottom w:val="single" w:sz="4" w:space="0" w:color="000080"/>
                                        </w:tcBorders>
                                      </w:tcPr>
                                      <w:p w14:paraId="2C5B35D0" w14:textId="77777777" w:rsidR="00B9221E" w:rsidRPr="005D39DD" w:rsidRDefault="00B9221E" w:rsidP="00B9221E">
                                        <w:pPr>
                                          <w:keepNext/>
                                          <w:keepLines/>
                                          <w:spacing w:before="40" w:after="40"/>
                                          <w:jc w:val="right"/>
                                          <w:rPr>
                                            <w:sz w:val="21"/>
                                            <w:szCs w:val="21"/>
                                          </w:rPr>
                                        </w:pPr>
                                        <w:r w:rsidRPr="004315F0">
                                          <w:t xml:space="preserve"> 119.54 </w:t>
                                        </w:r>
                                      </w:p>
                                    </w:tc>
                                    <w:tc>
                                      <w:tcPr>
                                        <w:tcW w:w="919" w:type="dxa"/>
                                        <w:tcBorders>
                                          <w:bottom w:val="single" w:sz="4" w:space="0" w:color="000080"/>
                                        </w:tcBorders>
                                      </w:tcPr>
                                      <w:p w14:paraId="422C29DB" w14:textId="77777777" w:rsidR="00B9221E" w:rsidRPr="005D39DD" w:rsidRDefault="00B9221E" w:rsidP="00B9221E">
                                        <w:pPr>
                                          <w:keepNext/>
                                          <w:keepLines/>
                                          <w:spacing w:before="40" w:after="40"/>
                                          <w:jc w:val="right"/>
                                          <w:rPr>
                                            <w:sz w:val="21"/>
                                            <w:szCs w:val="21"/>
                                          </w:rPr>
                                        </w:pPr>
                                        <w:r w:rsidRPr="004315F0">
                                          <w:t xml:space="preserve"> 121.93 </w:t>
                                        </w:r>
                                      </w:p>
                                    </w:tc>
                                    <w:tc>
                                      <w:tcPr>
                                        <w:tcW w:w="977" w:type="dxa"/>
                                        <w:tcBorders>
                                          <w:bottom w:val="single" w:sz="4" w:space="0" w:color="000080"/>
                                        </w:tcBorders>
                                      </w:tcPr>
                                      <w:p w14:paraId="334E805D" w14:textId="77777777" w:rsidR="00B9221E" w:rsidRPr="005D39DD" w:rsidRDefault="00B9221E" w:rsidP="00B9221E">
                                        <w:pPr>
                                          <w:keepNext/>
                                          <w:keepLines/>
                                          <w:spacing w:before="40" w:after="40"/>
                                          <w:jc w:val="right"/>
                                          <w:rPr>
                                            <w:sz w:val="21"/>
                                            <w:szCs w:val="21"/>
                                          </w:rPr>
                                        </w:pPr>
                                        <w:r w:rsidRPr="004315F0">
                                          <w:t xml:space="preserve"> 124.37 </w:t>
                                        </w:r>
                                      </w:p>
                                    </w:tc>
                                    <w:tc>
                                      <w:tcPr>
                                        <w:tcW w:w="996" w:type="dxa"/>
                                        <w:tcBorders>
                                          <w:bottom w:val="single" w:sz="4" w:space="0" w:color="000080"/>
                                        </w:tcBorders>
                                      </w:tcPr>
                                      <w:p w14:paraId="659F4666" w14:textId="77777777" w:rsidR="00B9221E" w:rsidRPr="005D39DD" w:rsidRDefault="00B9221E" w:rsidP="00B9221E">
                                        <w:pPr>
                                          <w:keepNext/>
                                          <w:keepLines/>
                                          <w:spacing w:before="40" w:after="40"/>
                                          <w:jc w:val="right"/>
                                          <w:rPr>
                                            <w:sz w:val="21"/>
                                            <w:szCs w:val="21"/>
                                          </w:rPr>
                                        </w:pPr>
                                        <w:r w:rsidRPr="004315F0">
                                          <w:t xml:space="preserve"> 597.13 </w:t>
                                        </w:r>
                                      </w:p>
                                    </w:tc>
                                  </w:tr>
                                </w:tbl>
                                <w:p w14:paraId="2E86BE1B" w14:textId="77777777" w:rsidR="00B9221E" w:rsidRDefault="00B9221E" w:rsidP="00B9221E">
                                  <w:pPr>
                                    <w:rPr>
                                      <w:sz w:val="18"/>
                                      <w:szCs w:val="18"/>
                                    </w:rPr>
                                  </w:pPr>
                                  <w:r w:rsidRPr="00CC2A31">
                                    <w:rPr>
                                      <w:sz w:val="18"/>
                                      <w:szCs w:val="18"/>
                                    </w:rPr>
                                    <w:t>Note: Totals subject to change based on parameter updates.</w:t>
                                  </w:r>
                                </w:p>
                                <w:p w14:paraId="479DB17B" w14:textId="7338D4B3" w:rsidR="00030DB8" w:rsidRPr="00101AB3" w:rsidRDefault="005305F8" w:rsidP="005305F8">
                                  <w:pPr>
                                    <w:rPr>
                                      <w:sz w:val="18"/>
                                      <w:szCs w:val="18"/>
                                    </w:rPr>
                                  </w:pPr>
                                  <w:r>
                                    <w:rPr>
                                      <w:sz w:val="18"/>
                                      <w:szCs w:val="18"/>
                                    </w:rPr>
                                    <w:t xml:space="preserve">Note: </w:t>
                                  </w:r>
                                  <w:r w:rsidRPr="005305F8">
                                    <w:rPr>
                                      <w:sz w:val="18"/>
                                      <w:szCs w:val="18"/>
                                    </w:rPr>
                                    <w:t>Extremely likely NSW will continue to commit funding in excess of the matching requirements outlined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4168" id="_x0000_t202" coordsize="21600,21600" o:spt="202" path="m,l,21600r21600,l21600,xe">
                      <v:stroke joinstyle="miter"/>
                      <v:path gradientshapeok="t" o:connecttype="rect"/>
                    </v:shapetype>
                    <v:shape id="Text Box 2" o:spid="_x0000_s1026" type="#_x0000_t202" style="position:absolute;margin-left:-4.9pt;margin-top:55.4pt;width:395.25pt;height:2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paDA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" stroked="f">
                      <v:textbox>
                        <w:txbxContent>
                          <w:p w14:paraId="342B2A2F" w14:textId="77777777" w:rsidR="00B9221E" w:rsidRDefault="00B9221E" w:rsidP="00030DB8">
                            <w:pPr>
                              <w:rPr>
                                <w:sz w:val="18"/>
                                <w:szCs w:val="18"/>
                              </w:rPr>
                            </w:pPr>
                          </w:p>
                          <w:tbl>
                            <w:tblPr>
                              <w:tblW w:w="7722" w:type="dxa"/>
                              <w:tblLook w:val="01E0" w:firstRow="1" w:lastRow="1" w:firstColumn="1" w:lastColumn="1" w:noHBand="0" w:noVBand="0"/>
                            </w:tblPr>
                            <w:tblGrid>
                              <w:gridCol w:w="1953"/>
                              <w:gridCol w:w="919"/>
                              <w:gridCol w:w="1039"/>
                              <w:gridCol w:w="919"/>
                              <w:gridCol w:w="919"/>
                              <w:gridCol w:w="977"/>
                              <w:gridCol w:w="996"/>
                            </w:tblGrid>
                            <w:tr w:rsidR="00B9221E" w:rsidRPr="00101AB3" w14:paraId="64B445A5" w14:textId="77777777" w:rsidTr="00B9221E">
                              <w:trPr>
                                <w:cantSplit/>
                              </w:trPr>
                              <w:tc>
                                <w:tcPr>
                                  <w:tcW w:w="1953" w:type="dxa"/>
                                  <w:tcBorders>
                                    <w:top w:val="single" w:sz="4" w:space="0" w:color="000080"/>
                                    <w:bottom w:val="single" w:sz="4" w:space="0" w:color="000080"/>
                                  </w:tcBorders>
                                </w:tcPr>
                                <w:p w14:paraId="10372778" w14:textId="77777777" w:rsidR="00B9221E" w:rsidRDefault="00B9221E" w:rsidP="00B9221E">
                                  <w:pPr>
                                    <w:keepNext/>
                                    <w:keepLines/>
                                    <w:spacing w:before="40" w:after="40"/>
                                    <w:ind w:left="-111"/>
                                    <w:rPr>
                                      <w:b/>
                                      <w:sz w:val="21"/>
                                      <w:szCs w:val="21"/>
                                    </w:rPr>
                                  </w:pPr>
                                  <w:r>
                                    <w:rPr>
                                      <w:b/>
                                      <w:sz w:val="21"/>
                                      <w:szCs w:val="21"/>
                                    </w:rPr>
                                    <w:t>Table 1</w:t>
                                  </w:r>
                                </w:p>
                                <w:p w14:paraId="2EF1CE9B" w14:textId="77777777" w:rsidR="00B9221E" w:rsidRPr="005D39DD" w:rsidRDefault="00B9221E" w:rsidP="00B9221E">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0D8FEA00" w14:textId="77777777" w:rsidR="00B9221E" w:rsidRPr="002328CB" w:rsidRDefault="00B9221E" w:rsidP="00B9221E">
                                  <w:pPr>
                                    <w:keepNext/>
                                    <w:keepLines/>
                                    <w:spacing w:before="40" w:after="40"/>
                                    <w:jc w:val="right"/>
                                    <w:rPr>
                                      <w:b/>
                                      <w:i/>
                                      <w:sz w:val="21"/>
                                      <w:szCs w:val="21"/>
                                    </w:rPr>
                                  </w:pPr>
                                  <w:r>
                                    <w:rPr>
                                      <w:b/>
                                      <w:i/>
                                      <w:sz w:val="21"/>
                                      <w:szCs w:val="21"/>
                                    </w:rPr>
                                    <w:t>2024</w:t>
                                  </w:r>
                                  <w:r>
                                    <w:rPr>
                                      <w:b/>
                                      <w:i/>
                                      <w:sz w:val="21"/>
                                      <w:szCs w:val="21"/>
                                    </w:rPr>
                                    <w:noBreakHyphen/>
                                    <w:t>25</w:t>
                                  </w:r>
                                </w:p>
                              </w:tc>
                              <w:tc>
                                <w:tcPr>
                                  <w:tcW w:w="1039" w:type="dxa"/>
                                  <w:tcBorders>
                                    <w:top w:val="single" w:sz="4" w:space="0" w:color="000080"/>
                                    <w:bottom w:val="single" w:sz="4" w:space="0" w:color="000080"/>
                                  </w:tcBorders>
                                  <w:vAlign w:val="center"/>
                                </w:tcPr>
                                <w:p w14:paraId="6510C5BC"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F7E9EEE"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6</w:t>
                                  </w:r>
                                  <w:r>
                                    <w:rPr>
                                      <w:b/>
                                      <w:i/>
                                      <w:sz w:val="21"/>
                                      <w:szCs w:val="21"/>
                                    </w:rPr>
                                    <w:noBreakHyphen/>
                                  </w:r>
                                  <w:r w:rsidRPr="00100398">
                                    <w:rPr>
                                      <w:b/>
                                      <w:i/>
                                      <w:sz w:val="21"/>
                                      <w:szCs w:val="21"/>
                                    </w:rPr>
                                    <w:t>2</w:t>
                                  </w:r>
                                  <w:r>
                                    <w:rPr>
                                      <w:b/>
                                      <w:i/>
                                      <w:sz w:val="21"/>
                                      <w:szCs w:val="21"/>
                                    </w:rPr>
                                    <w:t>7</w:t>
                                  </w:r>
                                </w:p>
                              </w:tc>
                              <w:tc>
                                <w:tcPr>
                                  <w:tcW w:w="919" w:type="dxa"/>
                                  <w:tcBorders>
                                    <w:top w:val="single" w:sz="4" w:space="0" w:color="000080"/>
                                    <w:bottom w:val="single" w:sz="4" w:space="0" w:color="000080"/>
                                  </w:tcBorders>
                                  <w:vAlign w:val="center"/>
                                </w:tcPr>
                                <w:p w14:paraId="47A3DDF0"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7</w:t>
                                  </w:r>
                                  <w:r>
                                    <w:rPr>
                                      <w:b/>
                                      <w:i/>
                                      <w:sz w:val="21"/>
                                      <w:szCs w:val="21"/>
                                    </w:rPr>
                                    <w:noBreakHyphen/>
                                  </w:r>
                                  <w:r w:rsidRPr="00100398">
                                    <w:rPr>
                                      <w:b/>
                                      <w:i/>
                                      <w:sz w:val="21"/>
                                      <w:szCs w:val="21"/>
                                    </w:rPr>
                                    <w:t>2</w:t>
                                  </w:r>
                                  <w:r>
                                    <w:rPr>
                                      <w:b/>
                                      <w:i/>
                                      <w:sz w:val="21"/>
                                      <w:szCs w:val="21"/>
                                    </w:rPr>
                                    <w:t>8</w:t>
                                  </w:r>
                                </w:p>
                              </w:tc>
                              <w:tc>
                                <w:tcPr>
                                  <w:tcW w:w="977" w:type="dxa"/>
                                  <w:tcBorders>
                                    <w:top w:val="single" w:sz="4" w:space="0" w:color="000080"/>
                                    <w:bottom w:val="single" w:sz="4" w:space="0" w:color="000080"/>
                                  </w:tcBorders>
                                  <w:vAlign w:val="center"/>
                                </w:tcPr>
                                <w:p w14:paraId="748612FB" w14:textId="77777777" w:rsidR="00B9221E" w:rsidRPr="002328CB" w:rsidRDefault="00B9221E" w:rsidP="00B9221E">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96" w:type="dxa"/>
                                  <w:tcBorders>
                                    <w:top w:val="single" w:sz="4" w:space="0" w:color="000080"/>
                                    <w:bottom w:val="single" w:sz="4" w:space="0" w:color="000080"/>
                                  </w:tcBorders>
                                  <w:vAlign w:val="center"/>
                                </w:tcPr>
                                <w:p w14:paraId="56931C5F" w14:textId="77777777" w:rsidR="00B9221E" w:rsidRPr="002328CB" w:rsidRDefault="00B9221E" w:rsidP="00B9221E">
                                  <w:pPr>
                                    <w:keepNext/>
                                    <w:keepLines/>
                                    <w:spacing w:before="40" w:after="40"/>
                                    <w:jc w:val="right"/>
                                    <w:rPr>
                                      <w:b/>
                                      <w:i/>
                                      <w:sz w:val="21"/>
                                      <w:szCs w:val="21"/>
                                    </w:rPr>
                                  </w:pPr>
                                  <w:r w:rsidRPr="002328CB">
                                    <w:rPr>
                                      <w:b/>
                                      <w:i/>
                                      <w:sz w:val="21"/>
                                      <w:szCs w:val="21"/>
                                    </w:rPr>
                                    <w:t>Total</w:t>
                                  </w:r>
                                </w:p>
                              </w:tc>
                            </w:tr>
                            <w:tr w:rsidR="00B9221E" w:rsidRPr="00101AB3" w14:paraId="4B0C3109" w14:textId="77777777" w:rsidTr="00B9221E">
                              <w:trPr>
                                <w:cantSplit/>
                              </w:trPr>
                              <w:tc>
                                <w:tcPr>
                                  <w:tcW w:w="1953" w:type="dxa"/>
                                  <w:tcBorders>
                                    <w:top w:val="single" w:sz="4" w:space="0" w:color="000080"/>
                                  </w:tcBorders>
                                </w:tcPr>
                                <w:p w14:paraId="72E0C2AD" w14:textId="77777777" w:rsidR="00B9221E" w:rsidRPr="005D39DD" w:rsidRDefault="00B9221E" w:rsidP="00B9221E">
                                  <w:pPr>
                                    <w:keepNext/>
                                    <w:keepLines/>
                                    <w:spacing w:before="60" w:after="60"/>
                                    <w:ind w:left="-111"/>
                                    <w:rPr>
                                      <w:b/>
                                      <w:sz w:val="21"/>
                                      <w:szCs w:val="21"/>
                                    </w:rPr>
                                  </w:pPr>
                                </w:p>
                              </w:tc>
                              <w:tc>
                                <w:tcPr>
                                  <w:tcW w:w="919" w:type="dxa"/>
                                  <w:tcBorders>
                                    <w:top w:val="single" w:sz="4" w:space="0" w:color="000080"/>
                                  </w:tcBorders>
                                </w:tcPr>
                                <w:p w14:paraId="33994ABA" w14:textId="77777777" w:rsidR="00B9221E" w:rsidRPr="005D39DD" w:rsidRDefault="00B9221E" w:rsidP="00B9221E">
                                  <w:pPr>
                                    <w:keepNext/>
                                    <w:keepLines/>
                                    <w:spacing w:before="40" w:after="40"/>
                                    <w:jc w:val="right"/>
                                    <w:rPr>
                                      <w:b/>
                                      <w:sz w:val="21"/>
                                      <w:szCs w:val="21"/>
                                    </w:rPr>
                                  </w:pPr>
                                </w:p>
                              </w:tc>
                              <w:tc>
                                <w:tcPr>
                                  <w:tcW w:w="1039" w:type="dxa"/>
                                  <w:tcBorders>
                                    <w:top w:val="single" w:sz="4" w:space="0" w:color="000080"/>
                                  </w:tcBorders>
                                </w:tcPr>
                                <w:p w14:paraId="1AD4A05B" w14:textId="77777777" w:rsidR="00B9221E" w:rsidRPr="005D39DD" w:rsidRDefault="00B9221E" w:rsidP="00B9221E">
                                  <w:pPr>
                                    <w:keepNext/>
                                    <w:keepLines/>
                                    <w:spacing w:before="40" w:after="40"/>
                                    <w:jc w:val="right"/>
                                    <w:rPr>
                                      <w:b/>
                                      <w:sz w:val="21"/>
                                      <w:szCs w:val="21"/>
                                    </w:rPr>
                                  </w:pPr>
                                </w:p>
                              </w:tc>
                              <w:tc>
                                <w:tcPr>
                                  <w:tcW w:w="919" w:type="dxa"/>
                                  <w:tcBorders>
                                    <w:top w:val="single" w:sz="4" w:space="0" w:color="000080"/>
                                  </w:tcBorders>
                                </w:tcPr>
                                <w:p w14:paraId="6A189447" w14:textId="77777777" w:rsidR="00B9221E" w:rsidRPr="005D39DD" w:rsidRDefault="00B9221E" w:rsidP="00B9221E">
                                  <w:pPr>
                                    <w:keepNext/>
                                    <w:keepLines/>
                                    <w:spacing w:before="40" w:after="40"/>
                                    <w:jc w:val="right"/>
                                    <w:rPr>
                                      <w:b/>
                                      <w:sz w:val="21"/>
                                      <w:szCs w:val="21"/>
                                    </w:rPr>
                                  </w:pPr>
                                </w:p>
                              </w:tc>
                              <w:tc>
                                <w:tcPr>
                                  <w:tcW w:w="919" w:type="dxa"/>
                                  <w:tcBorders>
                                    <w:top w:val="single" w:sz="4" w:space="0" w:color="000080"/>
                                  </w:tcBorders>
                                </w:tcPr>
                                <w:p w14:paraId="4BFD6419" w14:textId="77777777" w:rsidR="00B9221E" w:rsidRPr="005D39DD" w:rsidRDefault="00B9221E" w:rsidP="00B9221E">
                                  <w:pPr>
                                    <w:keepNext/>
                                    <w:keepLines/>
                                    <w:spacing w:before="40" w:after="40"/>
                                    <w:jc w:val="right"/>
                                    <w:rPr>
                                      <w:b/>
                                      <w:sz w:val="21"/>
                                      <w:szCs w:val="21"/>
                                    </w:rPr>
                                  </w:pPr>
                                </w:p>
                              </w:tc>
                              <w:tc>
                                <w:tcPr>
                                  <w:tcW w:w="977" w:type="dxa"/>
                                  <w:tcBorders>
                                    <w:top w:val="single" w:sz="4" w:space="0" w:color="000080"/>
                                  </w:tcBorders>
                                </w:tcPr>
                                <w:p w14:paraId="52F5FA08" w14:textId="77777777" w:rsidR="00B9221E" w:rsidRPr="005D39DD" w:rsidRDefault="00B9221E" w:rsidP="00B9221E">
                                  <w:pPr>
                                    <w:keepNext/>
                                    <w:keepLines/>
                                    <w:spacing w:before="40" w:after="40"/>
                                    <w:jc w:val="right"/>
                                    <w:rPr>
                                      <w:b/>
                                      <w:sz w:val="21"/>
                                      <w:szCs w:val="21"/>
                                    </w:rPr>
                                  </w:pPr>
                                </w:p>
                              </w:tc>
                              <w:tc>
                                <w:tcPr>
                                  <w:tcW w:w="996" w:type="dxa"/>
                                  <w:tcBorders>
                                    <w:top w:val="single" w:sz="4" w:space="0" w:color="000080"/>
                                  </w:tcBorders>
                                </w:tcPr>
                                <w:p w14:paraId="4185F4C6" w14:textId="77777777" w:rsidR="00B9221E" w:rsidRPr="005D39DD" w:rsidRDefault="00B9221E" w:rsidP="00B9221E">
                                  <w:pPr>
                                    <w:keepNext/>
                                    <w:keepLines/>
                                    <w:spacing w:before="40" w:after="40"/>
                                    <w:jc w:val="right"/>
                                    <w:rPr>
                                      <w:b/>
                                      <w:sz w:val="21"/>
                                      <w:szCs w:val="21"/>
                                    </w:rPr>
                                  </w:pPr>
                                </w:p>
                              </w:tc>
                            </w:tr>
                            <w:tr w:rsidR="00B9221E" w:rsidRPr="00101AB3" w14:paraId="7F9F53B4" w14:textId="77777777" w:rsidTr="00B9221E">
                              <w:trPr>
                                <w:cantSplit/>
                              </w:trPr>
                              <w:tc>
                                <w:tcPr>
                                  <w:tcW w:w="1953" w:type="dxa"/>
                                </w:tcPr>
                                <w:p w14:paraId="2DC20FB2" w14:textId="77777777" w:rsidR="00B9221E" w:rsidRPr="008C6B79" w:rsidRDefault="00B9221E" w:rsidP="00B9221E">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9" w:type="dxa"/>
                                </w:tcPr>
                                <w:p w14:paraId="08E0E8F3" w14:textId="77777777" w:rsidR="00B9221E" w:rsidRPr="005D39DD" w:rsidRDefault="00B9221E" w:rsidP="00B9221E">
                                  <w:pPr>
                                    <w:keepNext/>
                                    <w:keepLines/>
                                    <w:spacing w:before="40" w:after="40"/>
                                    <w:jc w:val="right"/>
                                    <w:rPr>
                                      <w:sz w:val="21"/>
                                      <w:szCs w:val="21"/>
                                    </w:rPr>
                                  </w:pPr>
                                  <w:r w:rsidRPr="00241D54">
                                    <w:t xml:space="preserve"> 425.27 </w:t>
                                  </w:r>
                                </w:p>
                              </w:tc>
                              <w:tc>
                                <w:tcPr>
                                  <w:tcW w:w="1039" w:type="dxa"/>
                                </w:tcPr>
                                <w:p w14:paraId="3755581E" w14:textId="77777777" w:rsidR="00B9221E" w:rsidRPr="005D39DD" w:rsidRDefault="00B9221E" w:rsidP="00B9221E">
                                  <w:pPr>
                                    <w:keepNext/>
                                    <w:keepLines/>
                                    <w:spacing w:before="40" w:after="40"/>
                                    <w:jc w:val="right"/>
                                    <w:rPr>
                                      <w:sz w:val="21"/>
                                      <w:szCs w:val="21"/>
                                    </w:rPr>
                                  </w:pPr>
                                  <w:r w:rsidRPr="00241D54">
                                    <w:t xml:space="preserve"> 435.05 </w:t>
                                  </w:r>
                                </w:p>
                              </w:tc>
                              <w:tc>
                                <w:tcPr>
                                  <w:tcW w:w="919" w:type="dxa"/>
                                </w:tcPr>
                                <w:p w14:paraId="60224652" w14:textId="77777777" w:rsidR="00B9221E" w:rsidRPr="005D39DD" w:rsidRDefault="00B9221E" w:rsidP="00B9221E">
                                  <w:pPr>
                                    <w:keepNext/>
                                    <w:keepLines/>
                                    <w:spacing w:before="40" w:after="40"/>
                                    <w:jc w:val="right"/>
                                    <w:rPr>
                                      <w:sz w:val="21"/>
                                      <w:szCs w:val="21"/>
                                    </w:rPr>
                                  </w:pPr>
                                  <w:r w:rsidRPr="00241D54">
                                    <w:t xml:space="preserve"> 444.62 </w:t>
                                  </w:r>
                                </w:p>
                              </w:tc>
                              <w:tc>
                                <w:tcPr>
                                  <w:tcW w:w="919" w:type="dxa"/>
                                </w:tcPr>
                                <w:p w14:paraId="1DF0A650" w14:textId="77777777" w:rsidR="00B9221E" w:rsidRPr="005D39DD" w:rsidRDefault="00B9221E" w:rsidP="00B9221E">
                                  <w:pPr>
                                    <w:keepNext/>
                                    <w:keepLines/>
                                    <w:spacing w:before="40" w:after="40"/>
                                    <w:jc w:val="right"/>
                                    <w:rPr>
                                      <w:sz w:val="21"/>
                                      <w:szCs w:val="21"/>
                                    </w:rPr>
                                  </w:pPr>
                                  <w:r w:rsidRPr="00241D54">
                                    <w:t xml:space="preserve"> 453.51 </w:t>
                                  </w:r>
                                </w:p>
                              </w:tc>
                              <w:tc>
                                <w:tcPr>
                                  <w:tcW w:w="977" w:type="dxa"/>
                                </w:tcPr>
                                <w:p w14:paraId="3428FB78" w14:textId="77777777" w:rsidR="00B9221E" w:rsidRPr="005D39DD" w:rsidRDefault="00B9221E" w:rsidP="00B9221E">
                                  <w:pPr>
                                    <w:keepNext/>
                                    <w:keepLines/>
                                    <w:spacing w:before="40" w:after="40"/>
                                    <w:jc w:val="right"/>
                                    <w:rPr>
                                      <w:sz w:val="21"/>
                                      <w:szCs w:val="21"/>
                                    </w:rPr>
                                  </w:pPr>
                                  <w:r w:rsidRPr="00241D54">
                                    <w:t xml:space="preserve"> 462.58 </w:t>
                                  </w:r>
                                </w:p>
                              </w:tc>
                              <w:tc>
                                <w:tcPr>
                                  <w:tcW w:w="996" w:type="dxa"/>
                                </w:tcPr>
                                <w:p w14:paraId="2343EB1C" w14:textId="77777777" w:rsidR="00B9221E" w:rsidRPr="005D39DD" w:rsidRDefault="00B9221E" w:rsidP="00B9221E">
                                  <w:pPr>
                                    <w:keepNext/>
                                    <w:keepLines/>
                                    <w:spacing w:before="40" w:after="40"/>
                                    <w:jc w:val="right"/>
                                    <w:rPr>
                                      <w:sz w:val="21"/>
                                      <w:szCs w:val="21"/>
                                    </w:rPr>
                                  </w:pPr>
                                  <w:r w:rsidRPr="00241D54">
                                    <w:t xml:space="preserve">2,221.02 </w:t>
                                  </w:r>
                                </w:p>
                              </w:tc>
                            </w:tr>
                            <w:tr w:rsidR="00B9221E" w:rsidRPr="00101AB3" w14:paraId="7A3600D4" w14:textId="77777777" w:rsidTr="00B9221E">
                              <w:trPr>
                                <w:cantSplit/>
                              </w:trPr>
                              <w:tc>
                                <w:tcPr>
                                  <w:tcW w:w="1953" w:type="dxa"/>
                                </w:tcPr>
                                <w:p w14:paraId="1E5B2BFC" w14:textId="77777777" w:rsidR="00B9221E" w:rsidRPr="008C6B79" w:rsidRDefault="00B9221E" w:rsidP="00B9221E">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919" w:type="dxa"/>
                                </w:tcPr>
                                <w:p w14:paraId="2AB3254F" w14:textId="77777777" w:rsidR="00B9221E" w:rsidRDefault="00B9221E" w:rsidP="00B9221E">
                                  <w:pPr>
                                    <w:keepNext/>
                                    <w:keepLines/>
                                    <w:spacing w:before="40" w:after="40"/>
                                    <w:jc w:val="right"/>
                                  </w:pPr>
                                  <w:r w:rsidRPr="008300D3">
                                    <w:t xml:space="preserve"> </w:t>
                                  </w:r>
                                </w:p>
                                <w:p w14:paraId="35AB1B78" w14:textId="77777777" w:rsidR="00B9221E" w:rsidRPr="005D39DD" w:rsidRDefault="00B9221E" w:rsidP="00B9221E">
                                  <w:pPr>
                                    <w:keepNext/>
                                    <w:keepLines/>
                                    <w:spacing w:before="40" w:after="40"/>
                                    <w:jc w:val="right"/>
                                    <w:rPr>
                                      <w:sz w:val="21"/>
                                      <w:szCs w:val="21"/>
                                    </w:rPr>
                                  </w:pPr>
                                  <w:r w:rsidRPr="008300D3">
                                    <w:t xml:space="preserve">114.33 </w:t>
                                  </w:r>
                                </w:p>
                              </w:tc>
                              <w:tc>
                                <w:tcPr>
                                  <w:tcW w:w="1039" w:type="dxa"/>
                                </w:tcPr>
                                <w:p w14:paraId="0049A749" w14:textId="77777777" w:rsidR="00B9221E" w:rsidRDefault="00B9221E" w:rsidP="00B9221E">
                                  <w:pPr>
                                    <w:keepNext/>
                                    <w:keepLines/>
                                    <w:spacing w:before="40" w:after="40"/>
                                    <w:jc w:val="right"/>
                                  </w:pPr>
                                  <w:r w:rsidRPr="008300D3">
                                    <w:t xml:space="preserve"> </w:t>
                                  </w:r>
                                </w:p>
                                <w:p w14:paraId="24A34315" w14:textId="77777777" w:rsidR="00B9221E" w:rsidRPr="005D39DD" w:rsidRDefault="00B9221E" w:rsidP="00B9221E">
                                  <w:pPr>
                                    <w:keepNext/>
                                    <w:keepLines/>
                                    <w:spacing w:before="40" w:after="40"/>
                                    <w:jc w:val="right"/>
                                    <w:rPr>
                                      <w:sz w:val="21"/>
                                      <w:szCs w:val="21"/>
                                    </w:rPr>
                                  </w:pPr>
                                  <w:r w:rsidRPr="008300D3">
                                    <w:t xml:space="preserve">116.96 </w:t>
                                  </w:r>
                                </w:p>
                              </w:tc>
                              <w:tc>
                                <w:tcPr>
                                  <w:tcW w:w="919" w:type="dxa"/>
                                </w:tcPr>
                                <w:p w14:paraId="265152E0" w14:textId="77777777" w:rsidR="00B9221E" w:rsidRDefault="00B9221E" w:rsidP="00B9221E">
                                  <w:pPr>
                                    <w:keepNext/>
                                    <w:keepLines/>
                                    <w:spacing w:before="40" w:after="40"/>
                                    <w:jc w:val="right"/>
                                  </w:pPr>
                                </w:p>
                                <w:p w14:paraId="18E51FDD" w14:textId="77777777" w:rsidR="00B9221E" w:rsidRPr="005D39DD" w:rsidRDefault="00B9221E" w:rsidP="00B9221E">
                                  <w:pPr>
                                    <w:keepNext/>
                                    <w:keepLines/>
                                    <w:spacing w:before="40" w:after="40"/>
                                    <w:jc w:val="right"/>
                                    <w:rPr>
                                      <w:sz w:val="21"/>
                                      <w:szCs w:val="21"/>
                                    </w:rPr>
                                  </w:pPr>
                                  <w:r w:rsidRPr="008300D3">
                                    <w:t xml:space="preserve"> 119.54 </w:t>
                                  </w:r>
                                </w:p>
                              </w:tc>
                              <w:tc>
                                <w:tcPr>
                                  <w:tcW w:w="919" w:type="dxa"/>
                                </w:tcPr>
                                <w:p w14:paraId="29041583" w14:textId="77777777" w:rsidR="00B9221E" w:rsidRDefault="00B9221E" w:rsidP="00B9221E">
                                  <w:pPr>
                                    <w:keepNext/>
                                    <w:keepLines/>
                                    <w:spacing w:before="40" w:after="40"/>
                                    <w:jc w:val="right"/>
                                  </w:pPr>
                                  <w:r w:rsidRPr="008300D3">
                                    <w:t xml:space="preserve"> </w:t>
                                  </w:r>
                                </w:p>
                                <w:p w14:paraId="1CBA0D39" w14:textId="77777777" w:rsidR="00B9221E" w:rsidRPr="005D39DD" w:rsidRDefault="00B9221E" w:rsidP="00B9221E">
                                  <w:pPr>
                                    <w:keepNext/>
                                    <w:keepLines/>
                                    <w:spacing w:before="40" w:after="40"/>
                                    <w:jc w:val="right"/>
                                    <w:rPr>
                                      <w:sz w:val="21"/>
                                      <w:szCs w:val="21"/>
                                    </w:rPr>
                                  </w:pPr>
                                  <w:r w:rsidRPr="008300D3">
                                    <w:t xml:space="preserve">121.93 </w:t>
                                  </w:r>
                                </w:p>
                              </w:tc>
                              <w:tc>
                                <w:tcPr>
                                  <w:tcW w:w="977" w:type="dxa"/>
                                </w:tcPr>
                                <w:p w14:paraId="2899F3E3" w14:textId="77777777" w:rsidR="00B9221E" w:rsidRDefault="00B9221E" w:rsidP="00B9221E">
                                  <w:pPr>
                                    <w:keepNext/>
                                    <w:keepLines/>
                                    <w:spacing w:before="40" w:after="40"/>
                                    <w:jc w:val="right"/>
                                  </w:pPr>
                                  <w:r w:rsidRPr="008300D3">
                                    <w:t xml:space="preserve"> </w:t>
                                  </w:r>
                                </w:p>
                                <w:p w14:paraId="352E1D70" w14:textId="77777777" w:rsidR="00B9221E" w:rsidRPr="005D39DD" w:rsidRDefault="00B9221E" w:rsidP="00B9221E">
                                  <w:pPr>
                                    <w:keepNext/>
                                    <w:keepLines/>
                                    <w:spacing w:before="40" w:after="40"/>
                                    <w:jc w:val="right"/>
                                    <w:rPr>
                                      <w:sz w:val="21"/>
                                      <w:szCs w:val="21"/>
                                    </w:rPr>
                                  </w:pPr>
                                  <w:r w:rsidRPr="008300D3">
                                    <w:t xml:space="preserve">124.37 </w:t>
                                  </w:r>
                                </w:p>
                              </w:tc>
                              <w:tc>
                                <w:tcPr>
                                  <w:tcW w:w="996" w:type="dxa"/>
                                </w:tcPr>
                                <w:p w14:paraId="452C2096" w14:textId="77777777" w:rsidR="00B9221E" w:rsidRDefault="00B9221E" w:rsidP="00B9221E">
                                  <w:pPr>
                                    <w:keepNext/>
                                    <w:keepLines/>
                                    <w:spacing w:before="40" w:after="40"/>
                                    <w:jc w:val="right"/>
                                  </w:pPr>
                                </w:p>
                                <w:p w14:paraId="48EAFE99" w14:textId="77777777" w:rsidR="00B9221E" w:rsidRPr="005D39DD" w:rsidRDefault="00B9221E" w:rsidP="00B9221E">
                                  <w:pPr>
                                    <w:keepNext/>
                                    <w:keepLines/>
                                    <w:spacing w:before="40" w:after="40"/>
                                    <w:jc w:val="right"/>
                                    <w:rPr>
                                      <w:sz w:val="21"/>
                                      <w:szCs w:val="21"/>
                                    </w:rPr>
                                  </w:pPr>
                                  <w:r w:rsidRPr="008300D3">
                                    <w:t xml:space="preserve"> 597.13 </w:t>
                                  </w:r>
                                </w:p>
                              </w:tc>
                            </w:tr>
                            <w:tr w:rsidR="00B9221E" w:rsidRPr="00101AB3" w14:paraId="2A5CB65C" w14:textId="77777777" w:rsidTr="00B9221E">
                              <w:trPr>
                                <w:cantSplit/>
                              </w:trPr>
                              <w:tc>
                                <w:tcPr>
                                  <w:tcW w:w="1953" w:type="dxa"/>
                                  <w:tcBorders>
                                    <w:bottom w:val="single" w:sz="4" w:space="0" w:color="000080"/>
                                  </w:tcBorders>
                                </w:tcPr>
                                <w:p w14:paraId="04CACFA3" w14:textId="77777777" w:rsidR="00B9221E" w:rsidRPr="008C6B79" w:rsidRDefault="00B9221E" w:rsidP="00B9221E">
                                  <w:pPr>
                                    <w:keepNext/>
                                    <w:keepLines/>
                                    <w:spacing w:before="40" w:after="40"/>
                                    <w:ind w:left="-111"/>
                                    <w:rPr>
                                      <w:sz w:val="21"/>
                                      <w:szCs w:val="21"/>
                                    </w:rPr>
                                  </w:pPr>
                                  <w:r>
                                    <w:rPr>
                                      <w:sz w:val="21"/>
                                      <w:szCs w:val="21"/>
                                    </w:rPr>
                                    <w:t>New South Wales-matched homelessness funding</w:t>
                                  </w:r>
                                </w:p>
                              </w:tc>
                              <w:tc>
                                <w:tcPr>
                                  <w:tcW w:w="919" w:type="dxa"/>
                                  <w:tcBorders>
                                    <w:bottom w:val="single" w:sz="4" w:space="0" w:color="000080"/>
                                  </w:tcBorders>
                                </w:tcPr>
                                <w:p w14:paraId="738C5530" w14:textId="77777777" w:rsidR="00B9221E" w:rsidRPr="005D39DD" w:rsidRDefault="00B9221E" w:rsidP="00B9221E">
                                  <w:pPr>
                                    <w:keepNext/>
                                    <w:keepLines/>
                                    <w:spacing w:before="40" w:after="40"/>
                                    <w:jc w:val="right"/>
                                    <w:rPr>
                                      <w:sz w:val="21"/>
                                      <w:szCs w:val="21"/>
                                    </w:rPr>
                                  </w:pPr>
                                  <w:r w:rsidRPr="004315F0">
                                    <w:t xml:space="preserve"> 114.33 </w:t>
                                  </w:r>
                                </w:p>
                              </w:tc>
                              <w:tc>
                                <w:tcPr>
                                  <w:tcW w:w="1039" w:type="dxa"/>
                                  <w:tcBorders>
                                    <w:bottom w:val="single" w:sz="4" w:space="0" w:color="000080"/>
                                  </w:tcBorders>
                                </w:tcPr>
                                <w:p w14:paraId="69ACFC62" w14:textId="77777777" w:rsidR="00B9221E" w:rsidRPr="005D39DD" w:rsidRDefault="00B9221E" w:rsidP="00B9221E">
                                  <w:pPr>
                                    <w:keepNext/>
                                    <w:keepLines/>
                                    <w:spacing w:before="40" w:after="40"/>
                                    <w:jc w:val="right"/>
                                    <w:rPr>
                                      <w:sz w:val="21"/>
                                      <w:szCs w:val="21"/>
                                    </w:rPr>
                                  </w:pPr>
                                  <w:r w:rsidRPr="004315F0">
                                    <w:t xml:space="preserve"> 116.96 </w:t>
                                  </w:r>
                                </w:p>
                              </w:tc>
                              <w:tc>
                                <w:tcPr>
                                  <w:tcW w:w="919" w:type="dxa"/>
                                  <w:tcBorders>
                                    <w:bottom w:val="single" w:sz="4" w:space="0" w:color="000080"/>
                                  </w:tcBorders>
                                </w:tcPr>
                                <w:p w14:paraId="2C5B35D0" w14:textId="77777777" w:rsidR="00B9221E" w:rsidRPr="005D39DD" w:rsidRDefault="00B9221E" w:rsidP="00B9221E">
                                  <w:pPr>
                                    <w:keepNext/>
                                    <w:keepLines/>
                                    <w:spacing w:before="40" w:after="40"/>
                                    <w:jc w:val="right"/>
                                    <w:rPr>
                                      <w:sz w:val="21"/>
                                      <w:szCs w:val="21"/>
                                    </w:rPr>
                                  </w:pPr>
                                  <w:r w:rsidRPr="004315F0">
                                    <w:t xml:space="preserve"> 119.54 </w:t>
                                  </w:r>
                                </w:p>
                              </w:tc>
                              <w:tc>
                                <w:tcPr>
                                  <w:tcW w:w="919" w:type="dxa"/>
                                  <w:tcBorders>
                                    <w:bottom w:val="single" w:sz="4" w:space="0" w:color="000080"/>
                                  </w:tcBorders>
                                </w:tcPr>
                                <w:p w14:paraId="422C29DB" w14:textId="77777777" w:rsidR="00B9221E" w:rsidRPr="005D39DD" w:rsidRDefault="00B9221E" w:rsidP="00B9221E">
                                  <w:pPr>
                                    <w:keepNext/>
                                    <w:keepLines/>
                                    <w:spacing w:before="40" w:after="40"/>
                                    <w:jc w:val="right"/>
                                    <w:rPr>
                                      <w:sz w:val="21"/>
                                      <w:szCs w:val="21"/>
                                    </w:rPr>
                                  </w:pPr>
                                  <w:r w:rsidRPr="004315F0">
                                    <w:t xml:space="preserve"> 121.93 </w:t>
                                  </w:r>
                                </w:p>
                              </w:tc>
                              <w:tc>
                                <w:tcPr>
                                  <w:tcW w:w="977" w:type="dxa"/>
                                  <w:tcBorders>
                                    <w:bottom w:val="single" w:sz="4" w:space="0" w:color="000080"/>
                                  </w:tcBorders>
                                </w:tcPr>
                                <w:p w14:paraId="334E805D" w14:textId="77777777" w:rsidR="00B9221E" w:rsidRPr="005D39DD" w:rsidRDefault="00B9221E" w:rsidP="00B9221E">
                                  <w:pPr>
                                    <w:keepNext/>
                                    <w:keepLines/>
                                    <w:spacing w:before="40" w:after="40"/>
                                    <w:jc w:val="right"/>
                                    <w:rPr>
                                      <w:sz w:val="21"/>
                                      <w:szCs w:val="21"/>
                                    </w:rPr>
                                  </w:pPr>
                                  <w:r w:rsidRPr="004315F0">
                                    <w:t xml:space="preserve"> 124.37 </w:t>
                                  </w:r>
                                </w:p>
                              </w:tc>
                              <w:tc>
                                <w:tcPr>
                                  <w:tcW w:w="996" w:type="dxa"/>
                                  <w:tcBorders>
                                    <w:bottom w:val="single" w:sz="4" w:space="0" w:color="000080"/>
                                  </w:tcBorders>
                                </w:tcPr>
                                <w:p w14:paraId="659F4666" w14:textId="77777777" w:rsidR="00B9221E" w:rsidRPr="005D39DD" w:rsidRDefault="00B9221E" w:rsidP="00B9221E">
                                  <w:pPr>
                                    <w:keepNext/>
                                    <w:keepLines/>
                                    <w:spacing w:before="40" w:after="40"/>
                                    <w:jc w:val="right"/>
                                    <w:rPr>
                                      <w:sz w:val="21"/>
                                      <w:szCs w:val="21"/>
                                    </w:rPr>
                                  </w:pPr>
                                  <w:r w:rsidRPr="004315F0">
                                    <w:t xml:space="preserve"> 597.13 </w:t>
                                  </w:r>
                                </w:p>
                              </w:tc>
                            </w:tr>
                          </w:tbl>
                          <w:p w14:paraId="2E86BE1B" w14:textId="77777777" w:rsidR="00B9221E" w:rsidRDefault="00B9221E" w:rsidP="00B9221E">
                            <w:pPr>
                              <w:rPr>
                                <w:sz w:val="18"/>
                                <w:szCs w:val="18"/>
                              </w:rPr>
                            </w:pPr>
                            <w:r w:rsidRPr="00CC2A31">
                              <w:rPr>
                                <w:sz w:val="18"/>
                                <w:szCs w:val="18"/>
                              </w:rPr>
                              <w:t>Note: Totals subject to change based on parameter updates.</w:t>
                            </w:r>
                          </w:p>
                          <w:p w14:paraId="479DB17B" w14:textId="7338D4B3" w:rsidR="00030DB8" w:rsidRPr="00101AB3" w:rsidRDefault="005305F8" w:rsidP="005305F8">
                            <w:pPr>
                              <w:rPr>
                                <w:sz w:val="18"/>
                                <w:szCs w:val="18"/>
                              </w:rPr>
                            </w:pPr>
                            <w:r>
                              <w:rPr>
                                <w:sz w:val="18"/>
                                <w:szCs w:val="18"/>
                              </w:rPr>
                              <w:t xml:space="preserve">Note: </w:t>
                            </w:r>
                            <w:r w:rsidRPr="005305F8">
                              <w:rPr>
                                <w:sz w:val="18"/>
                                <w:szCs w:val="18"/>
                              </w:rPr>
                              <w:t>Extremely likely NSW will continue to commit funding in excess of the matching requirements outlined above.</w:t>
                            </w:r>
                          </w:p>
                        </w:txbxContent>
                      </v:textbox>
                      <w10:wrap type="square"/>
                    </v:shape>
                  </w:pict>
                </mc:Fallback>
              </mc:AlternateContent>
            </w:r>
            <w:r w:rsidR="00030DB8" w:rsidRPr="00163D69">
              <w:rPr>
                <w:color w:val="auto"/>
              </w:rPr>
              <w:t xml:space="preserve">The Commonwealth will provide an estimated total financial contribution to </w:t>
            </w:r>
            <w:r w:rsidR="005B034A" w:rsidRPr="00163D69">
              <w:rPr>
                <w:color w:val="auto"/>
              </w:rPr>
              <w:t>New South Wales</w:t>
            </w:r>
            <w:r w:rsidR="00030DB8" w:rsidRPr="00163D69">
              <w:rPr>
                <w:color w:val="auto"/>
              </w:rPr>
              <w:t xml:space="preserve"> of </w:t>
            </w:r>
            <w:r w:rsidRPr="00163D69">
              <w:rPr>
                <w:color w:val="auto"/>
              </w:rPr>
              <w:t>$2,818.15m</w:t>
            </w:r>
            <w:r w:rsidR="00030DB8" w:rsidRPr="00163D69">
              <w:rPr>
                <w:color w:val="auto"/>
              </w:rPr>
              <w:t xml:space="preserve"> in respect of this Schedule.</w:t>
            </w:r>
          </w:p>
        </w:tc>
      </w:tr>
    </w:tbl>
    <w:p w14:paraId="2C72B286" w14:textId="77777777" w:rsidR="00F12AFB" w:rsidRDefault="00F12AFB">
      <w:r>
        <w:rPr>
          <w:iCs/>
        </w:rPr>
        <w:br w:type="page"/>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163D69" w14:paraId="4BD987E6" w14:textId="77777777" w:rsidTr="37320C22">
        <w:tc>
          <w:tcPr>
            <w:tcW w:w="1691" w:type="dxa"/>
            <w:shd w:val="clear" w:color="auto" w:fill="auto"/>
          </w:tcPr>
          <w:p w14:paraId="186B1E51" w14:textId="07AA545A" w:rsidR="00030DB8" w:rsidRPr="00163D69" w:rsidRDefault="00030DB8" w:rsidP="00675C15">
            <w:pPr>
              <w:pStyle w:val="Tableformat"/>
              <w:rPr>
                <w:color w:val="auto"/>
              </w:rPr>
            </w:pPr>
            <w:r w:rsidRPr="00163D69">
              <w:rPr>
                <w:color w:val="auto"/>
              </w:rPr>
              <w:lastRenderedPageBreak/>
              <w:t>Outputs</w:t>
            </w:r>
          </w:p>
        </w:tc>
        <w:tc>
          <w:tcPr>
            <w:tcW w:w="7938" w:type="dxa"/>
            <w:shd w:val="clear" w:color="auto" w:fill="auto"/>
          </w:tcPr>
          <w:p w14:paraId="6076C332" w14:textId="77777777" w:rsidR="00030DB8" w:rsidRPr="00163D69" w:rsidRDefault="00030DB8" w:rsidP="00675C15">
            <w:pPr>
              <w:pStyle w:val="Tableformat"/>
              <w:rPr>
                <w:b/>
                <w:bCs/>
                <w:color w:val="auto"/>
              </w:rPr>
            </w:pPr>
            <w:r w:rsidRPr="00163D69">
              <w:rPr>
                <w:b/>
                <w:bCs/>
                <w:color w:val="auto"/>
              </w:rPr>
              <w:t>Housing and Homelessness Strategy</w:t>
            </w:r>
          </w:p>
          <w:p w14:paraId="472B30BA" w14:textId="3953D722" w:rsidR="00030DB8" w:rsidRPr="00163D69" w:rsidRDefault="005B034A" w:rsidP="00675C15">
            <w:pPr>
              <w:pStyle w:val="Tableformat"/>
              <w:rPr>
                <w:color w:val="auto"/>
              </w:rPr>
            </w:pPr>
            <w:r w:rsidRPr="00163D69">
              <w:rPr>
                <w:color w:val="auto"/>
              </w:rPr>
              <w:t>New South Wales</w:t>
            </w:r>
            <w:r w:rsidR="00030DB8" w:rsidRPr="00163D69">
              <w:rPr>
                <w:color w:val="auto"/>
              </w:rPr>
              <w:t xml:space="preserve"> meets the requirements of clause 18(a) of the Agreement through the following publicly available documents:</w:t>
            </w:r>
          </w:p>
          <w:p w14:paraId="13D1F9A9" w14:textId="1AC5E307" w:rsidR="005B034A" w:rsidRPr="00163D69" w:rsidRDefault="005B034A" w:rsidP="001543EF">
            <w:pPr>
              <w:widowControl/>
              <w:spacing w:before="80" w:after="80"/>
              <w:outlineLvl w:val="1"/>
              <w:rPr>
                <w:rFonts w:ascii="Corbel" w:eastAsia="Times New Roman" w:hAnsi="Corbel" w:cs="Arial"/>
                <w:iCs/>
                <w:sz w:val="26"/>
                <w:szCs w:val="26"/>
                <w:lang w:eastAsia="en-AU"/>
              </w:rPr>
            </w:pPr>
            <w:r w:rsidRPr="00163D69">
              <w:rPr>
                <w:rFonts w:ascii="Corbel" w:eastAsia="Times New Roman" w:hAnsi="Corbel" w:cs="Arial"/>
                <w:iCs/>
                <w:sz w:val="26"/>
                <w:szCs w:val="26"/>
                <w:lang w:eastAsia="en-AU"/>
              </w:rPr>
              <w:t xml:space="preserve">With reference to 18(a) and 20(b), New South Wales is developing </w:t>
            </w:r>
            <w:r w:rsidR="00526FC6" w:rsidRPr="00163D69">
              <w:rPr>
                <w:rFonts w:ascii="Corbel" w:eastAsia="Times New Roman" w:hAnsi="Corbel" w:cs="Arial"/>
                <w:iCs/>
                <w:sz w:val="26"/>
                <w:szCs w:val="26"/>
                <w:lang w:eastAsia="en-AU"/>
              </w:rPr>
              <w:t>strategies for h</w:t>
            </w:r>
            <w:r w:rsidRPr="00163D69">
              <w:rPr>
                <w:rFonts w:ascii="Corbel" w:eastAsia="Times New Roman" w:hAnsi="Corbel" w:cs="Arial"/>
                <w:iCs/>
                <w:sz w:val="26"/>
                <w:szCs w:val="26"/>
                <w:lang w:eastAsia="en-AU"/>
              </w:rPr>
              <w:t>omelessness</w:t>
            </w:r>
            <w:r w:rsidR="00526FC6" w:rsidRPr="00163D69">
              <w:rPr>
                <w:rFonts w:ascii="Corbel" w:eastAsia="Times New Roman" w:hAnsi="Corbel" w:cs="Arial"/>
                <w:iCs/>
                <w:sz w:val="26"/>
                <w:szCs w:val="26"/>
                <w:lang w:eastAsia="en-AU"/>
              </w:rPr>
              <w:t xml:space="preserve"> and social housing, which </w:t>
            </w:r>
            <w:r w:rsidRPr="00163D69">
              <w:rPr>
                <w:rFonts w:ascii="Corbel" w:eastAsia="Times New Roman" w:hAnsi="Corbel" w:cs="Arial"/>
                <w:iCs/>
                <w:sz w:val="26"/>
                <w:szCs w:val="26"/>
                <w:lang w:eastAsia="en-AU"/>
              </w:rPr>
              <w:t>are expected to be finali</w:t>
            </w:r>
            <w:r w:rsidR="00526FC6" w:rsidRPr="00163D69">
              <w:rPr>
                <w:rFonts w:ascii="Corbel" w:eastAsia="Times New Roman" w:hAnsi="Corbel" w:cs="Arial"/>
                <w:iCs/>
                <w:sz w:val="26"/>
                <w:szCs w:val="26"/>
                <w:lang w:eastAsia="en-AU"/>
              </w:rPr>
              <w:t>s</w:t>
            </w:r>
            <w:r w:rsidRPr="00163D69">
              <w:rPr>
                <w:rFonts w:ascii="Corbel" w:eastAsia="Times New Roman" w:hAnsi="Corbel" w:cs="Arial"/>
                <w:iCs/>
                <w:sz w:val="26"/>
                <w:szCs w:val="26"/>
                <w:lang w:eastAsia="en-AU"/>
              </w:rPr>
              <w:t>ed in 2024.</w:t>
            </w:r>
          </w:p>
          <w:p w14:paraId="37444E9C" w14:textId="7E74F060" w:rsidR="005B034A" w:rsidRPr="00163D69" w:rsidRDefault="00030DB8" w:rsidP="005B034A">
            <w:pPr>
              <w:pStyle w:val="Tableformat"/>
              <w:rPr>
                <w:color w:val="auto"/>
              </w:rPr>
            </w:pPr>
            <w:r w:rsidRPr="00163D69">
              <w:rPr>
                <w:color w:val="auto"/>
              </w:rPr>
              <w:t xml:space="preserve">The disproportionate disadvantage faced by Aboriginal and Torres Strait Islander people </w:t>
            </w:r>
            <w:r w:rsidR="005B034A" w:rsidRPr="00163D69">
              <w:rPr>
                <w:color w:val="auto"/>
              </w:rPr>
              <w:t>will be</w:t>
            </w:r>
            <w:r w:rsidRPr="00163D69">
              <w:rPr>
                <w:color w:val="auto"/>
              </w:rPr>
              <w:t xml:space="preserve"> </w:t>
            </w:r>
            <w:r w:rsidR="00E77BAA" w:rsidRPr="00163D69">
              <w:rPr>
                <w:color w:val="auto"/>
              </w:rPr>
              <w:t xml:space="preserve">considered </w:t>
            </w:r>
            <w:r w:rsidR="005B034A" w:rsidRPr="00163D69">
              <w:rPr>
                <w:color w:val="auto"/>
              </w:rPr>
              <w:t>within these strategies.</w:t>
            </w:r>
          </w:p>
          <w:p w14:paraId="2EA889C8" w14:textId="38A87257" w:rsidR="005B034A" w:rsidRDefault="005B034A" w:rsidP="005B034A">
            <w:pPr>
              <w:widowControl/>
              <w:spacing w:before="80" w:after="80"/>
              <w:outlineLvl w:val="1"/>
              <w:rPr>
                <w:rFonts w:ascii="Corbel" w:eastAsia="Times New Roman" w:hAnsi="Corbel" w:cs="Arial"/>
                <w:iCs/>
                <w:sz w:val="26"/>
                <w:szCs w:val="26"/>
                <w:lang w:eastAsia="en-AU"/>
              </w:rPr>
            </w:pPr>
            <w:r w:rsidRPr="00163D69">
              <w:rPr>
                <w:rFonts w:ascii="Corbel" w:eastAsia="Times New Roman" w:hAnsi="Corbel" w:cs="Arial"/>
                <w:iCs/>
                <w:sz w:val="26"/>
                <w:szCs w:val="26"/>
                <w:lang w:eastAsia="en-AU"/>
              </w:rPr>
              <w:t xml:space="preserve">New South Wales will include publicly available information on what affects demand for </w:t>
            </w:r>
            <w:r w:rsidR="00584607" w:rsidRPr="00163D69">
              <w:rPr>
                <w:rFonts w:ascii="Corbel" w:eastAsia="Times New Roman" w:hAnsi="Corbel" w:cs="Arial"/>
                <w:iCs/>
                <w:sz w:val="26"/>
                <w:szCs w:val="26"/>
                <w:lang w:eastAsia="en-AU"/>
              </w:rPr>
              <w:t xml:space="preserve">social </w:t>
            </w:r>
            <w:r w:rsidRPr="00163D69">
              <w:rPr>
                <w:rFonts w:ascii="Corbel" w:eastAsia="Times New Roman" w:hAnsi="Corbel" w:cs="Arial"/>
                <w:iCs/>
                <w:sz w:val="26"/>
                <w:szCs w:val="26"/>
                <w:lang w:eastAsia="en-AU"/>
              </w:rPr>
              <w:t xml:space="preserve">housing in New South Wales, how New South Wales will respond to changes in the demand for </w:t>
            </w:r>
            <w:r w:rsidR="00584607" w:rsidRPr="00163D69">
              <w:rPr>
                <w:rFonts w:ascii="Corbel" w:eastAsia="Times New Roman" w:hAnsi="Corbel" w:cs="Arial"/>
                <w:iCs/>
                <w:sz w:val="26"/>
                <w:szCs w:val="26"/>
                <w:lang w:eastAsia="en-AU"/>
              </w:rPr>
              <w:t xml:space="preserve">social </w:t>
            </w:r>
            <w:r w:rsidRPr="00163D69">
              <w:rPr>
                <w:rFonts w:ascii="Corbel" w:eastAsia="Times New Roman" w:hAnsi="Corbel" w:cs="Arial"/>
                <w:iCs/>
                <w:sz w:val="26"/>
                <w:szCs w:val="26"/>
                <w:lang w:eastAsia="en-AU"/>
              </w:rPr>
              <w:t xml:space="preserve">housing and any proposed changes to social housing stock that are relevant over the next 5 years of the Agreement. </w:t>
            </w:r>
          </w:p>
          <w:p w14:paraId="37E5DEFA" w14:textId="77777777" w:rsidR="00464DAC" w:rsidRPr="00464DAC" w:rsidRDefault="00584E83" w:rsidP="00464DAC">
            <w:pPr>
              <w:spacing w:after="81"/>
              <w:ind w:left="48" w:right="139" w:firstLine="14"/>
              <w:jc w:val="both"/>
              <w:rPr>
                <w:sz w:val="26"/>
                <w:szCs w:val="26"/>
                <w:lang w:val="en-AU"/>
              </w:rPr>
            </w:pPr>
            <w:hyperlink r:id="rId7" w:history="1">
              <w:r w:rsidR="00464DAC" w:rsidRPr="00464DAC">
                <w:rPr>
                  <w:rStyle w:val="Hyperlink"/>
                  <w:sz w:val="26"/>
                  <w:szCs w:val="26"/>
                </w:rPr>
                <w:t>Strong Family, Strong Communities</w:t>
              </w:r>
            </w:hyperlink>
            <w:r w:rsidR="00464DAC" w:rsidRPr="00464DAC">
              <w:rPr>
                <w:sz w:val="26"/>
                <w:szCs w:val="26"/>
              </w:rPr>
              <w:t xml:space="preserve"> is the New South Wales Aboriginal Housing Office's 10-year strategy to improve the wellbeing of NSW Aboriginal families and communities through housing.</w:t>
            </w:r>
          </w:p>
          <w:p w14:paraId="3DC69666" w14:textId="08672F1E" w:rsidR="00262B52" w:rsidRPr="00464DAC" w:rsidRDefault="00464DAC" w:rsidP="00464DAC">
            <w:pPr>
              <w:spacing w:after="59"/>
              <w:ind w:left="29" w:right="38" w:firstLine="29"/>
              <w:jc w:val="both"/>
              <w:rPr>
                <w:rFonts w:ascii="Corbel" w:eastAsia="Times New Roman" w:hAnsi="Corbel" w:cs="Arial"/>
                <w:iCs/>
                <w:sz w:val="26"/>
                <w:szCs w:val="26"/>
                <w:lang w:eastAsia="en-AU"/>
              </w:rPr>
            </w:pPr>
            <w:r w:rsidRPr="00464DAC">
              <w:rPr>
                <w:sz w:val="26"/>
                <w:szCs w:val="26"/>
              </w:rPr>
              <w:t xml:space="preserve">New South Wales CAPO and NSW Government have developed and released two </w:t>
            </w:r>
            <w:hyperlink r:id="rId8" w:anchor=":~:text=NSW%20Implementation%20Plans,and%20Torres%20Strait%20Islander%20people." w:history="1">
              <w:r w:rsidRPr="00464DAC">
                <w:rPr>
                  <w:rStyle w:val="Hyperlink"/>
                  <w:sz w:val="26"/>
                  <w:szCs w:val="26"/>
                </w:rPr>
                <w:t>Implementation Plans</w:t>
              </w:r>
            </w:hyperlink>
            <w:r w:rsidRPr="00464DAC">
              <w:rPr>
                <w:sz w:val="26"/>
                <w:szCs w:val="26"/>
              </w:rPr>
              <w:t xml:space="preserve"> in partnership, setting out how the commitments in the National Agreement on Closing the Gap to improve the lives of Aboriginal and Torres Strait Islander people will be achieved.</w:t>
            </w:r>
          </w:p>
          <w:p w14:paraId="4854FA63" w14:textId="77777777" w:rsidR="00030DB8" w:rsidRPr="00163D69" w:rsidRDefault="00030DB8" w:rsidP="00675C15">
            <w:pPr>
              <w:pStyle w:val="Tableformat"/>
              <w:rPr>
                <w:b/>
                <w:bCs/>
                <w:color w:val="auto"/>
              </w:rPr>
            </w:pPr>
            <w:r w:rsidRPr="00163D69">
              <w:rPr>
                <w:b/>
                <w:bCs/>
                <w:color w:val="auto"/>
              </w:rPr>
              <w:t>National Outcomes Framework</w:t>
            </w:r>
          </w:p>
          <w:p w14:paraId="23E4B0EE" w14:textId="77777777" w:rsidR="005B034A" w:rsidRPr="00163D69" w:rsidRDefault="005B034A" w:rsidP="00675C15">
            <w:pPr>
              <w:pStyle w:val="Tableformat"/>
              <w:rPr>
                <w:color w:val="auto"/>
              </w:rPr>
            </w:pPr>
            <w:r w:rsidRPr="00163D69">
              <w:rPr>
                <w:color w:val="auto"/>
              </w:rPr>
              <w:t>New South Wales</w:t>
            </w:r>
            <w:r w:rsidR="00030DB8" w:rsidRPr="00163D69">
              <w:rPr>
                <w:color w:val="auto"/>
              </w:rPr>
              <w:t xml:space="preserve"> will meet the requirements of clause 18(b) by reporting against the indicators in the National Outcomes Framework (Schedule A of the Agreement). This will include at a minimum, the compulsory measures.</w:t>
            </w:r>
          </w:p>
          <w:p w14:paraId="55B08163" w14:textId="57C092CE" w:rsidR="001543EF" w:rsidRPr="00163D69" w:rsidRDefault="001543EF" w:rsidP="00675C15">
            <w:pPr>
              <w:pStyle w:val="Tableformat"/>
              <w:rPr>
                <w:rFonts w:cs="Times New Roman"/>
                <w:iCs w:val="0"/>
                <w:color w:val="auto"/>
                <w:lang w:eastAsia="en-US"/>
              </w:rPr>
            </w:pPr>
            <w:r w:rsidRPr="00163D69">
              <w:rPr>
                <w:rFonts w:cs="Times New Roman"/>
                <w:iCs w:val="0"/>
                <w:color w:val="auto"/>
                <w:lang w:eastAsia="en-US"/>
              </w:rPr>
              <w:t xml:space="preserve">All </w:t>
            </w:r>
            <w:r w:rsidR="005B034A" w:rsidRPr="00163D69">
              <w:rPr>
                <w:rFonts w:cs="Times New Roman"/>
                <w:iCs w:val="0"/>
                <w:color w:val="auto"/>
                <w:lang w:eastAsia="en-US"/>
              </w:rPr>
              <w:t xml:space="preserve">reporting </w:t>
            </w:r>
            <w:r w:rsidRPr="00163D69">
              <w:rPr>
                <w:rFonts w:cs="Times New Roman"/>
                <w:iCs w:val="0"/>
                <w:color w:val="auto"/>
                <w:lang w:eastAsia="en-US"/>
              </w:rPr>
              <w:t xml:space="preserve">provided by New South Wales against the compulsory indicators in the National Outcomes Framework </w:t>
            </w:r>
            <w:r w:rsidR="005B034A" w:rsidRPr="00163D69">
              <w:rPr>
                <w:rFonts w:cs="Times New Roman"/>
                <w:iCs w:val="0"/>
                <w:color w:val="auto"/>
                <w:lang w:eastAsia="en-US"/>
              </w:rPr>
              <w:t xml:space="preserve">will be </w:t>
            </w:r>
            <w:r w:rsidR="00E77BAA" w:rsidRPr="00163D69">
              <w:rPr>
                <w:rFonts w:cs="Times New Roman"/>
                <w:iCs w:val="0"/>
                <w:color w:val="auto"/>
                <w:lang w:eastAsia="en-US"/>
              </w:rPr>
              <w:t xml:space="preserve">reported from </w:t>
            </w:r>
            <w:r w:rsidR="005B034A" w:rsidRPr="00163D69">
              <w:rPr>
                <w:rFonts w:cs="Times New Roman"/>
                <w:iCs w:val="0"/>
                <w:color w:val="auto"/>
                <w:lang w:eastAsia="en-US"/>
              </w:rPr>
              <w:t xml:space="preserve">the </w:t>
            </w:r>
            <w:r w:rsidR="00E77BAA" w:rsidRPr="00163D69">
              <w:rPr>
                <w:rFonts w:cs="Times New Roman"/>
                <w:iCs w:val="0"/>
                <w:color w:val="auto"/>
                <w:lang w:eastAsia="en-US"/>
              </w:rPr>
              <w:t xml:space="preserve">published </w:t>
            </w:r>
            <w:r w:rsidR="005B034A" w:rsidRPr="00163D69">
              <w:rPr>
                <w:rFonts w:cs="Times New Roman"/>
                <w:iCs w:val="0"/>
                <w:color w:val="auto"/>
                <w:lang w:eastAsia="en-US"/>
              </w:rPr>
              <w:t>Report on Government Services (RoGS)</w:t>
            </w:r>
            <w:r w:rsidR="006A0765">
              <w:rPr>
                <w:rFonts w:cs="Times New Roman"/>
                <w:iCs w:val="0"/>
                <w:color w:val="auto"/>
                <w:lang w:eastAsia="en-US"/>
              </w:rPr>
              <w:t xml:space="preserve"> or other published data.</w:t>
            </w:r>
          </w:p>
          <w:p w14:paraId="1E7B8221" w14:textId="77777777" w:rsidR="00030DB8" w:rsidRPr="00163D69" w:rsidRDefault="00030DB8" w:rsidP="00675C15">
            <w:pPr>
              <w:pStyle w:val="Tableformat"/>
              <w:rPr>
                <w:b/>
                <w:bCs/>
                <w:color w:val="auto"/>
              </w:rPr>
            </w:pPr>
            <w:r w:rsidRPr="00163D69">
              <w:rPr>
                <w:b/>
                <w:bCs/>
                <w:color w:val="auto"/>
              </w:rPr>
              <w:t>Compulsory measures</w:t>
            </w:r>
          </w:p>
          <w:p w14:paraId="033BF426" w14:textId="77777777" w:rsidR="00030DB8" w:rsidRPr="00163D69" w:rsidRDefault="00030DB8" w:rsidP="00675C15">
            <w:pPr>
              <w:pStyle w:val="Tableformat"/>
              <w:rPr>
                <w:i/>
                <w:iCs w:val="0"/>
                <w:color w:val="auto"/>
              </w:rPr>
            </w:pPr>
            <w:r w:rsidRPr="00163D69">
              <w:rPr>
                <w:i/>
                <w:iCs w:val="0"/>
                <w:color w:val="auto"/>
              </w:rPr>
              <w:t>Homelessness</w:t>
            </w:r>
          </w:p>
          <w:p w14:paraId="2E120636" w14:textId="77777777" w:rsidR="00030DB8" w:rsidRPr="00163D69" w:rsidRDefault="00030DB8" w:rsidP="00030DB8">
            <w:pPr>
              <w:pStyle w:val="Tableformat"/>
              <w:numPr>
                <w:ilvl w:val="0"/>
                <w:numId w:val="3"/>
              </w:numPr>
              <w:tabs>
                <w:tab w:val="num" w:pos="283"/>
                <w:tab w:val="num" w:pos="360"/>
              </w:tabs>
              <w:ind w:left="283" w:hanging="283"/>
              <w:rPr>
                <w:color w:val="auto"/>
              </w:rPr>
            </w:pPr>
            <w:r w:rsidRPr="00163D69">
              <w:rPr>
                <w:color w:val="auto"/>
                <w:lang w:val="en-AU"/>
              </w:rPr>
              <w:t>Number of unassisted requests for services, split by accommodation and other services</w:t>
            </w:r>
          </w:p>
          <w:p w14:paraId="04850623" w14:textId="77777777" w:rsidR="00030DB8" w:rsidRPr="00163D69" w:rsidRDefault="00030DB8" w:rsidP="00030DB8">
            <w:pPr>
              <w:pStyle w:val="Tableformat"/>
              <w:numPr>
                <w:ilvl w:val="0"/>
                <w:numId w:val="3"/>
              </w:numPr>
              <w:tabs>
                <w:tab w:val="num" w:pos="283"/>
                <w:tab w:val="num" w:pos="360"/>
              </w:tabs>
              <w:ind w:left="283" w:hanging="283"/>
              <w:rPr>
                <w:color w:val="auto"/>
              </w:rPr>
            </w:pPr>
            <w:r w:rsidRPr="00163D69">
              <w:rPr>
                <w:color w:val="auto"/>
              </w:rPr>
              <w:t xml:space="preserve">Number and proportion of clients with an identified need for services who were not provided or referred to those services, split by accommodation and other services </w:t>
            </w:r>
          </w:p>
          <w:p w14:paraId="7E491FE3" w14:textId="77777777" w:rsidR="00030DB8" w:rsidRPr="00163D69" w:rsidRDefault="00030DB8" w:rsidP="00030DB8">
            <w:pPr>
              <w:pStyle w:val="Tableformat"/>
              <w:numPr>
                <w:ilvl w:val="0"/>
                <w:numId w:val="3"/>
              </w:numPr>
              <w:tabs>
                <w:tab w:val="num" w:pos="283"/>
                <w:tab w:val="num" w:pos="360"/>
              </w:tabs>
              <w:ind w:left="283" w:hanging="283"/>
              <w:rPr>
                <w:color w:val="auto"/>
              </w:rPr>
            </w:pPr>
            <w:r w:rsidRPr="00163D69">
              <w:rPr>
                <w:rFonts w:cstheme="minorHAnsi"/>
                <w:color w:val="auto"/>
                <w:szCs w:val="23"/>
              </w:rPr>
              <w:t>Number and proportion of clients at risk of homelessness who receive assistance and avoid homelessness</w:t>
            </w:r>
          </w:p>
          <w:p w14:paraId="565949FD" w14:textId="77777777" w:rsidR="00030DB8" w:rsidRPr="00163D69" w:rsidRDefault="00030DB8" w:rsidP="00030DB8">
            <w:pPr>
              <w:pStyle w:val="Tableformat"/>
              <w:numPr>
                <w:ilvl w:val="0"/>
                <w:numId w:val="3"/>
              </w:numPr>
              <w:tabs>
                <w:tab w:val="num" w:pos="283"/>
                <w:tab w:val="num" w:pos="360"/>
              </w:tabs>
              <w:ind w:left="283" w:hanging="283"/>
              <w:rPr>
                <w:color w:val="auto"/>
              </w:rPr>
            </w:pPr>
            <w:r w:rsidRPr="00163D69">
              <w:rPr>
                <w:rFonts w:cstheme="minorHAnsi"/>
                <w:color w:val="auto"/>
                <w:szCs w:val="23"/>
              </w:rPr>
              <w:lastRenderedPageBreak/>
              <w:t>Number and proportion of clients who return to homelessness after achieving housing </w:t>
            </w:r>
          </w:p>
          <w:p w14:paraId="35F8A37D" w14:textId="77777777" w:rsidR="00030DB8" w:rsidRPr="00163D69" w:rsidRDefault="00030DB8" w:rsidP="00675C15">
            <w:pPr>
              <w:pStyle w:val="Tableformat"/>
              <w:rPr>
                <w:i/>
                <w:iCs w:val="0"/>
                <w:color w:val="auto"/>
              </w:rPr>
            </w:pPr>
            <w:r w:rsidRPr="00163D69">
              <w:rPr>
                <w:i/>
                <w:iCs w:val="0"/>
                <w:color w:val="auto"/>
              </w:rPr>
              <w:t>Social housing</w:t>
            </w:r>
          </w:p>
          <w:p w14:paraId="1EA4C402" w14:textId="6D7961FF" w:rsidR="00030DB8" w:rsidRDefault="00030DB8" w:rsidP="00902E9D">
            <w:pPr>
              <w:pStyle w:val="Tableformat"/>
              <w:numPr>
                <w:ilvl w:val="0"/>
                <w:numId w:val="4"/>
              </w:numPr>
              <w:tabs>
                <w:tab w:val="num" w:pos="360"/>
                <w:tab w:val="num" w:pos="567"/>
              </w:tabs>
              <w:ind w:left="284" w:hanging="284"/>
              <w:rPr>
                <w:color w:val="auto"/>
                <w:lang w:val="en-AU"/>
              </w:rPr>
            </w:pPr>
            <w:r w:rsidRPr="00163D69">
              <w:rPr>
                <w:color w:val="auto"/>
                <w:lang w:val="en-AU"/>
              </w:rPr>
              <w:t>Number of social housing dwellings at 30 June: public housing,</w:t>
            </w:r>
            <w:r w:rsidR="005850B0">
              <w:rPr>
                <w:color w:val="auto"/>
                <w:lang w:val="en-AU"/>
              </w:rPr>
              <w:t xml:space="preserve"> </w:t>
            </w:r>
            <w:r w:rsidRPr="00163D69">
              <w:rPr>
                <w:color w:val="auto"/>
                <w:lang w:val="en-AU"/>
              </w:rPr>
              <w:t>SOMIH, community housing and Indigenous community housing, all programs</w:t>
            </w:r>
          </w:p>
          <w:p w14:paraId="1ACFB805" w14:textId="49398F9F" w:rsidR="00262B52" w:rsidRPr="00163D69" w:rsidRDefault="00262B52" w:rsidP="00902E9D">
            <w:pPr>
              <w:pStyle w:val="Tableformat"/>
              <w:numPr>
                <w:ilvl w:val="0"/>
                <w:numId w:val="4"/>
              </w:numPr>
              <w:tabs>
                <w:tab w:val="num" w:pos="360"/>
                <w:tab w:val="num" w:pos="567"/>
              </w:tabs>
              <w:ind w:left="284" w:hanging="284"/>
              <w:rPr>
                <w:color w:val="auto"/>
                <w:lang w:val="en-AU"/>
              </w:rPr>
            </w:pPr>
            <w:r>
              <w:rPr>
                <w:color w:val="auto"/>
                <w:lang w:val="en-AU"/>
              </w:rPr>
              <w:t>Change in the number of social housing dwellings from previous year</w:t>
            </w:r>
          </w:p>
          <w:p w14:paraId="32005326" w14:textId="77777777" w:rsidR="00030DB8" w:rsidRPr="00163D69" w:rsidRDefault="00030DB8" w:rsidP="005F0A76">
            <w:pPr>
              <w:pStyle w:val="Tableformat"/>
              <w:numPr>
                <w:ilvl w:val="0"/>
                <w:numId w:val="4"/>
              </w:numPr>
              <w:tabs>
                <w:tab w:val="num" w:pos="360"/>
                <w:tab w:val="num" w:pos="567"/>
              </w:tabs>
              <w:ind w:left="284" w:hanging="284"/>
              <w:rPr>
                <w:color w:val="auto"/>
                <w:lang w:val="en-AU"/>
              </w:rPr>
            </w:pPr>
            <w:r w:rsidRPr="00163D69">
              <w:rPr>
                <w:color w:val="auto"/>
                <w:lang w:val="en-AU"/>
              </w:rPr>
              <w:t>Proportion of overcrowded households: public housing, SOMIH, community housing and Indigenous community housing, all programs</w:t>
            </w:r>
          </w:p>
          <w:p w14:paraId="5182AB26" w14:textId="77777777" w:rsidR="00030DB8" w:rsidRPr="00163D69" w:rsidRDefault="00030DB8" w:rsidP="005F0A76">
            <w:pPr>
              <w:pStyle w:val="Tableformat"/>
              <w:numPr>
                <w:ilvl w:val="0"/>
                <w:numId w:val="4"/>
              </w:numPr>
              <w:tabs>
                <w:tab w:val="num" w:pos="360"/>
                <w:tab w:val="num" w:pos="567"/>
              </w:tabs>
              <w:ind w:left="284" w:hanging="284"/>
              <w:rPr>
                <w:color w:val="auto"/>
                <w:lang w:val="en-AU"/>
              </w:rPr>
            </w:pPr>
            <w:r w:rsidRPr="00163D69">
              <w:rPr>
                <w:color w:val="auto"/>
                <w:lang w:val="en-AU"/>
              </w:rPr>
              <w:t>Proportion of households with at least four working facilities and not more than two major structural problems: public housing, SOMIH, community housing and Indigenous community housing, all programs</w:t>
            </w:r>
          </w:p>
          <w:p w14:paraId="42725CDE" w14:textId="657195BF" w:rsidR="00030DB8" w:rsidRDefault="00030DB8" w:rsidP="00675C15">
            <w:pPr>
              <w:pStyle w:val="Tableformat"/>
              <w:rPr>
                <w:color w:val="auto"/>
              </w:rPr>
            </w:pPr>
            <w:r w:rsidRPr="00163D69">
              <w:rPr>
                <w:color w:val="auto"/>
              </w:rPr>
              <w:t xml:space="preserve">The details of reporting arrangements may </w:t>
            </w:r>
            <w:r w:rsidR="00341883" w:rsidRPr="00163D69">
              <w:rPr>
                <w:color w:val="auto"/>
              </w:rPr>
              <w:t xml:space="preserve">be </w:t>
            </w:r>
            <w:r w:rsidR="00930A18" w:rsidRPr="00163D69">
              <w:rPr>
                <w:color w:val="auto"/>
              </w:rPr>
              <w:t>adjusted</w:t>
            </w:r>
            <w:r w:rsidR="00341883" w:rsidRPr="00163D69">
              <w:rPr>
                <w:color w:val="auto"/>
              </w:rPr>
              <w:t xml:space="preserve"> to avoid duplication</w:t>
            </w:r>
            <w:r w:rsidRPr="00163D69">
              <w:rPr>
                <w:color w:val="auto"/>
              </w:rPr>
              <w:t xml:space="preserve"> as the reporting arrangements for the outcomes framework for the National Plan on Housing and Homelessness are developed.</w:t>
            </w:r>
          </w:p>
          <w:p w14:paraId="11BCE711" w14:textId="77777777" w:rsidR="00030DB8" w:rsidRPr="00163D69" w:rsidRDefault="00030DB8" w:rsidP="00675C15">
            <w:pPr>
              <w:pStyle w:val="Tableformat"/>
              <w:rPr>
                <w:b/>
                <w:bCs/>
                <w:color w:val="auto"/>
              </w:rPr>
            </w:pPr>
            <w:r w:rsidRPr="00163D69">
              <w:rPr>
                <w:b/>
                <w:bCs/>
                <w:color w:val="auto"/>
              </w:rPr>
              <w:t>Statements of Assurance</w:t>
            </w:r>
          </w:p>
          <w:p w14:paraId="18172B01" w14:textId="7CE3E78D" w:rsidR="00262B52" w:rsidRPr="006A0765" w:rsidRDefault="005B034A" w:rsidP="00464DAC">
            <w:pPr>
              <w:pStyle w:val="Tableformat"/>
              <w:rPr>
                <w:iCs w:val="0"/>
                <w:lang w:val="en-AU"/>
              </w:rPr>
            </w:pPr>
            <w:r w:rsidRPr="00163D69">
              <w:rPr>
                <w:color w:val="auto"/>
                <w:lang w:val="en-AU"/>
              </w:rPr>
              <w:t>New South Wales</w:t>
            </w:r>
            <w:r w:rsidR="00030DB8" w:rsidRPr="00163D69">
              <w:rPr>
                <w:color w:val="auto"/>
                <w:lang w:val="en-AU"/>
              </w:rPr>
              <w:t xml:space="preserve"> will report annually how </w:t>
            </w:r>
            <w:r w:rsidR="00E77BAA" w:rsidRPr="00163D69">
              <w:rPr>
                <w:color w:val="auto"/>
                <w:lang w:val="en-AU"/>
              </w:rPr>
              <w:t>it has</w:t>
            </w:r>
            <w:r w:rsidR="00030DB8" w:rsidRPr="00163D69">
              <w:rPr>
                <w:color w:val="auto"/>
                <w:lang w:val="en-AU"/>
              </w:rPr>
              <w:t xml:space="preserve"> met the requirements of the Agreement using the template in the Agreement (Schedule </w:t>
            </w:r>
            <w:r w:rsidR="00C255CA" w:rsidRPr="00163D69">
              <w:rPr>
                <w:color w:val="auto"/>
                <w:lang w:val="en-AU"/>
              </w:rPr>
              <w:t>B</w:t>
            </w:r>
            <w:r w:rsidR="00030DB8" w:rsidRPr="00163D69">
              <w:rPr>
                <w:color w:val="auto"/>
                <w:lang w:val="en-AU"/>
              </w:rPr>
              <w:t>)</w:t>
            </w:r>
            <w:r w:rsidR="00200635">
              <w:rPr>
                <w:color w:val="auto"/>
                <w:lang w:val="en-AU"/>
              </w:rPr>
              <w:t xml:space="preserve">, </w:t>
            </w:r>
            <w:r w:rsidR="00200635" w:rsidRPr="00464DAC">
              <w:rPr>
                <w:color w:val="auto"/>
                <w:lang w:val="en-AU"/>
              </w:rPr>
              <w:t>consistent with the methodology applied to expenditure reporting in the Report on Government Services</w:t>
            </w:r>
            <w:r w:rsidR="006A0765" w:rsidRPr="00464DAC">
              <w:rPr>
                <w:color w:val="auto"/>
                <w:lang w:val="en-AU"/>
              </w:rPr>
              <w:t>.</w:t>
            </w:r>
          </w:p>
        </w:tc>
      </w:tr>
      <w:tr w:rsidR="005B034A" w:rsidRPr="00163D69" w14:paraId="5FACCC3F" w14:textId="77777777" w:rsidTr="37320C22">
        <w:tc>
          <w:tcPr>
            <w:tcW w:w="1691" w:type="dxa"/>
            <w:shd w:val="clear" w:color="auto" w:fill="auto"/>
          </w:tcPr>
          <w:p w14:paraId="34B84053" w14:textId="16B841B5" w:rsidR="005B034A" w:rsidRPr="00163D69" w:rsidRDefault="005B034A" w:rsidP="00675C15">
            <w:pPr>
              <w:pStyle w:val="Tableformat"/>
              <w:rPr>
                <w:color w:val="auto"/>
              </w:rPr>
            </w:pPr>
            <w:r w:rsidRPr="00163D69">
              <w:rPr>
                <w:color w:val="auto"/>
              </w:rPr>
              <w:lastRenderedPageBreak/>
              <w:t>Aboriginal and Torres Strait Islander People</w:t>
            </w:r>
          </w:p>
        </w:tc>
        <w:tc>
          <w:tcPr>
            <w:tcW w:w="7938" w:type="dxa"/>
            <w:shd w:val="clear" w:color="auto" w:fill="auto"/>
          </w:tcPr>
          <w:p w14:paraId="335ABF93" w14:textId="417BD90D" w:rsidR="003B0B7F" w:rsidRPr="00F203E6" w:rsidRDefault="003B0B7F" w:rsidP="00F203E6">
            <w:pPr>
              <w:widowControl/>
              <w:spacing w:before="80" w:after="80"/>
              <w:outlineLvl w:val="1"/>
              <w:rPr>
                <w:rFonts w:ascii="Corbel" w:eastAsia="Times New Roman" w:hAnsi="Corbel" w:cs="Arial"/>
                <w:b/>
                <w:bCs/>
                <w:sz w:val="26"/>
                <w:szCs w:val="26"/>
                <w:lang w:eastAsia="en-AU"/>
              </w:rPr>
            </w:pPr>
            <w:r w:rsidRPr="00274876">
              <w:rPr>
                <w:rFonts w:ascii="Corbel" w:eastAsia="Times New Roman" w:hAnsi="Corbel" w:cs="Arial"/>
                <w:b/>
                <w:bCs/>
                <w:sz w:val="26"/>
                <w:szCs w:val="26"/>
                <w:lang w:eastAsia="en-AU"/>
              </w:rPr>
              <w:t>Governance arrangements</w:t>
            </w:r>
            <w:r w:rsidR="00C859B8" w:rsidRPr="00274876">
              <w:rPr>
                <w:rFonts w:ascii="Corbel" w:eastAsia="Times New Roman" w:hAnsi="Corbel" w:cs="Arial"/>
                <w:b/>
                <w:bCs/>
                <w:sz w:val="26"/>
                <w:szCs w:val="26"/>
                <w:lang w:eastAsia="en-AU"/>
              </w:rPr>
              <w:t xml:space="preserve"> and </w:t>
            </w:r>
            <w:r w:rsidR="00274876" w:rsidRPr="00200635">
              <w:rPr>
                <w:rFonts w:ascii="Corbel" w:eastAsia="Times New Roman" w:hAnsi="Corbel" w:cs="Arial"/>
                <w:b/>
                <w:bCs/>
                <w:sz w:val="26"/>
                <w:szCs w:val="26"/>
                <w:lang w:eastAsia="en-AU"/>
              </w:rPr>
              <w:t>s</w:t>
            </w:r>
            <w:r w:rsidR="00C859B8" w:rsidRPr="00200635">
              <w:rPr>
                <w:rFonts w:ascii="Corbel" w:eastAsia="Times New Roman" w:hAnsi="Corbel" w:cs="Arial"/>
                <w:b/>
                <w:bCs/>
                <w:sz w:val="26"/>
                <w:szCs w:val="26"/>
                <w:lang w:eastAsia="en-AU"/>
              </w:rPr>
              <w:t>elf-</w:t>
            </w:r>
            <w:r w:rsidR="00C859B8" w:rsidRPr="00274876">
              <w:rPr>
                <w:rFonts w:ascii="Corbel" w:eastAsia="Times New Roman" w:hAnsi="Corbel" w:cs="Arial"/>
                <w:b/>
                <w:bCs/>
                <w:sz w:val="26"/>
                <w:szCs w:val="26"/>
                <w:lang w:eastAsia="en-AU"/>
              </w:rPr>
              <w:t>determination</w:t>
            </w:r>
            <w:r w:rsidRPr="00274876">
              <w:rPr>
                <w:rFonts w:ascii="Corbel" w:eastAsia="Times New Roman" w:hAnsi="Corbel" w:cs="Arial"/>
                <w:b/>
                <w:bCs/>
                <w:sz w:val="26"/>
                <w:szCs w:val="26"/>
                <w:lang w:eastAsia="en-AU"/>
              </w:rPr>
              <w:t xml:space="preserve"> for Aboriginal and Torres Strait Islander people</w:t>
            </w:r>
          </w:p>
          <w:p w14:paraId="3B744C42" w14:textId="26F74839" w:rsidR="003B0B7F" w:rsidRPr="00163D69" w:rsidRDefault="003B0B7F" w:rsidP="003B0B7F">
            <w:pPr>
              <w:widowControl/>
              <w:spacing w:before="80" w:after="80"/>
              <w:outlineLvl w:val="1"/>
              <w:rPr>
                <w:rFonts w:ascii="Corbel" w:eastAsia="Times New Roman" w:hAnsi="Corbel" w:cs="Arial"/>
                <w:iCs/>
                <w:sz w:val="26"/>
                <w:szCs w:val="26"/>
                <w:lang w:eastAsia="en-AU"/>
              </w:rPr>
            </w:pPr>
            <w:r w:rsidRPr="00163D69">
              <w:rPr>
                <w:rFonts w:ascii="Corbel" w:eastAsia="Times New Roman" w:hAnsi="Corbel" w:cs="Arial"/>
                <w:iCs/>
                <w:sz w:val="26"/>
                <w:szCs w:val="26"/>
                <w:lang w:eastAsia="en-AU"/>
              </w:rPr>
              <w:t xml:space="preserve">New South Wales will identify and provide details of the existing governance that </w:t>
            </w:r>
            <w:r w:rsidR="003D4787" w:rsidRPr="00163D69">
              <w:rPr>
                <w:rFonts w:ascii="Corbel" w:eastAsia="Times New Roman" w:hAnsi="Corbel" w:cs="Arial"/>
                <w:iCs/>
                <w:sz w:val="26"/>
                <w:szCs w:val="26"/>
                <w:lang w:eastAsia="en-AU"/>
              </w:rPr>
              <w:t xml:space="preserve">reflects </w:t>
            </w:r>
            <w:r w:rsidRPr="00163D69">
              <w:rPr>
                <w:rFonts w:ascii="Corbel" w:eastAsia="Times New Roman" w:hAnsi="Corbel" w:cs="Arial"/>
                <w:iCs/>
                <w:sz w:val="26"/>
                <w:szCs w:val="26"/>
                <w:lang w:eastAsia="en-AU"/>
              </w:rPr>
              <w:t>the breadth of Aboriginal communities and stakeholders in New South Wales, and which will serve as the Partnership Body for the purposes of the Agreement.</w:t>
            </w:r>
          </w:p>
          <w:p w14:paraId="78835446" w14:textId="053BEC38" w:rsidR="00BE4964" w:rsidRPr="00163D69" w:rsidRDefault="00BE4964" w:rsidP="003B0B7F">
            <w:pPr>
              <w:widowControl/>
              <w:spacing w:before="80" w:after="80"/>
              <w:outlineLvl w:val="1"/>
              <w:rPr>
                <w:rFonts w:ascii="Corbel" w:eastAsia="Times New Roman" w:hAnsi="Corbel" w:cs="Arial"/>
                <w:iCs/>
                <w:sz w:val="26"/>
                <w:szCs w:val="26"/>
                <w:lang w:eastAsia="en-AU"/>
              </w:rPr>
            </w:pPr>
            <w:r w:rsidRPr="00163D69">
              <w:rPr>
                <w:rFonts w:ascii="Corbel" w:eastAsia="Times New Roman" w:hAnsi="Corbel" w:cs="Arial"/>
                <w:iCs/>
                <w:sz w:val="26"/>
                <w:szCs w:val="26"/>
                <w:lang w:eastAsia="en-AU"/>
              </w:rPr>
              <w:t xml:space="preserve">In keeping with the principles of genuine partnership, the </w:t>
            </w:r>
            <w:r w:rsidR="00C859B8" w:rsidRPr="00163D69">
              <w:rPr>
                <w:rFonts w:ascii="Corbel" w:eastAsia="Times New Roman" w:hAnsi="Corbel" w:cs="Arial"/>
                <w:iCs/>
                <w:sz w:val="26"/>
                <w:szCs w:val="26"/>
                <w:lang w:eastAsia="en-AU"/>
              </w:rPr>
              <w:t xml:space="preserve">final </w:t>
            </w:r>
            <w:r w:rsidRPr="00163D69">
              <w:rPr>
                <w:rFonts w:ascii="Corbel" w:eastAsia="Times New Roman" w:hAnsi="Corbel" w:cs="Arial"/>
                <w:iCs/>
                <w:sz w:val="26"/>
                <w:szCs w:val="26"/>
                <w:lang w:eastAsia="en-AU"/>
              </w:rPr>
              <w:t xml:space="preserve">outcomes framework and statement of assurance reporting framework </w:t>
            </w:r>
            <w:r w:rsidR="00C859B8" w:rsidRPr="00163D69">
              <w:rPr>
                <w:rFonts w:ascii="Corbel" w:eastAsia="Times New Roman" w:hAnsi="Corbel" w:cs="Arial"/>
                <w:iCs/>
                <w:sz w:val="26"/>
                <w:szCs w:val="26"/>
                <w:lang w:eastAsia="en-AU"/>
              </w:rPr>
              <w:t>focused</w:t>
            </w:r>
            <w:r w:rsidRPr="00163D69">
              <w:rPr>
                <w:rFonts w:ascii="Corbel" w:eastAsia="Times New Roman" w:hAnsi="Corbel" w:cs="Arial"/>
                <w:iCs/>
                <w:sz w:val="26"/>
                <w:szCs w:val="26"/>
                <w:lang w:eastAsia="en-AU"/>
              </w:rPr>
              <w:t xml:space="preserve"> on Aboriginal and Torres Strait Islander people </w:t>
            </w:r>
            <w:r w:rsidR="006A2DB8" w:rsidRPr="00163D69">
              <w:rPr>
                <w:rFonts w:ascii="Corbel" w:eastAsia="Times New Roman" w:hAnsi="Corbel" w:cs="Arial"/>
                <w:iCs/>
                <w:sz w:val="26"/>
                <w:szCs w:val="26"/>
                <w:lang w:eastAsia="en-AU"/>
              </w:rPr>
              <w:t xml:space="preserve">required in the Agreement </w:t>
            </w:r>
            <w:r w:rsidRPr="00163D69">
              <w:rPr>
                <w:rFonts w:ascii="Corbel" w:eastAsia="Times New Roman" w:hAnsi="Corbel" w:cs="Arial"/>
                <w:iCs/>
                <w:sz w:val="26"/>
                <w:szCs w:val="26"/>
                <w:lang w:eastAsia="en-AU"/>
              </w:rPr>
              <w:t>will be determined by the</w:t>
            </w:r>
            <w:r w:rsidR="00C859B8" w:rsidRPr="00163D69">
              <w:rPr>
                <w:rFonts w:ascii="Corbel" w:eastAsia="Times New Roman" w:hAnsi="Corbel" w:cs="Arial"/>
                <w:iCs/>
                <w:sz w:val="26"/>
                <w:szCs w:val="26"/>
                <w:lang w:eastAsia="en-AU"/>
              </w:rPr>
              <w:t xml:space="preserve"> </w:t>
            </w:r>
            <w:r w:rsidR="003D4787" w:rsidRPr="00163D69">
              <w:rPr>
                <w:rFonts w:ascii="Corbel" w:eastAsia="Times New Roman" w:hAnsi="Corbel" w:cs="Arial"/>
                <w:iCs/>
                <w:sz w:val="26"/>
                <w:szCs w:val="26"/>
                <w:lang w:eastAsia="en-AU"/>
              </w:rPr>
              <w:t>N</w:t>
            </w:r>
            <w:r w:rsidR="00C600B5">
              <w:rPr>
                <w:rFonts w:ascii="Corbel" w:eastAsia="Times New Roman" w:hAnsi="Corbel" w:cs="Arial"/>
                <w:iCs/>
                <w:sz w:val="26"/>
                <w:szCs w:val="26"/>
                <w:lang w:eastAsia="en-AU"/>
              </w:rPr>
              <w:t xml:space="preserve">ew </w:t>
            </w:r>
            <w:r w:rsidR="003D4787" w:rsidRPr="00163D69">
              <w:rPr>
                <w:rFonts w:ascii="Corbel" w:eastAsia="Times New Roman" w:hAnsi="Corbel" w:cs="Arial"/>
                <w:iCs/>
                <w:sz w:val="26"/>
                <w:szCs w:val="26"/>
                <w:lang w:eastAsia="en-AU"/>
              </w:rPr>
              <w:t>S</w:t>
            </w:r>
            <w:r w:rsidR="00C600B5">
              <w:rPr>
                <w:rFonts w:ascii="Corbel" w:eastAsia="Times New Roman" w:hAnsi="Corbel" w:cs="Arial"/>
                <w:iCs/>
                <w:sz w:val="26"/>
                <w:szCs w:val="26"/>
                <w:lang w:eastAsia="en-AU"/>
              </w:rPr>
              <w:t xml:space="preserve">outh </w:t>
            </w:r>
            <w:r w:rsidR="003D4787" w:rsidRPr="00163D69">
              <w:rPr>
                <w:rFonts w:ascii="Corbel" w:eastAsia="Times New Roman" w:hAnsi="Corbel" w:cs="Arial"/>
                <w:iCs/>
                <w:sz w:val="26"/>
                <w:szCs w:val="26"/>
                <w:lang w:eastAsia="en-AU"/>
              </w:rPr>
              <w:t>W</w:t>
            </w:r>
            <w:r w:rsidR="00C600B5">
              <w:rPr>
                <w:rFonts w:ascii="Corbel" w:eastAsia="Times New Roman" w:hAnsi="Corbel" w:cs="Arial"/>
                <w:iCs/>
                <w:sz w:val="26"/>
                <w:szCs w:val="26"/>
                <w:lang w:eastAsia="en-AU"/>
              </w:rPr>
              <w:t>ales</w:t>
            </w:r>
            <w:r w:rsidR="003D4787" w:rsidRPr="00163D69">
              <w:rPr>
                <w:rFonts w:ascii="Corbel" w:eastAsia="Times New Roman" w:hAnsi="Corbel" w:cs="Arial"/>
                <w:iCs/>
                <w:sz w:val="26"/>
                <w:szCs w:val="26"/>
                <w:lang w:eastAsia="en-AU"/>
              </w:rPr>
              <w:t xml:space="preserve"> endorsed </w:t>
            </w:r>
            <w:r w:rsidRPr="00163D69">
              <w:rPr>
                <w:rFonts w:ascii="Corbel" w:eastAsia="Times New Roman" w:hAnsi="Corbel" w:cs="Arial"/>
                <w:iCs/>
                <w:sz w:val="26"/>
                <w:szCs w:val="26"/>
                <w:lang w:eastAsia="en-AU"/>
              </w:rPr>
              <w:t>Partnership Body.</w:t>
            </w:r>
          </w:p>
          <w:p w14:paraId="1B8886EC" w14:textId="50BA5A46" w:rsidR="005B034A" w:rsidRPr="00163D69" w:rsidRDefault="003B0B7F" w:rsidP="003B0B7F">
            <w:pPr>
              <w:pStyle w:val="Tableformat"/>
              <w:rPr>
                <w:color w:val="auto"/>
              </w:rPr>
            </w:pPr>
            <w:r w:rsidRPr="00163D69">
              <w:rPr>
                <w:rFonts w:cs="Times New Roman"/>
                <w:color w:val="auto"/>
                <w:lang w:eastAsia="en-US"/>
              </w:rPr>
              <w:t>In undertaking its functions, the Housing Policy Partnership must regularly consult with the N</w:t>
            </w:r>
            <w:r w:rsidR="00C600B5">
              <w:rPr>
                <w:rFonts w:cs="Times New Roman"/>
                <w:color w:val="auto"/>
                <w:lang w:eastAsia="en-US"/>
              </w:rPr>
              <w:t xml:space="preserve">ew </w:t>
            </w:r>
            <w:r w:rsidRPr="00163D69">
              <w:rPr>
                <w:rFonts w:cs="Times New Roman"/>
                <w:color w:val="auto"/>
                <w:lang w:eastAsia="en-US"/>
              </w:rPr>
              <w:t>S</w:t>
            </w:r>
            <w:r w:rsidR="00C600B5">
              <w:rPr>
                <w:rFonts w:cs="Times New Roman"/>
                <w:color w:val="auto"/>
                <w:lang w:eastAsia="en-US"/>
              </w:rPr>
              <w:t xml:space="preserve">outh </w:t>
            </w:r>
            <w:r w:rsidRPr="00163D69">
              <w:rPr>
                <w:rFonts w:cs="Times New Roman"/>
                <w:color w:val="auto"/>
                <w:lang w:eastAsia="en-US"/>
              </w:rPr>
              <w:t>W</w:t>
            </w:r>
            <w:r w:rsidR="00C600B5">
              <w:rPr>
                <w:rFonts w:cs="Times New Roman"/>
                <w:color w:val="auto"/>
                <w:lang w:eastAsia="en-US"/>
              </w:rPr>
              <w:t>ales</w:t>
            </w:r>
            <w:r w:rsidRPr="00163D69">
              <w:rPr>
                <w:rFonts w:cs="Times New Roman"/>
                <w:color w:val="auto"/>
                <w:lang w:eastAsia="en-US"/>
              </w:rPr>
              <w:t xml:space="preserve"> endorsed Partnership Body to ensure there is an appropriate level of engagement and representation of views from across the broad range of Aboriginal and Torres Strait Islander decision making bodies and forums that exist in New South Wales.</w:t>
            </w:r>
          </w:p>
        </w:tc>
      </w:tr>
      <w:tr w:rsidR="00030DB8" w:rsidRPr="00163D69" w14:paraId="3868142D" w14:textId="77777777" w:rsidTr="37320C22">
        <w:tc>
          <w:tcPr>
            <w:tcW w:w="1691" w:type="dxa"/>
            <w:shd w:val="clear" w:color="auto" w:fill="auto"/>
          </w:tcPr>
          <w:p w14:paraId="733F67C8" w14:textId="58F86F46" w:rsidR="00030DB8" w:rsidRPr="00163D69" w:rsidRDefault="00030DB8" w:rsidP="00675C15">
            <w:pPr>
              <w:pStyle w:val="Tableformat"/>
              <w:rPr>
                <w:color w:val="auto"/>
              </w:rPr>
            </w:pPr>
            <w:r w:rsidRPr="00163D69">
              <w:rPr>
                <w:color w:val="auto"/>
              </w:rPr>
              <w:lastRenderedPageBreak/>
              <w:t>Additional terms</w:t>
            </w:r>
          </w:p>
        </w:tc>
        <w:tc>
          <w:tcPr>
            <w:tcW w:w="7938" w:type="dxa"/>
            <w:shd w:val="clear" w:color="auto" w:fill="auto"/>
          </w:tcPr>
          <w:p w14:paraId="6F2D5022" w14:textId="5BDC4EC1" w:rsidR="00030DB8" w:rsidRPr="00163D69" w:rsidRDefault="00030DB8" w:rsidP="0078694C">
            <w:pPr>
              <w:pStyle w:val="Tableformat"/>
              <w:rPr>
                <w:i/>
                <w:color w:val="auto"/>
              </w:rPr>
            </w:pPr>
            <w:r w:rsidRPr="00163D69">
              <w:rPr>
                <w:color w:val="auto"/>
              </w:rPr>
              <w:t xml:space="preserve">This Schedule is an agreement that is a supplementary housing agreement for the purposes of Section 15C of the </w:t>
            </w:r>
            <w:r w:rsidRPr="00163D69">
              <w:rPr>
                <w:i/>
                <w:iCs w:val="0"/>
                <w:color w:val="auto"/>
              </w:rPr>
              <w:t xml:space="preserve">Federal Financial Relations Act 2009 </w:t>
            </w:r>
            <w:r w:rsidRPr="00163D69">
              <w:rPr>
                <w:color w:val="auto"/>
              </w:rPr>
              <w:t>(Cth) (the FFR Act) (Clause 9 of the primary agreement refers).</w:t>
            </w:r>
          </w:p>
        </w:tc>
      </w:tr>
    </w:tbl>
    <w:p w14:paraId="0BDAC483" w14:textId="77777777" w:rsidR="00030DB8" w:rsidRPr="00163D69" w:rsidRDefault="00030DB8" w:rsidP="00030DB8">
      <w:pPr>
        <w:spacing w:before="240"/>
        <w:rPr>
          <w:lang w:val="en-GB"/>
        </w:rPr>
      </w:pPr>
      <w:r w:rsidRPr="00163D69">
        <w:rPr>
          <w:lang w:val="en-GB"/>
        </w:rPr>
        <w:t xml:space="preserve">The </w:t>
      </w:r>
      <w:r w:rsidRPr="00163D69">
        <w:rPr>
          <w:sz w:val="24"/>
          <w:szCs w:val="24"/>
        </w:rPr>
        <w:t>Parties</w:t>
      </w:r>
      <w:r w:rsidRPr="00163D69">
        <w:rPr>
          <w:lang w:val="en-GB"/>
        </w:rPr>
        <w:t xml:space="preserve"> have confirmed their commitment to this schedule as follows:</w:t>
      </w:r>
    </w:p>
    <w:tbl>
      <w:tblPr>
        <w:tblW w:w="5000" w:type="pct"/>
        <w:jc w:val="center"/>
        <w:tblLook w:val="01E0" w:firstRow="1" w:lastRow="1" w:firstColumn="1" w:lastColumn="1" w:noHBand="0" w:noVBand="0"/>
      </w:tblPr>
      <w:tblGrid>
        <w:gridCol w:w="3903"/>
        <w:gridCol w:w="1220"/>
        <w:gridCol w:w="3903"/>
      </w:tblGrid>
      <w:tr w:rsidR="00833C12" w:rsidRPr="00A50751" w14:paraId="347323B0" w14:textId="77777777" w:rsidTr="00824ABF">
        <w:trPr>
          <w:cantSplit/>
          <w:trHeight w:val="2234"/>
          <w:jc w:val="center"/>
        </w:trPr>
        <w:tc>
          <w:tcPr>
            <w:tcW w:w="2105" w:type="pct"/>
          </w:tcPr>
          <w:p w14:paraId="4B4A9313" w14:textId="77777777" w:rsidR="00833C12" w:rsidRPr="00163D69" w:rsidRDefault="00833C12" w:rsidP="00824ABF">
            <w:pPr>
              <w:pStyle w:val="Signed"/>
            </w:pPr>
            <w:r w:rsidRPr="00163D69">
              <w:rPr>
                <w:rStyle w:val="SignedBold"/>
              </w:rPr>
              <w:t>Signed</w:t>
            </w:r>
            <w:r w:rsidRPr="00163D69">
              <w:t xml:space="preserve"> for and on behalf of the Commonwealth of Australia by</w:t>
            </w:r>
          </w:p>
          <w:p w14:paraId="06F91566" w14:textId="77777777" w:rsidR="00833C12" w:rsidRPr="00163D69" w:rsidRDefault="00833C12" w:rsidP="00824ABF">
            <w:pPr>
              <w:pStyle w:val="LineForSignature"/>
            </w:pPr>
            <w:r w:rsidRPr="00163D69">
              <w:tab/>
            </w:r>
          </w:p>
          <w:p w14:paraId="1CB6A733" w14:textId="77777777" w:rsidR="00833C12" w:rsidRPr="00163D69" w:rsidRDefault="00833C12" w:rsidP="00824ABF">
            <w:pPr>
              <w:pStyle w:val="SingleParagraph"/>
              <w:rPr>
                <w:rStyle w:val="Bold"/>
              </w:rPr>
            </w:pPr>
            <w:r w:rsidRPr="00163D69">
              <w:rPr>
                <w:rStyle w:val="Bold"/>
              </w:rPr>
              <w:t>The Honourable Julie Collins MP</w:t>
            </w:r>
          </w:p>
          <w:p w14:paraId="26390B66" w14:textId="77777777" w:rsidR="00833C12" w:rsidRPr="00163D69" w:rsidRDefault="00833C12" w:rsidP="00824ABF">
            <w:pPr>
              <w:pStyle w:val="Position"/>
              <w:jc w:val="left"/>
              <w:rPr>
                <w:lang w:val="en-GB"/>
              </w:rPr>
            </w:pPr>
            <w:r w:rsidRPr="00163D69">
              <w:rPr>
                <w:lang w:val="en-GB"/>
              </w:rPr>
              <w:t xml:space="preserve">Minister for Housing </w:t>
            </w:r>
            <w:r w:rsidRPr="00163D69">
              <w:rPr>
                <w:lang w:val="en-GB"/>
              </w:rPr>
              <w:br/>
              <w:t>Minister for Homelessness</w:t>
            </w:r>
          </w:p>
          <w:p w14:paraId="7577008C" w14:textId="77777777" w:rsidR="00833C12" w:rsidRPr="00163D69" w:rsidRDefault="00833C12" w:rsidP="00824ABF">
            <w:pPr>
              <w:pStyle w:val="SingleParagraph"/>
              <w:tabs>
                <w:tab w:val="num" w:pos="1134"/>
              </w:tabs>
              <w:spacing w:after="240"/>
              <w:rPr>
                <w:b/>
                <w:lang w:val="en-GB"/>
              </w:rPr>
            </w:pPr>
            <w:r w:rsidRPr="00163D69">
              <w:rPr>
                <w:lang w:val="en-GB"/>
              </w:rPr>
              <w:t>[         ]  [         ]  [         ]</w:t>
            </w:r>
          </w:p>
        </w:tc>
        <w:tc>
          <w:tcPr>
            <w:tcW w:w="789" w:type="pct"/>
            <w:tcMar>
              <w:left w:w="0" w:type="dxa"/>
              <w:right w:w="0" w:type="dxa"/>
            </w:tcMar>
          </w:tcPr>
          <w:p w14:paraId="715CF969" w14:textId="77777777" w:rsidR="00833C12" w:rsidRPr="00163D69" w:rsidRDefault="00833C12" w:rsidP="00824ABF">
            <w:pPr>
              <w:rPr>
                <w:rFonts w:ascii="Book Antiqua" w:hAnsi="Book Antiqua"/>
                <w:lang w:val="en-GB"/>
              </w:rPr>
            </w:pPr>
          </w:p>
        </w:tc>
        <w:tc>
          <w:tcPr>
            <w:tcW w:w="2105" w:type="pct"/>
          </w:tcPr>
          <w:p w14:paraId="16D92968" w14:textId="77777777" w:rsidR="00833C12" w:rsidRPr="00163D69" w:rsidRDefault="00833C12" w:rsidP="00824ABF">
            <w:pPr>
              <w:pStyle w:val="Signed"/>
            </w:pPr>
            <w:r w:rsidRPr="00163D69">
              <w:rPr>
                <w:rStyle w:val="SignedBold"/>
              </w:rPr>
              <w:t>Signed</w:t>
            </w:r>
            <w:r w:rsidRPr="00163D69">
              <w:t xml:space="preserve"> for and on behalf of the </w:t>
            </w:r>
            <w:r w:rsidRPr="00163D69">
              <w:br/>
              <w:t>State of New South Wales by</w:t>
            </w:r>
          </w:p>
          <w:p w14:paraId="241642CA" w14:textId="77777777" w:rsidR="00833C12" w:rsidRPr="00163D69" w:rsidRDefault="00833C12" w:rsidP="00824ABF">
            <w:pPr>
              <w:pStyle w:val="LineForSignature"/>
            </w:pPr>
            <w:r w:rsidRPr="00163D69">
              <w:tab/>
            </w:r>
          </w:p>
          <w:p w14:paraId="050D0838" w14:textId="77777777" w:rsidR="00833C12" w:rsidRPr="00163D69" w:rsidRDefault="00833C12" w:rsidP="00824ABF">
            <w:pPr>
              <w:pStyle w:val="SingleParagraph"/>
              <w:rPr>
                <w:rStyle w:val="Bold"/>
              </w:rPr>
            </w:pPr>
            <w:r w:rsidRPr="00163D69">
              <w:rPr>
                <w:rStyle w:val="Bold"/>
              </w:rPr>
              <w:t>The Honourable Rose Jackson MLC</w:t>
            </w:r>
          </w:p>
          <w:p w14:paraId="6000EEBC" w14:textId="77777777" w:rsidR="00833C12" w:rsidRPr="00163D69" w:rsidRDefault="00833C12" w:rsidP="00824ABF">
            <w:pPr>
              <w:pStyle w:val="Position"/>
              <w:jc w:val="left"/>
              <w:rPr>
                <w:lang w:val="en-GB"/>
              </w:rPr>
            </w:pPr>
            <w:r w:rsidRPr="00163D69">
              <w:rPr>
                <w:lang w:val="en-GB"/>
              </w:rPr>
              <w:t>Minister for Housing</w:t>
            </w:r>
            <w:r w:rsidRPr="00163D69">
              <w:rPr>
                <w:lang w:val="en-GB"/>
              </w:rPr>
              <w:br/>
              <w:t>Minister for Homelessness</w:t>
            </w:r>
          </w:p>
          <w:p w14:paraId="1ED38A73" w14:textId="77777777" w:rsidR="00833C12" w:rsidRPr="00D16D42" w:rsidRDefault="00833C12" w:rsidP="00824ABF">
            <w:pPr>
              <w:rPr>
                <w:rFonts w:ascii="Book Antiqua" w:hAnsi="Book Antiqua"/>
                <w:lang w:val="en-GB"/>
              </w:rPr>
            </w:pPr>
            <w:r w:rsidRPr="00163D69" w:rsidDel="00542A8C">
              <w:rPr>
                <w:lang w:val="en-GB"/>
              </w:rPr>
              <w:t xml:space="preserve"> </w:t>
            </w:r>
            <w:r w:rsidRPr="00163D69">
              <w:rPr>
                <w:lang w:val="en-GB"/>
              </w:rPr>
              <w:t>[         ]  [         ]  [         ]</w:t>
            </w:r>
          </w:p>
        </w:tc>
      </w:tr>
    </w:tbl>
    <w:p w14:paraId="7DE67C23" w14:textId="77777777" w:rsidR="00030DB8" w:rsidRPr="00FA50AC" w:rsidRDefault="00030DB8" w:rsidP="00030DB8">
      <w:pPr>
        <w:pStyle w:val="AlphaParagraph"/>
        <w:tabs>
          <w:tab w:val="clear" w:pos="0"/>
          <w:tab w:val="clear" w:pos="283"/>
          <w:tab w:val="clear" w:pos="567"/>
          <w:tab w:val="clear" w:pos="1134"/>
          <w:tab w:val="clear" w:pos="1418"/>
          <w:tab w:val="clear" w:pos="1701"/>
        </w:tabs>
        <w:ind w:left="0" w:firstLine="0"/>
        <w:jc w:val="left"/>
        <w:rPr>
          <w:rFonts w:cs="Corbel"/>
          <w:color w:val="auto"/>
        </w:rPr>
      </w:pPr>
    </w:p>
    <w:bookmarkEnd w:id="0"/>
    <w:p w14:paraId="673500F4" w14:textId="77777777" w:rsidR="00C91B5F" w:rsidRDefault="00C91B5F" w:rsidP="00C255CA"/>
    <w:sectPr w:rsidR="00C91B5F" w:rsidSect="002748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E0F1" w14:textId="77777777" w:rsidR="00683F4B" w:rsidRDefault="00683F4B">
      <w:r>
        <w:separator/>
      </w:r>
    </w:p>
  </w:endnote>
  <w:endnote w:type="continuationSeparator" w:id="0">
    <w:p w14:paraId="4C29F0B4" w14:textId="77777777" w:rsidR="00683F4B" w:rsidRDefault="0068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9DE3" w14:textId="7A5CEF2D" w:rsidR="002B4C31" w:rsidRPr="002B4C31" w:rsidRDefault="002B4C31" w:rsidP="002B4C31">
    <w:pPr>
      <w:pStyle w:val="Footer"/>
      <w:jc w:val="center"/>
      <w:rPr>
        <w:color w:val="FF0000"/>
      </w:rPr>
    </w:pPr>
    <w:r w:rsidRPr="002B4C31">
      <w:rPr>
        <w:color w:val="FF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EFA6" w14:textId="77777777" w:rsidR="00683F4B" w:rsidRDefault="00683F4B">
      <w:r>
        <w:separator/>
      </w:r>
    </w:p>
  </w:footnote>
  <w:footnote w:type="continuationSeparator" w:id="0">
    <w:p w14:paraId="177E69D6" w14:textId="77777777" w:rsidR="00683F4B" w:rsidRDefault="0068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560BA1A0" w:rsidR="00884E8F" w:rsidRPr="00163D69" w:rsidRDefault="002B4C31" w:rsidP="00163D69">
    <w:pPr>
      <w:pStyle w:val="Header"/>
      <w:jc w:val="center"/>
      <w:rPr>
        <w:color w:val="FF0000"/>
      </w:rPr>
    </w:pPr>
    <w:r w:rsidRPr="002B4C31">
      <w:rPr>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C8"/>
    <w:multiLevelType w:val="hybridMultilevel"/>
    <w:tmpl w:val="45204694"/>
    <w:lvl w:ilvl="0" w:tplc="D7BA9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C54C0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E324E"/>
    <w:multiLevelType w:val="hybridMultilevel"/>
    <w:tmpl w:val="D268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5"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004094"/>
    <w:multiLevelType w:val="hybridMultilevel"/>
    <w:tmpl w:val="125812CE"/>
    <w:lvl w:ilvl="0" w:tplc="5274C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30DB8"/>
    <w:rsid w:val="00053AFB"/>
    <w:rsid w:val="000637FB"/>
    <w:rsid w:val="00080BF3"/>
    <w:rsid w:val="00093A90"/>
    <w:rsid w:val="000A7550"/>
    <w:rsid w:val="00101F13"/>
    <w:rsid w:val="001219EC"/>
    <w:rsid w:val="0013002C"/>
    <w:rsid w:val="00142C7E"/>
    <w:rsid w:val="00146712"/>
    <w:rsid w:val="00152DDA"/>
    <w:rsid w:val="001543EF"/>
    <w:rsid w:val="00160A54"/>
    <w:rsid w:val="00163D69"/>
    <w:rsid w:val="00166829"/>
    <w:rsid w:val="00176B90"/>
    <w:rsid w:val="001E6167"/>
    <w:rsid w:val="00200635"/>
    <w:rsid w:val="0020293D"/>
    <w:rsid w:val="002617C2"/>
    <w:rsid w:val="00262B52"/>
    <w:rsid w:val="00274876"/>
    <w:rsid w:val="002A1FEA"/>
    <w:rsid w:val="002B4C31"/>
    <w:rsid w:val="00316DFD"/>
    <w:rsid w:val="00317FB3"/>
    <w:rsid w:val="00322C3C"/>
    <w:rsid w:val="0033647E"/>
    <w:rsid w:val="00341883"/>
    <w:rsid w:val="00380336"/>
    <w:rsid w:val="003B0B7F"/>
    <w:rsid w:val="003D4787"/>
    <w:rsid w:val="00410B40"/>
    <w:rsid w:val="00464DAC"/>
    <w:rsid w:val="004809D9"/>
    <w:rsid w:val="004A53B1"/>
    <w:rsid w:val="004B3352"/>
    <w:rsid w:val="00526FC6"/>
    <w:rsid w:val="005305F8"/>
    <w:rsid w:val="0053761F"/>
    <w:rsid w:val="005565A0"/>
    <w:rsid w:val="00574651"/>
    <w:rsid w:val="005841DA"/>
    <w:rsid w:val="00584607"/>
    <w:rsid w:val="00584E83"/>
    <w:rsid w:val="005850B0"/>
    <w:rsid w:val="00597274"/>
    <w:rsid w:val="005A5862"/>
    <w:rsid w:val="005B034A"/>
    <w:rsid w:val="005C39BE"/>
    <w:rsid w:val="005D2556"/>
    <w:rsid w:val="005F0A76"/>
    <w:rsid w:val="006406B9"/>
    <w:rsid w:val="0064121C"/>
    <w:rsid w:val="006422B2"/>
    <w:rsid w:val="00644E2C"/>
    <w:rsid w:val="00661A3F"/>
    <w:rsid w:val="00683F4B"/>
    <w:rsid w:val="006A0765"/>
    <w:rsid w:val="006A2DB8"/>
    <w:rsid w:val="006B6E73"/>
    <w:rsid w:val="006E3B3B"/>
    <w:rsid w:val="006F1E8D"/>
    <w:rsid w:val="007603E7"/>
    <w:rsid w:val="00773E38"/>
    <w:rsid w:val="0078694C"/>
    <w:rsid w:val="00786CFE"/>
    <w:rsid w:val="007D2BA8"/>
    <w:rsid w:val="007D39E8"/>
    <w:rsid w:val="007F1EB5"/>
    <w:rsid w:val="007F42CB"/>
    <w:rsid w:val="00812F7B"/>
    <w:rsid w:val="00833C12"/>
    <w:rsid w:val="00884E8F"/>
    <w:rsid w:val="008E62E2"/>
    <w:rsid w:val="00902E9D"/>
    <w:rsid w:val="009033A1"/>
    <w:rsid w:val="00930A18"/>
    <w:rsid w:val="0098247F"/>
    <w:rsid w:val="009C3443"/>
    <w:rsid w:val="009D2ED6"/>
    <w:rsid w:val="009D43EF"/>
    <w:rsid w:val="009D5BA6"/>
    <w:rsid w:val="00A020B2"/>
    <w:rsid w:val="00A65C44"/>
    <w:rsid w:val="00A7101C"/>
    <w:rsid w:val="00A86CA1"/>
    <w:rsid w:val="00A94CAF"/>
    <w:rsid w:val="00AF79A9"/>
    <w:rsid w:val="00B04F4F"/>
    <w:rsid w:val="00B220BB"/>
    <w:rsid w:val="00B30FB0"/>
    <w:rsid w:val="00B63981"/>
    <w:rsid w:val="00B72A57"/>
    <w:rsid w:val="00B77897"/>
    <w:rsid w:val="00B9221E"/>
    <w:rsid w:val="00BB0778"/>
    <w:rsid w:val="00BD6E01"/>
    <w:rsid w:val="00BE4964"/>
    <w:rsid w:val="00BF3E35"/>
    <w:rsid w:val="00C02A38"/>
    <w:rsid w:val="00C255CA"/>
    <w:rsid w:val="00C600B5"/>
    <w:rsid w:val="00C704D2"/>
    <w:rsid w:val="00C859B8"/>
    <w:rsid w:val="00C91B5F"/>
    <w:rsid w:val="00CA54E0"/>
    <w:rsid w:val="00CF0B25"/>
    <w:rsid w:val="00D21945"/>
    <w:rsid w:val="00D54783"/>
    <w:rsid w:val="00D72A49"/>
    <w:rsid w:val="00DE0037"/>
    <w:rsid w:val="00DF0644"/>
    <w:rsid w:val="00E50964"/>
    <w:rsid w:val="00E77BAA"/>
    <w:rsid w:val="00E834A8"/>
    <w:rsid w:val="00E97588"/>
    <w:rsid w:val="00F12AFB"/>
    <w:rsid w:val="00F203E6"/>
    <w:rsid w:val="00F20CBE"/>
    <w:rsid w:val="00F525D7"/>
    <w:rsid w:val="37320C22"/>
    <w:rsid w:val="3AC4D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character" w:styleId="Hyperlink">
    <w:name w:val="Hyperlink"/>
    <w:basedOn w:val="DefaultParagraphFont"/>
    <w:uiPriority w:val="99"/>
    <w:semiHidden/>
    <w:unhideWhenUsed/>
    <w:rsid w:val="00464DAC"/>
    <w:rPr>
      <w:color w:val="467886"/>
      <w:u w:val="single"/>
    </w:rPr>
  </w:style>
  <w:style w:type="character" w:styleId="FollowedHyperlink">
    <w:name w:val="FollowedHyperlink"/>
    <w:basedOn w:val="DefaultParagraphFont"/>
    <w:uiPriority w:val="99"/>
    <w:semiHidden/>
    <w:unhideWhenUsed/>
    <w:rsid w:val="00464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8048">
      <w:bodyDiv w:val="1"/>
      <w:marLeft w:val="0"/>
      <w:marRight w:val="0"/>
      <w:marTop w:val="0"/>
      <w:marBottom w:val="0"/>
      <w:divBdr>
        <w:top w:val="none" w:sz="0" w:space="0" w:color="auto"/>
        <w:left w:val="none" w:sz="0" w:space="0" w:color="auto"/>
        <w:bottom w:val="none" w:sz="0" w:space="0" w:color="auto"/>
        <w:right w:val="none" w:sz="0" w:space="0" w:color="auto"/>
      </w:divBdr>
    </w:div>
    <w:div w:id="18163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originalaffairs.nsw.gov.au/closingthegap/nsw-implementation-plan/" TargetMode="External"/><Relationship Id="rId3" Type="http://schemas.openxmlformats.org/officeDocument/2006/relationships/settings" Target="settings.xml"/><Relationship Id="rId7" Type="http://schemas.openxmlformats.org/officeDocument/2006/relationships/hyperlink" Target="https://www.aho.nsw.gov.au/strong-family-strong-comm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2024-07-01T04:44:00Z</dcterms:created>
  <dcterms:modified xsi:type="dcterms:W3CDTF">2024-07-01T04:56:00Z</dcterms:modified>
  <cp:category/>
</cp:coreProperties>
</file>