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B52" w14:textId="77777777" w:rsidR="00AF79A9" w:rsidRDefault="00AF79A9">
      <w:bookmarkStart w:id="0" w:name="_Hlk162707251"/>
    </w:p>
    <w:p w14:paraId="4D272452" w14:textId="0C1DCA59" w:rsidR="00030DB8" w:rsidRPr="001E20F4" w:rsidRDefault="005B4EC8" w:rsidP="00030DB8">
      <w:pPr>
        <w:pStyle w:val="Title"/>
      </w:pPr>
      <w:r>
        <w:t xml:space="preserve">Northern </w:t>
      </w:r>
      <w:r w:rsidR="00030DB8">
        <w:t>Territory</w:t>
      </w:r>
    </w:p>
    <w:p w14:paraId="71A93993" w14:textId="4146DAE9" w:rsidR="00030DB8" w:rsidRPr="00BE249A" w:rsidRDefault="00030DB8" w:rsidP="00030DB8">
      <w:pPr>
        <w:pStyle w:val="Subtitle"/>
      </w:pPr>
      <w:r>
        <w:t xml:space="preserve">National Agreement ON SOCIAL HOUSING AND homelessness - BILATERAL SCHEDULE 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030DB8" w:rsidRPr="00F00A18" w14:paraId="5B08D871" w14:textId="77777777" w:rsidTr="29305B47">
        <w:tc>
          <w:tcPr>
            <w:tcW w:w="9629" w:type="dxa"/>
            <w:gridSpan w:val="2"/>
            <w:shd w:val="clear" w:color="auto" w:fill="DEEAF6" w:themeFill="accent1" w:themeFillTint="33"/>
          </w:tcPr>
          <w:p w14:paraId="0412A9CD" w14:textId="77777777" w:rsidR="00030DB8" w:rsidRPr="00F00A18" w:rsidRDefault="00030DB8" w:rsidP="00675C1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030DB8" w:rsidRPr="00F00A18" w14:paraId="754FAADA" w14:textId="77777777" w:rsidTr="29305B47">
        <w:tc>
          <w:tcPr>
            <w:tcW w:w="1691" w:type="dxa"/>
            <w:shd w:val="clear" w:color="auto" w:fill="auto"/>
          </w:tcPr>
          <w:p w14:paraId="7D643F03" w14:textId="77777777" w:rsidR="00030DB8" w:rsidRPr="00F00A18" w:rsidRDefault="00030DB8" w:rsidP="00675C1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09D25FBD" w14:textId="77777777" w:rsidR="00030DB8" w:rsidRPr="00F00A18" w:rsidRDefault="00030DB8" w:rsidP="00675C1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66AF7CB2" w14:textId="0751C353" w:rsidR="00030DB8" w:rsidRPr="00F00A18" w:rsidRDefault="005B4EC8" w:rsidP="00675C1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Territory</w:t>
            </w:r>
          </w:p>
        </w:tc>
      </w:tr>
      <w:tr w:rsidR="00030DB8" w:rsidRPr="00F00A18" w14:paraId="476791E4" w14:textId="77777777" w:rsidTr="29305B47">
        <w:tc>
          <w:tcPr>
            <w:tcW w:w="1691" w:type="dxa"/>
            <w:shd w:val="clear" w:color="auto" w:fill="auto"/>
          </w:tcPr>
          <w:p w14:paraId="0C5A6682" w14:textId="77777777" w:rsidR="00030DB8" w:rsidRPr="00F00A18" w:rsidRDefault="00030DB8" w:rsidP="00675C1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031B3FB4" w14:textId="4893394C" w:rsidR="00030DB8" w:rsidRPr="00F00A18" w:rsidRDefault="00030DB8" w:rsidP="00675C1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This Schedule</w:t>
            </w:r>
            <w:r>
              <w:rPr>
                <w:color w:val="auto"/>
              </w:rPr>
              <w:t xml:space="preserve"> will commence when the Commonwealth and </w:t>
            </w:r>
            <w:r w:rsidR="005B4EC8">
              <w:rPr>
                <w:color w:val="auto"/>
              </w:rPr>
              <w:t>Northern Territory</w:t>
            </w:r>
            <w:r>
              <w:rPr>
                <w:color w:val="auto"/>
              </w:rPr>
              <w:t xml:space="preserve"> sign the schedule and</w:t>
            </w:r>
            <w:r w:rsidRPr="00F00A18">
              <w:rPr>
                <w:color w:val="auto"/>
              </w:rPr>
              <w:t xml:space="preserve"> is expected to expire on </w:t>
            </w:r>
            <w:r>
              <w:rPr>
                <w:color w:val="auto"/>
              </w:rPr>
              <w:t>30 June 2029</w:t>
            </w:r>
            <w:r w:rsidRPr="00F00A18">
              <w:rPr>
                <w:color w:val="auto"/>
              </w:rPr>
              <w:t>.</w:t>
            </w:r>
            <w:r>
              <w:rPr>
                <w:color w:val="auto"/>
              </w:rPr>
              <w:t xml:space="preserve"> It will be reviewed by 30 June 2026. It can also be changed at any time with the agreement of both parties.</w:t>
            </w:r>
          </w:p>
        </w:tc>
      </w:tr>
      <w:tr w:rsidR="00030DB8" w:rsidRPr="00F00A18" w14:paraId="42EDA835" w14:textId="77777777" w:rsidTr="29305B47">
        <w:tc>
          <w:tcPr>
            <w:tcW w:w="1691" w:type="dxa"/>
            <w:shd w:val="clear" w:color="auto" w:fill="auto"/>
          </w:tcPr>
          <w:p w14:paraId="6B54A5D4" w14:textId="77777777" w:rsidR="00030DB8" w:rsidRPr="00F00A18" w:rsidRDefault="00030DB8" w:rsidP="00675C1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296AAA3B" w14:textId="5E6A690D" w:rsidR="00030DB8" w:rsidRPr="00235FC3" w:rsidRDefault="00030DB8" w:rsidP="00675C15">
            <w:pPr>
              <w:pStyle w:val="Tableformat"/>
              <w:rPr>
                <w:color w:val="auto"/>
              </w:rPr>
            </w:pPr>
            <w:r w:rsidRPr="00235FC3">
              <w:rPr>
                <w:color w:val="auto"/>
              </w:rPr>
              <w:t xml:space="preserve">This Schedule will </w:t>
            </w:r>
            <w:r>
              <w:rPr>
                <w:color w:val="auto"/>
              </w:rPr>
              <w:t xml:space="preserve">help </w:t>
            </w:r>
            <w:r w:rsidRPr="00235FC3">
              <w:rPr>
                <w:color w:val="auto"/>
              </w:rPr>
              <w:t>people who are experiencing or at risk of homelessness</w:t>
            </w:r>
            <w:r>
              <w:rPr>
                <w:color w:val="auto"/>
              </w:rPr>
              <w:t xml:space="preserve"> and</w:t>
            </w:r>
            <w:r w:rsidRPr="00235FC3">
              <w:rPr>
                <w:color w:val="auto"/>
              </w:rPr>
              <w:t xml:space="preserve"> support the effective operation of </w:t>
            </w:r>
            <w:r w:rsidR="005B4EC8">
              <w:rPr>
                <w:color w:val="auto"/>
              </w:rPr>
              <w:t>Northern Territory</w:t>
            </w:r>
            <w:r w:rsidRPr="00235FC3">
              <w:rPr>
                <w:color w:val="auto"/>
              </w:rPr>
              <w:t>’s</w:t>
            </w:r>
            <w:r w:rsidRPr="00235FC3">
              <w:t xml:space="preserve"> </w:t>
            </w:r>
            <w:r w:rsidRPr="00235FC3">
              <w:rPr>
                <w:color w:val="auto"/>
              </w:rPr>
              <w:t xml:space="preserve">social housing and homelessness services sectors. </w:t>
            </w:r>
          </w:p>
          <w:p w14:paraId="7C1168C8" w14:textId="3F7339C7" w:rsidR="00030DB8" w:rsidRPr="00F00A18" w:rsidRDefault="00030DB8" w:rsidP="00675C15">
            <w:pPr>
              <w:pStyle w:val="Tableformat"/>
              <w:rPr>
                <w:color w:val="auto"/>
              </w:rPr>
            </w:pPr>
            <w:r w:rsidRPr="004C17DD">
              <w:rPr>
                <w:color w:val="auto"/>
              </w:rPr>
              <w:t xml:space="preserve">In committing to this Schedule, the Parties acknowledge their mutual interest in preventing homelessness and improving social housing in </w:t>
            </w:r>
            <w:r w:rsidR="005B4EC8">
              <w:rPr>
                <w:color w:val="auto"/>
              </w:rPr>
              <w:t>Northern Territory</w:t>
            </w:r>
            <w:r w:rsidRPr="004C17DD">
              <w:rPr>
                <w:color w:val="auto"/>
              </w:rPr>
              <w:t xml:space="preserve">, with particular regard to </w:t>
            </w:r>
            <w:r>
              <w:rPr>
                <w:color w:val="auto"/>
              </w:rPr>
              <w:t>people</w:t>
            </w:r>
            <w:r w:rsidRPr="004C17DD">
              <w:rPr>
                <w:color w:val="auto"/>
              </w:rPr>
              <w:t xml:space="preserve"> experiencing disproportionate housing inequality and disadvantage.</w:t>
            </w:r>
          </w:p>
        </w:tc>
      </w:tr>
      <w:tr w:rsidR="00030DB8" w:rsidRPr="00F00A18" w14:paraId="484BA0F8" w14:textId="77777777" w:rsidTr="29305B47">
        <w:trPr>
          <w:trHeight w:val="5538"/>
        </w:trPr>
        <w:tc>
          <w:tcPr>
            <w:tcW w:w="1691" w:type="dxa"/>
            <w:shd w:val="clear" w:color="auto" w:fill="auto"/>
          </w:tcPr>
          <w:p w14:paraId="325AD44B" w14:textId="77777777" w:rsidR="00030DB8" w:rsidRPr="00F00A18" w:rsidRDefault="00030DB8" w:rsidP="00675C1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618F0F52" w14:textId="6AA60891" w:rsidR="00030DB8" w:rsidRPr="00235FC3" w:rsidRDefault="00030DB8" w:rsidP="00675C15">
            <w:pPr>
              <w:pStyle w:val="Tableformat"/>
              <w:rPr>
                <w:color w:val="auto"/>
              </w:rPr>
            </w:pPr>
            <w:r w:rsidRPr="00235FC3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E354168" wp14:editId="4F9C3C2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706755</wp:posOffset>
                      </wp:positionV>
                      <wp:extent cx="5019675" cy="3448050"/>
                      <wp:effectExtent l="0" t="0" r="9525" b="0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344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772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85"/>
                                    <w:gridCol w:w="919"/>
                                    <w:gridCol w:w="1065"/>
                                    <w:gridCol w:w="919"/>
                                    <w:gridCol w:w="920"/>
                                    <w:gridCol w:w="996"/>
                                    <w:gridCol w:w="918"/>
                                  </w:tblGrid>
                                  <w:tr w:rsidR="00417F78" w:rsidRPr="00101AB3" w14:paraId="776FE1EB" w14:textId="77777777" w:rsidTr="009822F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985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1DDEEEC" w14:textId="77777777" w:rsidR="00417F78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2A239A9E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  <w:vAlign w:val="center"/>
                                      </w:tcPr>
                                      <w:p w14:paraId="32EF72CB" w14:textId="77777777" w:rsidR="00417F78" w:rsidRPr="002328CB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2024-25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  <w:vAlign w:val="center"/>
                                      </w:tcPr>
                                      <w:p w14:paraId="2713B5F5" w14:textId="77777777" w:rsidR="00417F78" w:rsidRPr="002328CB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00398"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202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  <w:r w:rsidRPr="00100398"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-2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  <w:vAlign w:val="center"/>
                                      </w:tcPr>
                                      <w:p w14:paraId="3A38342C" w14:textId="77777777" w:rsidR="00417F78" w:rsidRPr="002328CB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00398"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202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6</w:t>
                                        </w:r>
                                        <w:r w:rsidRPr="00100398"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-2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0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  <w:vAlign w:val="center"/>
                                      </w:tcPr>
                                      <w:p w14:paraId="1936505B" w14:textId="77777777" w:rsidR="00417F78" w:rsidRPr="002328CB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00398"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202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7</w:t>
                                        </w:r>
                                        <w:r w:rsidRPr="00100398"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-2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  <w:vAlign w:val="center"/>
                                      </w:tcPr>
                                      <w:p w14:paraId="53B57AC4" w14:textId="77777777" w:rsidR="00417F78" w:rsidRPr="002328CB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00398"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202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8</w:t>
                                        </w:r>
                                        <w:r w:rsidRPr="00100398"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-2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8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  <w:vAlign w:val="center"/>
                                      </w:tcPr>
                                      <w:p w14:paraId="74338485" w14:textId="77777777" w:rsidR="00417F78" w:rsidRPr="002328CB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328CB"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417F78" w:rsidRPr="00101AB3" w14:paraId="5102B0C3" w14:textId="77777777" w:rsidTr="009822F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985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A3ADB1A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EF4291E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7DA5856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E7BBF6B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0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C6B6675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F465046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8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278268FE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17F78" w:rsidRPr="00101AB3" w14:paraId="1CD76582" w14:textId="77777777" w:rsidTr="009822F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985" w:type="dxa"/>
                                      </w:tcPr>
                                      <w:p w14:paraId="6F441688" w14:textId="77777777" w:rsidR="00417F78" w:rsidRPr="008C6B79" w:rsidRDefault="00417F78" w:rsidP="00417F78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 w:after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General Funding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</w:tcPr>
                                      <w:p w14:paraId="22215C9D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B035E">
                                          <w:t xml:space="preserve"> 12.78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</w:tcPr>
                                      <w:p w14:paraId="74EABA97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B035E">
                                          <w:t xml:space="preserve"> 13.07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</w:tcPr>
                                      <w:p w14:paraId="6C051E9A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B035E">
                                          <w:t xml:space="preserve"> 13.36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0" w:type="dxa"/>
                                      </w:tcPr>
                                      <w:p w14:paraId="1B73DB94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B035E">
                                          <w:t xml:space="preserve"> 13.63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14:paraId="46BB8A51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B035E">
                                          <w:t xml:space="preserve"> 13.90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8" w:type="dxa"/>
                                      </w:tcPr>
                                      <w:p w14:paraId="23B61F31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B035E">
                                          <w:t xml:space="preserve"> 66.75 </w:t>
                                        </w:r>
                                      </w:p>
                                    </w:tc>
                                  </w:tr>
                                  <w:tr w:rsidR="00417F78" w:rsidRPr="00101AB3" w14:paraId="2D237A7D" w14:textId="77777777" w:rsidTr="009822F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985" w:type="dxa"/>
                                      </w:tcPr>
                                      <w:p w14:paraId="0E5DE361" w14:textId="77777777" w:rsidR="00417F78" w:rsidRPr="008C6B79" w:rsidRDefault="00417F78" w:rsidP="00417F78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 w:after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Specified Homelessness Funding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</w:tcPr>
                                      <w:p w14:paraId="42E8A7BA" w14:textId="77777777" w:rsidR="00417F78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</w:pPr>
                                        <w:r w:rsidRPr="00603DD4">
                                          <w:t xml:space="preserve"> </w:t>
                                        </w:r>
                                      </w:p>
                                      <w:p w14:paraId="727759D7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03DD4">
                                          <w:t xml:space="preserve">42.79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</w:tcPr>
                                      <w:p w14:paraId="67BE940D" w14:textId="77777777" w:rsidR="00417F78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</w:pPr>
                                      </w:p>
                                      <w:p w14:paraId="154295CF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03DD4">
                                          <w:t xml:space="preserve"> 43.78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</w:tcPr>
                                      <w:p w14:paraId="3679ECEF" w14:textId="77777777" w:rsidR="00417F78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</w:pPr>
                                      </w:p>
                                      <w:p w14:paraId="7E835247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03DD4">
                                          <w:t xml:space="preserve"> 44.74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0" w:type="dxa"/>
                                      </w:tcPr>
                                      <w:p w14:paraId="0EF87C9C" w14:textId="77777777" w:rsidR="00417F78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</w:pPr>
                                        <w:r w:rsidRPr="00603DD4">
                                          <w:t xml:space="preserve"> </w:t>
                                        </w:r>
                                      </w:p>
                                      <w:p w14:paraId="6DD1283D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03DD4">
                                          <w:t xml:space="preserve">45.64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14:paraId="0C019583" w14:textId="77777777" w:rsidR="00417F78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</w:pPr>
                                        <w:r w:rsidRPr="00603DD4">
                                          <w:t xml:space="preserve"> </w:t>
                                        </w:r>
                                      </w:p>
                                      <w:p w14:paraId="33D1850D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03DD4">
                                          <w:t xml:space="preserve">46.55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8" w:type="dxa"/>
                                      </w:tcPr>
                                      <w:p w14:paraId="07EA21FC" w14:textId="77777777" w:rsidR="00417F78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</w:pPr>
                                        <w:r w:rsidRPr="00603DD4">
                                          <w:t xml:space="preserve"> </w:t>
                                        </w:r>
                                      </w:p>
                                      <w:p w14:paraId="3C26875B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03DD4">
                                          <w:t xml:space="preserve">223.49 </w:t>
                                        </w:r>
                                      </w:p>
                                    </w:tc>
                                  </w:tr>
                                  <w:tr w:rsidR="00417F78" w:rsidRPr="00101AB3" w14:paraId="5C0E9E43" w14:textId="77777777" w:rsidTr="009822F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985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51ECB60" w14:textId="77777777" w:rsidR="00417F78" w:rsidRPr="008C6B79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Northern Territory-matched homelessness funding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96D0408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A16CA">
                                          <w:t xml:space="preserve"> 42.79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5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6407ECB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A16CA">
                                          <w:t xml:space="preserve"> 43.78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234D346C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A16CA">
                                          <w:t xml:space="preserve"> 44.74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0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63E0E4AE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A16CA">
                                          <w:t xml:space="preserve"> 45.64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5B1D20F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A16CA">
                                          <w:t xml:space="preserve"> 46.55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8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D46409" w14:textId="77777777" w:rsidR="00417F78" w:rsidRPr="005D39DD" w:rsidRDefault="00417F78" w:rsidP="00417F7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A16CA">
                                          <w:t xml:space="preserve"> 223.49 </w:t>
                                        </w:r>
                                      </w:p>
                                    </w:tc>
                                  </w:tr>
                                </w:tbl>
                                <w:p w14:paraId="37DA46E2" w14:textId="77777777" w:rsidR="00417F78" w:rsidRPr="00101AB3" w:rsidRDefault="00417F78" w:rsidP="00417F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6A8C">
                                    <w:rPr>
                                      <w:sz w:val="18"/>
                                      <w:szCs w:val="18"/>
                                    </w:rPr>
                                    <w:t>Note: Totals subject to change based on parameter updates.</w:t>
                                  </w:r>
                                </w:p>
                                <w:p w14:paraId="479DB17B" w14:textId="014071E4" w:rsidR="00030DB8" w:rsidRPr="00101AB3" w:rsidRDefault="00030DB8" w:rsidP="00113A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54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55.65pt;width:395.25pt;height:27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XgDw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" stroked="f">
                      <v:textbox>
                        <w:txbxContent>
                          <w:tbl>
                            <w:tblPr>
                              <w:tblW w:w="772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919"/>
                              <w:gridCol w:w="1065"/>
                              <w:gridCol w:w="919"/>
                              <w:gridCol w:w="920"/>
                              <w:gridCol w:w="996"/>
                              <w:gridCol w:w="918"/>
                            </w:tblGrid>
                            <w:tr w:rsidR="00417F78" w:rsidRPr="00101AB3" w14:paraId="776FE1EB" w14:textId="77777777" w:rsidTr="009822FB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1DDEEEC" w14:textId="77777777" w:rsidR="00417F78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2A239A9E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  <w:vAlign w:val="center"/>
                                </w:tcPr>
                                <w:p w14:paraId="32EF72CB" w14:textId="77777777" w:rsidR="00417F78" w:rsidRPr="002328CB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2024-25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  <w:vAlign w:val="center"/>
                                </w:tcPr>
                                <w:p w14:paraId="2713B5F5" w14:textId="77777777" w:rsidR="00417F78" w:rsidRPr="002328CB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100398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100398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-2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  <w:vAlign w:val="center"/>
                                </w:tcPr>
                                <w:p w14:paraId="3A38342C" w14:textId="77777777" w:rsidR="00417F78" w:rsidRPr="002328CB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100398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100398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-2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  <w:vAlign w:val="center"/>
                                </w:tcPr>
                                <w:p w14:paraId="1936505B" w14:textId="77777777" w:rsidR="00417F78" w:rsidRPr="002328CB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100398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100398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-2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  <w:vAlign w:val="center"/>
                                </w:tcPr>
                                <w:p w14:paraId="53B57AC4" w14:textId="77777777" w:rsidR="00417F78" w:rsidRPr="002328CB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100398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 w:rsidRPr="00100398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-2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  <w:vAlign w:val="center"/>
                                </w:tcPr>
                                <w:p w14:paraId="74338485" w14:textId="77777777" w:rsidR="00417F78" w:rsidRPr="002328CB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328CB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7F78" w:rsidRPr="00101AB3" w14:paraId="5102B0C3" w14:textId="77777777" w:rsidTr="009822FB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A3ADB1A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EF4291E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7DA5856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E7BBF6B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C6B6675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F465046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278268FE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17F78" w:rsidRPr="00101AB3" w14:paraId="1CD76582" w14:textId="77777777" w:rsidTr="009822FB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</w:tcPr>
                                <w:p w14:paraId="6F441688" w14:textId="77777777" w:rsidR="00417F78" w:rsidRPr="008C6B79" w:rsidRDefault="00417F78" w:rsidP="00417F78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General Funding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22215C9D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B035E">
                                    <w:t xml:space="preserve"> 12.78 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4EABA97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B035E">
                                    <w:t xml:space="preserve"> 13.07 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6C051E9A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B035E">
                                    <w:t xml:space="preserve"> 13.36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1B73DB94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B035E">
                                    <w:t xml:space="preserve"> 13.63 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6BB8A51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B035E">
                                    <w:t xml:space="preserve"> 13.90 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23B61F31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B035E">
                                    <w:t xml:space="preserve"> 66.75 </w:t>
                                  </w:r>
                                </w:p>
                              </w:tc>
                            </w:tr>
                            <w:tr w:rsidR="00417F78" w:rsidRPr="00101AB3" w14:paraId="2D237A7D" w14:textId="77777777" w:rsidTr="009822FB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E5DE361" w14:textId="77777777" w:rsidR="00417F78" w:rsidRPr="008C6B79" w:rsidRDefault="00417F78" w:rsidP="00417F78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Specified Homelessness Funding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42E8A7BA" w14:textId="77777777" w:rsidR="00417F78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</w:pPr>
                                  <w:r w:rsidRPr="00603DD4">
                                    <w:t xml:space="preserve"> </w:t>
                                  </w:r>
                                </w:p>
                                <w:p w14:paraId="727759D7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03DD4">
                                    <w:t xml:space="preserve">42.79 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7BE940D" w14:textId="77777777" w:rsidR="00417F78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</w:pPr>
                                </w:p>
                                <w:p w14:paraId="154295CF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03DD4">
                                    <w:t xml:space="preserve"> 43.78 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3679ECEF" w14:textId="77777777" w:rsidR="00417F78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</w:pPr>
                                </w:p>
                                <w:p w14:paraId="7E835247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03DD4">
                                    <w:t xml:space="preserve"> 44.74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0EF87C9C" w14:textId="77777777" w:rsidR="00417F78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</w:pPr>
                                  <w:r w:rsidRPr="00603DD4">
                                    <w:t xml:space="preserve"> </w:t>
                                  </w:r>
                                </w:p>
                                <w:p w14:paraId="6DD1283D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03DD4">
                                    <w:t xml:space="preserve">45.64 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C019583" w14:textId="77777777" w:rsidR="00417F78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</w:pPr>
                                  <w:r w:rsidRPr="00603DD4">
                                    <w:t xml:space="preserve"> </w:t>
                                  </w:r>
                                </w:p>
                                <w:p w14:paraId="33D1850D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03DD4">
                                    <w:t xml:space="preserve">46.55 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07EA21FC" w14:textId="77777777" w:rsidR="00417F78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</w:pPr>
                                  <w:r w:rsidRPr="00603DD4">
                                    <w:t xml:space="preserve"> </w:t>
                                  </w:r>
                                </w:p>
                                <w:p w14:paraId="3C26875B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03DD4">
                                    <w:t xml:space="preserve">223.49 </w:t>
                                  </w:r>
                                </w:p>
                              </w:tc>
                            </w:tr>
                            <w:tr w:rsidR="00417F78" w:rsidRPr="00101AB3" w14:paraId="5C0E9E43" w14:textId="77777777" w:rsidTr="009822FB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51ECB60" w14:textId="77777777" w:rsidR="00417F78" w:rsidRPr="008C6B79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Northern Territory-matched homelessness funding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96D0408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A16CA">
                                    <w:t xml:space="preserve"> 42.79 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6407ECB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A16CA">
                                    <w:t xml:space="preserve"> 43.78 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234D346C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A16CA">
                                    <w:t xml:space="preserve"> 44.74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63E0E4AE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A16CA">
                                    <w:t xml:space="preserve"> 45.64 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5B1D20F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A16CA">
                                    <w:t xml:space="preserve"> 46.55 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D46409" w14:textId="77777777" w:rsidR="00417F78" w:rsidRPr="005D39DD" w:rsidRDefault="00417F78" w:rsidP="00417F7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A16CA">
                                    <w:t xml:space="preserve"> 223.49 </w:t>
                                  </w:r>
                                </w:p>
                              </w:tc>
                            </w:tr>
                          </w:tbl>
                          <w:p w14:paraId="37DA46E2" w14:textId="77777777" w:rsidR="00417F78" w:rsidRPr="00101AB3" w:rsidRDefault="00417F78" w:rsidP="00417F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A8C">
                              <w:rPr>
                                <w:sz w:val="18"/>
                                <w:szCs w:val="18"/>
                              </w:rPr>
                              <w:t>Note: Totals subject to change based on parameter updates.</w:t>
                            </w:r>
                          </w:p>
                          <w:p w14:paraId="479DB17B" w14:textId="014071E4" w:rsidR="00030DB8" w:rsidRPr="00101AB3" w:rsidRDefault="00030DB8" w:rsidP="00113A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5FC3">
              <w:rPr>
                <w:color w:val="auto"/>
              </w:rPr>
              <w:t xml:space="preserve">The Commonwealth will provide an estimated total financial contribution to </w:t>
            </w:r>
            <w:r w:rsidR="005B4EC8">
              <w:rPr>
                <w:color w:val="auto"/>
              </w:rPr>
              <w:t>Northern Territory</w:t>
            </w:r>
            <w:r w:rsidRPr="00235FC3">
              <w:rPr>
                <w:color w:val="auto"/>
              </w:rPr>
              <w:t xml:space="preserve"> </w:t>
            </w:r>
            <w:r w:rsidRPr="00BD6BB0">
              <w:rPr>
                <w:color w:val="auto"/>
              </w:rPr>
              <w:t>of $</w:t>
            </w:r>
            <w:r w:rsidR="005B4EC8" w:rsidRPr="00BD6BB0">
              <w:rPr>
                <w:color w:val="auto"/>
              </w:rPr>
              <w:t>290.2</w:t>
            </w:r>
            <w:r w:rsidR="00FA4366" w:rsidRPr="00BD6BB0">
              <w:rPr>
                <w:color w:val="auto"/>
              </w:rPr>
              <w:t>4 million</w:t>
            </w:r>
            <w:r w:rsidRPr="00BD6BB0">
              <w:rPr>
                <w:color w:val="auto"/>
              </w:rPr>
              <w:t xml:space="preserve"> in r</w:t>
            </w:r>
            <w:r w:rsidRPr="00405CA0">
              <w:rPr>
                <w:color w:val="auto"/>
              </w:rPr>
              <w:t>espect of th</w:t>
            </w:r>
            <w:r w:rsidRPr="00235FC3">
              <w:rPr>
                <w:color w:val="auto"/>
              </w:rPr>
              <w:t>is Schedule.</w:t>
            </w:r>
          </w:p>
        </w:tc>
      </w:tr>
    </w:tbl>
    <w:p w14:paraId="4D098A14" w14:textId="77777777" w:rsidR="009E1975" w:rsidRDefault="009E1975">
      <w:r>
        <w:rPr>
          <w:iCs/>
        </w:rPr>
        <w:br w:type="page"/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030DB8" w:rsidRPr="00F00A18" w14:paraId="4BD987E6" w14:textId="77777777" w:rsidTr="29305B47">
        <w:tc>
          <w:tcPr>
            <w:tcW w:w="1691" w:type="dxa"/>
            <w:shd w:val="clear" w:color="auto" w:fill="auto"/>
          </w:tcPr>
          <w:p w14:paraId="186B1E51" w14:textId="5894518E" w:rsidR="00030DB8" w:rsidRPr="00F00A18" w:rsidRDefault="00030DB8" w:rsidP="00675C1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lastRenderedPageBreak/>
              <w:t>Outputs</w:t>
            </w:r>
          </w:p>
        </w:tc>
        <w:tc>
          <w:tcPr>
            <w:tcW w:w="7938" w:type="dxa"/>
            <w:shd w:val="clear" w:color="auto" w:fill="auto"/>
          </w:tcPr>
          <w:p w14:paraId="6076C332" w14:textId="77777777" w:rsidR="00030DB8" w:rsidRPr="00235FC3" w:rsidRDefault="00030DB8" w:rsidP="00675C15">
            <w:pPr>
              <w:pStyle w:val="Tableformat"/>
              <w:rPr>
                <w:b/>
                <w:bCs/>
                <w:color w:val="auto"/>
              </w:rPr>
            </w:pPr>
            <w:r w:rsidRPr="00235FC3">
              <w:rPr>
                <w:b/>
                <w:bCs/>
                <w:color w:val="auto"/>
              </w:rPr>
              <w:t xml:space="preserve">Housing and </w:t>
            </w:r>
            <w:r>
              <w:rPr>
                <w:b/>
                <w:bCs/>
                <w:color w:val="auto"/>
              </w:rPr>
              <w:t>H</w:t>
            </w:r>
            <w:r w:rsidRPr="00235FC3">
              <w:rPr>
                <w:b/>
                <w:bCs/>
                <w:color w:val="auto"/>
              </w:rPr>
              <w:t>omelessness Strategy</w:t>
            </w:r>
          </w:p>
          <w:p w14:paraId="472B30BA" w14:textId="4F12A2B2" w:rsidR="00030DB8" w:rsidRDefault="005B4EC8" w:rsidP="00675C1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Territory</w:t>
            </w:r>
            <w:r w:rsidR="00030DB8" w:rsidRPr="00235FC3">
              <w:rPr>
                <w:color w:val="auto"/>
              </w:rPr>
              <w:t xml:space="preserve"> meets the requirements of clause 1</w:t>
            </w:r>
            <w:r w:rsidR="00030DB8">
              <w:rPr>
                <w:color w:val="auto"/>
              </w:rPr>
              <w:t>8</w:t>
            </w:r>
            <w:r w:rsidR="00030DB8" w:rsidRPr="00235FC3">
              <w:rPr>
                <w:color w:val="auto"/>
              </w:rPr>
              <w:t>(a) of the Agreement through the following publicly available documents:</w:t>
            </w:r>
          </w:p>
          <w:p w14:paraId="6FD7B185" w14:textId="35EF5BC1" w:rsidR="00664D4C" w:rsidRPr="0062416D" w:rsidRDefault="00EF701C" w:rsidP="00681DD9">
            <w:pPr>
              <w:pStyle w:val="Normalnumbered"/>
              <w:ind w:left="720"/>
              <w:rPr>
                <w:rStyle w:val="Hyperlink"/>
                <w:color w:val="7030A0"/>
                <w:sz w:val="26"/>
                <w:szCs w:val="26"/>
              </w:rPr>
            </w:pPr>
            <w:hyperlink r:id="rId7" w:history="1">
              <w:r w:rsidR="00EB2331" w:rsidRPr="0062416D">
                <w:rPr>
                  <w:rStyle w:val="Hyperlink"/>
                  <w:color w:val="7030A0"/>
                  <w:sz w:val="26"/>
                  <w:szCs w:val="26"/>
                </w:rPr>
                <w:t>NT Housing Strategy 2020-2025.pdf</w:t>
              </w:r>
            </w:hyperlink>
          </w:p>
          <w:p w14:paraId="534700ED" w14:textId="77777777" w:rsidR="00EB2331" w:rsidRPr="0062416D" w:rsidRDefault="00EF701C" w:rsidP="00681DD9">
            <w:pPr>
              <w:pStyle w:val="Normalnumbered"/>
              <w:ind w:left="720"/>
              <w:rPr>
                <w:color w:val="auto"/>
                <w:sz w:val="26"/>
                <w:szCs w:val="26"/>
              </w:rPr>
            </w:pPr>
            <w:hyperlink r:id="rId8" w:history="1">
              <w:r w:rsidR="00EB2331" w:rsidRPr="0062416D">
                <w:rPr>
                  <w:rStyle w:val="Hyperlink"/>
                  <w:color w:val="7030A0"/>
                  <w:sz w:val="26"/>
                  <w:szCs w:val="26"/>
                </w:rPr>
                <w:t>Northern Territory Homelessness Strategy 2018-23</w:t>
              </w:r>
            </w:hyperlink>
            <w:r w:rsidR="00EB2331" w:rsidRPr="0062416D">
              <w:rPr>
                <w:color w:val="auto"/>
                <w:sz w:val="26"/>
                <w:szCs w:val="26"/>
              </w:rPr>
              <w:t xml:space="preserve"> </w:t>
            </w:r>
          </w:p>
          <w:p w14:paraId="113037AB" w14:textId="0C52FE43" w:rsidR="00EB2331" w:rsidRPr="00235FC3" w:rsidRDefault="00CC20CA" w:rsidP="00675C1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EB2331" w:rsidRPr="00EB2331">
              <w:rPr>
                <w:color w:val="auto"/>
              </w:rPr>
              <w:t>t is intended that the next NT Homelessness Strategy be aligned to the National Housing and Homelessness Plan</w:t>
            </w:r>
            <w:r w:rsidR="003B5F14">
              <w:rPr>
                <w:color w:val="auto"/>
              </w:rPr>
              <w:t>,</w:t>
            </w:r>
            <w:r w:rsidR="00EB2331" w:rsidRPr="00EB2331">
              <w:rPr>
                <w:color w:val="auto"/>
              </w:rPr>
              <w:t xml:space="preserve"> </w:t>
            </w:r>
            <w:r w:rsidR="00B17FB9" w:rsidRPr="00EB2331">
              <w:rPr>
                <w:color w:val="auto"/>
              </w:rPr>
              <w:t>w</w:t>
            </w:r>
            <w:r w:rsidR="002D742C">
              <w:rPr>
                <w:color w:val="auto"/>
              </w:rPr>
              <w:t xml:space="preserve">ith both documents currently </w:t>
            </w:r>
            <w:r w:rsidR="00EB2331" w:rsidRPr="00EB2331">
              <w:rPr>
                <w:color w:val="auto"/>
              </w:rPr>
              <w:t>under development.</w:t>
            </w:r>
            <w:r w:rsidR="003B5F14">
              <w:rPr>
                <w:color w:val="auto"/>
              </w:rPr>
              <w:t xml:space="preserve"> Th</w:t>
            </w:r>
            <w:r w:rsidR="00113AEB">
              <w:rPr>
                <w:color w:val="auto"/>
              </w:rPr>
              <w:t>e NT Strategy</w:t>
            </w:r>
            <w:r w:rsidR="003B5F14">
              <w:rPr>
                <w:color w:val="auto"/>
              </w:rPr>
              <w:t xml:space="preserve"> is anticipated to be published by the end of 2024.</w:t>
            </w:r>
          </w:p>
          <w:p w14:paraId="0C6C2349" w14:textId="159E40A3" w:rsidR="00030DB8" w:rsidRDefault="00030DB8" w:rsidP="00681DD9">
            <w:pPr>
              <w:pStyle w:val="Tableformat"/>
              <w:rPr>
                <w:color w:val="auto"/>
              </w:rPr>
            </w:pPr>
            <w:r w:rsidRPr="00235FC3">
              <w:rPr>
                <w:color w:val="auto"/>
              </w:rPr>
              <w:t>Th</w:t>
            </w:r>
            <w:r w:rsidR="003B5F14">
              <w:rPr>
                <w:color w:val="auto"/>
              </w:rPr>
              <w:t>e Homelessness</w:t>
            </w:r>
            <w:r w:rsidRPr="00235FC3">
              <w:rPr>
                <w:color w:val="auto"/>
              </w:rPr>
              <w:t xml:space="preserve"> strategy sets out the following reforms and initiatives that will contribute to reducing homelessness: </w:t>
            </w:r>
          </w:p>
          <w:p w14:paraId="3BEA6EBE" w14:textId="52E0FC0B" w:rsidR="00CD62C9" w:rsidRDefault="00CC20CA" w:rsidP="00681DD9">
            <w:pPr>
              <w:widowControl/>
              <w:numPr>
                <w:ilvl w:val="0"/>
                <w:numId w:val="8"/>
              </w:numPr>
              <w:spacing w:after="120" w:line="260" w:lineRule="exact"/>
              <w:ind w:left="357" w:hanging="357"/>
              <w:rPr>
                <w:rFonts w:ascii="Corbel" w:hAnsi="Corbel"/>
                <w:sz w:val="26"/>
                <w:szCs w:val="26"/>
              </w:rPr>
            </w:pPr>
            <w:r w:rsidRPr="00681DD9">
              <w:rPr>
                <w:rFonts w:ascii="Corbel" w:hAnsi="Corbel"/>
                <w:sz w:val="26"/>
                <w:szCs w:val="26"/>
              </w:rPr>
              <w:t>A range of accommodation options (</w:t>
            </w:r>
            <w:r w:rsidR="00B17FB9" w:rsidRPr="00B17FB9">
              <w:rPr>
                <w:rFonts w:ascii="Corbel" w:hAnsi="Corbel"/>
                <w:sz w:val="26"/>
                <w:szCs w:val="26"/>
              </w:rPr>
              <w:t>i.e.,</w:t>
            </w:r>
            <w:r w:rsidRPr="00681DD9">
              <w:rPr>
                <w:rFonts w:ascii="Corbel" w:hAnsi="Corbel"/>
                <w:sz w:val="26"/>
                <w:szCs w:val="26"/>
              </w:rPr>
              <w:t xml:space="preserve"> short-term, medium-term and crisis accommodation)</w:t>
            </w:r>
          </w:p>
          <w:p w14:paraId="36468E07" w14:textId="77777777" w:rsidR="00CD62C9" w:rsidRDefault="00CC20CA" w:rsidP="00681DD9">
            <w:pPr>
              <w:widowControl/>
              <w:numPr>
                <w:ilvl w:val="0"/>
                <w:numId w:val="8"/>
              </w:numPr>
              <w:spacing w:after="120" w:line="260" w:lineRule="exact"/>
              <w:ind w:left="357" w:hanging="357"/>
              <w:rPr>
                <w:rFonts w:ascii="Corbel" w:hAnsi="Corbel"/>
                <w:sz w:val="26"/>
                <w:szCs w:val="26"/>
              </w:rPr>
            </w:pPr>
            <w:r w:rsidRPr="00681DD9">
              <w:rPr>
                <w:rFonts w:ascii="Corbel" w:hAnsi="Corbel"/>
                <w:sz w:val="26"/>
                <w:szCs w:val="26"/>
              </w:rPr>
              <w:t xml:space="preserve"> Support services to access, retain and transition into independent and long term accommodation</w:t>
            </w:r>
          </w:p>
          <w:p w14:paraId="476FC36C" w14:textId="732267F5" w:rsidR="00CD62C9" w:rsidRDefault="00CD62C9" w:rsidP="00681DD9">
            <w:pPr>
              <w:widowControl/>
              <w:numPr>
                <w:ilvl w:val="0"/>
                <w:numId w:val="8"/>
              </w:numPr>
              <w:spacing w:after="120" w:line="260" w:lineRule="exact"/>
              <w:ind w:left="357" w:hanging="357"/>
              <w:rPr>
                <w:rFonts w:ascii="Corbel" w:hAnsi="Corbel"/>
                <w:sz w:val="26"/>
                <w:szCs w:val="26"/>
              </w:rPr>
            </w:pPr>
            <w:r w:rsidRPr="00681DD9">
              <w:rPr>
                <w:rFonts w:ascii="Corbel" w:hAnsi="Corbel"/>
                <w:sz w:val="26"/>
                <w:szCs w:val="26"/>
              </w:rPr>
              <w:t>Support services that help</w:t>
            </w:r>
            <w:r w:rsidR="00113AEB">
              <w:rPr>
                <w:rFonts w:ascii="Corbel" w:hAnsi="Corbel"/>
                <w:sz w:val="26"/>
                <w:szCs w:val="26"/>
              </w:rPr>
              <w:t xml:space="preserve"> to</w:t>
            </w:r>
            <w:r w:rsidRPr="00681DD9">
              <w:rPr>
                <w:rFonts w:ascii="Corbel" w:hAnsi="Corbel"/>
                <w:sz w:val="26"/>
                <w:szCs w:val="26"/>
              </w:rPr>
              <w:t xml:space="preserve"> establish family connections / or peer support networks, build capacity for independent living, and increase level</w:t>
            </w:r>
            <w:r w:rsidR="00113AEB">
              <w:rPr>
                <w:rFonts w:ascii="Corbel" w:hAnsi="Corbel"/>
                <w:sz w:val="26"/>
                <w:szCs w:val="26"/>
              </w:rPr>
              <w:t>s</w:t>
            </w:r>
            <w:r w:rsidRPr="00681DD9">
              <w:rPr>
                <w:rFonts w:ascii="Corbel" w:hAnsi="Corbel"/>
                <w:sz w:val="26"/>
                <w:szCs w:val="26"/>
              </w:rPr>
              <w:t xml:space="preserve"> of engagement in education, training, employment and community life</w:t>
            </w:r>
          </w:p>
          <w:p w14:paraId="073EF232" w14:textId="77777777" w:rsidR="00CD62C9" w:rsidRDefault="00CD62C9" w:rsidP="00681DD9">
            <w:pPr>
              <w:widowControl/>
              <w:numPr>
                <w:ilvl w:val="0"/>
                <w:numId w:val="8"/>
              </w:numPr>
              <w:spacing w:after="120" w:line="260" w:lineRule="exact"/>
              <w:ind w:left="357" w:hanging="357"/>
              <w:rPr>
                <w:rFonts w:ascii="Corbel" w:hAnsi="Corbel"/>
                <w:sz w:val="26"/>
                <w:szCs w:val="26"/>
              </w:rPr>
            </w:pPr>
            <w:r w:rsidRPr="00681DD9">
              <w:rPr>
                <w:rFonts w:ascii="Corbel" w:hAnsi="Corbel"/>
                <w:sz w:val="26"/>
                <w:szCs w:val="26"/>
              </w:rPr>
              <w:t xml:space="preserve">Intensive case management, counselling, referrals and support to avert homelessness  </w:t>
            </w:r>
          </w:p>
          <w:p w14:paraId="3C88B8B5" w14:textId="417A69DD" w:rsidR="00CD62C9" w:rsidRDefault="00CD62C9" w:rsidP="00CD62C9">
            <w:pPr>
              <w:widowControl/>
              <w:numPr>
                <w:ilvl w:val="0"/>
                <w:numId w:val="8"/>
              </w:numPr>
              <w:spacing w:after="120" w:line="260" w:lineRule="exact"/>
              <w:ind w:left="357" w:hanging="357"/>
              <w:rPr>
                <w:rFonts w:ascii="Corbel" w:hAnsi="Corbel"/>
                <w:sz w:val="26"/>
                <w:szCs w:val="26"/>
              </w:rPr>
            </w:pPr>
            <w:r w:rsidRPr="00681DD9">
              <w:rPr>
                <w:rFonts w:ascii="Corbel" w:hAnsi="Corbel"/>
                <w:sz w:val="26"/>
                <w:szCs w:val="26"/>
              </w:rPr>
              <w:t>Support services for people living in accommodation where their tenancies may be at risk</w:t>
            </w:r>
            <w:r>
              <w:rPr>
                <w:rFonts w:ascii="Corbel" w:hAnsi="Corbel"/>
                <w:sz w:val="26"/>
                <w:szCs w:val="26"/>
              </w:rPr>
              <w:t xml:space="preserve"> (urban and remote tenancy support/living strong program</w:t>
            </w:r>
            <w:r w:rsidR="00470301">
              <w:rPr>
                <w:rFonts w:ascii="Corbel" w:hAnsi="Corbel"/>
                <w:sz w:val="26"/>
                <w:szCs w:val="26"/>
              </w:rPr>
              <w:t>)</w:t>
            </w:r>
            <w:r>
              <w:rPr>
                <w:rFonts w:ascii="Corbel" w:hAnsi="Corbel"/>
                <w:sz w:val="26"/>
                <w:szCs w:val="26"/>
              </w:rPr>
              <w:t>.</w:t>
            </w:r>
          </w:p>
          <w:p w14:paraId="093D6D22" w14:textId="100B79E5" w:rsidR="00470301" w:rsidRPr="00470301" w:rsidRDefault="00470301" w:rsidP="00470301">
            <w:pPr>
              <w:widowControl/>
              <w:numPr>
                <w:ilvl w:val="0"/>
                <w:numId w:val="8"/>
              </w:numPr>
              <w:spacing w:after="120" w:line="260" w:lineRule="exact"/>
              <w:rPr>
                <w:rFonts w:ascii="Corbel" w:hAnsi="Corbel"/>
                <w:sz w:val="26"/>
                <w:szCs w:val="26"/>
              </w:rPr>
            </w:pPr>
            <w:r w:rsidRPr="00470301">
              <w:rPr>
                <w:rFonts w:ascii="Corbel" w:hAnsi="Corbel"/>
                <w:sz w:val="26"/>
                <w:szCs w:val="26"/>
              </w:rPr>
              <w:t>Assisting to gain skills to maintain and sustain independent tenancies</w:t>
            </w:r>
          </w:p>
          <w:p w14:paraId="00D53D93" w14:textId="3A5DD68A" w:rsidR="00470301" w:rsidRPr="00470301" w:rsidRDefault="00470301" w:rsidP="00470301">
            <w:pPr>
              <w:widowControl/>
              <w:numPr>
                <w:ilvl w:val="0"/>
                <w:numId w:val="8"/>
              </w:numPr>
              <w:spacing w:after="120" w:line="260" w:lineRule="exact"/>
              <w:rPr>
                <w:rFonts w:ascii="Corbel" w:hAnsi="Corbel"/>
                <w:sz w:val="26"/>
                <w:szCs w:val="26"/>
              </w:rPr>
            </w:pPr>
            <w:r w:rsidRPr="00470301">
              <w:rPr>
                <w:rFonts w:ascii="Corbel" w:hAnsi="Corbel"/>
                <w:sz w:val="26"/>
                <w:szCs w:val="26"/>
              </w:rPr>
              <w:t xml:space="preserve">Aftercare support for individuals that have exited an institutional setting </w:t>
            </w:r>
          </w:p>
          <w:p w14:paraId="04941115" w14:textId="09FB0B6F" w:rsidR="00470301" w:rsidRPr="00470301" w:rsidRDefault="00470301" w:rsidP="00470301">
            <w:pPr>
              <w:widowControl/>
              <w:numPr>
                <w:ilvl w:val="0"/>
                <w:numId w:val="8"/>
              </w:numPr>
              <w:spacing w:after="120" w:line="260" w:lineRule="exact"/>
              <w:rPr>
                <w:rFonts w:ascii="Corbel" w:hAnsi="Corbel"/>
                <w:sz w:val="26"/>
                <w:szCs w:val="26"/>
              </w:rPr>
            </w:pPr>
            <w:r w:rsidRPr="00470301">
              <w:rPr>
                <w:rFonts w:ascii="Corbel" w:hAnsi="Corbel"/>
                <w:sz w:val="26"/>
                <w:szCs w:val="26"/>
              </w:rPr>
              <w:t xml:space="preserve">Outreach services linking clients to support, including; legal; health; financial; </w:t>
            </w:r>
            <w:r w:rsidR="00113AEB">
              <w:rPr>
                <w:rFonts w:ascii="Corbel" w:hAnsi="Corbel"/>
                <w:sz w:val="26"/>
                <w:szCs w:val="26"/>
              </w:rPr>
              <w:t>Services Australia</w:t>
            </w:r>
            <w:r w:rsidRPr="00470301">
              <w:rPr>
                <w:rFonts w:ascii="Corbel" w:hAnsi="Corbel"/>
                <w:sz w:val="26"/>
                <w:szCs w:val="26"/>
              </w:rPr>
              <w:t xml:space="preserve">; and housing and education </w:t>
            </w:r>
          </w:p>
          <w:p w14:paraId="3F60089D" w14:textId="022EDA2D" w:rsidR="00470301" w:rsidRDefault="00470301" w:rsidP="007A50A0">
            <w:pPr>
              <w:widowControl/>
              <w:numPr>
                <w:ilvl w:val="0"/>
                <w:numId w:val="8"/>
              </w:numPr>
              <w:spacing w:after="120" w:line="260" w:lineRule="exact"/>
              <w:ind w:left="357" w:hanging="357"/>
              <w:rPr>
                <w:rFonts w:ascii="Corbel" w:hAnsi="Corbel"/>
                <w:sz w:val="26"/>
                <w:szCs w:val="26"/>
              </w:rPr>
            </w:pPr>
            <w:r w:rsidRPr="00470301">
              <w:rPr>
                <w:rFonts w:ascii="Corbel" w:hAnsi="Corbel"/>
                <w:sz w:val="26"/>
                <w:szCs w:val="26"/>
              </w:rPr>
              <w:t xml:space="preserve">Private rental brokerage </w:t>
            </w:r>
            <w:r w:rsidR="007C0A12">
              <w:rPr>
                <w:rFonts w:ascii="Corbel" w:hAnsi="Corbel"/>
                <w:sz w:val="26"/>
                <w:szCs w:val="26"/>
              </w:rPr>
              <w:t xml:space="preserve">and financial assistance (bond, emergency support) </w:t>
            </w:r>
            <w:r w:rsidRPr="00470301">
              <w:rPr>
                <w:rFonts w:ascii="Corbel" w:hAnsi="Corbel"/>
                <w:sz w:val="26"/>
                <w:szCs w:val="26"/>
              </w:rPr>
              <w:t>programs</w:t>
            </w:r>
          </w:p>
          <w:p w14:paraId="7080D1EA" w14:textId="2E606765" w:rsidR="00470301" w:rsidRDefault="007C0A12" w:rsidP="007A50A0">
            <w:pPr>
              <w:widowControl/>
              <w:numPr>
                <w:ilvl w:val="0"/>
                <w:numId w:val="8"/>
              </w:numPr>
              <w:spacing w:after="120" w:line="260" w:lineRule="exact"/>
              <w:ind w:left="357" w:hanging="357"/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 xml:space="preserve">Community care an inclusion programs such as </w:t>
            </w:r>
            <w:r w:rsidR="00470301">
              <w:rPr>
                <w:rFonts w:ascii="Corbel" w:hAnsi="Corbel"/>
                <w:sz w:val="26"/>
                <w:szCs w:val="26"/>
              </w:rPr>
              <w:t>Dignity services</w:t>
            </w:r>
            <w:r>
              <w:rPr>
                <w:rFonts w:ascii="Corbel" w:hAnsi="Corbel"/>
                <w:sz w:val="26"/>
                <w:szCs w:val="26"/>
              </w:rPr>
              <w:t>, Drop-in-centres and HUBS</w:t>
            </w:r>
          </w:p>
          <w:p w14:paraId="786556CE" w14:textId="50FA186E" w:rsidR="007C0A12" w:rsidRPr="00470301" w:rsidRDefault="007C0A12" w:rsidP="00681DD9">
            <w:pPr>
              <w:widowControl/>
              <w:numPr>
                <w:ilvl w:val="0"/>
                <w:numId w:val="8"/>
              </w:numPr>
              <w:spacing w:after="120" w:line="260" w:lineRule="exact"/>
              <w:ind w:left="357" w:hanging="357"/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Place based accommodation and support provided through regional delivery and assertive outreach.</w:t>
            </w:r>
          </w:p>
          <w:p w14:paraId="658F0E60" w14:textId="7EF24450" w:rsidR="00CD62C9" w:rsidRDefault="00030DB8" w:rsidP="00675C15">
            <w:pPr>
              <w:pStyle w:val="Tableformat"/>
              <w:rPr>
                <w:color w:val="auto"/>
              </w:rPr>
            </w:pPr>
            <w:r w:rsidRPr="00235FC3">
              <w:rPr>
                <w:color w:val="auto"/>
              </w:rPr>
              <w:t xml:space="preserve">The disproportionate disadvantage faced by </w:t>
            </w:r>
            <w:r w:rsidR="00CD62C9">
              <w:rPr>
                <w:color w:val="auto"/>
              </w:rPr>
              <w:t xml:space="preserve">First Nations </w:t>
            </w:r>
            <w:r w:rsidRPr="00235FC3">
              <w:rPr>
                <w:color w:val="auto"/>
              </w:rPr>
              <w:t>people is addressed by</w:t>
            </w:r>
            <w:r w:rsidR="003C7B92">
              <w:rPr>
                <w:color w:val="auto"/>
              </w:rPr>
              <w:t xml:space="preserve"> various Northern Territory specific </w:t>
            </w:r>
            <w:r w:rsidR="002D742C">
              <w:rPr>
                <w:color w:val="auto"/>
              </w:rPr>
              <w:t>initiativ</w:t>
            </w:r>
            <w:r w:rsidR="003C7B92">
              <w:rPr>
                <w:color w:val="auto"/>
              </w:rPr>
              <w:t>es</w:t>
            </w:r>
            <w:r w:rsidR="00CD62C9">
              <w:rPr>
                <w:color w:val="auto"/>
              </w:rPr>
              <w:t xml:space="preserve">: </w:t>
            </w:r>
          </w:p>
          <w:p w14:paraId="78CD7D75" w14:textId="3481FA27" w:rsidR="00417F78" w:rsidRDefault="00417F78" w:rsidP="00681DD9">
            <w:pPr>
              <w:pStyle w:val="Tableformat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General reform initiatives including:</w:t>
            </w:r>
          </w:p>
          <w:p w14:paraId="5466EF73" w14:textId="51C1BC19" w:rsidR="00417F78" w:rsidRDefault="00417F78" w:rsidP="00417F78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>
              <w:rPr>
                <w:color w:val="auto"/>
              </w:rPr>
              <w:t xml:space="preserve">The Aboriginal Affairs Strategy (Everyone Together) </w:t>
            </w:r>
          </w:p>
          <w:p w14:paraId="11A2FDDB" w14:textId="6E71C780" w:rsidR="00417F78" w:rsidRDefault="00417F78" w:rsidP="00417F78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>
              <w:rPr>
                <w:color w:val="auto"/>
              </w:rPr>
              <w:t>Closing the Gap Implementation Plan</w:t>
            </w:r>
          </w:p>
          <w:p w14:paraId="631E72FF" w14:textId="6517A11D" w:rsidR="002622FB" w:rsidRDefault="002622FB" w:rsidP="00681DD9">
            <w:pPr>
              <w:pStyle w:val="Tableformat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Housing initiatives including</w:t>
            </w:r>
            <w:r w:rsidR="00417F78">
              <w:rPr>
                <w:color w:val="auto"/>
              </w:rPr>
              <w:t>:</w:t>
            </w:r>
          </w:p>
          <w:p w14:paraId="6726F564" w14:textId="43350F13" w:rsidR="002622FB" w:rsidRDefault="003C7B92" w:rsidP="002622FB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>
              <w:rPr>
                <w:color w:val="auto"/>
              </w:rPr>
              <w:t xml:space="preserve">Empowerment of </w:t>
            </w:r>
            <w:r w:rsidR="002622FB">
              <w:rPr>
                <w:color w:val="auto"/>
              </w:rPr>
              <w:t xml:space="preserve">First Nations controlled </w:t>
            </w:r>
            <w:r w:rsidR="002622FB" w:rsidRPr="00BD6BB0">
              <w:rPr>
                <w:color w:val="auto"/>
              </w:rPr>
              <w:t>peak organis</w:t>
            </w:r>
            <w:r w:rsidR="00FA4366" w:rsidRPr="00BD6BB0">
              <w:rPr>
                <w:color w:val="auto"/>
              </w:rPr>
              <w:t>a</w:t>
            </w:r>
            <w:r w:rsidR="002622FB" w:rsidRPr="00BD6BB0">
              <w:rPr>
                <w:color w:val="auto"/>
              </w:rPr>
              <w:t>tions (</w:t>
            </w:r>
            <w:r w:rsidRPr="00BD6BB0">
              <w:rPr>
                <w:color w:val="auto"/>
              </w:rPr>
              <w:t>Eg</w:t>
            </w:r>
            <w:r>
              <w:rPr>
                <w:color w:val="auto"/>
              </w:rPr>
              <w:t xml:space="preserve"> </w:t>
            </w:r>
            <w:r w:rsidR="002622FB">
              <w:rPr>
                <w:color w:val="auto"/>
              </w:rPr>
              <w:t>Aboriginal Housing NT)</w:t>
            </w:r>
          </w:p>
          <w:p w14:paraId="7EBD3409" w14:textId="3B0C43A1" w:rsidR="002622FB" w:rsidRDefault="002622FB" w:rsidP="002622FB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>
              <w:rPr>
                <w:color w:val="auto"/>
              </w:rPr>
              <w:t xml:space="preserve">Local </w:t>
            </w:r>
            <w:r w:rsidR="00B17FB9">
              <w:rPr>
                <w:color w:val="auto"/>
              </w:rPr>
              <w:t>Decision Making</w:t>
            </w:r>
            <w:r>
              <w:rPr>
                <w:color w:val="auto"/>
              </w:rPr>
              <w:t xml:space="preserve"> Agreements</w:t>
            </w:r>
          </w:p>
          <w:p w14:paraId="08C14FFC" w14:textId="262C7FE8" w:rsidR="00B17FB9" w:rsidRDefault="002622FB" w:rsidP="00B17FB9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>
              <w:rPr>
                <w:color w:val="auto"/>
              </w:rPr>
              <w:t>Aboriginal Procurement Principles</w:t>
            </w:r>
          </w:p>
          <w:p w14:paraId="2EAAF66B" w14:textId="10960E6B" w:rsidR="003C7B92" w:rsidRDefault="003C7B92" w:rsidP="00B17FB9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>
              <w:rPr>
                <w:color w:val="auto"/>
              </w:rPr>
              <w:t xml:space="preserve">Aboriginal influenced governance structures including the Joint Steering Committee </w:t>
            </w:r>
            <w:r w:rsidR="002D742C">
              <w:rPr>
                <w:color w:val="auto"/>
              </w:rPr>
              <w:t>for Remote Housing</w:t>
            </w:r>
          </w:p>
          <w:p w14:paraId="24161302" w14:textId="77777777" w:rsidR="00B17FB9" w:rsidRPr="00B17FB9" w:rsidRDefault="00B17FB9" w:rsidP="00681DD9">
            <w:pPr>
              <w:pStyle w:val="Tableformat"/>
              <w:ind w:left="720"/>
              <w:rPr>
                <w:color w:val="auto"/>
              </w:rPr>
            </w:pPr>
          </w:p>
          <w:p w14:paraId="0038A0F1" w14:textId="757F3EC0" w:rsidR="002622FB" w:rsidRDefault="002622FB" w:rsidP="00681DD9">
            <w:pPr>
              <w:pStyle w:val="Tableformat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Homelessness initiat</w:t>
            </w:r>
            <w:r w:rsidR="003B5F14">
              <w:rPr>
                <w:color w:val="auto"/>
              </w:rPr>
              <w:t>iv</w:t>
            </w:r>
            <w:r>
              <w:rPr>
                <w:color w:val="auto"/>
              </w:rPr>
              <w:t>es including</w:t>
            </w:r>
            <w:r w:rsidR="003B5F14">
              <w:rPr>
                <w:color w:val="auto"/>
              </w:rPr>
              <w:t xml:space="preserve"> (but not limited to)</w:t>
            </w:r>
            <w:r>
              <w:rPr>
                <w:color w:val="auto"/>
              </w:rPr>
              <w:t>:</w:t>
            </w:r>
          </w:p>
          <w:p w14:paraId="1F7CFAAE" w14:textId="3C9D3EC6" w:rsidR="00CD62C9" w:rsidRPr="00CD62C9" w:rsidRDefault="00CD62C9" w:rsidP="00681DD9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 w:rsidRPr="00CD62C9">
              <w:rPr>
                <w:color w:val="auto"/>
              </w:rPr>
              <w:t xml:space="preserve">Accommodation and support services that are culturally appropriate and meet the needs of individuals and families </w:t>
            </w:r>
          </w:p>
          <w:p w14:paraId="40BD424B" w14:textId="76070B70" w:rsidR="00CD62C9" w:rsidRPr="00CD62C9" w:rsidRDefault="00CD62C9" w:rsidP="00681DD9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 w:rsidRPr="00CD62C9">
              <w:rPr>
                <w:color w:val="auto"/>
              </w:rPr>
              <w:t>Support services with the aim to successfully transition from rough sleeping to stable accommodation through case management and wrap around support</w:t>
            </w:r>
          </w:p>
          <w:p w14:paraId="271AD28C" w14:textId="005E534B" w:rsidR="00CD62C9" w:rsidRDefault="00CD62C9" w:rsidP="00681DD9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 w:rsidRPr="00CD62C9">
              <w:rPr>
                <w:color w:val="auto"/>
              </w:rPr>
              <w:t xml:space="preserve">Support services </w:t>
            </w:r>
            <w:r w:rsidR="00113AEB">
              <w:rPr>
                <w:color w:val="auto"/>
              </w:rPr>
              <w:t xml:space="preserve">and tenancy sustainability programs </w:t>
            </w:r>
            <w:r w:rsidRPr="00CD62C9">
              <w:rPr>
                <w:color w:val="auto"/>
              </w:rPr>
              <w:t>for people living in accommodation where their tenancies may be at risk</w:t>
            </w:r>
          </w:p>
          <w:p w14:paraId="433F9001" w14:textId="633C32CE" w:rsidR="007C0A12" w:rsidRDefault="007C0A12" w:rsidP="00681DD9">
            <w:pPr>
              <w:pStyle w:val="Tableformat"/>
              <w:numPr>
                <w:ilvl w:val="0"/>
                <w:numId w:val="11"/>
              </w:numPr>
              <w:rPr>
                <w:color w:val="auto"/>
              </w:rPr>
            </w:pPr>
            <w:r w:rsidRPr="00681DD9">
              <w:rPr>
                <w:color w:val="auto"/>
              </w:rPr>
              <w:t>Overcrowding support initiatives and accommodation (visitor parks, short stay accommodation and emergency/ short term accommodation brokerage)</w:t>
            </w:r>
          </w:p>
          <w:p w14:paraId="33342E1D" w14:textId="77777777" w:rsidR="00417F78" w:rsidRDefault="00417F78" w:rsidP="00417F78">
            <w:pPr>
              <w:pStyle w:val="Normalnumbered"/>
              <w:ind w:left="720"/>
              <w:rPr>
                <w:rStyle w:val="Hyperlink"/>
                <w:color w:val="7030A0"/>
                <w:sz w:val="26"/>
                <w:szCs w:val="26"/>
                <w:highlight w:val="yellow"/>
              </w:rPr>
            </w:pPr>
          </w:p>
          <w:p w14:paraId="6C7A80D2" w14:textId="72B2B6F4" w:rsidR="00CD62C9" w:rsidRPr="0062416D" w:rsidRDefault="00EF701C" w:rsidP="00417F78">
            <w:pPr>
              <w:pStyle w:val="Normalnumbered"/>
              <w:rPr>
                <w:rStyle w:val="Hyperlink"/>
                <w:color w:val="7030A0"/>
                <w:sz w:val="26"/>
                <w:szCs w:val="26"/>
              </w:rPr>
            </w:pPr>
            <w:hyperlink r:id="rId9" w:history="1">
              <w:r w:rsidR="00417F78" w:rsidRPr="0062416D">
                <w:rPr>
                  <w:rStyle w:val="Hyperlink"/>
                  <w:color w:val="7030A0"/>
                  <w:sz w:val="26"/>
                  <w:szCs w:val="26"/>
                </w:rPr>
                <w:t>Northern Territory Community Housing Growth Strategy</w:t>
              </w:r>
            </w:hyperlink>
            <w:r w:rsidR="00417F78" w:rsidRPr="0062416D">
              <w:rPr>
                <w:rStyle w:val="Hyperlink"/>
                <w:color w:val="7030A0"/>
                <w:sz w:val="26"/>
                <w:szCs w:val="26"/>
              </w:rPr>
              <w:t xml:space="preserve"> 2022-32</w:t>
            </w:r>
          </w:p>
          <w:p w14:paraId="287269E3" w14:textId="31B13804" w:rsidR="00030DB8" w:rsidRPr="00235FC3" w:rsidRDefault="00030DB8" w:rsidP="00675C15">
            <w:pPr>
              <w:pStyle w:val="Tableformat"/>
              <w:rPr>
                <w:b/>
                <w:bCs/>
                <w:color w:val="auto"/>
              </w:rPr>
            </w:pPr>
            <w:r w:rsidRPr="00235FC3">
              <w:rPr>
                <w:color w:val="auto"/>
              </w:rPr>
              <w:t>The</w:t>
            </w:r>
            <w:r w:rsidR="009670D1">
              <w:rPr>
                <w:color w:val="auto"/>
              </w:rPr>
              <w:t xml:space="preserve"> Northern Territory has a strong focus on investing in sector growth (under both an urban/regional stream and a remote stream) to improve the long-term sustainability of the social and affordable housing system. The Strategy includes a commitment to transfer up to 40 per cent of urban public housing assets (approximately 2000 assets) between 2022 and 2026.</w:t>
            </w:r>
          </w:p>
          <w:p w14:paraId="4854FA63" w14:textId="77777777" w:rsidR="00030DB8" w:rsidRPr="00235FC3" w:rsidRDefault="00030DB8" w:rsidP="00675C15">
            <w:pPr>
              <w:pStyle w:val="Tableformat"/>
              <w:rPr>
                <w:b/>
                <w:bCs/>
                <w:color w:val="auto"/>
              </w:rPr>
            </w:pPr>
            <w:r w:rsidRPr="00235FC3">
              <w:rPr>
                <w:b/>
                <w:bCs/>
                <w:color w:val="auto"/>
              </w:rPr>
              <w:t>National Outcomes Framework</w:t>
            </w:r>
          </w:p>
          <w:p w14:paraId="7F168865" w14:textId="76BECF09" w:rsidR="00030DB8" w:rsidRPr="00235FC3" w:rsidRDefault="005B4EC8" w:rsidP="00675C1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Territory</w:t>
            </w:r>
            <w:r w:rsidR="00030DB8" w:rsidRPr="00235FC3">
              <w:rPr>
                <w:color w:val="auto"/>
              </w:rPr>
              <w:t xml:space="preserve"> will meet the requirements of clause 1</w:t>
            </w:r>
            <w:r w:rsidR="00030DB8">
              <w:rPr>
                <w:color w:val="auto"/>
              </w:rPr>
              <w:t>8</w:t>
            </w:r>
            <w:r w:rsidR="00030DB8" w:rsidRPr="00235FC3">
              <w:rPr>
                <w:color w:val="auto"/>
              </w:rPr>
              <w:t xml:space="preserve">(b) by reporting against the indicators in the National Outcomes Framework (Schedule A of the Agreement). This will include at a minimum, the </w:t>
            </w:r>
            <w:r w:rsidR="00030DB8">
              <w:rPr>
                <w:color w:val="auto"/>
              </w:rPr>
              <w:t>compulsory</w:t>
            </w:r>
            <w:r w:rsidR="00030DB8" w:rsidRPr="00235FC3">
              <w:rPr>
                <w:color w:val="auto"/>
              </w:rPr>
              <w:t xml:space="preserve"> </w:t>
            </w:r>
            <w:r w:rsidR="00030DB8">
              <w:rPr>
                <w:color w:val="auto"/>
              </w:rPr>
              <w:t>measures.</w:t>
            </w:r>
            <w:r w:rsidR="00030DB8">
              <w:rPr>
                <w:color w:val="auto"/>
              </w:rPr>
              <w:br/>
            </w:r>
          </w:p>
          <w:p w14:paraId="1E7B8221" w14:textId="77777777" w:rsidR="00030DB8" w:rsidRPr="00235FC3" w:rsidRDefault="00030DB8" w:rsidP="00675C15">
            <w:pPr>
              <w:pStyle w:val="Tableforma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Compulsory</w:t>
            </w:r>
            <w:r w:rsidRPr="00235FC3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measures</w:t>
            </w:r>
          </w:p>
          <w:p w14:paraId="033BF426" w14:textId="77777777" w:rsidR="00030DB8" w:rsidRPr="00235FC3" w:rsidRDefault="00030DB8" w:rsidP="00675C15">
            <w:pPr>
              <w:pStyle w:val="Tableformat"/>
              <w:rPr>
                <w:i/>
                <w:iCs w:val="0"/>
                <w:color w:val="auto"/>
              </w:rPr>
            </w:pPr>
            <w:r w:rsidRPr="00235FC3">
              <w:rPr>
                <w:i/>
                <w:iCs w:val="0"/>
                <w:color w:val="auto"/>
              </w:rPr>
              <w:t>Homelessness</w:t>
            </w:r>
          </w:p>
          <w:p w14:paraId="2E120636" w14:textId="77777777" w:rsidR="00030DB8" w:rsidRPr="006B5B58" w:rsidRDefault="00030DB8" w:rsidP="00030DB8">
            <w:pPr>
              <w:pStyle w:val="Tableformat"/>
              <w:numPr>
                <w:ilvl w:val="0"/>
                <w:numId w:val="3"/>
              </w:numPr>
              <w:tabs>
                <w:tab w:val="num" w:pos="283"/>
                <w:tab w:val="num" w:pos="360"/>
              </w:tabs>
              <w:ind w:left="283" w:hanging="283"/>
              <w:rPr>
                <w:color w:val="auto"/>
              </w:rPr>
            </w:pPr>
            <w:r w:rsidRPr="006B5B58">
              <w:rPr>
                <w:color w:val="auto"/>
                <w:lang w:val="en-AU"/>
              </w:rPr>
              <w:t>Number of unassisted requests for services, split by accommodation and other services</w:t>
            </w:r>
          </w:p>
          <w:p w14:paraId="04850623" w14:textId="77777777" w:rsidR="00030DB8" w:rsidRDefault="00030DB8" w:rsidP="00030DB8">
            <w:pPr>
              <w:pStyle w:val="Tableformat"/>
              <w:numPr>
                <w:ilvl w:val="0"/>
                <w:numId w:val="3"/>
              </w:numPr>
              <w:tabs>
                <w:tab w:val="num" w:pos="283"/>
                <w:tab w:val="num" w:pos="360"/>
              </w:tabs>
              <w:ind w:left="283" w:hanging="283"/>
              <w:rPr>
                <w:color w:val="auto"/>
              </w:rPr>
            </w:pPr>
            <w:r w:rsidRPr="00091CC5">
              <w:rPr>
                <w:color w:val="auto"/>
              </w:rPr>
              <w:lastRenderedPageBreak/>
              <w:t xml:space="preserve">Number and proportion of clients with an identified need for services who were not provided or referred to those services, split by accommodation and other services </w:t>
            </w:r>
          </w:p>
          <w:p w14:paraId="7E491FE3" w14:textId="77777777" w:rsidR="00030DB8" w:rsidRPr="004C17DD" w:rsidRDefault="00030DB8" w:rsidP="00030DB8">
            <w:pPr>
              <w:pStyle w:val="Tableformat"/>
              <w:numPr>
                <w:ilvl w:val="0"/>
                <w:numId w:val="3"/>
              </w:numPr>
              <w:tabs>
                <w:tab w:val="num" w:pos="283"/>
                <w:tab w:val="num" w:pos="360"/>
              </w:tabs>
              <w:ind w:left="283" w:hanging="283"/>
              <w:rPr>
                <w:color w:val="auto"/>
              </w:rPr>
            </w:pPr>
            <w:r w:rsidRPr="004C17DD">
              <w:rPr>
                <w:rFonts w:cstheme="minorHAnsi"/>
                <w:color w:val="auto"/>
                <w:szCs w:val="23"/>
              </w:rPr>
              <w:t>Number and proportion of clients at risk of homelessness who receive assistance and avoid homelessness</w:t>
            </w:r>
          </w:p>
          <w:p w14:paraId="565949FD" w14:textId="77777777" w:rsidR="00030DB8" w:rsidRPr="004C17DD" w:rsidRDefault="00030DB8" w:rsidP="00030DB8">
            <w:pPr>
              <w:pStyle w:val="Tableformat"/>
              <w:numPr>
                <w:ilvl w:val="0"/>
                <w:numId w:val="3"/>
              </w:numPr>
              <w:tabs>
                <w:tab w:val="num" w:pos="283"/>
                <w:tab w:val="num" w:pos="360"/>
              </w:tabs>
              <w:ind w:left="283" w:hanging="283"/>
              <w:rPr>
                <w:color w:val="auto"/>
              </w:rPr>
            </w:pPr>
            <w:r w:rsidRPr="004C17DD">
              <w:rPr>
                <w:rFonts w:cstheme="minorHAnsi"/>
                <w:color w:val="auto"/>
                <w:szCs w:val="23"/>
              </w:rPr>
              <w:t>Number and proportion of clients who return to homelessness after achieving housing </w:t>
            </w:r>
          </w:p>
          <w:p w14:paraId="3A7858EF" w14:textId="77777777" w:rsidR="00030DB8" w:rsidRPr="00235FC3" w:rsidRDefault="00030DB8" w:rsidP="00675C15">
            <w:pPr>
              <w:pStyle w:val="Tableformat"/>
              <w:rPr>
                <w:i/>
                <w:iCs w:val="0"/>
                <w:color w:val="auto"/>
              </w:rPr>
            </w:pPr>
          </w:p>
          <w:p w14:paraId="35F8A37D" w14:textId="77777777" w:rsidR="00030DB8" w:rsidRPr="00235FC3" w:rsidRDefault="00030DB8" w:rsidP="00675C15">
            <w:pPr>
              <w:pStyle w:val="Tableformat"/>
              <w:rPr>
                <w:i/>
                <w:iCs w:val="0"/>
                <w:color w:val="auto"/>
              </w:rPr>
            </w:pPr>
            <w:r w:rsidRPr="00235FC3">
              <w:rPr>
                <w:i/>
                <w:iCs w:val="0"/>
                <w:color w:val="auto"/>
              </w:rPr>
              <w:t>Social housing</w:t>
            </w:r>
          </w:p>
          <w:p w14:paraId="1EA4C402" w14:textId="77777777" w:rsidR="00030DB8" w:rsidRPr="00BD6BB0" w:rsidRDefault="00030DB8" w:rsidP="00030DB8">
            <w:pPr>
              <w:pStyle w:val="Tableformat"/>
              <w:numPr>
                <w:ilvl w:val="0"/>
                <w:numId w:val="4"/>
              </w:numPr>
              <w:tabs>
                <w:tab w:val="num" w:pos="360"/>
                <w:tab w:val="num" w:pos="567"/>
              </w:tabs>
              <w:ind w:left="567" w:hanging="567"/>
              <w:rPr>
                <w:color w:val="auto"/>
                <w:lang w:val="en-AU"/>
              </w:rPr>
            </w:pPr>
            <w:r w:rsidRPr="00091CC5">
              <w:rPr>
                <w:color w:val="auto"/>
                <w:lang w:val="en-AU"/>
              </w:rPr>
              <w:t xml:space="preserve">Number of </w:t>
            </w:r>
            <w:r w:rsidRPr="00BD6BB0">
              <w:rPr>
                <w:color w:val="auto"/>
                <w:lang w:val="en-AU"/>
              </w:rPr>
              <w:t>social housing dwellings at 30 June: public housing, SOMIH, community housing and Indigenous community housing, all programs</w:t>
            </w:r>
          </w:p>
          <w:p w14:paraId="36C4BEC7" w14:textId="15901E76" w:rsidR="005F52BA" w:rsidRPr="00BD6BB0" w:rsidRDefault="005F52BA" w:rsidP="00030DB8">
            <w:pPr>
              <w:pStyle w:val="Tableformat"/>
              <w:numPr>
                <w:ilvl w:val="0"/>
                <w:numId w:val="4"/>
              </w:numPr>
              <w:tabs>
                <w:tab w:val="num" w:pos="360"/>
                <w:tab w:val="num" w:pos="567"/>
              </w:tabs>
              <w:ind w:left="567" w:hanging="567"/>
              <w:rPr>
                <w:color w:val="auto"/>
                <w:lang w:val="en-AU"/>
              </w:rPr>
            </w:pPr>
            <w:bookmarkStart w:id="1" w:name="_Hlk167967149"/>
            <w:r w:rsidRPr="00BD6BB0">
              <w:rPr>
                <w:color w:val="auto"/>
                <w:lang w:val="en-AU"/>
              </w:rPr>
              <w:t>Change in the number of social housing dwellings from previous year</w:t>
            </w:r>
          </w:p>
          <w:bookmarkEnd w:id="1"/>
          <w:p w14:paraId="32005326" w14:textId="77777777" w:rsidR="00030DB8" w:rsidRDefault="00030DB8" w:rsidP="00030DB8">
            <w:pPr>
              <w:pStyle w:val="Tableformat"/>
              <w:numPr>
                <w:ilvl w:val="0"/>
                <w:numId w:val="4"/>
              </w:numPr>
              <w:tabs>
                <w:tab w:val="num" w:pos="360"/>
                <w:tab w:val="num" w:pos="567"/>
              </w:tabs>
              <w:ind w:left="567" w:hanging="567"/>
              <w:rPr>
                <w:color w:val="auto"/>
                <w:lang w:val="en-AU"/>
              </w:rPr>
            </w:pPr>
            <w:r w:rsidRPr="00BD6BB0">
              <w:rPr>
                <w:color w:val="auto"/>
                <w:lang w:val="en-AU"/>
              </w:rPr>
              <w:t>Proportion of overcrowded households: public housing, SOMIH, community housing and</w:t>
            </w:r>
            <w:r w:rsidRPr="00091CC5">
              <w:rPr>
                <w:color w:val="auto"/>
                <w:lang w:val="en-AU"/>
              </w:rPr>
              <w:t xml:space="preserve"> Indigenous community housing, all programs</w:t>
            </w:r>
          </w:p>
          <w:p w14:paraId="5182AB26" w14:textId="77777777" w:rsidR="00030DB8" w:rsidRPr="00091CC5" w:rsidRDefault="00030DB8" w:rsidP="00030DB8">
            <w:pPr>
              <w:pStyle w:val="Tableformat"/>
              <w:numPr>
                <w:ilvl w:val="0"/>
                <w:numId w:val="4"/>
              </w:numPr>
              <w:tabs>
                <w:tab w:val="num" w:pos="360"/>
                <w:tab w:val="num" w:pos="567"/>
              </w:tabs>
              <w:ind w:left="567" w:hanging="567"/>
              <w:rPr>
                <w:color w:val="auto"/>
                <w:lang w:val="en-AU"/>
              </w:rPr>
            </w:pPr>
            <w:r w:rsidRPr="00091CC5">
              <w:rPr>
                <w:color w:val="auto"/>
                <w:lang w:val="en-AU"/>
              </w:rPr>
              <w:t>Proportion of households with at least four working facilities and not more than two major structural problems: public housing, SOMIH, community housing and Indigenous community housing, all programs</w:t>
            </w:r>
          </w:p>
          <w:p w14:paraId="1CECC28C" w14:textId="77777777" w:rsidR="00030DB8" w:rsidRPr="00235FC3" w:rsidRDefault="00030DB8" w:rsidP="00675C15">
            <w:pPr>
              <w:pStyle w:val="Tableformat"/>
              <w:ind w:left="720"/>
              <w:rPr>
                <w:color w:val="auto"/>
              </w:rPr>
            </w:pPr>
          </w:p>
          <w:p w14:paraId="153E8EF5" w14:textId="38292F9B" w:rsidR="002622FB" w:rsidRDefault="00030DB8" w:rsidP="00675C15">
            <w:pPr>
              <w:pStyle w:val="Tableformat"/>
              <w:rPr>
                <w:b/>
                <w:bCs/>
                <w:color w:val="auto"/>
              </w:rPr>
            </w:pPr>
            <w:r w:rsidRPr="00235FC3">
              <w:rPr>
                <w:b/>
                <w:bCs/>
                <w:color w:val="auto"/>
              </w:rPr>
              <w:t>Other (non-</w:t>
            </w:r>
            <w:r>
              <w:rPr>
                <w:b/>
                <w:bCs/>
                <w:color w:val="auto"/>
              </w:rPr>
              <w:t>compulsory</w:t>
            </w:r>
            <w:r w:rsidRPr="00235FC3">
              <w:rPr>
                <w:b/>
                <w:bCs/>
                <w:color w:val="auto"/>
              </w:rPr>
              <w:t xml:space="preserve">) </w:t>
            </w:r>
            <w:r>
              <w:rPr>
                <w:b/>
                <w:bCs/>
                <w:color w:val="auto"/>
              </w:rPr>
              <w:t>measures</w:t>
            </w:r>
          </w:p>
          <w:p w14:paraId="57C0611D" w14:textId="75C61649" w:rsidR="00030DB8" w:rsidRPr="00235FC3" w:rsidRDefault="005B4EC8" w:rsidP="00675C15">
            <w:pPr>
              <w:pStyle w:val="Tableformat"/>
              <w:rPr>
                <w:color w:val="auto"/>
              </w:rPr>
            </w:pPr>
            <w:r w:rsidRPr="0062416D">
              <w:rPr>
                <w:color w:val="auto"/>
              </w:rPr>
              <w:t>Northern Territory</w:t>
            </w:r>
            <w:r w:rsidR="00030DB8" w:rsidRPr="0062416D">
              <w:rPr>
                <w:color w:val="auto"/>
              </w:rPr>
              <w:t xml:space="preserve"> </w:t>
            </w:r>
            <w:r w:rsidR="00E46864" w:rsidRPr="0062416D">
              <w:rPr>
                <w:color w:val="auto"/>
              </w:rPr>
              <w:t xml:space="preserve">does </w:t>
            </w:r>
            <w:r w:rsidR="00030DB8" w:rsidRPr="0062416D">
              <w:rPr>
                <w:b/>
                <w:bCs/>
                <w:color w:val="auto"/>
              </w:rPr>
              <w:t>not</w:t>
            </w:r>
            <w:r w:rsidR="00030DB8" w:rsidRPr="0062416D">
              <w:rPr>
                <w:color w:val="auto"/>
              </w:rPr>
              <w:t xml:space="preserve"> </w:t>
            </w:r>
            <w:r w:rsidR="00E46864" w:rsidRPr="0062416D">
              <w:rPr>
                <w:color w:val="auto"/>
              </w:rPr>
              <w:t xml:space="preserve">intend to </w:t>
            </w:r>
            <w:r w:rsidR="00030DB8" w:rsidRPr="0062416D">
              <w:rPr>
                <w:color w:val="auto"/>
              </w:rPr>
              <w:t>report against the following non-compulsory measures in the National Outcomes Framework</w:t>
            </w:r>
            <w:r w:rsidR="00E46864" w:rsidRPr="0062416D">
              <w:rPr>
                <w:color w:val="auto"/>
              </w:rPr>
              <w:t xml:space="preserve"> as these are produced in existing reports (SHSC, AIHW, ROGS, Annual Reports). The reported data is not intended to be replicated or prepared against a different time scale or methodology for the purpose of this Agreement</w:t>
            </w:r>
            <w:r w:rsidR="00030DB8" w:rsidRPr="0062416D">
              <w:rPr>
                <w:color w:val="auto"/>
              </w:rPr>
              <w:t>:</w:t>
            </w:r>
          </w:p>
          <w:p w14:paraId="6C3B4CE4" w14:textId="6103E76F" w:rsidR="001F16D2" w:rsidRPr="00235FC3" w:rsidRDefault="001F16D2" w:rsidP="001F16D2">
            <w:pPr>
              <w:pStyle w:val="Tableformat"/>
              <w:ind w:left="567"/>
              <w:rPr>
                <w:color w:val="auto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3573"/>
            </w:tblGrid>
            <w:tr w:rsidR="001F16D2" w:rsidRPr="00B17FB9" w14:paraId="2FC008C3" w14:textId="77777777" w:rsidTr="00681DD9">
              <w:trPr>
                <w:trHeight w:val="855"/>
              </w:trPr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E369F7" w14:textId="5E024D4F" w:rsidR="001F16D2" w:rsidRPr="00681DD9" w:rsidRDefault="001F16D2" w:rsidP="00CE60FC">
                  <w:pPr>
                    <w:textAlignment w:val="baseline"/>
                    <w:rPr>
                      <w:rFonts w:ascii="Corbel" w:hAnsi="Corbel" w:cstheme="minorHAnsi"/>
                      <w:b/>
                      <w:bCs/>
                    </w:rPr>
                  </w:pPr>
                  <w:r w:rsidRPr="00681DD9">
                    <w:rPr>
                      <w:rFonts w:ascii="Corbel" w:hAnsi="Corbel" w:cstheme="minorHAnsi"/>
                    </w:rPr>
                    <w:t>Number and proportion of clients who were homeless at the first presentation who are in stable housing at the end of support</w:t>
                  </w:r>
                </w:p>
              </w:tc>
              <w:tc>
                <w:tcPr>
                  <w:tcW w:w="231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6519F2" w14:textId="77777777" w:rsidR="001F16D2" w:rsidRPr="00681DD9" w:rsidRDefault="001F16D2" w:rsidP="001F16D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>SHSC, AIHW, table CLIENTS.31</w:t>
                  </w:r>
                </w:p>
                <w:p w14:paraId="7EA1445C" w14:textId="77777777" w:rsidR="001F16D2" w:rsidRPr="00681DD9" w:rsidRDefault="001F16D2" w:rsidP="001F16D2">
                  <w:pPr>
                    <w:textAlignment w:val="baseline"/>
                    <w:rPr>
                      <w:rFonts w:ascii="Corbel" w:hAnsi="Corbel" w:cstheme="minorHAnsi"/>
                    </w:rPr>
                  </w:pPr>
                </w:p>
                <w:p w14:paraId="733768E5" w14:textId="2E52CC1C" w:rsidR="001F16D2" w:rsidRPr="00681DD9" w:rsidRDefault="001F16D2" w:rsidP="001F16D2">
                  <w:pPr>
                    <w:textAlignment w:val="baseline"/>
                    <w:rPr>
                      <w:rFonts w:ascii="Corbel" w:hAnsi="Corbel" w:cstheme="minorHAnsi"/>
                    </w:rPr>
                  </w:pPr>
                </w:p>
              </w:tc>
            </w:tr>
            <w:tr w:rsidR="001F16D2" w:rsidRPr="00B17FB9" w14:paraId="01523985" w14:textId="77777777" w:rsidTr="00681DD9">
              <w:trPr>
                <w:trHeight w:val="60"/>
              </w:trPr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1CE625" w14:textId="77777777" w:rsidR="001F16D2" w:rsidRPr="00681DD9" w:rsidRDefault="001F16D2" w:rsidP="001F16D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>Number and proportion of clients who are satisfied with the service they receive from homelessness service providers</w:t>
                  </w:r>
                </w:p>
              </w:tc>
              <w:tc>
                <w:tcPr>
                  <w:tcW w:w="231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B61A51" w14:textId="77777777" w:rsidR="001F16D2" w:rsidRPr="00681DD9" w:rsidRDefault="001F16D2" w:rsidP="001F16D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>Data currently unavailable for this measure</w:t>
                  </w:r>
                </w:p>
                <w:p w14:paraId="151C7F74" w14:textId="77777777" w:rsidR="001F16D2" w:rsidRPr="00681DD9" w:rsidRDefault="001F16D2" w:rsidP="001F16D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> </w:t>
                  </w:r>
                </w:p>
              </w:tc>
            </w:tr>
            <w:tr w:rsidR="001F16D2" w:rsidRPr="00B17FB9" w14:paraId="4D3DFE55" w14:textId="77777777" w:rsidTr="00681DD9">
              <w:trPr>
                <w:cantSplit/>
                <w:trHeight w:val="60"/>
              </w:trPr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A755585" w14:textId="77777777" w:rsidR="001F16D2" w:rsidRPr="00681DD9" w:rsidRDefault="001F16D2" w:rsidP="001F16D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>Proportion of renting households in the bottom two income quintiles paying more than 30% of income on rent</w:t>
                  </w:r>
                </w:p>
              </w:tc>
              <w:tc>
                <w:tcPr>
                  <w:tcW w:w="231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25E9D9F" w14:textId="77777777" w:rsidR="001F16D2" w:rsidRPr="00681DD9" w:rsidRDefault="001F16D2" w:rsidP="001F16D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>RoGS Table GA.2</w:t>
                  </w:r>
                </w:p>
                <w:p w14:paraId="52D19495" w14:textId="77777777" w:rsidR="001F16D2" w:rsidRPr="00681DD9" w:rsidRDefault="001F16D2" w:rsidP="001F16D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>Survey of Income and Housing, ABS</w:t>
                  </w:r>
                </w:p>
              </w:tc>
            </w:tr>
            <w:tr w:rsidR="001F16D2" w:rsidRPr="00B17FB9" w14:paraId="7A1ED951" w14:textId="77777777" w:rsidTr="00681DD9">
              <w:trPr>
                <w:trHeight w:val="105"/>
              </w:trPr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8C83549" w14:textId="77777777" w:rsidR="001F16D2" w:rsidRPr="00681DD9" w:rsidRDefault="001F16D2" w:rsidP="000E3A4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>Number of people experiencing homelessness who present to homelessness services</w:t>
                  </w:r>
                </w:p>
              </w:tc>
              <w:tc>
                <w:tcPr>
                  <w:tcW w:w="2314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3B10BCF" w14:textId="77777777" w:rsidR="001F16D2" w:rsidRPr="00681DD9" w:rsidRDefault="001F16D2" w:rsidP="000E3A4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>SHSC, AIHW, CLIENTS.11</w:t>
                  </w:r>
                </w:p>
              </w:tc>
            </w:tr>
            <w:tr w:rsidR="001F16D2" w:rsidRPr="00B17FB9" w14:paraId="3DECB55C" w14:textId="77777777" w:rsidTr="00681DD9">
              <w:trPr>
                <w:trHeight w:val="105"/>
              </w:trPr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C83DF75" w14:textId="77777777" w:rsidR="001F16D2" w:rsidRPr="00681DD9" w:rsidRDefault="001F16D2" w:rsidP="000E3A4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t xml:space="preserve">Number of people experiencing homelessness per 10,000 people in the </w:t>
                  </w:r>
                  <w:r w:rsidRPr="00681DD9">
                    <w:rPr>
                      <w:rFonts w:ascii="Corbel" w:hAnsi="Corbel" w:cstheme="minorHAnsi"/>
                    </w:rPr>
                    <w:lastRenderedPageBreak/>
                    <w:t>population</w:t>
                  </w:r>
                </w:p>
              </w:tc>
              <w:tc>
                <w:tcPr>
                  <w:tcW w:w="23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A2035B0" w14:textId="77777777" w:rsidR="001F16D2" w:rsidRPr="00681DD9" w:rsidRDefault="001F16D2" w:rsidP="000E3A42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lastRenderedPageBreak/>
                    <w:t>Census of Population and Housing, ABS (5-yearly)</w:t>
                  </w:r>
                </w:p>
                <w:p w14:paraId="41CF0482" w14:textId="3F7804ED" w:rsidR="001F16D2" w:rsidRPr="00681DD9" w:rsidRDefault="001F16D2" w:rsidP="00E46864">
                  <w:pPr>
                    <w:textAlignment w:val="baseline"/>
                    <w:rPr>
                      <w:rFonts w:ascii="Corbel" w:hAnsi="Corbel" w:cstheme="minorHAnsi"/>
                    </w:rPr>
                  </w:pPr>
                  <w:r w:rsidRPr="00681DD9">
                    <w:rPr>
                      <w:rFonts w:ascii="Corbel" w:hAnsi="Corbel" w:cstheme="minorHAnsi"/>
                    </w:rPr>
                    <w:lastRenderedPageBreak/>
                    <w:t>RoGS Table 19A.2</w:t>
                  </w:r>
                </w:p>
              </w:tc>
            </w:tr>
          </w:tbl>
          <w:p w14:paraId="0A5A7AEB" w14:textId="5F4B7102" w:rsidR="00030DB8" w:rsidRPr="00B17FB9" w:rsidRDefault="00030DB8" w:rsidP="00681DD9">
            <w:pPr>
              <w:pStyle w:val="Tableformat"/>
              <w:rPr>
                <w:color w:val="auto"/>
              </w:rPr>
            </w:pPr>
          </w:p>
          <w:p w14:paraId="72D7C546" w14:textId="6EED7741" w:rsidR="00E46864" w:rsidRPr="00E46864" w:rsidRDefault="00E46864" w:rsidP="00E46864">
            <w:pPr>
              <w:pStyle w:val="Tableformat"/>
              <w:rPr>
                <w:color w:val="auto"/>
                <w:lang w:val="en-AU"/>
              </w:rPr>
            </w:pPr>
            <w:r w:rsidRPr="00BD6BB0">
              <w:rPr>
                <w:color w:val="auto"/>
                <w:lang w:val="en-AU"/>
              </w:rPr>
              <w:t xml:space="preserve">Any changes to the reporting arrangements related to the </w:t>
            </w:r>
            <w:r w:rsidR="00030DB8" w:rsidRPr="00BD6BB0">
              <w:rPr>
                <w:color w:val="auto"/>
                <w:lang w:val="en-AU"/>
              </w:rPr>
              <w:t>outcomes framework for the National Plan on Housing and Homelessness are developed</w:t>
            </w:r>
            <w:r w:rsidRPr="00BD6BB0">
              <w:rPr>
                <w:color w:val="auto"/>
                <w:lang w:val="en-AU"/>
              </w:rPr>
              <w:t xml:space="preserve"> will be agreed by parties to this bilateral schedule</w:t>
            </w:r>
            <w:r w:rsidR="29305B47" w:rsidRPr="00BD6BB0">
              <w:rPr>
                <w:color w:val="auto"/>
                <w:lang w:val="en-AU"/>
              </w:rPr>
              <w:t>.</w:t>
            </w:r>
          </w:p>
          <w:p w14:paraId="38618F22" w14:textId="77777777" w:rsidR="00030DB8" w:rsidRPr="00235FC3" w:rsidRDefault="00030DB8" w:rsidP="00675C15">
            <w:pPr>
              <w:pStyle w:val="Tableformat"/>
              <w:rPr>
                <w:color w:val="44546A" w:themeColor="text2"/>
                <w:lang w:val="en-AU"/>
              </w:rPr>
            </w:pPr>
          </w:p>
          <w:p w14:paraId="11BCE711" w14:textId="77777777" w:rsidR="00030DB8" w:rsidRPr="00235FC3" w:rsidRDefault="00030DB8" w:rsidP="00675C15">
            <w:pPr>
              <w:pStyle w:val="Tableformat"/>
              <w:rPr>
                <w:b/>
                <w:bCs/>
                <w:color w:val="auto"/>
              </w:rPr>
            </w:pPr>
            <w:r w:rsidRPr="00235FC3">
              <w:rPr>
                <w:b/>
                <w:bCs/>
                <w:color w:val="auto"/>
              </w:rPr>
              <w:t>Statements of Assurance</w:t>
            </w:r>
          </w:p>
          <w:p w14:paraId="16F9373E" w14:textId="12FF1165" w:rsidR="00030DB8" w:rsidRPr="004C17DD" w:rsidRDefault="005B4EC8" w:rsidP="00675C15">
            <w:pPr>
              <w:pStyle w:val="Tableformat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Northern Territory</w:t>
            </w:r>
            <w:r w:rsidR="00030DB8" w:rsidRPr="004C17DD">
              <w:rPr>
                <w:color w:val="auto"/>
                <w:lang w:val="en-AU"/>
              </w:rPr>
              <w:t xml:space="preserve"> will report annually how they have met the requirements of the Agreement using the template in the Agreement (Schedule </w:t>
            </w:r>
            <w:r w:rsidR="001F16D2">
              <w:rPr>
                <w:color w:val="auto"/>
                <w:lang w:val="en-AU"/>
              </w:rPr>
              <w:t>B</w:t>
            </w:r>
            <w:r w:rsidR="00030DB8" w:rsidRPr="004C17DD">
              <w:rPr>
                <w:color w:val="auto"/>
                <w:lang w:val="en-AU"/>
              </w:rPr>
              <w:t xml:space="preserve">). </w:t>
            </w:r>
          </w:p>
          <w:p w14:paraId="18172B01" w14:textId="77777777" w:rsidR="00030DB8" w:rsidRPr="00235FC3" w:rsidRDefault="00030DB8" w:rsidP="001F16D2">
            <w:pPr>
              <w:pStyle w:val="Tableformat"/>
              <w:rPr>
                <w:b/>
                <w:bCs/>
                <w:color w:val="auto"/>
              </w:rPr>
            </w:pPr>
          </w:p>
        </w:tc>
      </w:tr>
      <w:tr w:rsidR="00030DB8" w:rsidRPr="00F00A18" w14:paraId="3868142D" w14:textId="77777777" w:rsidTr="29305B47">
        <w:tc>
          <w:tcPr>
            <w:tcW w:w="1691" w:type="dxa"/>
            <w:shd w:val="clear" w:color="auto" w:fill="auto"/>
          </w:tcPr>
          <w:p w14:paraId="733F67C8" w14:textId="77777777" w:rsidR="00030DB8" w:rsidRPr="00F00A18" w:rsidRDefault="00030DB8" w:rsidP="00675C1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lastRenderedPageBreak/>
              <w:t xml:space="preserve">[Additional terms] </w:t>
            </w:r>
          </w:p>
        </w:tc>
        <w:tc>
          <w:tcPr>
            <w:tcW w:w="7938" w:type="dxa"/>
            <w:shd w:val="clear" w:color="auto" w:fill="auto"/>
          </w:tcPr>
          <w:p w14:paraId="627D4CB4" w14:textId="5B3FCDE0" w:rsidR="00030DB8" w:rsidRDefault="00030DB8" w:rsidP="00675C1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</w:t>
            </w:r>
            <w:r>
              <w:rPr>
                <w:color w:val="auto"/>
              </w:rPr>
              <w:t xml:space="preserve">is an agreement that is a supplementary housing agreement for the purposes of Section 15C of the </w:t>
            </w:r>
            <w:r w:rsidRPr="00B77897">
              <w:rPr>
                <w:i/>
                <w:iCs w:val="0"/>
                <w:color w:val="auto"/>
              </w:rPr>
              <w:t xml:space="preserve">Federal Financial Relations Act 2009 </w:t>
            </w:r>
            <w:r>
              <w:rPr>
                <w:color w:val="auto"/>
              </w:rPr>
              <w:t xml:space="preserve">(Cth) </w:t>
            </w:r>
            <w:r w:rsidRPr="00B77897">
              <w:rPr>
                <w:color w:val="auto"/>
              </w:rPr>
              <w:t>(</w:t>
            </w:r>
            <w:r>
              <w:rPr>
                <w:color w:val="auto"/>
              </w:rPr>
              <w:t>the FFR Act) (Clause</w:t>
            </w:r>
            <w:r w:rsidRPr="00172941">
              <w:rPr>
                <w:color w:val="auto"/>
              </w:rPr>
              <w:t xml:space="preserve"> 9</w:t>
            </w:r>
            <w:r>
              <w:rPr>
                <w:color w:val="auto"/>
              </w:rPr>
              <w:t xml:space="preserve"> of the primary agreement refers).</w:t>
            </w:r>
          </w:p>
          <w:p w14:paraId="6F2D5022" w14:textId="2D720A4A" w:rsidR="00030DB8" w:rsidRPr="00F00A18" w:rsidRDefault="00030DB8" w:rsidP="00675C15">
            <w:pPr>
              <w:pStyle w:val="Tableformat"/>
              <w:rPr>
                <w:i/>
                <w:color w:val="auto"/>
              </w:rPr>
            </w:pPr>
            <w:r w:rsidRPr="00F00A18">
              <w:rPr>
                <w:i/>
                <w:color w:val="auto"/>
              </w:rPr>
              <w:t xml:space="preserve"> </w:t>
            </w:r>
          </w:p>
        </w:tc>
      </w:tr>
    </w:tbl>
    <w:p w14:paraId="0BDAC483" w14:textId="77777777" w:rsidR="00030DB8" w:rsidRDefault="00030DB8" w:rsidP="00030DB8">
      <w:pPr>
        <w:spacing w:before="240"/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tbl>
      <w:tblPr>
        <w:tblW w:w="4947" w:type="pct"/>
        <w:jc w:val="center"/>
        <w:tblLook w:val="01E0" w:firstRow="1" w:lastRow="1" w:firstColumn="1" w:lastColumn="1" w:noHBand="0" w:noVBand="0"/>
      </w:tblPr>
      <w:tblGrid>
        <w:gridCol w:w="3962"/>
        <w:gridCol w:w="1355"/>
        <w:gridCol w:w="3748"/>
      </w:tblGrid>
      <w:tr w:rsidR="00461C3A" w:rsidRPr="00A50751" w14:paraId="35500ACB" w14:textId="77777777" w:rsidTr="009E1975">
        <w:trPr>
          <w:cantSplit/>
          <w:trHeight w:val="2234"/>
          <w:jc w:val="center"/>
        </w:trPr>
        <w:tc>
          <w:tcPr>
            <w:tcW w:w="2185" w:type="pct"/>
          </w:tcPr>
          <w:p w14:paraId="4EF6318B" w14:textId="77777777" w:rsidR="00461C3A" w:rsidRDefault="00461C3A" w:rsidP="00A148DD">
            <w:pPr>
              <w:pStyle w:val="Signed"/>
              <w:rPr>
                <w:rStyle w:val="SignedBold"/>
              </w:rPr>
            </w:pPr>
          </w:p>
          <w:p w14:paraId="55D78048" w14:textId="77777777" w:rsidR="00461C3A" w:rsidRPr="00016A8C" w:rsidRDefault="00461C3A" w:rsidP="00A148DD">
            <w:pPr>
              <w:pStyle w:val="Signed"/>
            </w:pPr>
            <w:r w:rsidRPr="00016A8C">
              <w:rPr>
                <w:rStyle w:val="SignedBold"/>
              </w:rPr>
              <w:t>Signed</w:t>
            </w:r>
            <w:r w:rsidRPr="00016A8C">
              <w:t xml:space="preserve"> for and on behalf of the Commonwealth of Australia by</w:t>
            </w:r>
          </w:p>
          <w:p w14:paraId="47611B61" w14:textId="77777777" w:rsidR="00461C3A" w:rsidRPr="00016A8C" w:rsidRDefault="00461C3A" w:rsidP="00A148DD">
            <w:pPr>
              <w:pStyle w:val="LineForSignature"/>
            </w:pPr>
            <w:r w:rsidRPr="00016A8C">
              <w:tab/>
            </w:r>
          </w:p>
          <w:p w14:paraId="73642E2E" w14:textId="77777777" w:rsidR="00461C3A" w:rsidRPr="00016A8C" w:rsidRDefault="00461C3A" w:rsidP="00A148DD">
            <w:pPr>
              <w:pStyle w:val="SingleParagraph"/>
              <w:rPr>
                <w:rStyle w:val="Bold"/>
              </w:rPr>
            </w:pPr>
            <w:r w:rsidRPr="00016A8C">
              <w:rPr>
                <w:rStyle w:val="Bold"/>
              </w:rPr>
              <w:t>The Honourable Julie Collins MP</w:t>
            </w:r>
          </w:p>
          <w:p w14:paraId="654C81A9" w14:textId="77777777" w:rsidR="00461C3A" w:rsidRPr="00016A8C" w:rsidRDefault="00461C3A" w:rsidP="00A148DD">
            <w:pPr>
              <w:pStyle w:val="Position"/>
              <w:jc w:val="left"/>
              <w:rPr>
                <w:lang w:val="en-GB"/>
              </w:rPr>
            </w:pPr>
            <w:r w:rsidRPr="00016A8C">
              <w:rPr>
                <w:lang w:val="en-GB"/>
              </w:rPr>
              <w:t xml:space="preserve">Minister for Housing </w:t>
            </w:r>
            <w:r w:rsidRPr="00016A8C">
              <w:rPr>
                <w:lang w:val="en-GB"/>
              </w:rPr>
              <w:br/>
              <w:t>Minister for Homelessness</w:t>
            </w:r>
          </w:p>
          <w:p w14:paraId="4317206A" w14:textId="77777777" w:rsidR="00461C3A" w:rsidRPr="00016A8C" w:rsidRDefault="00461C3A" w:rsidP="00A148DD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 w:rsidRPr="00016A8C">
              <w:rPr>
                <w:lang w:val="en-GB"/>
              </w:rPr>
              <w:t>[         ]  [         ]  [         ]</w:t>
            </w: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69434B30" w14:textId="77777777" w:rsidR="00461C3A" w:rsidRPr="00016A8C" w:rsidRDefault="00461C3A" w:rsidP="00A148D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067" w:type="pct"/>
          </w:tcPr>
          <w:p w14:paraId="55A8519E" w14:textId="77777777" w:rsidR="00461C3A" w:rsidRPr="00016A8C" w:rsidRDefault="00461C3A" w:rsidP="00A148DD">
            <w:pPr>
              <w:rPr>
                <w:rFonts w:ascii="Book Antiqua" w:hAnsi="Book Antiqua"/>
                <w:lang w:val="en-GB"/>
              </w:rPr>
            </w:pPr>
          </w:p>
        </w:tc>
      </w:tr>
      <w:tr w:rsidR="00461C3A" w:rsidRPr="00A50751" w14:paraId="1D4789C4" w14:textId="77777777" w:rsidTr="009E1975">
        <w:trPr>
          <w:cantSplit/>
          <w:trHeight w:val="2234"/>
          <w:jc w:val="center"/>
        </w:trPr>
        <w:tc>
          <w:tcPr>
            <w:tcW w:w="2185" w:type="pct"/>
          </w:tcPr>
          <w:p w14:paraId="5ABAD2E7" w14:textId="77777777" w:rsidR="00461C3A" w:rsidRDefault="00461C3A" w:rsidP="00A148DD">
            <w:pPr>
              <w:pStyle w:val="Signed"/>
              <w:rPr>
                <w:rStyle w:val="SignedBold"/>
              </w:rPr>
            </w:pPr>
          </w:p>
          <w:p w14:paraId="4C39DADC" w14:textId="77777777" w:rsidR="00461C3A" w:rsidRPr="00016A8C" w:rsidRDefault="00461C3A" w:rsidP="00A148DD">
            <w:pPr>
              <w:pStyle w:val="Signed"/>
            </w:pPr>
            <w:r w:rsidRPr="00016A8C">
              <w:rPr>
                <w:rStyle w:val="SignedBold"/>
              </w:rPr>
              <w:t>Signed</w:t>
            </w:r>
            <w:r w:rsidRPr="00016A8C">
              <w:rPr>
                <w:i w:val="0"/>
              </w:rPr>
              <w:t xml:space="preserve"> </w:t>
            </w:r>
            <w:r w:rsidRPr="00016A8C">
              <w:t>for and on behalf of the Northern Territory by</w:t>
            </w:r>
          </w:p>
          <w:p w14:paraId="628DF5D3" w14:textId="77777777" w:rsidR="00461C3A" w:rsidRPr="00016A8C" w:rsidRDefault="00461C3A" w:rsidP="00A148DD">
            <w:pPr>
              <w:pStyle w:val="LineForSignature"/>
            </w:pPr>
            <w:r w:rsidRPr="00016A8C">
              <w:tab/>
            </w:r>
          </w:p>
          <w:p w14:paraId="7B1C7990" w14:textId="77777777" w:rsidR="00461C3A" w:rsidRPr="00016A8C" w:rsidRDefault="00461C3A" w:rsidP="00A148DD">
            <w:pPr>
              <w:pStyle w:val="SingleParagraph"/>
              <w:rPr>
                <w:rStyle w:val="Bold"/>
              </w:rPr>
            </w:pPr>
            <w:r w:rsidRPr="00016A8C">
              <w:rPr>
                <w:rStyle w:val="Bold"/>
              </w:rPr>
              <w:t>The Honourable Ngaree Ah Kit MLA</w:t>
            </w:r>
          </w:p>
          <w:p w14:paraId="0E708852" w14:textId="77777777" w:rsidR="00461C3A" w:rsidRPr="00016A8C" w:rsidRDefault="00461C3A" w:rsidP="00A148DD">
            <w:pPr>
              <w:pStyle w:val="Position"/>
              <w:rPr>
                <w:lang w:val="en-GB"/>
              </w:rPr>
            </w:pPr>
            <w:r w:rsidRPr="00016A8C">
              <w:rPr>
                <w:lang w:val="en-GB"/>
              </w:rPr>
              <w:t>Minister for Urban Housing</w:t>
            </w:r>
          </w:p>
          <w:p w14:paraId="0E2A60C6" w14:textId="77777777" w:rsidR="00461C3A" w:rsidRPr="00461C3A" w:rsidRDefault="00461C3A" w:rsidP="00A148DD">
            <w:pPr>
              <w:pStyle w:val="Signed"/>
              <w:rPr>
                <w:rStyle w:val="SignedBold"/>
                <w:i/>
                <w:iCs/>
              </w:rPr>
            </w:pPr>
            <w:r w:rsidRPr="00461C3A">
              <w:rPr>
                <w:i w:val="0"/>
                <w:iCs/>
                <w:lang w:val="en-GB"/>
              </w:rPr>
              <w:t xml:space="preserve"> [         ]  [         ]  [         ]</w:t>
            </w: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14:paraId="0ACF3B23" w14:textId="77777777" w:rsidR="00461C3A" w:rsidRPr="00016A8C" w:rsidRDefault="00461C3A" w:rsidP="00A148D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067" w:type="pct"/>
          </w:tcPr>
          <w:p w14:paraId="4B1C71D3" w14:textId="77777777" w:rsidR="00461C3A" w:rsidRPr="00016A8C" w:rsidRDefault="00461C3A" w:rsidP="00A148DD">
            <w:pPr>
              <w:pStyle w:val="Signed"/>
              <w:rPr>
                <w:rStyle w:val="SignedBold"/>
              </w:rPr>
            </w:pPr>
          </w:p>
        </w:tc>
      </w:tr>
      <w:bookmarkEnd w:id="0"/>
    </w:tbl>
    <w:p w14:paraId="7DE67C23" w14:textId="77777777" w:rsidR="00030DB8" w:rsidRPr="00FA50AC" w:rsidRDefault="00030DB8" w:rsidP="009E1975">
      <w:pPr>
        <w:pStyle w:val="AlphaParagraph"/>
        <w:tabs>
          <w:tab w:val="clear" w:pos="0"/>
          <w:tab w:val="clear" w:pos="283"/>
          <w:tab w:val="clear" w:pos="567"/>
          <w:tab w:val="clear" w:pos="1134"/>
          <w:tab w:val="clear" w:pos="1418"/>
          <w:tab w:val="clear" w:pos="1701"/>
        </w:tabs>
        <w:ind w:left="0" w:firstLine="0"/>
        <w:jc w:val="left"/>
        <w:rPr>
          <w:rFonts w:cs="Corbel"/>
          <w:color w:val="auto"/>
        </w:rPr>
      </w:pPr>
    </w:p>
    <w:sectPr w:rsidR="00030DB8" w:rsidRPr="00FA50AC" w:rsidSect="00CE60FC">
      <w:pgSz w:w="11906" w:h="16838"/>
      <w:pgMar w:top="1304" w:right="1440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09C5" w14:textId="77777777" w:rsidR="00854EC9" w:rsidRDefault="00854EC9">
      <w:r>
        <w:separator/>
      </w:r>
    </w:p>
  </w:endnote>
  <w:endnote w:type="continuationSeparator" w:id="0">
    <w:p w14:paraId="31B37AF0" w14:textId="77777777" w:rsidR="00854EC9" w:rsidRDefault="00854EC9">
      <w:r>
        <w:continuationSeparator/>
      </w:r>
    </w:p>
  </w:endnote>
  <w:endnote w:type="continuationNotice" w:id="1">
    <w:p w14:paraId="4542F271" w14:textId="77777777" w:rsidR="00854EC9" w:rsidRDefault="00854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C0FE" w14:textId="77777777" w:rsidR="00854EC9" w:rsidRDefault="00854EC9">
      <w:r>
        <w:separator/>
      </w:r>
    </w:p>
  </w:footnote>
  <w:footnote w:type="continuationSeparator" w:id="0">
    <w:p w14:paraId="4FAE39EA" w14:textId="77777777" w:rsidR="00854EC9" w:rsidRDefault="00854EC9">
      <w:r>
        <w:continuationSeparator/>
      </w:r>
    </w:p>
  </w:footnote>
  <w:footnote w:type="continuationNotice" w:id="1">
    <w:p w14:paraId="515900AC" w14:textId="77777777" w:rsidR="00854EC9" w:rsidRDefault="00854E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B05"/>
    <w:multiLevelType w:val="hybridMultilevel"/>
    <w:tmpl w:val="06CE8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5BC8"/>
    <w:multiLevelType w:val="hybridMultilevel"/>
    <w:tmpl w:val="83A2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49"/>
    <w:multiLevelType w:val="hybridMultilevel"/>
    <w:tmpl w:val="21B807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6B69"/>
    <w:multiLevelType w:val="hybridMultilevel"/>
    <w:tmpl w:val="72E40D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AE6"/>
    <w:multiLevelType w:val="hybridMultilevel"/>
    <w:tmpl w:val="DE4E0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61CE5"/>
    <w:multiLevelType w:val="hybridMultilevel"/>
    <w:tmpl w:val="7A963A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359E324E"/>
    <w:multiLevelType w:val="hybridMultilevel"/>
    <w:tmpl w:val="D2688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D02DD"/>
    <w:multiLevelType w:val="hybridMultilevel"/>
    <w:tmpl w:val="F6C8FC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0" w15:restartNumberingAfterBreak="0">
    <w:nsid w:val="71D9509F"/>
    <w:multiLevelType w:val="hybridMultilevel"/>
    <w:tmpl w:val="3642E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4094"/>
    <w:multiLevelType w:val="hybridMultilevel"/>
    <w:tmpl w:val="48DA2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23931"/>
    <w:rsid w:val="00030DB8"/>
    <w:rsid w:val="00080BF3"/>
    <w:rsid w:val="00093A90"/>
    <w:rsid w:val="000A7550"/>
    <w:rsid w:val="00101F13"/>
    <w:rsid w:val="00113AEB"/>
    <w:rsid w:val="00135B1A"/>
    <w:rsid w:val="00142C7E"/>
    <w:rsid w:val="00152790"/>
    <w:rsid w:val="00152DDA"/>
    <w:rsid w:val="00176B90"/>
    <w:rsid w:val="001E6B53"/>
    <w:rsid w:val="001F16D2"/>
    <w:rsid w:val="0020293D"/>
    <w:rsid w:val="00226FE9"/>
    <w:rsid w:val="00256772"/>
    <w:rsid w:val="002617C2"/>
    <w:rsid w:val="002622FB"/>
    <w:rsid w:val="002A1FEA"/>
    <w:rsid w:val="002D742C"/>
    <w:rsid w:val="00316DFD"/>
    <w:rsid w:val="00317FB3"/>
    <w:rsid w:val="0033647E"/>
    <w:rsid w:val="003B1707"/>
    <w:rsid w:val="003B5F14"/>
    <w:rsid w:val="003C7B92"/>
    <w:rsid w:val="00410B40"/>
    <w:rsid w:val="00417F78"/>
    <w:rsid w:val="00461C3A"/>
    <w:rsid w:val="00470301"/>
    <w:rsid w:val="004809D9"/>
    <w:rsid w:val="00503315"/>
    <w:rsid w:val="0053761F"/>
    <w:rsid w:val="00574651"/>
    <w:rsid w:val="005841DA"/>
    <w:rsid w:val="005865B0"/>
    <w:rsid w:val="005B4395"/>
    <w:rsid w:val="005B4EC8"/>
    <w:rsid w:val="005F52BA"/>
    <w:rsid w:val="0062416D"/>
    <w:rsid w:val="006333B8"/>
    <w:rsid w:val="0064121C"/>
    <w:rsid w:val="006422B2"/>
    <w:rsid w:val="00664D4C"/>
    <w:rsid w:val="00681DD9"/>
    <w:rsid w:val="00695BBD"/>
    <w:rsid w:val="006B6E73"/>
    <w:rsid w:val="007603E7"/>
    <w:rsid w:val="0076479B"/>
    <w:rsid w:val="00773E38"/>
    <w:rsid w:val="007C0A12"/>
    <w:rsid w:val="007D6728"/>
    <w:rsid w:val="007F1EB5"/>
    <w:rsid w:val="007F42CB"/>
    <w:rsid w:val="00854EC9"/>
    <w:rsid w:val="00884E8F"/>
    <w:rsid w:val="008B7A60"/>
    <w:rsid w:val="008E62E2"/>
    <w:rsid w:val="008E74FB"/>
    <w:rsid w:val="009033A1"/>
    <w:rsid w:val="009324D5"/>
    <w:rsid w:val="009670D1"/>
    <w:rsid w:val="0098247F"/>
    <w:rsid w:val="009B0DF7"/>
    <w:rsid w:val="009B61B7"/>
    <w:rsid w:val="009C3443"/>
    <w:rsid w:val="009D5BA6"/>
    <w:rsid w:val="009E1975"/>
    <w:rsid w:val="00A020B2"/>
    <w:rsid w:val="00A037B4"/>
    <w:rsid w:val="00A65C44"/>
    <w:rsid w:val="00A7101C"/>
    <w:rsid w:val="00A8489C"/>
    <w:rsid w:val="00A94CAF"/>
    <w:rsid w:val="00AA50D1"/>
    <w:rsid w:val="00AF749B"/>
    <w:rsid w:val="00AF79A9"/>
    <w:rsid w:val="00B17FB9"/>
    <w:rsid w:val="00B220BB"/>
    <w:rsid w:val="00B30FB0"/>
    <w:rsid w:val="00B43A68"/>
    <w:rsid w:val="00B61BC2"/>
    <w:rsid w:val="00B63981"/>
    <w:rsid w:val="00B77897"/>
    <w:rsid w:val="00BB0778"/>
    <w:rsid w:val="00BC0A58"/>
    <w:rsid w:val="00BD6944"/>
    <w:rsid w:val="00BD6BB0"/>
    <w:rsid w:val="00BD6E01"/>
    <w:rsid w:val="00C114DB"/>
    <w:rsid w:val="00C6745F"/>
    <w:rsid w:val="00C704D2"/>
    <w:rsid w:val="00C91B5F"/>
    <w:rsid w:val="00CA54E0"/>
    <w:rsid w:val="00CC20CA"/>
    <w:rsid w:val="00CD62C9"/>
    <w:rsid w:val="00CE60FC"/>
    <w:rsid w:val="00CF0B25"/>
    <w:rsid w:val="00CF4E6E"/>
    <w:rsid w:val="00D22F1E"/>
    <w:rsid w:val="00D54783"/>
    <w:rsid w:val="00D72A49"/>
    <w:rsid w:val="00D94F87"/>
    <w:rsid w:val="00DE0037"/>
    <w:rsid w:val="00DE011A"/>
    <w:rsid w:val="00E46864"/>
    <w:rsid w:val="00E97588"/>
    <w:rsid w:val="00EB2331"/>
    <w:rsid w:val="00EF0A41"/>
    <w:rsid w:val="00EF701C"/>
    <w:rsid w:val="00F525D7"/>
    <w:rsid w:val="00FA4366"/>
    <w:rsid w:val="00FB35D7"/>
    <w:rsid w:val="01999884"/>
    <w:rsid w:val="173CCA2C"/>
    <w:rsid w:val="29305B47"/>
    <w:rsid w:val="5738B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15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2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C7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7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F1EB5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30D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AlphaParagraph">
    <w:name w:val="Alpha Paragraph"/>
    <w:basedOn w:val="Normal"/>
    <w:link w:val="AlphaParagraphCharChar"/>
    <w:rsid w:val="00030DB8"/>
    <w:pPr>
      <w:widowControl/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030DB8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locked/>
    <w:rsid w:val="00EB2331"/>
    <w:rPr>
      <w:rFonts w:ascii="Corbel" w:hAnsi="Corbel"/>
      <w:color w:val="000000"/>
      <w:sz w:val="23"/>
    </w:rPr>
  </w:style>
  <w:style w:type="paragraph" w:customStyle="1" w:styleId="Normalnumbered">
    <w:name w:val="Normal numbered"/>
    <w:basedOn w:val="Normal"/>
    <w:link w:val="NormalnumberedChar"/>
    <w:rsid w:val="00EB2331"/>
    <w:pPr>
      <w:widowControl/>
      <w:spacing w:after="240" w:line="260" w:lineRule="exact"/>
      <w:jc w:val="both"/>
    </w:pPr>
    <w:rPr>
      <w:rFonts w:ascii="Corbel" w:hAnsi="Corbel"/>
      <w:color w:val="000000"/>
      <w:sz w:val="23"/>
      <w:lang w:val="en-AU"/>
    </w:rPr>
  </w:style>
  <w:style w:type="character" w:styleId="Hyperlink">
    <w:name w:val="Hyperlink"/>
    <w:basedOn w:val="DefaultParagraphFont"/>
    <w:uiPriority w:val="99"/>
    <w:unhideWhenUsed/>
    <w:rsid w:val="00EB2331"/>
    <w:rPr>
      <w:color w:val="0563C1" w:themeColor="hyperlink"/>
      <w:u w:val="single"/>
    </w:rPr>
  </w:style>
  <w:style w:type="paragraph" w:customStyle="1" w:styleId="OutlineNumbered1">
    <w:name w:val="Outline Numbered 1"/>
    <w:basedOn w:val="Normal"/>
    <w:rsid w:val="001F16D2"/>
    <w:pPr>
      <w:widowControl/>
      <w:numPr>
        <w:numId w:val="12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paragraph" w:customStyle="1" w:styleId="OutlineNumbered2">
    <w:name w:val="Outline Numbered 2"/>
    <w:basedOn w:val="Normal"/>
    <w:rsid w:val="001F16D2"/>
    <w:pPr>
      <w:widowControl/>
      <w:numPr>
        <w:ilvl w:val="1"/>
        <w:numId w:val="12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paragraph" w:customStyle="1" w:styleId="OutlineNumbered3">
    <w:name w:val="Outline Numbered 3"/>
    <w:basedOn w:val="Normal"/>
    <w:rsid w:val="001F16D2"/>
    <w:pPr>
      <w:widowControl/>
      <w:numPr>
        <w:ilvl w:val="2"/>
        <w:numId w:val="12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hc.nt.gov.au/__data/assets/pdf_file/0003/690474/ntg-homeless-strateg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fhc.nt.gov.au/__data/assets/pdf_file/0010/765433/nt-housing-strategy-2020-20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fhc.nt.gov.au/__data/assets/pdf_file/0009/1099170/tfhc-community-housing-growth-strategy-2022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6630</Characters>
  <Application>Microsoft Office Word</Application>
  <DocSecurity>0</DocSecurity>
  <Lines>199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Agreement on Social Housing and Homelessness - Bilateral Schedule</vt:lpstr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Agreement on Social Housing and Homelessness - Bilateral Schedule</dc:title>
  <dc:subject/>
  <dc:creator/>
  <cp:keywords/>
  <dc:description/>
  <cp:lastModifiedBy/>
  <cp:revision>1</cp:revision>
  <dcterms:created xsi:type="dcterms:W3CDTF">2024-07-01T04:46:00Z</dcterms:created>
  <dcterms:modified xsi:type="dcterms:W3CDTF">2024-07-01T04:55:00Z</dcterms:modified>
  <cp:category/>
</cp:coreProperties>
</file>