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AF79A9" w:rsidRDefault="00AF79A9">
      <w:bookmarkStart w:id="0" w:name="_Hlk162707251"/>
    </w:p>
    <w:p w14:paraId="4D272452" w14:textId="6F738734" w:rsidR="00030DB8" w:rsidRPr="00D519C8" w:rsidRDefault="00B73B94" w:rsidP="00030DB8">
      <w:pPr>
        <w:pStyle w:val="Title"/>
      </w:pPr>
      <w:r w:rsidRPr="00D519C8">
        <w:t>Queensland</w:t>
      </w:r>
    </w:p>
    <w:p w14:paraId="71A93993" w14:textId="4146DAE9" w:rsidR="00030DB8" w:rsidRPr="00D519C8" w:rsidRDefault="00030DB8" w:rsidP="00030DB8">
      <w:pPr>
        <w:pStyle w:val="Subtitle"/>
      </w:pPr>
      <w:r w:rsidRPr="00D519C8">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D519C8" w14:paraId="5B08D871" w14:textId="77777777" w:rsidTr="00675C15">
        <w:tc>
          <w:tcPr>
            <w:tcW w:w="9629" w:type="dxa"/>
            <w:gridSpan w:val="2"/>
            <w:shd w:val="clear" w:color="auto" w:fill="DEEAF6" w:themeFill="accent1" w:themeFillTint="33"/>
          </w:tcPr>
          <w:p w14:paraId="0412A9CD" w14:textId="77777777" w:rsidR="00030DB8" w:rsidRPr="00D519C8" w:rsidRDefault="00030DB8" w:rsidP="00675C15">
            <w:pPr>
              <w:pStyle w:val="Tableformat"/>
              <w:rPr>
                <w:b/>
                <w:color w:val="auto"/>
              </w:rPr>
            </w:pPr>
            <w:r w:rsidRPr="00D519C8">
              <w:rPr>
                <w:b/>
                <w:color w:val="auto"/>
              </w:rPr>
              <w:t>Table 1: Formalities and operation of schedule</w:t>
            </w:r>
          </w:p>
        </w:tc>
      </w:tr>
      <w:tr w:rsidR="00030DB8" w:rsidRPr="00D519C8" w14:paraId="754FAADA" w14:textId="77777777" w:rsidTr="00675C15">
        <w:tc>
          <w:tcPr>
            <w:tcW w:w="1691" w:type="dxa"/>
            <w:shd w:val="clear" w:color="auto" w:fill="auto"/>
          </w:tcPr>
          <w:p w14:paraId="7D643F03" w14:textId="77777777" w:rsidR="00030DB8" w:rsidRPr="00D519C8" w:rsidRDefault="00030DB8" w:rsidP="00675C15">
            <w:pPr>
              <w:pStyle w:val="Tableformat"/>
              <w:rPr>
                <w:color w:val="auto"/>
              </w:rPr>
            </w:pPr>
            <w:r w:rsidRPr="00D519C8">
              <w:rPr>
                <w:color w:val="auto"/>
              </w:rPr>
              <w:t>Parties</w:t>
            </w:r>
          </w:p>
        </w:tc>
        <w:tc>
          <w:tcPr>
            <w:tcW w:w="7938" w:type="dxa"/>
            <w:shd w:val="clear" w:color="auto" w:fill="auto"/>
          </w:tcPr>
          <w:p w14:paraId="09D25FBD" w14:textId="77777777" w:rsidR="00030DB8" w:rsidRPr="00D519C8" w:rsidRDefault="00030DB8" w:rsidP="00675C15">
            <w:pPr>
              <w:pStyle w:val="Tableformat"/>
              <w:rPr>
                <w:color w:val="auto"/>
              </w:rPr>
            </w:pPr>
            <w:r w:rsidRPr="00D519C8">
              <w:rPr>
                <w:color w:val="auto"/>
              </w:rPr>
              <w:t>Commonwealth</w:t>
            </w:r>
          </w:p>
          <w:p w14:paraId="66AF7CB2" w14:textId="0CE6AB0E" w:rsidR="00030DB8" w:rsidRPr="00D519C8" w:rsidRDefault="00B73B94" w:rsidP="00675C15">
            <w:pPr>
              <w:pStyle w:val="Tableformat"/>
              <w:rPr>
                <w:color w:val="auto"/>
              </w:rPr>
            </w:pPr>
            <w:r w:rsidRPr="00D519C8">
              <w:rPr>
                <w:color w:val="auto"/>
              </w:rPr>
              <w:t>Queensland</w:t>
            </w:r>
          </w:p>
        </w:tc>
      </w:tr>
      <w:tr w:rsidR="00030DB8" w:rsidRPr="00D519C8" w14:paraId="476791E4" w14:textId="77777777" w:rsidTr="00675C15">
        <w:tc>
          <w:tcPr>
            <w:tcW w:w="1691" w:type="dxa"/>
            <w:shd w:val="clear" w:color="auto" w:fill="auto"/>
          </w:tcPr>
          <w:p w14:paraId="0C5A6682" w14:textId="77777777" w:rsidR="00030DB8" w:rsidRPr="00D519C8" w:rsidRDefault="00030DB8" w:rsidP="00675C15">
            <w:pPr>
              <w:pStyle w:val="Tableformat"/>
              <w:rPr>
                <w:color w:val="auto"/>
              </w:rPr>
            </w:pPr>
            <w:r w:rsidRPr="00D519C8">
              <w:rPr>
                <w:color w:val="auto"/>
              </w:rPr>
              <w:t>Duration</w:t>
            </w:r>
          </w:p>
        </w:tc>
        <w:tc>
          <w:tcPr>
            <w:tcW w:w="7938" w:type="dxa"/>
            <w:shd w:val="clear" w:color="auto" w:fill="auto"/>
          </w:tcPr>
          <w:p w14:paraId="031B3FB4" w14:textId="5BDC77F5" w:rsidR="00030DB8" w:rsidRPr="00D519C8" w:rsidRDefault="00030DB8" w:rsidP="00675C15">
            <w:pPr>
              <w:pStyle w:val="Tableformat"/>
              <w:rPr>
                <w:color w:val="auto"/>
              </w:rPr>
            </w:pPr>
            <w:r w:rsidRPr="00D519C8">
              <w:rPr>
                <w:color w:val="auto"/>
              </w:rPr>
              <w:t xml:space="preserve">This Schedule will commence when the Commonwealth and </w:t>
            </w:r>
            <w:r w:rsidR="00B73B94" w:rsidRPr="00D519C8">
              <w:rPr>
                <w:color w:val="auto"/>
              </w:rPr>
              <w:t>Queensland</w:t>
            </w:r>
            <w:r w:rsidRPr="00D519C8">
              <w:rPr>
                <w:color w:val="auto"/>
              </w:rPr>
              <w:t xml:space="preserve"> sign the schedule and is expected to expire on 30</w:t>
            </w:r>
            <w:r w:rsidR="00C255CA" w:rsidRPr="00D519C8">
              <w:rPr>
                <w:color w:val="auto"/>
              </w:rPr>
              <w:t> </w:t>
            </w:r>
            <w:r w:rsidRPr="00D519C8">
              <w:rPr>
                <w:color w:val="auto"/>
              </w:rPr>
              <w:t>June</w:t>
            </w:r>
            <w:r w:rsidR="00C255CA" w:rsidRPr="00D519C8">
              <w:rPr>
                <w:color w:val="auto"/>
              </w:rPr>
              <w:t> </w:t>
            </w:r>
            <w:r w:rsidRPr="00D519C8">
              <w:rPr>
                <w:color w:val="auto"/>
              </w:rPr>
              <w:t>2029. It will be reviewed by 30 June 2026. It can also be changed at any time with the agreement of both parties.</w:t>
            </w:r>
          </w:p>
        </w:tc>
      </w:tr>
      <w:tr w:rsidR="00030DB8" w:rsidRPr="00D519C8" w14:paraId="42EDA835" w14:textId="77777777" w:rsidTr="00675C15">
        <w:tc>
          <w:tcPr>
            <w:tcW w:w="1691" w:type="dxa"/>
            <w:shd w:val="clear" w:color="auto" w:fill="auto"/>
          </w:tcPr>
          <w:p w14:paraId="6B54A5D4" w14:textId="77777777" w:rsidR="00030DB8" w:rsidRPr="00D519C8" w:rsidRDefault="00030DB8" w:rsidP="00675C15">
            <w:pPr>
              <w:pStyle w:val="Tableformat"/>
              <w:rPr>
                <w:color w:val="auto"/>
              </w:rPr>
            </w:pPr>
            <w:r w:rsidRPr="00D519C8">
              <w:rPr>
                <w:color w:val="auto"/>
              </w:rPr>
              <w:t>Purpose</w:t>
            </w:r>
          </w:p>
        </w:tc>
        <w:tc>
          <w:tcPr>
            <w:tcW w:w="7938" w:type="dxa"/>
            <w:shd w:val="clear" w:color="auto" w:fill="auto"/>
          </w:tcPr>
          <w:p w14:paraId="296AAA3B" w14:textId="79EE7339" w:rsidR="00030DB8" w:rsidRPr="00D519C8" w:rsidRDefault="00030DB8" w:rsidP="00675C15">
            <w:pPr>
              <w:pStyle w:val="Tableformat"/>
              <w:rPr>
                <w:color w:val="auto"/>
              </w:rPr>
            </w:pPr>
            <w:r w:rsidRPr="00D519C8">
              <w:rPr>
                <w:color w:val="auto"/>
              </w:rPr>
              <w:t xml:space="preserve">This Schedule </w:t>
            </w:r>
            <w:r w:rsidR="00615929" w:rsidRPr="00D519C8">
              <w:rPr>
                <w:color w:val="auto"/>
              </w:rPr>
              <w:t xml:space="preserve">is a supplementary housing agreement for the purposes of Section 15C of the </w:t>
            </w:r>
            <w:r w:rsidR="00615929" w:rsidRPr="00D519C8">
              <w:rPr>
                <w:i/>
                <w:iCs w:val="0"/>
                <w:color w:val="auto"/>
              </w:rPr>
              <w:t xml:space="preserve">Federal Financial Relations Act 2009 </w:t>
            </w:r>
            <w:r w:rsidR="00615929" w:rsidRPr="00D519C8">
              <w:rPr>
                <w:color w:val="auto"/>
              </w:rPr>
              <w:t xml:space="preserve">(Cth) (the FFR Act) (Clause 9 of the primary agreement refers), and </w:t>
            </w:r>
            <w:r w:rsidRPr="00D519C8">
              <w:rPr>
                <w:color w:val="auto"/>
              </w:rPr>
              <w:t xml:space="preserve">will </w:t>
            </w:r>
            <w:r w:rsidR="00EB5356">
              <w:rPr>
                <w:color w:val="auto"/>
              </w:rPr>
              <w:t xml:space="preserve">provide a contribution to </w:t>
            </w:r>
            <w:r w:rsidRPr="00D519C8">
              <w:rPr>
                <w:color w:val="auto"/>
              </w:rPr>
              <w:t xml:space="preserve">help people who are experiencing or at risk of homelessness and support the effective operation of </w:t>
            </w:r>
            <w:r w:rsidR="00B73B94" w:rsidRPr="00D519C8">
              <w:rPr>
                <w:color w:val="auto"/>
              </w:rPr>
              <w:t>Queensland</w:t>
            </w:r>
            <w:r w:rsidRPr="00D519C8">
              <w:rPr>
                <w:color w:val="auto"/>
              </w:rPr>
              <w:t>’s</w:t>
            </w:r>
            <w:r w:rsidRPr="00D519C8">
              <w:t xml:space="preserve"> </w:t>
            </w:r>
            <w:r w:rsidRPr="00D519C8">
              <w:rPr>
                <w:color w:val="auto"/>
              </w:rPr>
              <w:t xml:space="preserve">social housing and homelessness services sectors. </w:t>
            </w:r>
          </w:p>
          <w:p w14:paraId="3CDD049B" w14:textId="77777777" w:rsidR="00030DB8" w:rsidRDefault="00030DB8" w:rsidP="00675C15">
            <w:pPr>
              <w:pStyle w:val="Tableformat"/>
              <w:rPr>
                <w:color w:val="auto"/>
              </w:rPr>
            </w:pPr>
            <w:r w:rsidRPr="00D519C8">
              <w:rPr>
                <w:color w:val="auto"/>
              </w:rPr>
              <w:t xml:space="preserve">In committing to this Schedule, the Parties acknowledge their mutual interest in preventing homelessness and improving social housing in </w:t>
            </w:r>
            <w:r w:rsidR="00B73B94" w:rsidRPr="00D519C8">
              <w:rPr>
                <w:color w:val="auto"/>
              </w:rPr>
              <w:t>Queensland,</w:t>
            </w:r>
            <w:r w:rsidRPr="00D519C8">
              <w:rPr>
                <w:color w:val="auto"/>
              </w:rPr>
              <w:t xml:space="preserve"> with particular regard to people experiencing disproportionate housing inequality and disadvantage.</w:t>
            </w:r>
          </w:p>
          <w:p w14:paraId="7C1168C8" w14:textId="388D48BE" w:rsidR="00EB5356" w:rsidRPr="00D519C8" w:rsidRDefault="00EB5356" w:rsidP="00675C15">
            <w:pPr>
              <w:pStyle w:val="Tableformat"/>
              <w:rPr>
                <w:color w:val="auto"/>
              </w:rPr>
            </w:pPr>
          </w:p>
        </w:tc>
      </w:tr>
      <w:tr w:rsidR="00030DB8" w:rsidRPr="00D519C8" w14:paraId="484BA0F8" w14:textId="77777777" w:rsidTr="00675C15">
        <w:trPr>
          <w:trHeight w:val="5538"/>
        </w:trPr>
        <w:tc>
          <w:tcPr>
            <w:tcW w:w="1691" w:type="dxa"/>
            <w:shd w:val="clear" w:color="auto" w:fill="auto"/>
          </w:tcPr>
          <w:p w14:paraId="325AD44B" w14:textId="77777777" w:rsidR="00030DB8" w:rsidRPr="00D519C8" w:rsidRDefault="00030DB8" w:rsidP="00675C15">
            <w:pPr>
              <w:pStyle w:val="Tableformat"/>
              <w:rPr>
                <w:color w:val="auto"/>
              </w:rPr>
            </w:pPr>
            <w:r w:rsidRPr="00D519C8">
              <w:rPr>
                <w:color w:val="auto"/>
              </w:rPr>
              <w:lastRenderedPageBreak/>
              <w:t>Estimated financial contributions</w:t>
            </w:r>
          </w:p>
        </w:tc>
        <w:tc>
          <w:tcPr>
            <w:tcW w:w="7938" w:type="dxa"/>
            <w:shd w:val="clear" w:color="auto" w:fill="auto"/>
          </w:tcPr>
          <w:p w14:paraId="618F0F52" w14:textId="451BFB21" w:rsidR="00834D64" w:rsidRPr="00D519C8" w:rsidRDefault="00834D64" w:rsidP="00675C15">
            <w:pPr>
              <w:pStyle w:val="Tableformat"/>
              <w:rPr>
                <w:color w:val="auto"/>
              </w:rPr>
            </w:pPr>
            <w:r w:rsidRPr="00D519C8">
              <w:rPr>
                <w:color w:val="auto"/>
              </w:rPr>
              <w:t xml:space="preserve">The Commonwealth will provide an estimated total financial contribution to </w:t>
            </w:r>
            <w:r w:rsidRPr="00D519C8">
              <w:rPr>
                <w:noProof/>
                <w:color w:val="auto"/>
                <w:lang w:val="en-AU"/>
              </w:rPr>
              <w:t xml:space="preserve">Queensland of $1,856.11m </w:t>
            </w:r>
            <w:r w:rsidRPr="00D519C8">
              <w:rPr>
                <w:color w:val="auto"/>
              </w:rPr>
              <w:t>in respect of this Schedule.</w:t>
            </w:r>
            <w:r w:rsidRPr="00D519C8">
              <w:rPr>
                <w:noProof/>
                <w:color w:val="auto"/>
                <w:lang w:val="en-AU"/>
              </w:rPr>
              <mc:AlternateContent>
                <mc:Choice Requires="wps">
                  <w:drawing>
                    <wp:inline distT="0" distB="0" distL="0" distR="0" wp14:anchorId="38959973" wp14:editId="56AF5D53">
                      <wp:extent cx="5019675" cy="3114675"/>
                      <wp:effectExtent l="0" t="0" r="9525" b="9525"/>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114675"/>
                              </a:xfrm>
                              <a:prstGeom prst="rect">
                                <a:avLst/>
                              </a:prstGeom>
                              <a:solidFill>
                                <a:srgbClr val="FFFFFF"/>
                              </a:solidFill>
                              <a:ln w="9525">
                                <a:noFill/>
                                <a:miter lim="800000"/>
                                <a:headEnd/>
                                <a:tailEnd/>
                              </a:ln>
                            </wps:spPr>
                            <wps:txbx>
                              <w:txbxContent>
                                <w:tbl>
                                  <w:tblPr>
                                    <w:tblW w:w="7722" w:type="dxa"/>
                                    <w:tblLook w:val="01E0" w:firstRow="1" w:lastRow="1" w:firstColumn="1" w:lastColumn="1" w:noHBand="0" w:noVBand="0"/>
                                  </w:tblPr>
                                  <w:tblGrid>
                                    <w:gridCol w:w="1841"/>
                                    <w:gridCol w:w="1026"/>
                                    <w:gridCol w:w="1042"/>
                                    <w:gridCol w:w="919"/>
                                    <w:gridCol w:w="919"/>
                                    <w:gridCol w:w="979"/>
                                    <w:gridCol w:w="996"/>
                                  </w:tblGrid>
                                  <w:tr w:rsidR="00834D64" w:rsidRPr="00101AB3" w14:paraId="73F61DC0" w14:textId="77777777" w:rsidTr="00032FCD">
                                    <w:trPr>
                                      <w:cantSplit/>
                                    </w:trPr>
                                    <w:tc>
                                      <w:tcPr>
                                        <w:tcW w:w="1843" w:type="dxa"/>
                                        <w:tcBorders>
                                          <w:top w:val="single" w:sz="4" w:space="0" w:color="000080"/>
                                          <w:bottom w:val="single" w:sz="4" w:space="0" w:color="000080"/>
                                        </w:tcBorders>
                                      </w:tcPr>
                                      <w:p w14:paraId="1932A224" w14:textId="77777777" w:rsidR="00834D64" w:rsidRDefault="00834D64" w:rsidP="002328CB">
                                        <w:pPr>
                                          <w:keepNext/>
                                          <w:keepLines/>
                                          <w:spacing w:before="40" w:after="40"/>
                                          <w:ind w:left="-111"/>
                                          <w:rPr>
                                            <w:b/>
                                            <w:sz w:val="21"/>
                                            <w:szCs w:val="21"/>
                                          </w:rPr>
                                        </w:pPr>
                                        <w:r>
                                          <w:rPr>
                                            <w:b/>
                                            <w:sz w:val="21"/>
                                            <w:szCs w:val="21"/>
                                          </w:rPr>
                                          <w:t>Table 1</w:t>
                                        </w:r>
                                      </w:p>
                                      <w:p w14:paraId="46830570" w14:textId="77777777" w:rsidR="00834D64" w:rsidRPr="005D39DD" w:rsidRDefault="00834D64" w:rsidP="002328CB">
                                        <w:pPr>
                                          <w:keepNext/>
                                          <w:keepLines/>
                                          <w:spacing w:before="40" w:after="40"/>
                                          <w:ind w:left="-111"/>
                                          <w:rPr>
                                            <w:b/>
                                            <w:sz w:val="21"/>
                                            <w:szCs w:val="21"/>
                                          </w:rPr>
                                        </w:pPr>
                                        <w:r w:rsidRPr="005D39DD">
                                          <w:rPr>
                                            <w:b/>
                                            <w:sz w:val="21"/>
                                            <w:szCs w:val="21"/>
                                          </w:rPr>
                                          <w:t>($ million)</w:t>
                                        </w:r>
                                      </w:p>
                                    </w:tc>
                                    <w:tc>
                                      <w:tcPr>
                                        <w:tcW w:w="1030" w:type="dxa"/>
                                        <w:tcBorders>
                                          <w:top w:val="single" w:sz="4" w:space="0" w:color="000080"/>
                                          <w:bottom w:val="single" w:sz="4" w:space="0" w:color="000080"/>
                                        </w:tcBorders>
                                        <w:vAlign w:val="center"/>
                                      </w:tcPr>
                                      <w:p w14:paraId="2B7462AB" w14:textId="77777777" w:rsidR="00834D64" w:rsidRPr="002328CB" w:rsidRDefault="00834D64" w:rsidP="002328CB">
                                        <w:pPr>
                                          <w:keepNext/>
                                          <w:keepLines/>
                                          <w:spacing w:before="40" w:after="40"/>
                                          <w:jc w:val="right"/>
                                          <w:rPr>
                                            <w:b/>
                                            <w:i/>
                                            <w:sz w:val="21"/>
                                            <w:szCs w:val="21"/>
                                          </w:rPr>
                                        </w:pPr>
                                        <w:r>
                                          <w:rPr>
                                            <w:b/>
                                            <w:i/>
                                            <w:sz w:val="21"/>
                                            <w:szCs w:val="21"/>
                                          </w:rPr>
                                          <w:t>2024-25</w:t>
                                        </w:r>
                                      </w:p>
                                    </w:tc>
                                    <w:tc>
                                      <w:tcPr>
                                        <w:tcW w:w="1046" w:type="dxa"/>
                                        <w:tcBorders>
                                          <w:top w:val="single" w:sz="4" w:space="0" w:color="000080"/>
                                          <w:bottom w:val="single" w:sz="4" w:space="0" w:color="000080"/>
                                        </w:tcBorders>
                                        <w:vAlign w:val="center"/>
                                      </w:tcPr>
                                      <w:p w14:paraId="2AFA10D1"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2" w:type="dxa"/>
                                        <w:tcBorders>
                                          <w:top w:val="single" w:sz="4" w:space="0" w:color="000080"/>
                                          <w:bottom w:val="single" w:sz="4" w:space="0" w:color="000080"/>
                                        </w:tcBorders>
                                        <w:vAlign w:val="center"/>
                                      </w:tcPr>
                                      <w:p w14:paraId="5663DB78"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6</w:t>
                                        </w:r>
                                        <w:r>
                                          <w:rPr>
                                            <w:b/>
                                            <w:i/>
                                            <w:sz w:val="21"/>
                                            <w:szCs w:val="21"/>
                                          </w:rPr>
                                          <w:noBreakHyphen/>
                                        </w:r>
                                        <w:r w:rsidRPr="00100398">
                                          <w:rPr>
                                            <w:b/>
                                            <w:i/>
                                            <w:sz w:val="21"/>
                                            <w:szCs w:val="21"/>
                                          </w:rPr>
                                          <w:t>2</w:t>
                                        </w:r>
                                        <w:r>
                                          <w:rPr>
                                            <w:b/>
                                            <w:i/>
                                            <w:sz w:val="21"/>
                                            <w:szCs w:val="21"/>
                                          </w:rPr>
                                          <w:t>7</w:t>
                                        </w:r>
                                      </w:p>
                                    </w:tc>
                                    <w:tc>
                                      <w:tcPr>
                                        <w:tcW w:w="913" w:type="dxa"/>
                                        <w:tcBorders>
                                          <w:top w:val="single" w:sz="4" w:space="0" w:color="000080"/>
                                          <w:bottom w:val="single" w:sz="4" w:space="0" w:color="000080"/>
                                        </w:tcBorders>
                                        <w:vAlign w:val="center"/>
                                      </w:tcPr>
                                      <w:p w14:paraId="4FE7779D"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7</w:t>
                                        </w:r>
                                        <w:r>
                                          <w:rPr>
                                            <w:b/>
                                            <w:i/>
                                            <w:sz w:val="21"/>
                                            <w:szCs w:val="21"/>
                                          </w:rPr>
                                          <w:noBreakHyphen/>
                                        </w:r>
                                        <w:r w:rsidRPr="00100398">
                                          <w:rPr>
                                            <w:b/>
                                            <w:i/>
                                            <w:sz w:val="21"/>
                                            <w:szCs w:val="21"/>
                                          </w:rPr>
                                          <w:t>2</w:t>
                                        </w:r>
                                        <w:r>
                                          <w:rPr>
                                            <w:b/>
                                            <w:i/>
                                            <w:sz w:val="21"/>
                                            <w:szCs w:val="21"/>
                                          </w:rPr>
                                          <w:t>8</w:t>
                                        </w:r>
                                      </w:p>
                                    </w:tc>
                                    <w:tc>
                                      <w:tcPr>
                                        <w:tcW w:w="982" w:type="dxa"/>
                                        <w:tcBorders>
                                          <w:top w:val="single" w:sz="4" w:space="0" w:color="000080"/>
                                          <w:bottom w:val="single" w:sz="4" w:space="0" w:color="000080"/>
                                        </w:tcBorders>
                                        <w:vAlign w:val="center"/>
                                      </w:tcPr>
                                      <w:p w14:paraId="7DE4A6E3"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96" w:type="dxa"/>
                                        <w:tcBorders>
                                          <w:top w:val="single" w:sz="4" w:space="0" w:color="000080"/>
                                          <w:bottom w:val="single" w:sz="4" w:space="0" w:color="000080"/>
                                        </w:tcBorders>
                                        <w:vAlign w:val="center"/>
                                      </w:tcPr>
                                      <w:p w14:paraId="47E33F09" w14:textId="77777777" w:rsidR="00834D64" w:rsidRPr="002328CB" w:rsidRDefault="00834D64" w:rsidP="002328CB">
                                        <w:pPr>
                                          <w:keepNext/>
                                          <w:keepLines/>
                                          <w:spacing w:before="40" w:after="40"/>
                                          <w:jc w:val="right"/>
                                          <w:rPr>
                                            <w:b/>
                                            <w:i/>
                                            <w:sz w:val="21"/>
                                            <w:szCs w:val="21"/>
                                          </w:rPr>
                                        </w:pPr>
                                        <w:r w:rsidRPr="002328CB">
                                          <w:rPr>
                                            <w:b/>
                                            <w:i/>
                                            <w:sz w:val="21"/>
                                            <w:szCs w:val="21"/>
                                          </w:rPr>
                                          <w:t>Total</w:t>
                                        </w:r>
                                      </w:p>
                                    </w:tc>
                                  </w:tr>
                                  <w:tr w:rsidR="00834D64" w:rsidRPr="00101AB3" w14:paraId="4738BB48" w14:textId="77777777" w:rsidTr="00032FCD">
                                    <w:trPr>
                                      <w:cantSplit/>
                                    </w:trPr>
                                    <w:tc>
                                      <w:tcPr>
                                        <w:tcW w:w="1843" w:type="dxa"/>
                                        <w:tcBorders>
                                          <w:top w:val="single" w:sz="4" w:space="0" w:color="000080"/>
                                        </w:tcBorders>
                                      </w:tcPr>
                                      <w:p w14:paraId="43E034A7" w14:textId="77777777" w:rsidR="00834D64" w:rsidRPr="005D39DD" w:rsidRDefault="00834D64" w:rsidP="007E44E6">
                                        <w:pPr>
                                          <w:keepNext/>
                                          <w:keepLines/>
                                          <w:spacing w:before="60" w:after="60"/>
                                          <w:ind w:left="-111"/>
                                          <w:rPr>
                                            <w:b/>
                                            <w:sz w:val="21"/>
                                            <w:szCs w:val="21"/>
                                          </w:rPr>
                                        </w:pPr>
                                      </w:p>
                                    </w:tc>
                                    <w:tc>
                                      <w:tcPr>
                                        <w:tcW w:w="1030" w:type="dxa"/>
                                        <w:tcBorders>
                                          <w:top w:val="single" w:sz="4" w:space="0" w:color="000080"/>
                                        </w:tcBorders>
                                      </w:tcPr>
                                      <w:p w14:paraId="0B50C5B6" w14:textId="77777777" w:rsidR="00834D64" w:rsidRPr="005D39DD" w:rsidRDefault="00834D64" w:rsidP="007E44E6">
                                        <w:pPr>
                                          <w:keepNext/>
                                          <w:keepLines/>
                                          <w:spacing w:before="40" w:after="40"/>
                                          <w:jc w:val="right"/>
                                          <w:rPr>
                                            <w:b/>
                                            <w:sz w:val="21"/>
                                            <w:szCs w:val="21"/>
                                          </w:rPr>
                                        </w:pPr>
                                      </w:p>
                                    </w:tc>
                                    <w:tc>
                                      <w:tcPr>
                                        <w:tcW w:w="1046" w:type="dxa"/>
                                        <w:tcBorders>
                                          <w:top w:val="single" w:sz="4" w:space="0" w:color="000080"/>
                                        </w:tcBorders>
                                      </w:tcPr>
                                      <w:p w14:paraId="34BD7ED5" w14:textId="77777777" w:rsidR="00834D64" w:rsidRPr="005D39DD" w:rsidRDefault="00834D64" w:rsidP="007E44E6">
                                        <w:pPr>
                                          <w:keepNext/>
                                          <w:keepLines/>
                                          <w:spacing w:before="40" w:after="40"/>
                                          <w:jc w:val="right"/>
                                          <w:rPr>
                                            <w:b/>
                                            <w:sz w:val="21"/>
                                            <w:szCs w:val="21"/>
                                          </w:rPr>
                                        </w:pPr>
                                      </w:p>
                                    </w:tc>
                                    <w:tc>
                                      <w:tcPr>
                                        <w:tcW w:w="912" w:type="dxa"/>
                                        <w:tcBorders>
                                          <w:top w:val="single" w:sz="4" w:space="0" w:color="000080"/>
                                        </w:tcBorders>
                                      </w:tcPr>
                                      <w:p w14:paraId="64B76F31" w14:textId="77777777" w:rsidR="00834D64" w:rsidRPr="005D39DD" w:rsidRDefault="00834D64" w:rsidP="007E44E6">
                                        <w:pPr>
                                          <w:keepNext/>
                                          <w:keepLines/>
                                          <w:spacing w:before="40" w:after="40"/>
                                          <w:jc w:val="right"/>
                                          <w:rPr>
                                            <w:b/>
                                            <w:sz w:val="21"/>
                                            <w:szCs w:val="21"/>
                                          </w:rPr>
                                        </w:pPr>
                                      </w:p>
                                    </w:tc>
                                    <w:tc>
                                      <w:tcPr>
                                        <w:tcW w:w="913" w:type="dxa"/>
                                        <w:tcBorders>
                                          <w:top w:val="single" w:sz="4" w:space="0" w:color="000080"/>
                                        </w:tcBorders>
                                      </w:tcPr>
                                      <w:p w14:paraId="6C31A562" w14:textId="77777777" w:rsidR="00834D64" w:rsidRPr="005D39DD" w:rsidRDefault="00834D64" w:rsidP="007E44E6">
                                        <w:pPr>
                                          <w:keepNext/>
                                          <w:keepLines/>
                                          <w:spacing w:before="40" w:after="40"/>
                                          <w:jc w:val="right"/>
                                          <w:rPr>
                                            <w:b/>
                                            <w:sz w:val="21"/>
                                            <w:szCs w:val="21"/>
                                          </w:rPr>
                                        </w:pPr>
                                      </w:p>
                                    </w:tc>
                                    <w:tc>
                                      <w:tcPr>
                                        <w:tcW w:w="982" w:type="dxa"/>
                                        <w:tcBorders>
                                          <w:top w:val="single" w:sz="4" w:space="0" w:color="000080"/>
                                        </w:tcBorders>
                                      </w:tcPr>
                                      <w:p w14:paraId="47A280BC" w14:textId="77777777" w:rsidR="00834D64" w:rsidRPr="005D39DD" w:rsidRDefault="00834D64" w:rsidP="007E44E6">
                                        <w:pPr>
                                          <w:keepNext/>
                                          <w:keepLines/>
                                          <w:spacing w:before="40" w:after="40"/>
                                          <w:jc w:val="right"/>
                                          <w:rPr>
                                            <w:b/>
                                            <w:sz w:val="21"/>
                                            <w:szCs w:val="21"/>
                                          </w:rPr>
                                        </w:pPr>
                                      </w:p>
                                    </w:tc>
                                    <w:tc>
                                      <w:tcPr>
                                        <w:tcW w:w="996" w:type="dxa"/>
                                        <w:tcBorders>
                                          <w:top w:val="single" w:sz="4" w:space="0" w:color="000080"/>
                                        </w:tcBorders>
                                      </w:tcPr>
                                      <w:p w14:paraId="403187EF" w14:textId="77777777" w:rsidR="00834D64" w:rsidRPr="005D39DD" w:rsidRDefault="00834D64" w:rsidP="007E44E6">
                                        <w:pPr>
                                          <w:keepNext/>
                                          <w:keepLines/>
                                          <w:spacing w:before="40" w:after="40"/>
                                          <w:jc w:val="right"/>
                                          <w:rPr>
                                            <w:b/>
                                            <w:sz w:val="21"/>
                                            <w:szCs w:val="21"/>
                                          </w:rPr>
                                        </w:pPr>
                                      </w:p>
                                    </w:tc>
                                  </w:tr>
                                  <w:tr w:rsidR="00834D64" w:rsidRPr="00101AB3" w14:paraId="76C03F78" w14:textId="77777777" w:rsidTr="00032FCD">
                                    <w:trPr>
                                      <w:cantSplit/>
                                    </w:trPr>
                                    <w:tc>
                                      <w:tcPr>
                                        <w:tcW w:w="1843" w:type="dxa"/>
                                      </w:tcPr>
                                      <w:p w14:paraId="6675A2BA" w14:textId="77777777" w:rsidR="00834D64" w:rsidRPr="008C6B79" w:rsidRDefault="00834D64" w:rsidP="00032FCD">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1030" w:type="dxa"/>
                                      </w:tcPr>
                                      <w:p w14:paraId="49F0B726" w14:textId="77777777" w:rsidR="00834D64" w:rsidRPr="005D39DD" w:rsidRDefault="00834D64" w:rsidP="00032FCD">
                                        <w:pPr>
                                          <w:keepNext/>
                                          <w:keepLines/>
                                          <w:spacing w:before="40" w:after="40"/>
                                          <w:jc w:val="right"/>
                                          <w:rPr>
                                            <w:sz w:val="21"/>
                                            <w:szCs w:val="21"/>
                                          </w:rPr>
                                        </w:pPr>
                                        <w:r w:rsidRPr="0047102D">
                                          <w:t xml:space="preserve"> 282.15 </w:t>
                                        </w:r>
                                      </w:p>
                                    </w:tc>
                                    <w:tc>
                                      <w:tcPr>
                                        <w:tcW w:w="1046" w:type="dxa"/>
                                      </w:tcPr>
                                      <w:p w14:paraId="32AF1721" w14:textId="77777777" w:rsidR="00834D64" w:rsidRPr="005D39DD" w:rsidRDefault="00834D64" w:rsidP="00032FCD">
                                        <w:pPr>
                                          <w:keepNext/>
                                          <w:keepLines/>
                                          <w:spacing w:before="40" w:after="40"/>
                                          <w:jc w:val="right"/>
                                          <w:rPr>
                                            <w:sz w:val="21"/>
                                            <w:szCs w:val="21"/>
                                          </w:rPr>
                                        </w:pPr>
                                        <w:r w:rsidRPr="0047102D">
                                          <w:t xml:space="preserve"> 288.64 </w:t>
                                        </w:r>
                                      </w:p>
                                    </w:tc>
                                    <w:tc>
                                      <w:tcPr>
                                        <w:tcW w:w="912" w:type="dxa"/>
                                      </w:tcPr>
                                      <w:p w14:paraId="02171D2A" w14:textId="77777777" w:rsidR="00834D64" w:rsidRPr="005D39DD" w:rsidRDefault="00834D64" w:rsidP="00032FCD">
                                        <w:pPr>
                                          <w:keepNext/>
                                          <w:keepLines/>
                                          <w:spacing w:before="40" w:after="40"/>
                                          <w:jc w:val="right"/>
                                          <w:rPr>
                                            <w:sz w:val="21"/>
                                            <w:szCs w:val="21"/>
                                          </w:rPr>
                                        </w:pPr>
                                        <w:r w:rsidRPr="0047102D">
                                          <w:t xml:space="preserve"> 294.99 </w:t>
                                        </w:r>
                                      </w:p>
                                    </w:tc>
                                    <w:tc>
                                      <w:tcPr>
                                        <w:tcW w:w="913" w:type="dxa"/>
                                      </w:tcPr>
                                      <w:p w14:paraId="4BC6955F" w14:textId="77777777" w:rsidR="00834D64" w:rsidRPr="005D39DD" w:rsidRDefault="00834D64" w:rsidP="00032FCD">
                                        <w:pPr>
                                          <w:keepNext/>
                                          <w:keepLines/>
                                          <w:spacing w:before="40" w:after="40"/>
                                          <w:jc w:val="right"/>
                                          <w:rPr>
                                            <w:sz w:val="21"/>
                                            <w:szCs w:val="21"/>
                                          </w:rPr>
                                        </w:pPr>
                                        <w:r w:rsidRPr="0047102D">
                                          <w:t xml:space="preserve"> 300.89 </w:t>
                                        </w:r>
                                      </w:p>
                                    </w:tc>
                                    <w:tc>
                                      <w:tcPr>
                                        <w:tcW w:w="982" w:type="dxa"/>
                                      </w:tcPr>
                                      <w:p w14:paraId="1C5D3170" w14:textId="77777777" w:rsidR="00834D64" w:rsidRPr="005D39DD" w:rsidRDefault="00834D64" w:rsidP="00032FCD">
                                        <w:pPr>
                                          <w:keepNext/>
                                          <w:keepLines/>
                                          <w:spacing w:before="40" w:after="40"/>
                                          <w:jc w:val="right"/>
                                          <w:rPr>
                                            <w:sz w:val="21"/>
                                            <w:szCs w:val="21"/>
                                          </w:rPr>
                                        </w:pPr>
                                        <w:r w:rsidRPr="0047102D">
                                          <w:t xml:space="preserve"> 306.91 </w:t>
                                        </w:r>
                                      </w:p>
                                    </w:tc>
                                    <w:tc>
                                      <w:tcPr>
                                        <w:tcW w:w="996" w:type="dxa"/>
                                      </w:tcPr>
                                      <w:p w14:paraId="3E3E4A96" w14:textId="77777777" w:rsidR="00834D64" w:rsidRPr="005D39DD" w:rsidRDefault="00834D64" w:rsidP="00032FCD">
                                        <w:pPr>
                                          <w:keepNext/>
                                          <w:keepLines/>
                                          <w:spacing w:before="40" w:after="40"/>
                                          <w:jc w:val="right"/>
                                          <w:rPr>
                                            <w:sz w:val="21"/>
                                            <w:szCs w:val="21"/>
                                          </w:rPr>
                                        </w:pPr>
                                        <w:r w:rsidRPr="0047102D">
                                          <w:t xml:space="preserve">1,473.59 </w:t>
                                        </w:r>
                                      </w:p>
                                    </w:tc>
                                  </w:tr>
                                  <w:tr w:rsidR="00834D64" w:rsidRPr="00101AB3" w14:paraId="0B9033FB" w14:textId="77777777" w:rsidTr="00032FCD">
                                    <w:trPr>
                                      <w:cantSplit/>
                                    </w:trPr>
                                    <w:tc>
                                      <w:tcPr>
                                        <w:tcW w:w="1843" w:type="dxa"/>
                                      </w:tcPr>
                                      <w:p w14:paraId="484FDCC6" w14:textId="77777777" w:rsidR="00834D64" w:rsidRPr="008C6B79" w:rsidRDefault="00834D64" w:rsidP="00032FCD">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1030" w:type="dxa"/>
                                      </w:tcPr>
                                      <w:p w14:paraId="3AD56D46" w14:textId="77777777" w:rsidR="00834D64" w:rsidRDefault="00834D64" w:rsidP="00032FCD">
                                        <w:pPr>
                                          <w:keepNext/>
                                          <w:keepLines/>
                                          <w:spacing w:before="40" w:after="40"/>
                                          <w:jc w:val="right"/>
                                        </w:pPr>
                                        <w:r w:rsidRPr="00950419">
                                          <w:t xml:space="preserve"> </w:t>
                                        </w:r>
                                      </w:p>
                                      <w:p w14:paraId="28CDEC00" w14:textId="77777777" w:rsidR="00834D64" w:rsidRPr="005D39DD" w:rsidRDefault="00834D64" w:rsidP="00032FCD">
                                        <w:pPr>
                                          <w:keepNext/>
                                          <w:keepLines/>
                                          <w:spacing w:before="40" w:after="40"/>
                                          <w:jc w:val="right"/>
                                          <w:rPr>
                                            <w:sz w:val="21"/>
                                            <w:szCs w:val="21"/>
                                          </w:rPr>
                                        </w:pPr>
                                        <w:r w:rsidRPr="00950419">
                                          <w:t xml:space="preserve">73.24 </w:t>
                                        </w:r>
                                      </w:p>
                                    </w:tc>
                                    <w:tc>
                                      <w:tcPr>
                                        <w:tcW w:w="1046" w:type="dxa"/>
                                      </w:tcPr>
                                      <w:p w14:paraId="7EE3801B" w14:textId="77777777" w:rsidR="00834D64" w:rsidRDefault="00834D64" w:rsidP="00032FCD">
                                        <w:pPr>
                                          <w:keepNext/>
                                          <w:keepLines/>
                                          <w:spacing w:before="40" w:after="40"/>
                                          <w:jc w:val="right"/>
                                        </w:pPr>
                                        <w:r w:rsidRPr="00950419">
                                          <w:t xml:space="preserve"> </w:t>
                                        </w:r>
                                      </w:p>
                                      <w:p w14:paraId="78B69047" w14:textId="77777777" w:rsidR="00834D64" w:rsidRPr="005D39DD" w:rsidRDefault="00834D64" w:rsidP="00032FCD">
                                        <w:pPr>
                                          <w:keepNext/>
                                          <w:keepLines/>
                                          <w:spacing w:before="40" w:after="40"/>
                                          <w:jc w:val="right"/>
                                          <w:rPr>
                                            <w:sz w:val="21"/>
                                            <w:szCs w:val="21"/>
                                          </w:rPr>
                                        </w:pPr>
                                        <w:r w:rsidRPr="00950419">
                                          <w:t xml:space="preserve">74.93 </w:t>
                                        </w:r>
                                      </w:p>
                                    </w:tc>
                                    <w:tc>
                                      <w:tcPr>
                                        <w:tcW w:w="912" w:type="dxa"/>
                                      </w:tcPr>
                                      <w:p w14:paraId="0EC9F965" w14:textId="77777777" w:rsidR="00834D64" w:rsidRDefault="00834D64" w:rsidP="00032FCD">
                                        <w:pPr>
                                          <w:keepNext/>
                                          <w:keepLines/>
                                          <w:spacing w:before="40" w:after="40"/>
                                          <w:jc w:val="right"/>
                                        </w:pPr>
                                      </w:p>
                                      <w:p w14:paraId="75714612" w14:textId="77777777" w:rsidR="00834D64" w:rsidRPr="005D39DD" w:rsidRDefault="00834D64" w:rsidP="00032FCD">
                                        <w:pPr>
                                          <w:keepNext/>
                                          <w:keepLines/>
                                          <w:spacing w:before="40" w:after="40"/>
                                          <w:jc w:val="right"/>
                                          <w:rPr>
                                            <w:sz w:val="21"/>
                                            <w:szCs w:val="21"/>
                                          </w:rPr>
                                        </w:pPr>
                                        <w:r w:rsidRPr="00950419">
                                          <w:t xml:space="preserve"> 76.58 </w:t>
                                        </w:r>
                                      </w:p>
                                    </w:tc>
                                    <w:tc>
                                      <w:tcPr>
                                        <w:tcW w:w="913" w:type="dxa"/>
                                      </w:tcPr>
                                      <w:p w14:paraId="159A0B17" w14:textId="77777777" w:rsidR="00834D64" w:rsidRDefault="00834D64" w:rsidP="00032FCD">
                                        <w:pPr>
                                          <w:keepNext/>
                                          <w:keepLines/>
                                          <w:spacing w:before="40" w:after="40"/>
                                          <w:jc w:val="right"/>
                                        </w:pPr>
                                      </w:p>
                                      <w:p w14:paraId="51A83038" w14:textId="77777777" w:rsidR="00834D64" w:rsidRPr="005D39DD" w:rsidRDefault="00834D64" w:rsidP="00032FCD">
                                        <w:pPr>
                                          <w:keepNext/>
                                          <w:keepLines/>
                                          <w:spacing w:before="40" w:after="40"/>
                                          <w:jc w:val="right"/>
                                          <w:rPr>
                                            <w:sz w:val="21"/>
                                            <w:szCs w:val="21"/>
                                          </w:rPr>
                                        </w:pPr>
                                        <w:r w:rsidRPr="00950419">
                                          <w:t xml:space="preserve"> 78.11 </w:t>
                                        </w:r>
                                      </w:p>
                                    </w:tc>
                                    <w:tc>
                                      <w:tcPr>
                                        <w:tcW w:w="982" w:type="dxa"/>
                                      </w:tcPr>
                                      <w:p w14:paraId="3C4EBD65" w14:textId="77777777" w:rsidR="00834D64" w:rsidRDefault="00834D64" w:rsidP="00032FCD">
                                        <w:pPr>
                                          <w:keepNext/>
                                          <w:keepLines/>
                                          <w:spacing w:before="40" w:after="40"/>
                                          <w:jc w:val="right"/>
                                        </w:pPr>
                                      </w:p>
                                      <w:p w14:paraId="33C4987E" w14:textId="77777777" w:rsidR="00834D64" w:rsidRPr="005D39DD" w:rsidRDefault="00834D64" w:rsidP="00032FCD">
                                        <w:pPr>
                                          <w:keepNext/>
                                          <w:keepLines/>
                                          <w:spacing w:before="40" w:after="40"/>
                                          <w:jc w:val="right"/>
                                          <w:rPr>
                                            <w:sz w:val="21"/>
                                            <w:szCs w:val="21"/>
                                          </w:rPr>
                                        </w:pPr>
                                        <w:r w:rsidRPr="00950419">
                                          <w:t xml:space="preserve"> 79.67 </w:t>
                                        </w:r>
                                      </w:p>
                                    </w:tc>
                                    <w:tc>
                                      <w:tcPr>
                                        <w:tcW w:w="996" w:type="dxa"/>
                                      </w:tcPr>
                                      <w:p w14:paraId="181AFA95" w14:textId="77777777" w:rsidR="00834D64" w:rsidRDefault="00834D64" w:rsidP="00032FCD">
                                        <w:pPr>
                                          <w:keepNext/>
                                          <w:keepLines/>
                                          <w:spacing w:before="40" w:after="40"/>
                                          <w:jc w:val="right"/>
                                        </w:pPr>
                                        <w:r w:rsidRPr="00950419">
                                          <w:t xml:space="preserve"> </w:t>
                                        </w:r>
                                      </w:p>
                                      <w:p w14:paraId="5E0BF3AE" w14:textId="77777777" w:rsidR="00834D64" w:rsidRPr="005D39DD" w:rsidRDefault="00834D64" w:rsidP="00032FCD">
                                        <w:pPr>
                                          <w:keepNext/>
                                          <w:keepLines/>
                                          <w:spacing w:before="40" w:after="40"/>
                                          <w:jc w:val="right"/>
                                          <w:rPr>
                                            <w:sz w:val="21"/>
                                            <w:szCs w:val="21"/>
                                          </w:rPr>
                                        </w:pPr>
                                        <w:r w:rsidRPr="00950419">
                                          <w:t xml:space="preserve">382.52 </w:t>
                                        </w:r>
                                      </w:p>
                                    </w:tc>
                                  </w:tr>
                                  <w:tr w:rsidR="00834D64" w:rsidRPr="00101AB3" w14:paraId="72CE92CD" w14:textId="77777777" w:rsidTr="00032FCD">
                                    <w:trPr>
                                      <w:cantSplit/>
                                    </w:trPr>
                                    <w:tc>
                                      <w:tcPr>
                                        <w:tcW w:w="1843" w:type="dxa"/>
                                        <w:tcBorders>
                                          <w:bottom w:val="single" w:sz="4" w:space="0" w:color="000080"/>
                                        </w:tcBorders>
                                      </w:tcPr>
                                      <w:p w14:paraId="3626C886" w14:textId="77777777" w:rsidR="00834D64" w:rsidRPr="008C6B79" w:rsidRDefault="00834D64" w:rsidP="00032FCD">
                                        <w:pPr>
                                          <w:keepNext/>
                                          <w:keepLines/>
                                          <w:spacing w:before="40" w:after="40"/>
                                          <w:ind w:left="-111"/>
                                          <w:rPr>
                                            <w:sz w:val="21"/>
                                            <w:szCs w:val="21"/>
                                          </w:rPr>
                                        </w:pPr>
                                        <w:r>
                                          <w:rPr>
                                            <w:sz w:val="21"/>
                                            <w:szCs w:val="21"/>
                                          </w:rPr>
                                          <w:t>Queensland-matched homelessness funding</w:t>
                                        </w:r>
                                      </w:p>
                                    </w:tc>
                                    <w:tc>
                                      <w:tcPr>
                                        <w:tcW w:w="1030" w:type="dxa"/>
                                        <w:tcBorders>
                                          <w:bottom w:val="single" w:sz="4" w:space="0" w:color="000080"/>
                                        </w:tcBorders>
                                      </w:tcPr>
                                      <w:p w14:paraId="08E79A32" w14:textId="77777777" w:rsidR="00834D64" w:rsidRPr="005D39DD" w:rsidRDefault="00834D64" w:rsidP="00032FCD">
                                        <w:pPr>
                                          <w:keepNext/>
                                          <w:keepLines/>
                                          <w:spacing w:before="40" w:after="40"/>
                                          <w:jc w:val="right"/>
                                          <w:rPr>
                                            <w:sz w:val="21"/>
                                            <w:szCs w:val="21"/>
                                          </w:rPr>
                                        </w:pPr>
                                        <w:r w:rsidRPr="001A75E3">
                                          <w:t xml:space="preserve"> 73.24 </w:t>
                                        </w:r>
                                      </w:p>
                                    </w:tc>
                                    <w:tc>
                                      <w:tcPr>
                                        <w:tcW w:w="1046" w:type="dxa"/>
                                        <w:tcBorders>
                                          <w:bottom w:val="single" w:sz="4" w:space="0" w:color="000080"/>
                                        </w:tcBorders>
                                      </w:tcPr>
                                      <w:p w14:paraId="381317A7" w14:textId="77777777" w:rsidR="00834D64" w:rsidRPr="005D39DD" w:rsidRDefault="00834D64" w:rsidP="00032FCD">
                                        <w:pPr>
                                          <w:keepNext/>
                                          <w:keepLines/>
                                          <w:spacing w:before="40" w:after="40"/>
                                          <w:jc w:val="right"/>
                                          <w:rPr>
                                            <w:sz w:val="21"/>
                                            <w:szCs w:val="21"/>
                                          </w:rPr>
                                        </w:pPr>
                                        <w:r w:rsidRPr="001A75E3">
                                          <w:t xml:space="preserve"> 74.93 </w:t>
                                        </w:r>
                                      </w:p>
                                    </w:tc>
                                    <w:tc>
                                      <w:tcPr>
                                        <w:tcW w:w="912" w:type="dxa"/>
                                        <w:tcBorders>
                                          <w:bottom w:val="single" w:sz="4" w:space="0" w:color="000080"/>
                                        </w:tcBorders>
                                      </w:tcPr>
                                      <w:p w14:paraId="4F7F30F1" w14:textId="77777777" w:rsidR="00834D64" w:rsidRPr="005D39DD" w:rsidRDefault="00834D64" w:rsidP="00032FCD">
                                        <w:pPr>
                                          <w:keepNext/>
                                          <w:keepLines/>
                                          <w:spacing w:before="40" w:after="40"/>
                                          <w:jc w:val="right"/>
                                          <w:rPr>
                                            <w:sz w:val="21"/>
                                            <w:szCs w:val="21"/>
                                          </w:rPr>
                                        </w:pPr>
                                        <w:r w:rsidRPr="001A75E3">
                                          <w:t xml:space="preserve"> 76.58 </w:t>
                                        </w:r>
                                      </w:p>
                                    </w:tc>
                                    <w:tc>
                                      <w:tcPr>
                                        <w:tcW w:w="913" w:type="dxa"/>
                                        <w:tcBorders>
                                          <w:bottom w:val="single" w:sz="4" w:space="0" w:color="000080"/>
                                        </w:tcBorders>
                                      </w:tcPr>
                                      <w:p w14:paraId="5D856E22" w14:textId="77777777" w:rsidR="00834D64" w:rsidRPr="005D39DD" w:rsidRDefault="00834D64" w:rsidP="00032FCD">
                                        <w:pPr>
                                          <w:keepNext/>
                                          <w:keepLines/>
                                          <w:spacing w:before="40" w:after="40"/>
                                          <w:jc w:val="right"/>
                                          <w:rPr>
                                            <w:sz w:val="21"/>
                                            <w:szCs w:val="21"/>
                                          </w:rPr>
                                        </w:pPr>
                                        <w:r w:rsidRPr="001A75E3">
                                          <w:t xml:space="preserve"> 78.11 </w:t>
                                        </w:r>
                                      </w:p>
                                    </w:tc>
                                    <w:tc>
                                      <w:tcPr>
                                        <w:tcW w:w="982" w:type="dxa"/>
                                        <w:tcBorders>
                                          <w:bottom w:val="single" w:sz="4" w:space="0" w:color="000080"/>
                                        </w:tcBorders>
                                      </w:tcPr>
                                      <w:p w14:paraId="62DEED5C" w14:textId="77777777" w:rsidR="00834D64" w:rsidRPr="005D39DD" w:rsidRDefault="00834D64" w:rsidP="00032FCD">
                                        <w:pPr>
                                          <w:keepNext/>
                                          <w:keepLines/>
                                          <w:spacing w:before="40" w:after="40"/>
                                          <w:jc w:val="right"/>
                                          <w:rPr>
                                            <w:sz w:val="21"/>
                                            <w:szCs w:val="21"/>
                                          </w:rPr>
                                        </w:pPr>
                                        <w:r w:rsidRPr="001A75E3">
                                          <w:t xml:space="preserve"> 79.67 </w:t>
                                        </w:r>
                                      </w:p>
                                    </w:tc>
                                    <w:tc>
                                      <w:tcPr>
                                        <w:tcW w:w="996" w:type="dxa"/>
                                        <w:tcBorders>
                                          <w:bottom w:val="single" w:sz="4" w:space="0" w:color="000080"/>
                                        </w:tcBorders>
                                      </w:tcPr>
                                      <w:p w14:paraId="1D44C88D" w14:textId="77777777" w:rsidR="00834D64" w:rsidRPr="005D39DD" w:rsidRDefault="00834D64" w:rsidP="00032FCD">
                                        <w:pPr>
                                          <w:keepNext/>
                                          <w:keepLines/>
                                          <w:spacing w:before="40" w:after="40"/>
                                          <w:jc w:val="right"/>
                                          <w:rPr>
                                            <w:sz w:val="21"/>
                                            <w:szCs w:val="21"/>
                                          </w:rPr>
                                        </w:pPr>
                                        <w:r w:rsidRPr="001A75E3">
                                          <w:t xml:space="preserve"> 382.52 </w:t>
                                        </w:r>
                                      </w:p>
                                    </w:tc>
                                  </w:tr>
                                </w:tbl>
                                <w:p w14:paraId="79E2AA8B" w14:textId="77777777" w:rsidR="00834D64" w:rsidRDefault="00834D64" w:rsidP="00834D64">
                                  <w:pPr>
                                    <w:rPr>
                                      <w:sz w:val="18"/>
                                      <w:szCs w:val="18"/>
                                    </w:rPr>
                                  </w:pPr>
                                  <w:r w:rsidRPr="00DA0E73">
                                    <w:rPr>
                                      <w:sz w:val="18"/>
                                      <w:szCs w:val="18"/>
                                    </w:rPr>
                                    <w:t>Note: Totals subject to change based on parameter updates.</w:t>
                                  </w:r>
                                </w:p>
                                <w:p w14:paraId="07B5A23E" w14:textId="77777777" w:rsidR="00834D64" w:rsidRPr="00101AB3" w:rsidRDefault="00834D64" w:rsidP="00834D64">
                                  <w:pPr>
                                    <w:rPr>
                                      <w:sz w:val="18"/>
                                      <w:szCs w:val="18"/>
                                    </w:rPr>
                                  </w:pPr>
                                  <w:r w:rsidRPr="00D519C8">
                                    <w:rPr>
                                      <w:sz w:val="18"/>
                                      <w:szCs w:val="18"/>
                                    </w:rPr>
                                    <w:t>The Queensland Government invests significant state own funding in Queensland’s housing and homelessness systems. Queensland’s matched funding under this Agreement is a small component of this investment. Australian Government funding under this Agreement represents a contribution to the costs of operating these systems.</w:t>
                                  </w:r>
                                </w:p>
                              </w:txbxContent>
                            </wps:txbx>
                            <wps:bodyPr rot="0" vert="horz" wrap="square" lIns="91440" tIns="45720" rIns="91440" bIns="45720" anchor="t" anchorCtr="0">
                              <a:noAutofit/>
                            </wps:bodyPr>
                          </wps:wsp>
                        </a:graphicData>
                      </a:graphic>
                    </wp:inline>
                  </w:drawing>
                </mc:Choice>
                <mc:Fallback>
                  <w:pict>
                    <v:shapetype w14:anchorId="38959973" id="_x0000_t202" coordsize="21600,21600" o:spt="202" path="m,l,21600r21600,l21600,xe">
                      <v:stroke joinstyle="miter"/>
                      <v:path gradientshapeok="t" o:connecttype="rect"/>
                    </v:shapetype>
                    <v:shape id="Text Box 2" o:spid="_x0000_s1026" type="#_x0000_t202" style="width:395.25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paDA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" stroked="f">
                      <v:textbox>
                        <w:txbxContent>
                          <w:tbl>
                            <w:tblPr>
                              <w:tblW w:w="7722" w:type="dxa"/>
                              <w:tblLook w:val="01E0" w:firstRow="1" w:lastRow="1" w:firstColumn="1" w:lastColumn="1" w:noHBand="0" w:noVBand="0"/>
                            </w:tblPr>
                            <w:tblGrid>
                              <w:gridCol w:w="1841"/>
                              <w:gridCol w:w="1026"/>
                              <w:gridCol w:w="1042"/>
                              <w:gridCol w:w="919"/>
                              <w:gridCol w:w="919"/>
                              <w:gridCol w:w="979"/>
                              <w:gridCol w:w="996"/>
                            </w:tblGrid>
                            <w:tr w:rsidR="00834D64" w:rsidRPr="00101AB3" w14:paraId="73F61DC0" w14:textId="77777777" w:rsidTr="00032FCD">
                              <w:trPr>
                                <w:cantSplit/>
                              </w:trPr>
                              <w:tc>
                                <w:tcPr>
                                  <w:tcW w:w="1843" w:type="dxa"/>
                                  <w:tcBorders>
                                    <w:top w:val="single" w:sz="4" w:space="0" w:color="000080"/>
                                    <w:bottom w:val="single" w:sz="4" w:space="0" w:color="000080"/>
                                  </w:tcBorders>
                                </w:tcPr>
                                <w:p w14:paraId="1932A224" w14:textId="77777777" w:rsidR="00834D64" w:rsidRDefault="00834D64" w:rsidP="002328CB">
                                  <w:pPr>
                                    <w:keepNext/>
                                    <w:keepLines/>
                                    <w:spacing w:before="40" w:after="40"/>
                                    <w:ind w:left="-111"/>
                                    <w:rPr>
                                      <w:b/>
                                      <w:sz w:val="21"/>
                                      <w:szCs w:val="21"/>
                                    </w:rPr>
                                  </w:pPr>
                                  <w:r>
                                    <w:rPr>
                                      <w:b/>
                                      <w:sz w:val="21"/>
                                      <w:szCs w:val="21"/>
                                    </w:rPr>
                                    <w:t>Table 1</w:t>
                                  </w:r>
                                </w:p>
                                <w:p w14:paraId="46830570" w14:textId="77777777" w:rsidR="00834D64" w:rsidRPr="005D39DD" w:rsidRDefault="00834D64" w:rsidP="002328CB">
                                  <w:pPr>
                                    <w:keepNext/>
                                    <w:keepLines/>
                                    <w:spacing w:before="40" w:after="40"/>
                                    <w:ind w:left="-111"/>
                                    <w:rPr>
                                      <w:b/>
                                      <w:sz w:val="21"/>
                                      <w:szCs w:val="21"/>
                                    </w:rPr>
                                  </w:pPr>
                                  <w:r w:rsidRPr="005D39DD">
                                    <w:rPr>
                                      <w:b/>
                                      <w:sz w:val="21"/>
                                      <w:szCs w:val="21"/>
                                    </w:rPr>
                                    <w:t>($ million)</w:t>
                                  </w:r>
                                </w:p>
                              </w:tc>
                              <w:tc>
                                <w:tcPr>
                                  <w:tcW w:w="1030" w:type="dxa"/>
                                  <w:tcBorders>
                                    <w:top w:val="single" w:sz="4" w:space="0" w:color="000080"/>
                                    <w:bottom w:val="single" w:sz="4" w:space="0" w:color="000080"/>
                                  </w:tcBorders>
                                  <w:vAlign w:val="center"/>
                                </w:tcPr>
                                <w:p w14:paraId="2B7462AB" w14:textId="77777777" w:rsidR="00834D64" w:rsidRPr="002328CB" w:rsidRDefault="00834D64" w:rsidP="002328CB">
                                  <w:pPr>
                                    <w:keepNext/>
                                    <w:keepLines/>
                                    <w:spacing w:before="40" w:after="40"/>
                                    <w:jc w:val="right"/>
                                    <w:rPr>
                                      <w:b/>
                                      <w:i/>
                                      <w:sz w:val="21"/>
                                      <w:szCs w:val="21"/>
                                    </w:rPr>
                                  </w:pPr>
                                  <w:r>
                                    <w:rPr>
                                      <w:b/>
                                      <w:i/>
                                      <w:sz w:val="21"/>
                                      <w:szCs w:val="21"/>
                                    </w:rPr>
                                    <w:t>2024-25</w:t>
                                  </w:r>
                                </w:p>
                              </w:tc>
                              <w:tc>
                                <w:tcPr>
                                  <w:tcW w:w="1046" w:type="dxa"/>
                                  <w:tcBorders>
                                    <w:top w:val="single" w:sz="4" w:space="0" w:color="000080"/>
                                    <w:bottom w:val="single" w:sz="4" w:space="0" w:color="000080"/>
                                  </w:tcBorders>
                                  <w:vAlign w:val="center"/>
                                </w:tcPr>
                                <w:p w14:paraId="2AFA10D1"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2" w:type="dxa"/>
                                  <w:tcBorders>
                                    <w:top w:val="single" w:sz="4" w:space="0" w:color="000080"/>
                                    <w:bottom w:val="single" w:sz="4" w:space="0" w:color="000080"/>
                                  </w:tcBorders>
                                  <w:vAlign w:val="center"/>
                                </w:tcPr>
                                <w:p w14:paraId="5663DB78"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6</w:t>
                                  </w:r>
                                  <w:r>
                                    <w:rPr>
                                      <w:b/>
                                      <w:i/>
                                      <w:sz w:val="21"/>
                                      <w:szCs w:val="21"/>
                                    </w:rPr>
                                    <w:noBreakHyphen/>
                                  </w:r>
                                  <w:r w:rsidRPr="00100398">
                                    <w:rPr>
                                      <w:b/>
                                      <w:i/>
                                      <w:sz w:val="21"/>
                                      <w:szCs w:val="21"/>
                                    </w:rPr>
                                    <w:t>2</w:t>
                                  </w:r>
                                  <w:r>
                                    <w:rPr>
                                      <w:b/>
                                      <w:i/>
                                      <w:sz w:val="21"/>
                                      <w:szCs w:val="21"/>
                                    </w:rPr>
                                    <w:t>7</w:t>
                                  </w:r>
                                </w:p>
                              </w:tc>
                              <w:tc>
                                <w:tcPr>
                                  <w:tcW w:w="913" w:type="dxa"/>
                                  <w:tcBorders>
                                    <w:top w:val="single" w:sz="4" w:space="0" w:color="000080"/>
                                    <w:bottom w:val="single" w:sz="4" w:space="0" w:color="000080"/>
                                  </w:tcBorders>
                                  <w:vAlign w:val="center"/>
                                </w:tcPr>
                                <w:p w14:paraId="4FE7779D"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7</w:t>
                                  </w:r>
                                  <w:r>
                                    <w:rPr>
                                      <w:b/>
                                      <w:i/>
                                      <w:sz w:val="21"/>
                                      <w:szCs w:val="21"/>
                                    </w:rPr>
                                    <w:noBreakHyphen/>
                                  </w:r>
                                  <w:r w:rsidRPr="00100398">
                                    <w:rPr>
                                      <w:b/>
                                      <w:i/>
                                      <w:sz w:val="21"/>
                                      <w:szCs w:val="21"/>
                                    </w:rPr>
                                    <w:t>2</w:t>
                                  </w:r>
                                  <w:r>
                                    <w:rPr>
                                      <w:b/>
                                      <w:i/>
                                      <w:sz w:val="21"/>
                                      <w:szCs w:val="21"/>
                                    </w:rPr>
                                    <w:t>8</w:t>
                                  </w:r>
                                </w:p>
                              </w:tc>
                              <w:tc>
                                <w:tcPr>
                                  <w:tcW w:w="982" w:type="dxa"/>
                                  <w:tcBorders>
                                    <w:top w:val="single" w:sz="4" w:space="0" w:color="000080"/>
                                    <w:bottom w:val="single" w:sz="4" w:space="0" w:color="000080"/>
                                  </w:tcBorders>
                                  <w:vAlign w:val="center"/>
                                </w:tcPr>
                                <w:p w14:paraId="7DE4A6E3" w14:textId="77777777" w:rsidR="00834D64" w:rsidRPr="002328CB" w:rsidRDefault="00834D64"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96" w:type="dxa"/>
                                  <w:tcBorders>
                                    <w:top w:val="single" w:sz="4" w:space="0" w:color="000080"/>
                                    <w:bottom w:val="single" w:sz="4" w:space="0" w:color="000080"/>
                                  </w:tcBorders>
                                  <w:vAlign w:val="center"/>
                                </w:tcPr>
                                <w:p w14:paraId="47E33F09" w14:textId="77777777" w:rsidR="00834D64" w:rsidRPr="002328CB" w:rsidRDefault="00834D64" w:rsidP="002328CB">
                                  <w:pPr>
                                    <w:keepNext/>
                                    <w:keepLines/>
                                    <w:spacing w:before="40" w:after="40"/>
                                    <w:jc w:val="right"/>
                                    <w:rPr>
                                      <w:b/>
                                      <w:i/>
                                      <w:sz w:val="21"/>
                                      <w:szCs w:val="21"/>
                                    </w:rPr>
                                  </w:pPr>
                                  <w:r w:rsidRPr="002328CB">
                                    <w:rPr>
                                      <w:b/>
                                      <w:i/>
                                      <w:sz w:val="21"/>
                                      <w:szCs w:val="21"/>
                                    </w:rPr>
                                    <w:t>Total</w:t>
                                  </w:r>
                                </w:p>
                              </w:tc>
                            </w:tr>
                            <w:tr w:rsidR="00834D64" w:rsidRPr="00101AB3" w14:paraId="4738BB48" w14:textId="77777777" w:rsidTr="00032FCD">
                              <w:trPr>
                                <w:cantSplit/>
                              </w:trPr>
                              <w:tc>
                                <w:tcPr>
                                  <w:tcW w:w="1843" w:type="dxa"/>
                                  <w:tcBorders>
                                    <w:top w:val="single" w:sz="4" w:space="0" w:color="000080"/>
                                  </w:tcBorders>
                                </w:tcPr>
                                <w:p w14:paraId="43E034A7" w14:textId="77777777" w:rsidR="00834D64" w:rsidRPr="005D39DD" w:rsidRDefault="00834D64" w:rsidP="007E44E6">
                                  <w:pPr>
                                    <w:keepNext/>
                                    <w:keepLines/>
                                    <w:spacing w:before="60" w:after="60"/>
                                    <w:ind w:left="-111"/>
                                    <w:rPr>
                                      <w:b/>
                                      <w:sz w:val="21"/>
                                      <w:szCs w:val="21"/>
                                    </w:rPr>
                                  </w:pPr>
                                </w:p>
                              </w:tc>
                              <w:tc>
                                <w:tcPr>
                                  <w:tcW w:w="1030" w:type="dxa"/>
                                  <w:tcBorders>
                                    <w:top w:val="single" w:sz="4" w:space="0" w:color="000080"/>
                                  </w:tcBorders>
                                </w:tcPr>
                                <w:p w14:paraId="0B50C5B6" w14:textId="77777777" w:rsidR="00834D64" w:rsidRPr="005D39DD" w:rsidRDefault="00834D64" w:rsidP="007E44E6">
                                  <w:pPr>
                                    <w:keepNext/>
                                    <w:keepLines/>
                                    <w:spacing w:before="40" w:after="40"/>
                                    <w:jc w:val="right"/>
                                    <w:rPr>
                                      <w:b/>
                                      <w:sz w:val="21"/>
                                      <w:szCs w:val="21"/>
                                    </w:rPr>
                                  </w:pPr>
                                </w:p>
                              </w:tc>
                              <w:tc>
                                <w:tcPr>
                                  <w:tcW w:w="1046" w:type="dxa"/>
                                  <w:tcBorders>
                                    <w:top w:val="single" w:sz="4" w:space="0" w:color="000080"/>
                                  </w:tcBorders>
                                </w:tcPr>
                                <w:p w14:paraId="34BD7ED5" w14:textId="77777777" w:rsidR="00834D64" w:rsidRPr="005D39DD" w:rsidRDefault="00834D64" w:rsidP="007E44E6">
                                  <w:pPr>
                                    <w:keepNext/>
                                    <w:keepLines/>
                                    <w:spacing w:before="40" w:after="40"/>
                                    <w:jc w:val="right"/>
                                    <w:rPr>
                                      <w:b/>
                                      <w:sz w:val="21"/>
                                      <w:szCs w:val="21"/>
                                    </w:rPr>
                                  </w:pPr>
                                </w:p>
                              </w:tc>
                              <w:tc>
                                <w:tcPr>
                                  <w:tcW w:w="912" w:type="dxa"/>
                                  <w:tcBorders>
                                    <w:top w:val="single" w:sz="4" w:space="0" w:color="000080"/>
                                  </w:tcBorders>
                                </w:tcPr>
                                <w:p w14:paraId="64B76F31" w14:textId="77777777" w:rsidR="00834D64" w:rsidRPr="005D39DD" w:rsidRDefault="00834D64" w:rsidP="007E44E6">
                                  <w:pPr>
                                    <w:keepNext/>
                                    <w:keepLines/>
                                    <w:spacing w:before="40" w:after="40"/>
                                    <w:jc w:val="right"/>
                                    <w:rPr>
                                      <w:b/>
                                      <w:sz w:val="21"/>
                                      <w:szCs w:val="21"/>
                                    </w:rPr>
                                  </w:pPr>
                                </w:p>
                              </w:tc>
                              <w:tc>
                                <w:tcPr>
                                  <w:tcW w:w="913" w:type="dxa"/>
                                  <w:tcBorders>
                                    <w:top w:val="single" w:sz="4" w:space="0" w:color="000080"/>
                                  </w:tcBorders>
                                </w:tcPr>
                                <w:p w14:paraId="6C31A562" w14:textId="77777777" w:rsidR="00834D64" w:rsidRPr="005D39DD" w:rsidRDefault="00834D64" w:rsidP="007E44E6">
                                  <w:pPr>
                                    <w:keepNext/>
                                    <w:keepLines/>
                                    <w:spacing w:before="40" w:after="40"/>
                                    <w:jc w:val="right"/>
                                    <w:rPr>
                                      <w:b/>
                                      <w:sz w:val="21"/>
                                      <w:szCs w:val="21"/>
                                    </w:rPr>
                                  </w:pPr>
                                </w:p>
                              </w:tc>
                              <w:tc>
                                <w:tcPr>
                                  <w:tcW w:w="982" w:type="dxa"/>
                                  <w:tcBorders>
                                    <w:top w:val="single" w:sz="4" w:space="0" w:color="000080"/>
                                  </w:tcBorders>
                                </w:tcPr>
                                <w:p w14:paraId="47A280BC" w14:textId="77777777" w:rsidR="00834D64" w:rsidRPr="005D39DD" w:rsidRDefault="00834D64" w:rsidP="007E44E6">
                                  <w:pPr>
                                    <w:keepNext/>
                                    <w:keepLines/>
                                    <w:spacing w:before="40" w:after="40"/>
                                    <w:jc w:val="right"/>
                                    <w:rPr>
                                      <w:b/>
                                      <w:sz w:val="21"/>
                                      <w:szCs w:val="21"/>
                                    </w:rPr>
                                  </w:pPr>
                                </w:p>
                              </w:tc>
                              <w:tc>
                                <w:tcPr>
                                  <w:tcW w:w="996" w:type="dxa"/>
                                  <w:tcBorders>
                                    <w:top w:val="single" w:sz="4" w:space="0" w:color="000080"/>
                                  </w:tcBorders>
                                </w:tcPr>
                                <w:p w14:paraId="403187EF" w14:textId="77777777" w:rsidR="00834D64" w:rsidRPr="005D39DD" w:rsidRDefault="00834D64" w:rsidP="007E44E6">
                                  <w:pPr>
                                    <w:keepNext/>
                                    <w:keepLines/>
                                    <w:spacing w:before="40" w:after="40"/>
                                    <w:jc w:val="right"/>
                                    <w:rPr>
                                      <w:b/>
                                      <w:sz w:val="21"/>
                                      <w:szCs w:val="21"/>
                                    </w:rPr>
                                  </w:pPr>
                                </w:p>
                              </w:tc>
                            </w:tr>
                            <w:tr w:rsidR="00834D64" w:rsidRPr="00101AB3" w14:paraId="76C03F78" w14:textId="77777777" w:rsidTr="00032FCD">
                              <w:trPr>
                                <w:cantSplit/>
                              </w:trPr>
                              <w:tc>
                                <w:tcPr>
                                  <w:tcW w:w="1843" w:type="dxa"/>
                                </w:tcPr>
                                <w:p w14:paraId="6675A2BA" w14:textId="77777777" w:rsidR="00834D64" w:rsidRPr="008C6B79" w:rsidRDefault="00834D64" w:rsidP="00032FCD">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1030" w:type="dxa"/>
                                </w:tcPr>
                                <w:p w14:paraId="49F0B726" w14:textId="77777777" w:rsidR="00834D64" w:rsidRPr="005D39DD" w:rsidRDefault="00834D64" w:rsidP="00032FCD">
                                  <w:pPr>
                                    <w:keepNext/>
                                    <w:keepLines/>
                                    <w:spacing w:before="40" w:after="40"/>
                                    <w:jc w:val="right"/>
                                    <w:rPr>
                                      <w:sz w:val="21"/>
                                      <w:szCs w:val="21"/>
                                    </w:rPr>
                                  </w:pPr>
                                  <w:r w:rsidRPr="0047102D">
                                    <w:t xml:space="preserve"> 282.15 </w:t>
                                  </w:r>
                                </w:p>
                              </w:tc>
                              <w:tc>
                                <w:tcPr>
                                  <w:tcW w:w="1046" w:type="dxa"/>
                                </w:tcPr>
                                <w:p w14:paraId="32AF1721" w14:textId="77777777" w:rsidR="00834D64" w:rsidRPr="005D39DD" w:rsidRDefault="00834D64" w:rsidP="00032FCD">
                                  <w:pPr>
                                    <w:keepNext/>
                                    <w:keepLines/>
                                    <w:spacing w:before="40" w:after="40"/>
                                    <w:jc w:val="right"/>
                                    <w:rPr>
                                      <w:sz w:val="21"/>
                                      <w:szCs w:val="21"/>
                                    </w:rPr>
                                  </w:pPr>
                                  <w:r w:rsidRPr="0047102D">
                                    <w:t xml:space="preserve"> 288.64 </w:t>
                                  </w:r>
                                </w:p>
                              </w:tc>
                              <w:tc>
                                <w:tcPr>
                                  <w:tcW w:w="912" w:type="dxa"/>
                                </w:tcPr>
                                <w:p w14:paraId="02171D2A" w14:textId="77777777" w:rsidR="00834D64" w:rsidRPr="005D39DD" w:rsidRDefault="00834D64" w:rsidP="00032FCD">
                                  <w:pPr>
                                    <w:keepNext/>
                                    <w:keepLines/>
                                    <w:spacing w:before="40" w:after="40"/>
                                    <w:jc w:val="right"/>
                                    <w:rPr>
                                      <w:sz w:val="21"/>
                                      <w:szCs w:val="21"/>
                                    </w:rPr>
                                  </w:pPr>
                                  <w:r w:rsidRPr="0047102D">
                                    <w:t xml:space="preserve"> 294.99 </w:t>
                                  </w:r>
                                </w:p>
                              </w:tc>
                              <w:tc>
                                <w:tcPr>
                                  <w:tcW w:w="913" w:type="dxa"/>
                                </w:tcPr>
                                <w:p w14:paraId="4BC6955F" w14:textId="77777777" w:rsidR="00834D64" w:rsidRPr="005D39DD" w:rsidRDefault="00834D64" w:rsidP="00032FCD">
                                  <w:pPr>
                                    <w:keepNext/>
                                    <w:keepLines/>
                                    <w:spacing w:before="40" w:after="40"/>
                                    <w:jc w:val="right"/>
                                    <w:rPr>
                                      <w:sz w:val="21"/>
                                      <w:szCs w:val="21"/>
                                    </w:rPr>
                                  </w:pPr>
                                  <w:r w:rsidRPr="0047102D">
                                    <w:t xml:space="preserve"> 300.89 </w:t>
                                  </w:r>
                                </w:p>
                              </w:tc>
                              <w:tc>
                                <w:tcPr>
                                  <w:tcW w:w="982" w:type="dxa"/>
                                </w:tcPr>
                                <w:p w14:paraId="1C5D3170" w14:textId="77777777" w:rsidR="00834D64" w:rsidRPr="005D39DD" w:rsidRDefault="00834D64" w:rsidP="00032FCD">
                                  <w:pPr>
                                    <w:keepNext/>
                                    <w:keepLines/>
                                    <w:spacing w:before="40" w:after="40"/>
                                    <w:jc w:val="right"/>
                                    <w:rPr>
                                      <w:sz w:val="21"/>
                                      <w:szCs w:val="21"/>
                                    </w:rPr>
                                  </w:pPr>
                                  <w:r w:rsidRPr="0047102D">
                                    <w:t xml:space="preserve"> 306.91 </w:t>
                                  </w:r>
                                </w:p>
                              </w:tc>
                              <w:tc>
                                <w:tcPr>
                                  <w:tcW w:w="996" w:type="dxa"/>
                                </w:tcPr>
                                <w:p w14:paraId="3E3E4A96" w14:textId="77777777" w:rsidR="00834D64" w:rsidRPr="005D39DD" w:rsidRDefault="00834D64" w:rsidP="00032FCD">
                                  <w:pPr>
                                    <w:keepNext/>
                                    <w:keepLines/>
                                    <w:spacing w:before="40" w:after="40"/>
                                    <w:jc w:val="right"/>
                                    <w:rPr>
                                      <w:sz w:val="21"/>
                                      <w:szCs w:val="21"/>
                                    </w:rPr>
                                  </w:pPr>
                                  <w:r w:rsidRPr="0047102D">
                                    <w:t xml:space="preserve">1,473.59 </w:t>
                                  </w:r>
                                </w:p>
                              </w:tc>
                            </w:tr>
                            <w:tr w:rsidR="00834D64" w:rsidRPr="00101AB3" w14:paraId="0B9033FB" w14:textId="77777777" w:rsidTr="00032FCD">
                              <w:trPr>
                                <w:cantSplit/>
                              </w:trPr>
                              <w:tc>
                                <w:tcPr>
                                  <w:tcW w:w="1843" w:type="dxa"/>
                                </w:tcPr>
                                <w:p w14:paraId="484FDCC6" w14:textId="77777777" w:rsidR="00834D64" w:rsidRPr="008C6B79" w:rsidRDefault="00834D64" w:rsidP="00032FCD">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1030" w:type="dxa"/>
                                </w:tcPr>
                                <w:p w14:paraId="3AD56D46" w14:textId="77777777" w:rsidR="00834D64" w:rsidRDefault="00834D64" w:rsidP="00032FCD">
                                  <w:pPr>
                                    <w:keepNext/>
                                    <w:keepLines/>
                                    <w:spacing w:before="40" w:after="40"/>
                                    <w:jc w:val="right"/>
                                  </w:pPr>
                                  <w:r w:rsidRPr="00950419">
                                    <w:t xml:space="preserve"> </w:t>
                                  </w:r>
                                </w:p>
                                <w:p w14:paraId="28CDEC00" w14:textId="77777777" w:rsidR="00834D64" w:rsidRPr="005D39DD" w:rsidRDefault="00834D64" w:rsidP="00032FCD">
                                  <w:pPr>
                                    <w:keepNext/>
                                    <w:keepLines/>
                                    <w:spacing w:before="40" w:after="40"/>
                                    <w:jc w:val="right"/>
                                    <w:rPr>
                                      <w:sz w:val="21"/>
                                      <w:szCs w:val="21"/>
                                    </w:rPr>
                                  </w:pPr>
                                  <w:r w:rsidRPr="00950419">
                                    <w:t xml:space="preserve">73.24 </w:t>
                                  </w:r>
                                </w:p>
                              </w:tc>
                              <w:tc>
                                <w:tcPr>
                                  <w:tcW w:w="1046" w:type="dxa"/>
                                </w:tcPr>
                                <w:p w14:paraId="7EE3801B" w14:textId="77777777" w:rsidR="00834D64" w:rsidRDefault="00834D64" w:rsidP="00032FCD">
                                  <w:pPr>
                                    <w:keepNext/>
                                    <w:keepLines/>
                                    <w:spacing w:before="40" w:after="40"/>
                                    <w:jc w:val="right"/>
                                  </w:pPr>
                                  <w:r w:rsidRPr="00950419">
                                    <w:t xml:space="preserve"> </w:t>
                                  </w:r>
                                </w:p>
                                <w:p w14:paraId="78B69047" w14:textId="77777777" w:rsidR="00834D64" w:rsidRPr="005D39DD" w:rsidRDefault="00834D64" w:rsidP="00032FCD">
                                  <w:pPr>
                                    <w:keepNext/>
                                    <w:keepLines/>
                                    <w:spacing w:before="40" w:after="40"/>
                                    <w:jc w:val="right"/>
                                    <w:rPr>
                                      <w:sz w:val="21"/>
                                      <w:szCs w:val="21"/>
                                    </w:rPr>
                                  </w:pPr>
                                  <w:r w:rsidRPr="00950419">
                                    <w:t xml:space="preserve">74.93 </w:t>
                                  </w:r>
                                </w:p>
                              </w:tc>
                              <w:tc>
                                <w:tcPr>
                                  <w:tcW w:w="912" w:type="dxa"/>
                                </w:tcPr>
                                <w:p w14:paraId="0EC9F965" w14:textId="77777777" w:rsidR="00834D64" w:rsidRDefault="00834D64" w:rsidP="00032FCD">
                                  <w:pPr>
                                    <w:keepNext/>
                                    <w:keepLines/>
                                    <w:spacing w:before="40" w:after="40"/>
                                    <w:jc w:val="right"/>
                                  </w:pPr>
                                </w:p>
                                <w:p w14:paraId="75714612" w14:textId="77777777" w:rsidR="00834D64" w:rsidRPr="005D39DD" w:rsidRDefault="00834D64" w:rsidP="00032FCD">
                                  <w:pPr>
                                    <w:keepNext/>
                                    <w:keepLines/>
                                    <w:spacing w:before="40" w:after="40"/>
                                    <w:jc w:val="right"/>
                                    <w:rPr>
                                      <w:sz w:val="21"/>
                                      <w:szCs w:val="21"/>
                                    </w:rPr>
                                  </w:pPr>
                                  <w:r w:rsidRPr="00950419">
                                    <w:t xml:space="preserve"> 76.58 </w:t>
                                  </w:r>
                                </w:p>
                              </w:tc>
                              <w:tc>
                                <w:tcPr>
                                  <w:tcW w:w="913" w:type="dxa"/>
                                </w:tcPr>
                                <w:p w14:paraId="159A0B17" w14:textId="77777777" w:rsidR="00834D64" w:rsidRDefault="00834D64" w:rsidP="00032FCD">
                                  <w:pPr>
                                    <w:keepNext/>
                                    <w:keepLines/>
                                    <w:spacing w:before="40" w:after="40"/>
                                    <w:jc w:val="right"/>
                                  </w:pPr>
                                </w:p>
                                <w:p w14:paraId="51A83038" w14:textId="77777777" w:rsidR="00834D64" w:rsidRPr="005D39DD" w:rsidRDefault="00834D64" w:rsidP="00032FCD">
                                  <w:pPr>
                                    <w:keepNext/>
                                    <w:keepLines/>
                                    <w:spacing w:before="40" w:after="40"/>
                                    <w:jc w:val="right"/>
                                    <w:rPr>
                                      <w:sz w:val="21"/>
                                      <w:szCs w:val="21"/>
                                    </w:rPr>
                                  </w:pPr>
                                  <w:r w:rsidRPr="00950419">
                                    <w:t xml:space="preserve"> 78.11 </w:t>
                                  </w:r>
                                </w:p>
                              </w:tc>
                              <w:tc>
                                <w:tcPr>
                                  <w:tcW w:w="982" w:type="dxa"/>
                                </w:tcPr>
                                <w:p w14:paraId="3C4EBD65" w14:textId="77777777" w:rsidR="00834D64" w:rsidRDefault="00834D64" w:rsidP="00032FCD">
                                  <w:pPr>
                                    <w:keepNext/>
                                    <w:keepLines/>
                                    <w:spacing w:before="40" w:after="40"/>
                                    <w:jc w:val="right"/>
                                  </w:pPr>
                                </w:p>
                                <w:p w14:paraId="33C4987E" w14:textId="77777777" w:rsidR="00834D64" w:rsidRPr="005D39DD" w:rsidRDefault="00834D64" w:rsidP="00032FCD">
                                  <w:pPr>
                                    <w:keepNext/>
                                    <w:keepLines/>
                                    <w:spacing w:before="40" w:after="40"/>
                                    <w:jc w:val="right"/>
                                    <w:rPr>
                                      <w:sz w:val="21"/>
                                      <w:szCs w:val="21"/>
                                    </w:rPr>
                                  </w:pPr>
                                  <w:r w:rsidRPr="00950419">
                                    <w:t xml:space="preserve"> 79.67 </w:t>
                                  </w:r>
                                </w:p>
                              </w:tc>
                              <w:tc>
                                <w:tcPr>
                                  <w:tcW w:w="996" w:type="dxa"/>
                                </w:tcPr>
                                <w:p w14:paraId="181AFA95" w14:textId="77777777" w:rsidR="00834D64" w:rsidRDefault="00834D64" w:rsidP="00032FCD">
                                  <w:pPr>
                                    <w:keepNext/>
                                    <w:keepLines/>
                                    <w:spacing w:before="40" w:after="40"/>
                                    <w:jc w:val="right"/>
                                  </w:pPr>
                                  <w:r w:rsidRPr="00950419">
                                    <w:t xml:space="preserve"> </w:t>
                                  </w:r>
                                </w:p>
                                <w:p w14:paraId="5E0BF3AE" w14:textId="77777777" w:rsidR="00834D64" w:rsidRPr="005D39DD" w:rsidRDefault="00834D64" w:rsidP="00032FCD">
                                  <w:pPr>
                                    <w:keepNext/>
                                    <w:keepLines/>
                                    <w:spacing w:before="40" w:after="40"/>
                                    <w:jc w:val="right"/>
                                    <w:rPr>
                                      <w:sz w:val="21"/>
                                      <w:szCs w:val="21"/>
                                    </w:rPr>
                                  </w:pPr>
                                  <w:r w:rsidRPr="00950419">
                                    <w:t xml:space="preserve">382.52 </w:t>
                                  </w:r>
                                </w:p>
                              </w:tc>
                            </w:tr>
                            <w:tr w:rsidR="00834D64" w:rsidRPr="00101AB3" w14:paraId="72CE92CD" w14:textId="77777777" w:rsidTr="00032FCD">
                              <w:trPr>
                                <w:cantSplit/>
                              </w:trPr>
                              <w:tc>
                                <w:tcPr>
                                  <w:tcW w:w="1843" w:type="dxa"/>
                                  <w:tcBorders>
                                    <w:bottom w:val="single" w:sz="4" w:space="0" w:color="000080"/>
                                  </w:tcBorders>
                                </w:tcPr>
                                <w:p w14:paraId="3626C886" w14:textId="77777777" w:rsidR="00834D64" w:rsidRPr="008C6B79" w:rsidRDefault="00834D64" w:rsidP="00032FCD">
                                  <w:pPr>
                                    <w:keepNext/>
                                    <w:keepLines/>
                                    <w:spacing w:before="40" w:after="40"/>
                                    <w:ind w:left="-111"/>
                                    <w:rPr>
                                      <w:sz w:val="21"/>
                                      <w:szCs w:val="21"/>
                                    </w:rPr>
                                  </w:pPr>
                                  <w:r>
                                    <w:rPr>
                                      <w:sz w:val="21"/>
                                      <w:szCs w:val="21"/>
                                    </w:rPr>
                                    <w:t>Queensland-matched homelessness funding</w:t>
                                  </w:r>
                                </w:p>
                              </w:tc>
                              <w:tc>
                                <w:tcPr>
                                  <w:tcW w:w="1030" w:type="dxa"/>
                                  <w:tcBorders>
                                    <w:bottom w:val="single" w:sz="4" w:space="0" w:color="000080"/>
                                  </w:tcBorders>
                                </w:tcPr>
                                <w:p w14:paraId="08E79A32" w14:textId="77777777" w:rsidR="00834D64" w:rsidRPr="005D39DD" w:rsidRDefault="00834D64" w:rsidP="00032FCD">
                                  <w:pPr>
                                    <w:keepNext/>
                                    <w:keepLines/>
                                    <w:spacing w:before="40" w:after="40"/>
                                    <w:jc w:val="right"/>
                                    <w:rPr>
                                      <w:sz w:val="21"/>
                                      <w:szCs w:val="21"/>
                                    </w:rPr>
                                  </w:pPr>
                                  <w:r w:rsidRPr="001A75E3">
                                    <w:t xml:space="preserve"> 73.24 </w:t>
                                  </w:r>
                                </w:p>
                              </w:tc>
                              <w:tc>
                                <w:tcPr>
                                  <w:tcW w:w="1046" w:type="dxa"/>
                                  <w:tcBorders>
                                    <w:bottom w:val="single" w:sz="4" w:space="0" w:color="000080"/>
                                  </w:tcBorders>
                                </w:tcPr>
                                <w:p w14:paraId="381317A7" w14:textId="77777777" w:rsidR="00834D64" w:rsidRPr="005D39DD" w:rsidRDefault="00834D64" w:rsidP="00032FCD">
                                  <w:pPr>
                                    <w:keepNext/>
                                    <w:keepLines/>
                                    <w:spacing w:before="40" w:after="40"/>
                                    <w:jc w:val="right"/>
                                    <w:rPr>
                                      <w:sz w:val="21"/>
                                      <w:szCs w:val="21"/>
                                    </w:rPr>
                                  </w:pPr>
                                  <w:r w:rsidRPr="001A75E3">
                                    <w:t xml:space="preserve"> 74.93 </w:t>
                                  </w:r>
                                </w:p>
                              </w:tc>
                              <w:tc>
                                <w:tcPr>
                                  <w:tcW w:w="912" w:type="dxa"/>
                                  <w:tcBorders>
                                    <w:bottom w:val="single" w:sz="4" w:space="0" w:color="000080"/>
                                  </w:tcBorders>
                                </w:tcPr>
                                <w:p w14:paraId="4F7F30F1" w14:textId="77777777" w:rsidR="00834D64" w:rsidRPr="005D39DD" w:rsidRDefault="00834D64" w:rsidP="00032FCD">
                                  <w:pPr>
                                    <w:keepNext/>
                                    <w:keepLines/>
                                    <w:spacing w:before="40" w:after="40"/>
                                    <w:jc w:val="right"/>
                                    <w:rPr>
                                      <w:sz w:val="21"/>
                                      <w:szCs w:val="21"/>
                                    </w:rPr>
                                  </w:pPr>
                                  <w:r w:rsidRPr="001A75E3">
                                    <w:t xml:space="preserve"> 76.58 </w:t>
                                  </w:r>
                                </w:p>
                              </w:tc>
                              <w:tc>
                                <w:tcPr>
                                  <w:tcW w:w="913" w:type="dxa"/>
                                  <w:tcBorders>
                                    <w:bottom w:val="single" w:sz="4" w:space="0" w:color="000080"/>
                                  </w:tcBorders>
                                </w:tcPr>
                                <w:p w14:paraId="5D856E22" w14:textId="77777777" w:rsidR="00834D64" w:rsidRPr="005D39DD" w:rsidRDefault="00834D64" w:rsidP="00032FCD">
                                  <w:pPr>
                                    <w:keepNext/>
                                    <w:keepLines/>
                                    <w:spacing w:before="40" w:after="40"/>
                                    <w:jc w:val="right"/>
                                    <w:rPr>
                                      <w:sz w:val="21"/>
                                      <w:szCs w:val="21"/>
                                    </w:rPr>
                                  </w:pPr>
                                  <w:r w:rsidRPr="001A75E3">
                                    <w:t xml:space="preserve"> 78.11 </w:t>
                                  </w:r>
                                </w:p>
                              </w:tc>
                              <w:tc>
                                <w:tcPr>
                                  <w:tcW w:w="982" w:type="dxa"/>
                                  <w:tcBorders>
                                    <w:bottom w:val="single" w:sz="4" w:space="0" w:color="000080"/>
                                  </w:tcBorders>
                                </w:tcPr>
                                <w:p w14:paraId="62DEED5C" w14:textId="77777777" w:rsidR="00834D64" w:rsidRPr="005D39DD" w:rsidRDefault="00834D64" w:rsidP="00032FCD">
                                  <w:pPr>
                                    <w:keepNext/>
                                    <w:keepLines/>
                                    <w:spacing w:before="40" w:after="40"/>
                                    <w:jc w:val="right"/>
                                    <w:rPr>
                                      <w:sz w:val="21"/>
                                      <w:szCs w:val="21"/>
                                    </w:rPr>
                                  </w:pPr>
                                  <w:r w:rsidRPr="001A75E3">
                                    <w:t xml:space="preserve"> 79.67 </w:t>
                                  </w:r>
                                </w:p>
                              </w:tc>
                              <w:tc>
                                <w:tcPr>
                                  <w:tcW w:w="996" w:type="dxa"/>
                                  <w:tcBorders>
                                    <w:bottom w:val="single" w:sz="4" w:space="0" w:color="000080"/>
                                  </w:tcBorders>
                                </w:tcPr>
                                <w:p w14:paraId="1D44C88D" w14:textId="77777777" w:rsidR="00834D64" w:rsidRPr="005D39DD" w:rsidRDefault="00834D64" w:rsidP="00032FCD">
                                  <w:pPr>
                                    <w:keepNext/>
                                    <w:keepLines/>
                                    <w:spacing w:before="40" w:after="40"/>
                                    <w:jc w:val="right"/>
                                    <w:rPr>
                                      <w:sz w:val="21"/>
                                      <w:szCs w:val="21"/>
                                    </w:rPr>
                                  </w:pPr>
                                  <w:r w:rsidRPr="001A75E3">
                                    <w:t xml:space="preserve"> 382.52 </w:t>
                                  </w:r>
                                </w:p>
                              </w:tc>
                            </w:tr>
                          </w:tbl>
                          <w:p w14:paraId="79E2AA8B" w14:textId="77777777" w:rsidR="00834D64" w:rsidRDefault="00834D64" w:rsidP="00834D64">
                            <w:pPr>
                              <w:rPr>
                                <w:sz w:val="18"/>
                                <w:szCs w:val="18"/>
                              </w:rPr>
                            </w:pPr>
                            <w:r w:rsidRPr="00DA0E73">
                              <w:rPr>
                                <w:sz w:val="18"/>
                                <w:szCs w:val="18"/>
                              </w:rPr>
                              <w:t>Note: Totals subject to change based on parameter updates.</w:t>
                            </w:r>
                          </w:p>
                          <w:p w14:paraId="07B5A23E" w14:textId="77777777" w:rsidR="00834D64" w:rsidRPr="00101AB3" w:rsidRDefault="00834D64" w:rsidP="00834D64">
                            <w:pPr>
                              <w:rPr>
                                <w:sz w:val="18"/>
                                <w:szCs w:val="18"/>
                              </w:rPr>
                            </w:pPr>
                            <w:r w:rsidRPr="00D519C8">
                              <w:rPr>
                                <w:sz w:val="18"/>
                                <w:szCs w:val="18"/>
                              </w:rPr>
                              <w:t>The Queensland Government invests significant state own funding in Queensland’s housing and homelessness systems. Queensland’s matched funding under this Agreement is a small component of this investment. Australian Government funding under this Agreement represents a contribution to the costs of operating these systems.</w:t>
                            </w:r>
                          </w:p>
                        </w:txbxContent>
                      </v:textbox>
                      <w10:anchorlock/>
                    </v:shape>
                  </w:pict>
                </mc:Fallback>
              </mc:AlternateContent>
            </w:r>
          </w:p>
        </w:tc>
      </w:tr>
      <w:tr w:rsidR="00030DB8" w:rsidRPr="00D519C8" w14:paraId="4BD987E6" w14:textId="77777777" w:rsidTr="00675C15">
        <w:tc>
          <w:tcPr>
            <w:tcW w:w="1691" w:type="dxa"/>
            <w:shd w:val="clear" w:color="auto" w:fill="auto"/>
          </w:tcPr>
          <w:p w14:paraId="186B1E51" w14:textId="77777777" w:rsidR="00030DB8" w:rsidRPr="00D519C8" w:rsidRDefault="00030DB8" w:rsidP="00675C15">
            <w:pPr>
              <w:pStyle w:val="Tableformat"/>
              <w:rPr>
                <w:color w:val="auto"/>
              </w:rPr>
            </w:pPr>
            <w:r w:rsidRPr="00D519C8">
              <w:rPr>
                <w:color w:val="auto"/>
              </w:rPr>
              <w:t>Outputs</w:t>
            </w:r>
          </w:p>
        </w:tc>
        <w:tc>
          <w:tcPr>
            <w:tcW w:w="7938" w:type="dxa"/>
            <w:shd w:val="clear" w:color="auto" w:fill="auto"/>
          </w:tcPr>
          <w:p w14:paraId="6076C332" w14:textId="77777777" w:rsidR="00030DB8" w:rsidRPr="00D519C8" w:rsidRDefault="00030DB8" w:rsidP="00675C15">
            <w:pPr>
              <w:pStyle w:val="Tableformat"/>
              <w:rPr>
                <w:b/>
                <w:bCs/>
                <w:color w:val="auto"/>
              </w:rPr>
            </w:pPr>
            <w:r w:rsidRPr="00D519C8">
              <w:rPr>
                <w:b/>
                <w:bCs/>
                <w:color w:val="auto"/>
              </w:rPr>
              <w:t>Housing and Homelessness Strategy</w:t>
            </w:r>
          </w:p>
          <w:p w14:paraId="02A44DC4" w14:textId="63307465" w:rsidR="00B73B94" w:rsidRPr="00D519C8" w:rsidRDefault="00B73B94" w:rsidP="0073247A">
            <w:pPr>
              <w:pStyle w:val="Tableformat"/>
              <w:rPr>
                <w:color w:val="auto"/>
              </w:rPr>
            </w:pPr>
            <w:r w:rsidRPr="00D519C8">
              <w:rPr>
                <w:color w:val="auto"/>
              </w:rPr>
              <w:t>Queensland</w:t>
            </w:r>
            <w:r w:rsidR="00030DB8" w:rsidRPr="00D519C8">
              <w:rPr>
                <w:color w:val="auto"/>
              </w:rPr>
              <w:t xml:space="preserve"> meets the requirements of clause 18(a) of the Agreement through </w:t>
            </w:r>
            <w:r w:rsidRPr="00D519C8">
              <w:rPr>
                <w:color w:val="auto"/>
              </w:rPr>
              <w:t>Homes for Queenslanders</w:t>
            </w:r>
            <w:r w:rsidR="0073247A" w:rsidRPr="00D519C8">
              <w:rPr>
                <w:color w:val="auto"/>
              </w:rPr>
              <w:t xml:space="preserve">, which is available at </w:t>
            </w:r>
            <w:hyperlink r:id="rId7" w:history="1">
              <w:r w:rsidR="0073247A" w:rsidRPr="00D519C8">
                <w:rPr>
                  <w:rStyle w:val="Hyperlink"/>
                </w:rPr>
                <w:t>www.housing.qld.gov.au/homesforqueenslanders</w:t>
              </w:r>
            </w:hyperlink>
            <w:r w:rsidR="0073247A" w:rsidRPr="00D519C8">
              <w:rPr>
                <w:color w:val="auto"/>
              </w:rPr>
              <w:t>.</w:t>
            </w:r>
          </w:p>
          <w:p w14:paraId="2514147C" w14:textId="51ECAE89" w:rsidR="00770CE9" w:rsidRPr="00D519C8" w:rsidRDefault="00770CE9" w:rsidP="00770CE9">
            <w:pPr>
              <w:pStyle w:val="Tableformat"/>
              <w:rPr>
                <w:color w:val="auto"/>
              </w:rPr>
            </w:pPr>
            <w:r w:rsidRPr="00D519C8">
              <w:rPr>
                <w:color w:val="auto"/>
              </w:rPr>
              <w:t>Homes for Queenslanders</w:t>
            </w:r>
            <w:r w:rsidR="00794950" w:rsidRPr="00D519C8">
              <w:rPr>
                <w:color w:val="auto"/>
              </w:rPr>
              <w:t xml:space="preserve">, backed by an initial state investment of an additional $3.1 billion over five years, </w:t>
            </w:r>
            <w:r w:rsidRPr="00D519C8">
              <w:rPr>
                <w:color w:val="auto"/>
              </w:rPr>
              <w:t xml:space="preserve">works across the housing system to ensure better outcomes now and for future generations. Through Homes for Queenslanders, the Queensland Government is targeting 1 million new homes, including 53,500 new social homes, by 2046. </w:t>
            </w:r>
            <w:r w:rsidR="00794950" w:rsidRPr="00D519C8">
              <w:rPr>
                <w:color w:val="auto"/>
              </w:rPr>
              <w:t xml:space="preserve">A dedicated commitment to delivering 1,200 social homes in First Nations communities in partnership with Aboriginal and Torres Strait Islander local government authorities and communities is part of the 53,500 new social homes target. </w:t>
            </w:r>
            <w:r w:rsidRPr="00D519C8">
              <w:rPr>
                <w:color w:val="auto"/>
              </w:rPr>
              <w:t xml:space="preserve">We are ramping up to deliver more than 2,000 additional social homes every year from 2028. </w:t>
            </w:r>
          </w:p>
          <w:p w14:paraId="05BD9515" w14:textId="096DA951" w:rsidR="00C07FDE" w:rsidRPr="00D519C8" w:rsidRDefault="00770CE9" w:rsidP="00770CE9">
            <w:pPr>
              <w:pStyle w:val="Tableformat"/>
              <w:rPr>
                <w:color w:val="auto"/>
              </w:rPr>
            </w:pPr>
            <w:r w:rsidRPr="00D519C8">
              <w:rPr>
                <w:color w:val="auto"/>
              </w:rPr>
              <w:t xml:space="preserve">Demand for housing in Queensland is affected by a range of factors. Queensland’s strong and diverse economy, climate and lifestyle have attracted </w:t>
            </w:r>
            <w:r w:rsidR="000473BF" w:rsidRPr="00D519C8">
              <w:rPr>
                <w:color w:val="auto"/>
              </w:rPr>
              <w:t xml:space="preserve">significant </w:t>
            </w:r>
            <w:r w:rsidRPr="00D519C8">
              <w:rPr>
                <w:color w:val="auto"/>
              </w:rPr>
              <w:t xml:space="preserve">increases in both interstate and overseas migration in recent years. Recent lifestyle and demographic changes have also contributed to increased demand for housing, with </w:t>
            </w:r>
            <w:r w:rsidR="000473BF" w:rsidRPr="00D519C8">
              <w:rPr>
                <w:color w:val="auto"/>
              </w:rPr>
              <w:t xml:space="preserve">changes in household formation resulting in </w:t>
            </w:r>
            <w:r w:rsidRPr="00D519C8">
              <w:rPr>
                <w:color w:val="auto"/>
              </w:rPr>
              <w:t>fewer people in each household and an ageing population. Additionally, Commonwealth policy settings such as migration, taxation and income support payments influence demand for housing in Queensland.</w:t>
            </w:r>
          </w:p>
          <w:p w14:paraId="37338BC1" w14:textId="5DCF1C29" w:rsidR="00770CE9" w:rsidRPr="00D519C8" w:rsidRDefault="00770CE9" w:rsidP="00770CE9">
            <w:pPr>
              <w:pStyle w:val="Tableformat"/>
              <w:rPr>
                <w:color w:val="auto"/>
              </w:rPr>
            </w:pPr>
            <w:r w:rsidRPr="00D519C8">
              <w:rPr>
                <w:color w:val="auto"/>
              </w:rPr>
              <w:lastRenderedPageBreak/>
              <w:t xml:space="preserve">Homes for Queenslanders positions Queensland to respond to changes in housing demand, including through </w:t>
            </w:r>
            <w:r w:rsidR="00083B97" w:rsidRPr="00D519C8">
              <w:rPr>
                <w:color w:val="auto"/>
              </w:rPr>
              <w:t>planning reforms to unlock housing supply and reduce barriers to development, support Queenslanders in the private housing market, grow social and affordable housing to reduce unmet need, and improve the effectiveness, efficiency, and sustainability of homelessness responses</w:t>
            </w:r>
            <w:r w:rsidRPr="00D519C8">
              <w:rPr>
                <w:color w:val="auto"/>
              </w:rPr>
              <w:t>.</w:t>
            </w:r>
          </w:p>
          <w:p w14:paraId="1782B526" w14:textId="4F0546EA" w:rsidR="00030DB8" w:rsidRPr="00D519C8" w:rsidRDefault="00AA5233" w:rsidP="00675C15">
            <w:pPr>
              <w:pStyle w:val="Tableformat"/>
              <w:rPr>
                <w:color w:val="auto"/>
              </w:rPr>
            </w:pPr>
            <w:r w:rsidRPr="00D519C8">
              <w:rPr>
                <w:color w:val="auto"/>
              </w:rPr>
              <w:t xml:space="preserve">Homes for Queenslanders contains key </w:t>
            </w:r>
            <w:r w:rsidR="000473BF" w:rsidRPr="00D519C8">
              <w:rPr>
                <w:color w:val="auto"/>
              </w:rPr>
              <w:t xml:space="preserve">investments </w:t>
            </w:r>
            <w:r w:rsidRPr="00D519C8">
              <w:rPr>
                <w:color w:val="auto"/>
              </w:rPr>
              <w:t>and initiatives to</w:t>
            </w:r>
            <w:r w:rsidR="00962117" w:rsidRPr="00D519C8">
              <w:rPr>
                <w:color w:val="auto"/>
              </w:rPr>
              <w:t xml:space="preserve"> contribute to</w:t>
            </w:r>
            <w:r w:rsidRPr="00D519C8">
              <w:rPr>
                <w:color w:val="auto"/>
              </w:rPr>
              <w:t xml:space="preserve"> reduc</w:t>
            </w:r>
            <w:r w:rsidR="00962117" w:rsidRPr="00D519C8">
              <w:rPr>
                <w:color w:val="auto"/>
              </w:rPr>
              <w:t>ing</w:t>
            </w:r>
            <w:r w:rsidRPr="00D519C8">
              <w:rPr>
                <w:color w:val="auto"/>
              </w:rPr>
              <w:t xml:space="preserve"> </w:t>
            </w:r>
            <w:r w:rsidR="004D5E1F" w:rsidRPr="00D519C8">
              <w:rPr>
                <w:color w:val="auto"/>
              </w:rPr>
              <w:t xml:space="preserve">and preventing </w:t>
            </w:r>
            <w:r w:rsidRPr="00D519C8">
              <w:rPr>
                <w:color w:val="auto"/>
              </w:rPr>
              <w:t>homelessness.</w:t>
            </w:r>
            <w:r w:rsidR="00030DB8" w:rsidRPr="00D519C8">
              <w:rPr>
                <w:color w:val="auto"/>
              </w:rPr>
              <w:t xml:space="preserve"> </w:t>
            </w:r>
          </w:p>
          <w:p w14:paraId="3C3C2FC6" w14:textId="340011CB" w:rsidR="00C870EC" w:rsidRPr="00D519C8" w:rsidRDefault="00C870EC" w:rsidP="00061A45">
            <w:pPr>
              <w:pStyle w:val="Tableformat"/>
              <w:numPr>
                <w:ilvl w:val="0"/>
                <w:numId w:val="9"/>
              </w:numPr>
              <w:rPr>
                <w:color w:val="auto"/>
              </w:rPr>
            </w:pPr>
            <w:r w:rsidRPr="00D519C8">
              <w:rPr>
                <w:color w:val="auto"/>
              </w:rPr>
              <w:t xml:space="preserve">A 20 per cent funding uplift to specialist homelessness services (pillar 5, page 31) </w:t>
            </w:r>
          </w:p>
          <w:p w14:paraId="6C018D27" w14:textId="77777777" w:rsidR="00C870EC" w:rsidRPr="00D519C8" w:rsidRDefault="00C870EC" w:rsidP="00061A45">
            <w:pPr>
              <w:pStyle w:val="Tableformat"/>
              <w:numPr>
                <w:ilvl w:val="0"/>
                <w:numId w:val="9"/>
              </w:numPr>
              <w:rPr>
                <w:color w:val="auto"/>
              </w:rPr>
            </w:pPr>
            <w:r w:rsidRPr="00D519C8">
              <w:rPr>
                <w:color w:val="auto"/>
              </w:rPr>
              <w:t xml:space="preserve">Undertaking an independent review of Queensland’s homelessness response (pillar 5, page 31) </w:t>
            </w:r>
          </w:p>
          <w:p w14:paraId="12910349" w14:textId="799627FC" w:rsidR="00C870EC" w:rsidRPr="00D519C8" w:rsidRDefault="00C870EC" w:rsidP="00061A45">
            <w:pPr>
              <w:pStyle w:val="Tableformat"/>
              <w:numPr>
                <w:ilvl w:val="0"/>
                <w:numId w:val="9"/>
              </w:numPr>
              <w:rPr>
                <w:color w:val="auto"/>
              </w:rPr>
            </w:pPr>
            <w:r w:rsidRPr="00D519C8">
              <w:rPr>
                <w:color w:val="auto"/>
              </w:rPr>
              <w:t xml:space="preserve">Expand the Critical Response Team model </w:t>
            </w:r>
            <w:r w:rsidR="00E005FF" w:rsidRPr="00D519C8">
              <w:rPr>
                <w:color w:val="auto"/>
              </w:rPr>
              <w:t xml:space="preserve">that conducts outreach to rough sleepers </w:t>
            </w:r>
            <w:r w:rsidRPr="00D519C8">
              <w:rPr>
                <w:color w:val="auto"/>
              </w:rPr>
              <w:t>to all regions of Queensland (pillar 5, page 31)</w:t>
            </w:r>
          </w:p>
          <w:p w14:paraId="6037D392" w14:textId="77777777" w:rsidR="00C870EC" w:rsidRPr="00D519C8" w:rsidRDefault="00C870EC" w:rsidP="00061A45">
            <w:pPr>
              <w:pStyle w:val="Tableformat"/>
              <w:numPr>
                <w:ilvl w:val="0"/>
                <w:numId w:val="9"/>
              </w:numPr>
              <w:rPr>
                <w:color w:val="auto"/>
              </w:rPr>
            </w:pPr>
            <w:r w:rsidRPr="00D519C8">
              <w:rPr>
                <w:color w:val="auto"/>
              </w:rPr>
              <w:t>Expand housing pathways for young people experiencing homelessness (pillar 5, page 31)</w:t>
            </w:r>
          </w:p>
          <w:p w14:paraId="58BC6FE3" w14:textId="77777777" w:rsidR="00C870EC" w:rsidRPr="00D519C8" w:rsidRDefault="00C870EC" w:rsidP="00061A45">
            <w:pPr>
              <w:pStyle w:val="Tableformat"/>
              <w:numPr>
                <w:ilvl w:val="0"/>
                <w:numId w:val="9"/>
              </w:numPr>
              <w:rPr>
                <w:color w:val="auto"/>
              </w:rPr>
            </w:pPr>
            <w:r w:rsidRPr="00D519C8">
              <w:rPr>
                <w:color w:val="auto"/>
              </w:rPr>
              <w:t>Expanding the Immediate Housing Response Package to include individuals and couples (pillar 5, page 31)</w:t>
            </w:r>
          </w:p>
          <w:p w14:paraId="501D4E3A" w14:textId="77777777" w:rsidR="00C870EC" w:rsidRPr="00D519C8" w:rsidRDefault="00C870EC" w:rsidP="00061A45">
            <w:pPr>
              <w:pStyle w:val="Tableformat"/>
              <w:numPr>
                <w:ilvl w:val="0"/>
                <w:numId w:val="9"/>
              </w:numPr>
              <w:rPr>
                <w:color w:val="auto"/>
              </w:rPr>
            </w:pPr>
            <w:r w:rsidRPr="00D519C8">
              <w:rPr>
                <w:color w:val="auto"/>
              </w:rPr>
              <w:t>Establish an integrated Youth Support Centre in Fortitude Valley, Brisbane (pillar 5, page 32)</w:t>
            </w:r>
          </w:p>
          <w:p w14:paraId="159DD122" w14:textId="77777777" w:rsidR="001849E6" w:rsidRPr="00D519C8" w:rsidRDefault="00C870EC" w:rsidP="00061A45">
            <w:pPr>
              <w:pStyle w:val="Tableformat"/>
              <w:numPr>
                <w:ilvl w:val="0"/>
                <w:numId w:val="9"/>
              </w:numPr>
              <w:rPr>
                <w:color w:val="auto"/>
              </w:rPr>
            </w:pPr>
            <w:r w:rsidRPr="00D519C8">
              <w:rPr>
                <w:color w:val="auto"/>
              </w:rPr>
              <w:t>Continue after-hours outreach services and employ more workers at night (pillar 5, page 33)</w:t>
            </w:r>
          </w:p>
          <w:p w14:paraId="0F4EDD17" w14:textId="187E6B95" w:rsidR="00C870EC" w:rsidRPr="00D519C8" w:rsidRDefault="001849E6" w:rsidP="001849E6">
            <w:pPr>
              <w:pStyle w:val="Tableformat"/>
              <w:numPr>
                <w:ilvl w:val="0"/>
                <w:numId w:val="9"/>
              </w:numPr>
              <w:rPr>
                <w:color w:val="auto"/>
              </w:rPr>
            </w:pPr>
            <w:r w:rsidRPr="00D519C8">
              <w:rPr>
                <w:color w:val="auto"/>
              </w:rPr>
              <w:t>A $160 million rental relief package to support renters to secure and keep rental tenancies (pillar 2, page 19)</w:t>
            </w:r>
            <w:r w:rsidR="00083B97" w:rsidRPr="00D519C8">
              <w:rPr>
                <w:color w:val="auto"/>
              </w:rPr>
              <w:t>.</w:t>
            </w:r>
          </w:p>
          <w:p w14:paraId="7A9D121A" w14:textId="62CEA9A2" w:rsidR="00EA788B" w:rsidRPr="00D519C8" w:rsidRDefault="00EA788B" w:rsidP="00EA788B">
            <w:pPr>
              <w:pStyle w:val="Tableformat"/>
              <w:rPr>
                <w:color w:val="auto"/>
              </w:rPr>
            </w:pPr>
            <w:r w:rsidRPr="00D519C8">
              <w:rPr>
                <w:color w:val="auto"/>
              </w:rPr>
              <w:t xml:space="preserve">Aboriginal and Torres Strait Islander people are disproportionately represented across the </w:t>
            </w:r>
            <w:r w:rsidR="00962117" w:rsidRPr="00D519C8">
              <w:rPr>
                <w:color w:val="auto"/>
              </w:rPr>
              <w:t xml:space="preserve">social </w:t>
            </w:r>
            <w:r w:rsidRPr="00D519C8">
              <w:rPr>
                <w:color w:val="auto"/>
              </w:rPr>
              <w:t>housing and homelessness spectrum.</w:t>
            </w:r>
          </w:p>
          <w:p w14:paraId="481FA060" w14:textId="483A6104" w:rsidR="00EA788B" w:rsidRPr="00D519C8" w:rsidRDefault="00EA788B" w:rsidP="00061A45">
            <w:pPr>
              <w:pStyle w:val="Tableformat"/>
            </w:pPr>
            <w:r w:rsidRPr="00D519C8">
              <w:rPr>
                <w:color w:val="auto"/>
              </w:rPr>
              <w:t xml:space="preserve">To address this disparity, Queensland </w:t>
            </w:r>
            <w:r w:rsidR="00083B97" w:rsidRPr="00D519C8">
              <w:rPr>
                <w:color w:val="auto"/>
              </w:rPr>
              <w:t xml:space="preserve">has released </w:t>
            </w:r>
            <w:r w:rsidRPr="00D519C8">
              <w:rPr>
                <w:color w:val="auto"/>
              </w:rPr>
              <w:t>Our Place: A First Nations Housing and Homelessness Roadmap to 2031 (the Roadmap)</w:t>
            </w:r>
            <w:r w:rsidR="00083B97" w:rsidRPr="00D519C8">
              <w:rPr>
                <w:color w:val="auto"/>
              </w:rPr>
              <w:t>,</w:t>
            </w:r>
            <w:r w:rsidRPr="00D519C8">
              <w:rPr>
                <w:color w:val="auto"/>
              </w:rPr>
              <w:t xml:space="preserve"> </w:t>
            </w:r>
            <w:r w:rsidR="00083B97" w:rsidRPr="00D519C8">
              <w:rPr>
                <w:color w:val="auto"/>
              </w:rPr>
              <w:t xml:space="preserve"> and </w:t>
            </w:r>
            <w:r w:rsidRPr="00D519C8">
              <w:rPr>
                <w:color w:val="auto"/>
              </w:rPr>
              <w:t>Our Place: A First Nations Housing and Homelessness Action Plan 2024-2027 (Our Place Action Plan)</w:t>
            </w:r>
            <w:r w:rsidR="00083B97" w:rsidRPr="00D519C8">
              <w:rPr>
                <w:color w:val="auto"/>
              </w:rPr>
              <w:t>,</w:t>
            </w:r>
            <w:r w:rsidRPr="00D519C8">
              <w:rPr>
                <w:color w:val="auto"/>
              </w:rPr>
              <w:t xml:space="preserve"> </w:t>
            </w:r>
            <w:r w:rsidR="00083B97" w:rsidRPr="00D519C8">
              <w:rPr>
                <w:color w:val="auto"/>
              </w:rPr>
              <w:t xml:space="preserve">both </w:t>
            </w:r>
            <w:r w:rsidRPr="00D519C8">
              <w:rPr>
                <w:color w:val="auto"/>
              </w:rPr>
              <w:t xml:space="preserve">available at </w:t>
            </w:r>
            <w:hyperlink r:id="rId8" w:history="1">
              <w:r w:rsidR="00083B97" w:rsidRPr="00D519C8">
                <w:rPr>
                  <w:rStyle w:val="Hyperlink"/>
                </w:rPr>
                <w:t>www.housing.qld.gov.au/initiatives/first-nations-housing-and-homelessness</w:t>
              </w:r>
            </w:hyperlink>
            <w:r w:rsidR="00083B97" w:rsidRPr="00D519C8">
              <w:t xml:space="preserve">. </w:t>
            </w:r>
          </w:p>
          <w:p w14:paraId="6204B13B" w14:textId="1AF7147D" w:rsidR="00EA788B" w:rsidRPr="00D519C8" w:rsidRDefault="00EA788B" w:rsidP="00061A45">
            <w:pPr>
              <w:widowControl/>
              <w:spacing w:before="80" w:after="80"/>
              <w:outlineLvl w:val="1"/>
              <w:rPr>
                <w:rFonts w:ascii="Corbel" w:eastAsia="Times New Roman" w:hAnsi="Corbel" w:cs="Arial"/>
                <w:iCs/>
                <w:sz w:val="26"/>
                <w:szCs w:val="26"/>
                <w:lang w:eastAsia="en-AU"/>
              </w:rPr>
            </w:pPr>
            <w:r w:rsidRPr="00D519C8">
              <w:rPr>
                <w:rFonts w:ascii="Corbel" w:eastAsia="Times New Roman" w:hAnsi="Corbel" w:cs="Arial"/>
                <w:iCs/>
                <w:sz w:val="26"/>
                <w:szCs w:val="26"/>
                <w:lang w:eastAsia="en-AU"/>
              </w:rPr>
              <w:t>The Roadmap sets out a consistent, cohesive and coordinated approach to closing the housing gap</w:t>
            </w:r>
            <w:r w:rsidRPr="00D519C8" w:rsidDel="00C5692E">
              <w:rPr>
                <w:rFonts w:ascii="Corbel" w:eastAsia="Times New Roman" w:hAnsi="Corbel" w:cs="Arial"/>
                <w:iCs/>
                <w:sz w:val="26"/>
                <w:szCs w:val="26"/>
                <w:lang w:eastAsia="en-AU"/>
              </w:rPr>
              <w:t xml:space="preserve"> </w:t>
            </w:r>
            <w:r w:rsidRPr="00D519C8">
              <w:rPr>
                <w:rFonts w:ascii="Corbel" w:eastAsia="Times New Roman" w:hAnsi="Corbel" w:cs="Arial"/>
                <w:iCs/>
                <w:sz w:val="26"/>
                <w:szCs w:val="26"/>
                <w:lang w:eastAsia="en-AU"/>
              </w:rPr>
              <w:t>through the implementation of two successive four-year First Nations housing and homelessness action plans.</w:t>
            </w:r>
            <w:r w:rsidR="00083B97" w:rsidRPr="00D519C8">
              <w:rPr>
                <w:rFonts w:ascii="Corbel" w:eastAsia="Times New Roman" w:hAnsi="Corbel"/>
                <w:iCs/>
                <w:sz w:val="26"/>
                <w:szCs w:val="26"/>
                <w:lang w:eastAsia="en-AU"/>
              </w:rPr>
              <w:t xml:space="preserve"> </w:t>
            </w:r>
            <w:r w:rsidRPr="00D519C8">
              <w:rPr>
                <w:rFonts w:ascii="Corbel" w:eastAsia="Times New Roman" w:hAnsi="Corbel"/>
                <w:iCs/>
                <w:sz w:val="26"/>
                <w:szCs w:val="26"/>
                <w:lang w:eastAsia="en-AU"/>
              </w:rPr>
              <w:t>The Roadmap, including</w:t>
            </w:r>
            <w:r w:rsidR="00794950" w:rsidRPr="00D519C8">
              <w:rPr>
                <w:rFonts w:ascii="Corbel" w:eastAsia="Times New Roman" w:hAnsi="Corbel"/>
                <w:iCs/>
                <w:sz w:val="26"/>
                <w:szCs w:val="26"/>
                <w:lang w:eastAsia="en-AU"/>
              </w:rPr>
              <w:t xml:space="preserve"> commitment to a</w:t>
            </w:r>
            <w:r w:rsidRPr="00D519C8">
              <w:rPr>
                <w:rFonts w:ascii="Corbel" w:eastAsia="Times New Roman" w:hAnsi="Corbel"/>
                <w:iCs/>
                <w:sz w:val="26"/>
                <w:szCs w:val="26"/>
                <w:lang w:eastAsia="en-AU"/>
              </w:rPr>
              <w:t xml:space="preserve"> third action plan, builds strategically on </w:t>
            </w:r>
            <w:r w:rsidRPr="00D519C8">
              <w:rPr>
                <w:rFonts w:ascii="Corbel" w:eastAsia="Times New Roman" w:hAnsi="Corbel"/>
                <w:sz w:val="26"/>
                <w:szCs w:val="26"/>
                <w:lang w:eastAsia="en-AU"/>
              </w:rPr>
              <w:t>Homes for Queenslanders</w:t>
            </w:r>
            <w:r w:rsidRPr="00D519C8">
              <w:rPr>
                <w:rFonts w:ascii="Corbel" w:eastAsia="Times New Roman" w:hAnsi="Corbel"/>
                <w:iCs/>
                <w:sz w:val="26"/>
                <w:szCs w:val="26"/>
                <w:lang w:eastAsia="en-AU"/>
              </w:rPr>
              <w:t xml:space="preserve"> by focusing on the structural inequities that compound the effects of current housing pressures for First Nations peoples.</w:t>
            </w:r>
          </w:p>
          <w:p w14:paraId="26300E61" w14:textId="46C716B6" w:rsidR="00EA788B" w:rsidRPr="00D519C8" w:rsidRDefault="00EA788B" w:rsidP="00061A45">
            <w:pPr>
              <w:widowControl/>
              <w:spacing w:before="80" w:after="80"/>
              <w:outlineLvl w:val="1"/>
              <w:rPr>
                <w:rFonts w:ascii="Corbel" w:eastAsia="Times New Roman" w:hAnsi="Corbel"/>
                <w:iCs/>
                <w:sz w:val="26"/>
                <w:szCs w:val="26"/>
                <w:lang w:eastAsia="en-AU"/>
              </w:rPr>
            </w:pPr>
            <w:r w:rsidRPr="00D519C8">
              <w:rPr>
                <w:rFonts w:ascii="Corbel" w:eastAsia="Times New Roman" w:hAnsi="Corbel"/>
                <w:iCs/>
                <w:sz w:val="26"/>
                <w:szCs w:val="26"/>
                <w:lang w:eastAsia="en-AU"/>
              </w:rPr>
              <w:lastRenderedPageBreak/>
              <w:t>Our Place Action Plan will deliver 27 actions across the following five priority outcomes areas: Partnerships and shared responsibility; Strong sector; A reliable and culturally safe service and support system; Culturally responsive supply solutions; and Private market pathways.</w:t>
            </w:r>
            <w:r w:rsidR="00083B97" w:rsidRPr="00D519C8">
              <w:rPr>
                <w:rFonts w:ascii="Corbel" w:eastAsia="Times New Roman" w:hAnsi="Corbel"/>
                <w:iCs/>
                <w:sz w:val="26"/>
                <w:szCs w:val="26"/>
                <w:lang w:eastAsia="en-AU"/>
              </w:rPr>
              <w:t xml:space="preserve"> </w:t>
            </w:r>
          </w:p>
          <w:p w14:paraId="04EE6E3F" w14:textId="1867F63D" w:rsidR="005A60C9" w:rsidRPr="00D519C8" w:rsidRDefault="00607FB2" w:rsidP="00675C15">
            <w:pPr>
              <w:pStyle w:val="Tableformat"/>
              <w:rPr>
                <w:color w:val="auto"/>
              </w:rPr>
            </w:pPr>
            <w:r w:rsidRPr="00D519C8">
              <w:rPr>
                <w:color w:val="auto"/>
              </w:rPr>
              <w:t>Additionally, t</w:t>
            </w:r>
            <w:r w:rsidR="005A60C9" w:rsidRPr="00D519C8">
              <w:rPr>
                <w:color w:val="auto"/>
              </w:rPr>
              <w:t xml:space="preserve">hrough Homes for Queenslanders, Queensland is strengthening pathways and increasing housing support for people with disability, with a new action-oriented plan, </w:t>
            </w:r>
            <w:r w:rsidR="005A60C9" w:rsidRPr="00D519C8">
              <w:rPr>
                <w:i/>
                <w:iCs w:val="0"/>
                <w:color w:val="auto"/>
              </w:rPr>
              <w:t>Partnering for Inclusive Housing with Queenslanders with Disability 2024-2027</w:t>
            </w:r>
            <w:r w:rsidR="005A60C9" w:rsidRPr="00D519C8">
              <w:rPr>
                <w:color w:val="auto"/>
              </w:rPr>
              <w:t>, co-designed with people with disability and other housing experts.</w:t>
            </w:r>
          </w:p>
          <w:p w14:paraId="4854FA63" w14:textId="77777777" w:rsidR="00030DB8" w:rsidRPr="00D519C8" w:rsidRDefault="00030DB8" w:rsidP="00675C15">
            <w:pPr>
              <w:pStyle w:val="Tableformat"/>
              <w:rPr>
                <w:b/>
                <w:bCs/>
                <w:color w:val="auto"/>
              </w:rPr>
            </w:pPr>
            <w:r w:rsidRPr="00D519C8">
              <w:rPr>
                <w:b/>
                <w:bCs/>
                <w:color w:val="auto"/>
              </w:rPr>
              <w:t>National Outcomes Framework</w:t>
            </w:r>
          </w:p>
          <w:p w14:paraId="033BF426" w14:textId="22B9C542" w:rsidR="00030DB8" w:rsidRPr="00D519C8" w:rsidRDefault="002C3CA4" w:rsidP="00675C15">
            <w:pPr>
              <w:pStyle w:val="Tableformat"/>
              <w:rPr>
                <w:i/>
                <w:iCs w:val="0"/>
                <w:color w:val="auto"/>
              </w:rPr>
            </w:pPr>
            <w:r w:rsidRPr="00D519C8">
              <w:rPr>
                <w:color w:val="auto"/>
              </w:rPr>
              <w:t>Queensland</w:t>
            </w:r>
            <w:r w:rsidR="00030DB8" w:rsidRPr="00D519C8">
              <w:rPr>
                <w:color w:val="auto"/>
              </w:rPr>
              <w:t xml:space="preserve"> will meet the requirements of clause 18(b) by reporting against the indicators in the National Outcomes Framework (Schedule A of the Agreement). This will include at a minimum, the compulsory measures</w:t>
            </w:r>
            <w:r w:rsidR="00615929" w:rsidRPr="00D519C8">
              <w:rPr>
                <w:color w:val="auto"/>
              </w:rPr>
              <w:t xml:space="preserve"> as noted below</w:t>
            </w:r>
            <w:r w:rsidR="00030DB8" w:rsidRPr="00D519C8">
              <w:rPr>
                <w:color w:val="auto"/>
              </w:rPr>
              <w:t>.</w:t>
            </w:r>
            <w:r w:rsidR="00030DB8" w:rsidRPr="00D519C8">
              <w:rPr>
                <w:color w:val="auto"/>
              </w:rPr>
              <w:br/>
            </w:r>
            <w:r w:rsidR="00030DB8" w:rsidRPr="00D519C8">
              <w:rPr>
                <w:i/>
                <w:iCs w:val="0"/>
                <w:color w:val="auto"/>
              </w:rPr>
              <w:t>Homelessness</w:t>
            </w:r>
          </w:p>
          <w:p w14:paraId="2E120636" w14:textId="77777777" w:rsidR="00030DB8" w:rsidRPr="00D519C8" w:rsidRDefault="00030DB8" w:rsidP="00911020">
            <w:pPr>
              <w:pStyle w:val="Tableformat"/>
              <w:numPr>
                <w:ilvl w:val="0"/>
                <w:numId w:val="7"/>
              </w:numPr>
              <w:rPr>
                <w:color w:val="auto"/>
              </w:rPr>
            </w:pPr>
            <w:r w:rsidRPr="00D519C8">
              <w:rPr>
                <w:color w:val="auto"/>
                <w:lang w:val="en-AU"/>
              </w:rPr>
              <w:t>Number of unassisted requests for services, split by accommodation and other services</w:t>
            </w:r>
          </w:p>
          <w:p w14:paraId="04850623" w14:textId="77777777" w:rsidR="00030DB8" w:rsidRPr="00D519C8" w:rsidRDefault="00030DB8" w:rsidP="00911020">
            <w:pPr>
              <w:pStyle w:val="Tableformat"/>
              <w:numPr>
                <w:ilvl w:val="0"/>
                <w:numId w:val="7"/>
              </w:numPr>
              <w:rPr>
                <w:color w:val="auto"/>
              </w:rPr>
            </w:pPr>
            <w:r w:rsidRPr="00D519C8">
              <w:rPr>
                <w:color w:val="auto"/>
              </w:rPr>
              <w:t xml:space="preserve">Number and proportion of clients with an identified need for services who were not provided or referred to those services, split by accommodation and other services </w:t>
            </w:r>
          </w:p>
          <w:p w14:paraId="7E491FE3" w14:textId="77777777" w:rsidR="00030DB8" w:rsidRPr="00D519C8" w:rsidRDefault="00030DB8" w:rsidP="00911020">
            <w:pPr>
              <w:pStyle w:val="Tableformat"/>
              <w:numPr>
                <w:ilvl w:val="0"/>
                <w:numId w:val="7"/>
              </w:numPr>
              <w:rPr>
                <w:color w:val="auto"/>
              </w:rPr>
            </w:pPr>
            <w:r w:rsidRPr="00D519C8">
              <w:rPr>
                <w:rFonts w:cstheme="minorHAnsi"/>
                <w:color w:val="auto"/>
                <w:szCs w:val="23"/>
              </w:rPr>
              <w:t>Number and proportion of clients at risk of homelessness who receive assistance and avoid homelessness</w:t>
            </w:r>
          </w:p>
          <w:p w14:paraId="565949FD" w14:textId="77777777" w:rsidR="00030DB8" w:rsidRPr="00D519C8" w:rsidRDefault="00030DB8" w:rsidP="00911020">
            <w:pPr>
              <w:pStyle w:val="Tableformat"/>
              <w:numPr>
                <w:ilvl w:val="0"/>
                <w:numId w:val="7"/>
              </w:numPr>
              <w:rPr>
                <w:color w:val="auto"/>
              </w:rPr>
            </w:pPr>
            <w:r w:rsidRPr="00D519C8">
              <w:rPr>
                <w:rFonts w:cstheme="minorHAnsi"/>
                <w:color w:val="auto"/>
                <w:szCs w:val="23"/>
              </w:rPr>
              <w:t>Number and proportion of clients who return to homelessness after achieving housing </w:t>
            </w:r>
          </w:p>
          <w:p w14:paraId="35F8A37D" w14:textId="77777777" w:rsidR="00030DB8" w:rsidRPr="00D519C8" w:rsidRDefault="00030DB8" w:rsidP="00675C15">
            <w:pPr>
              <w:pStyle w:val="Tableformat"/>
              <w:rPr>
                <w:i/>
                <w:iCs w:val="0"/>
                <w:color w:val="auto"/>
              </w:rPr>
            </w:pPr>
            <w:r w:rsidRPr="00D519C8">
              <w:rPr>
                <w:i/>
                <w:iCs w:val="0"/>
                <w:color w:val="auto"/>
              </w:rPr>
              <w:t>Social housing</w:t>
            </w:r>
          </w:p>
          <w:p w14:paraId="1EA4C402" w14:textId="77777777" w:rsidR="00030DB8" w:rsidRPr="00D519C8" w:rsidRDefault="00030DB8" w:rsidP="00911020">
            <w:pPr>
              <w:pStyle w:val="Tableformat"/>
              <w:numPr>
                <w:ilvl w:val="0"/>
                <w:numId w:val="7"/>
              </w:numPr>
              <w:rPr>
                <w:color w:val="auto"/>
                <w:lang w:val="en-AU"/>
              </w:rPr>
            </w:pPr>
            <w:r w:rsidRPr="00D519C8">
              <w:rPr>
                <w:color w:val="auto"/>
                <w:lang w:val="en-AU"/>
              </w:rPr>
              <w:t>Number of social housing dwellings at 30 June: public housing, SOMIH, community housing and Indigenous community housing, all programs</w:t>
            </w:r>
          </w:p>
          <w:p w14:paraId="29DF8846" w14:textId="77777777" w:rsidR="00C83217" w:rsidRPr="00CE446F" w:rsidRDefault="00C83217" w:rsidP="00C83217">
            <w:pPr>
              <w:pStyle w:val="Tableformat"/>
              <w:numPr>
                <w:ilvl w:val="0"/>
                <w:numId w:val="7"/>
              </w:numPr>
              <w:rPr>
                <w:color w:val="auto"/>
                <w:lang w:val="en-AU"/>
              </w:rPr>
            </w:pPr>
            <w:r w:rsidRPr="004B513F">
              <w:rPr>
                <w:rFonts w:cstheme="minorHAnsi"/>
                <w:color w:val="auto"/>
                <w:szCs w:val="23"/>
              </w:rPr>
              <w:t>Chang</w:t>
            </w:r>
            <w:r w:rsidRPr="00CE446F">
              <w:rPr>
                <w:color w:val="auto"/>
                <w:lang w:val="en-AU"/>
              </w:rPr>
              <w:t>e in the number of social housing dwellings from previous year</w:t>
            </w:r>
          </w:p>
          <w:p w14:paraId="32005326" w14:textId="77777777" w:rsidR="00030DB8" w:rsidRPr="00D519C8" w:rsidRDefault="00030DB8" w:rsidP="00911020">
            <w:pPr>
              <w:pStyle w:val="Tableformat"/>
              <w:numPr>
                <w:ilvl w:val="0"/>
                <w:numId w:val="7"/>
              </w:numPr>
              <w:rPr>
                <w:color w:val="auto"/>
                <w:lang w:val="en-AU"/>
              </w:rPr>
            </w:pPr>
            <w:r w:rsidRPr="00D519C8">
              <w:rPr>
                <w:color w:val="auto"/>
                <w:lang w:val="en-AU"/>
              </w:rPr>
              <w:t>Proportion of overcrowded households: public housing, SOMIH, community housing and Indigenous community housing, all programs</w:t>
            </w:r>
          </w:p>
          <w:p w14:paraId="5182AB26" w14:textId="77777777" w:rsidR="00030DB8" w:rsidRPr="00D519C8" w:rsidRDefault="00030DB8" w:rsidP="00911020">
            <w:pPr>
              <w:pStyle w:val="Tableformat"/>
              <w:numPr>
                <w:ilvl w:val="0"/>
                <w:numId w:val="7"/>
              </w:numPr>
              <w:rPr>
                <w:color w:val="auto"/>
                <w:lang w:val="en-AU"/>
              </w:rPr>
            </w:pPr>
            <w:r w:rsidRPr="00D519C8">
              <w:rPr>
                <w:color w:val="auto"/>
                <w:lang w:val="en-AU"/>
              </w:rPr>
              <w:t>Proportion of households with at least four working facilities and not more than two major structural problems: public housing, SOMIH, community housing and Indigenous community housing, all programs</w:t>
            </w:r>
          </w:p>
          <w:p w14:paraId="42725CDE" w14:textId="61FECB61" w:rsidR="00030DB8" w:rsidRPr="00D519C8" w:rsidRDefault="00615929" w:rsidP="00675C15">
            <w:pPr>
              <w:pStyle w:val="Tableformat"/>
              <w:rPr>
                <w:color w:val="auto"/>
              </w:rPr>
            </w:pPr>
            <w:r w:rsidRPr="00D519C8">
              <w:rPr>
                <w:color w:val="auto"/>
              </w:rPr>
              <w:lastRenderedPageBreak/>
              <w:br/>
              <w:t xml:space="preserve">Any changes to the reporting arrangements will be agreed by </w:t>
            </w:r>
            <w:r w:rsidR="002C3CA4" w:rsidRPr="00D519C8">
              <w:rPr>
                <w:color w:val="auto"/>
              </w:rPr>
              <w:t>parties</w:t>
            </w:r>
            <w:r w:rsidRPr="00D519C8">
              <w:rPr>
                <w:color w:val="auto"/>
              </w:rPr>
              <w:t xml:space="preserve"> to the bilateral schedule (the Commonwealth and Queensland)</w:t>
            </w:r>
            <w:r w:rsidR="002C3CA4" w:rsidRPr="00D519C8">
              <w:rPr>
                <w:color w:val="auto"/>
              </w:rPr>
              <w:t>.</w:t>
            </w:r>
          </w:p>
          <w:p w14:paraId="38618F22" w14:textId="77777777" w:rsidR="00030DB8" w:rsidRPr="00D519C8" w:rsidRDefault="00030DB8" w:rsidP="00675C15">
            <w:pPr>
              <w:pStyle w:val="Tableformat"/>
              <w:rPr>
                <w:color w:val="44546A" w:themeColor="text2"/>
                <w:lang w:val="en-AU"/>
              </w:rPr>
            </w:pPr>
          </w:p>
          <w:p w14:paraId="11BCE711" w14:textId="77777777" w:rsidR="00030DB8" w:rsidRPr="00D519C8" w:rsidRDefault="00030DB8" w:rsidP="00675C15">
            <w:pPr>
              <w:pStyle w:val="Tableformat"/>
              <w:rPr>
                <w:b/>
                <w:bCs/>
                <w:color w:val="auto"/>
              </w:rPr>
            </w:pPr>
            <w:r w:rsidRPr="00D519C8">
              <w:rPr>
                <w:b/>
                <w:bCs/>
                <w:color w:val="auto"/>
              </w:rPr>
              <w:t>Statements of Assurance</w:t>
            </w:r>
          </w:p>
          <w:p w14:paraId="500A8C4E" w14:textId="50946E2A" w:rsidR="00C83217" w:rsidRDefault="002C3CA4" w:rsidP="00675C15">
            <w:pPr>
              <w:pStyle w:val="Tableformat"/>
              <w:rPr>
                <w:color w:val="auto"/>
                <w:lang w:val="en-AU"/>
              </w:rPr>
            </w:pPr>
            <w:r w:rsidRPr="00D519C8">
              <w:rPr>
                <w:color w:val="auto"/>
                <w:lang w:val="en-AU"/>
              </w:rPr>
              <w:t>Queensland</w:t>
            </w:r>
            <w:r w:rsidR="00030DB8" w:rsidRPr="00D519C8">
              <w:rPr>
                <w:color w:val="auto"/>
                <w:lang w:val="en-AU"/>
              </w:rPr>
              <w:t xml:space="preserve"> will report annually how </w:t>
            </w:r>
            <w:r w:rsidR="00861168" w:rsidRPr="00D519C8">
              <w:rPr>
                <w:color w:val="auto"/>
                <w:lang w:val="en-AU"/>
              </w:rPr>
              <w:t>it has</w:t>
            </w:r>
            <w:r w:rsidR="00030DB8" w:rsidRPr="00D519C8">
              <w:rPr>
                <w:color w:val="auto"/>
                <w:lang w:val="en-AU"/>
              </w:rPr>
              <w:t xml:space="preserve"> met the requirements of the Agreement</w:t>
            </w:r>
            <w:r w:rsidR="00794950" w:rsidRPr="00D519C8">
              <w:rPr>
                <w:color w:val="auto"/>
                <w:lang w:val="en-AU"/>
              </w:rPr>
              <w:t xml:space="preserve"> </w:t>
            </w:r>
            <w:r w:rsidR="00C83217">
              <w:rPr>
                <w:color w:val="auto"/>
                <w:lang w:val="en-AU"/>
              </w:rPr>
              <w:t>using the template in the Agreement (Schedule B)</w:t>
            </w:r>
            <w:r w:rsidR="00C94016">
              <w:rPr>
                <w:color w:val="auto"/>
                <w:lang w:val="en-AU"/>
              </w:rPr>
              <w:t xml:space="preserve"> with any departures from this to be agreed </w:t>
            </w:r>
            <w:r w:rsidR="00666B6B">
              <w:rPr>
                <w:color w:val="auto"/>
                <w:lang w:val="en-AU"/>
              </w:rPr>
              <w:t>with</w:t>
            </w:r>
            <w:r w:rsidR="00C94016">
              <w:rPr>
                <w:color w:val="auto"/>
                <w:lang w:val="en-AU"/>
              </w:rPr>
              <w:t xml:space="preserve"> the Commonwealth</w:t>
            </w:r>
            <w:r w:rsidR="00794950" w:rsidRPr="00D519C8">
              <w:rPr>
                <w:color w:val="auto"/>
                <w:lang w:val="en-AU"/>
              </w:rPr>
              <w:t xml:space="preserve">. </w:t>
            </w:r>
          </w:p>
          <w:p w14:paraId="6FE77111" w14:textId="77777777" w:rsidR="00C83217" w:rsidRDefault="00794950" w:rsidP="00675C15">
            <w:pPr>
              <w:pStyle w:val="Tableformat"/>
              <w:rPr>
                <w:color w:val="auto"/>
                <w:lang w:val="en-AU"/>
              </w:rPr>
            </w:pPr>
            <w:r w:rsidRPr="00D519C8">
              <w:rPr>
                <w:color w:val="auto"/>
                <w:lang w:val="en-AU"/>
              </w:rPr>
              <w:t>Where possible, reporting will refer to existing reporting,</w:t>
            </w:r>
            <w:r w:rsidR="00861168" w:rsidRPr="00D519C8">
              <w:rPr>
                <w:color w:val="auto"/>
                <w:lang w:val="en-AU"/>
              </w:rPr>
              <w:t xml:space="preserve"> recognising that </w:t>
            </w:r>
            <w:r w:rsidR="00A83B71" w:rsidRPr="00D519C8">
              <w:rPr>
                <w:color w:val="auto"/>
                <w:lang w:val="en-AU"/>
              </w:rPr>
              <w:t>Queensland</w:t>
            </w:r>
            <w:r w:rsidR="00861168" w:rsidRPr="00D519C8">
              <w:rPr>
                <w:color w:val="auto"/>
                <w:lang w:val="en-AU"/>
              </w:rPr>
              <w:t xml:space="preserve"> also </w:t>
            </w:r>
            <w:r w:rsidR="00720F58" w:rsidRPr="00D519C8">
              <w:rPr>
                <w:color w:val="auto"/>
                <w:lang w:val="en-AU"/>
              </w:rPr>
              <w:t>contribute</w:t>
            </w:r>
            <w:r w:rsidR="00A83B71" w:rsidRPr="00D519C8">
              <w:rPr>
                <w:color w:val="auto"/>
                <w:lang w:val="en-AU"/>
              </w:rPr>
              <w:t>s</w:t>
            </w:r>
            <w:r w:rsidR="00720F58" w:rsidRPr="00D519C8">
              <w:rPr>
                <w:color w:val="auto"/>
                <w:lang w:val="en-AU"/>
              </w:rPr>
              <w:t xml:space="preserve"> to existing national housing and homelessness data collections and reporting, including the Report on Government Services and Australian Institute of Health and Welfare collections.</w:t>
            </w:r>
            <w:r w:rsidR="00720F58" w:rsidRPr="00D519C8" w:rsidDel="00720F58">
              <w:rPr>
                <w:color w:val="auto"/>
                <w:lang w:val="en-AU"/>
              </w:rPr>
              <w:t xml:space="preserve"> </w:t>
            </w:r>
            <w:r w:rsidR="00720F58" w:rsidRPr="00D519C8">
              <w:rPr>
                <w:color w:val="auto"/>
                <w:lang w:val="en-AU"/>
              </w:rPr>
              <w:t xml:space="preserve"> </w:t>
            </w:r>
          </w:p>
          <w:p w14:paraId="18172B01" w14:textId="695316E6" w:rsidR="00030DB8" w:rsidRPr="00D519C8" w:rsidRDefault="00030DB8" w:rsidP="00675C15">
            <w:pPr>
              <w:pStyle w:val="Tableformat"/>
              <w:rPr>
                <w:b/>
                <w:bCs/>
                <w:color w:val="auto"/>
              </w:rPr>
            </w:pPr>
          </w:p>
        </w:tc>
      </w:tr>
    </w:tbl>
    <w:p w14:paraId="0BDAC483" w14:textId="77777777" w:rsidR="00030DB8" w:rsidRPr="00D519C8" w:rsidRDefault="00030DB8" w:rsidP="00030DB8">
      <w:pPr>
        <w:spacing w:before="240"/>
        <w:rPr>
          <w:lang w:val="en-GB"/>
        </w:rPr>
      </w:pPr>
      <w:r w:rsidRPr="00D519C8">
        <w:rPr>
          <w:lang w:val="en-GB"/>
        </w:rPr>
        <w:lastRenderedPageBreak/>
        <w:t xml:space="preserve">The </w:t>
      </w:r>
      <w:r w:rsidRPr="00D519C8">
        <w:rPr>
          <w:sz w:val="24"/>
          <w:szCs w:val="24"/>
        </w:rPr>
        <w:t>Parties</w:t>
      </w:r>
      <w:r w:rsidRPr="00D519C8">
        <w:rPr>
          <w:lang w:val="en-GB"/>
        </w:rPr>
        <w:t xml:space="preserve"> have confirmed their commitment to this schedule as follows:</w:t>
      </w:r>
    </w:p>
    <w:tbl>
      <w:tblPr>
        <w:tblW w:w="5000" w:type="pct"/>
        <w:jc w:val="center"/>
        <w:tblLook w:val="01E0" w:firstRow="1" w:lastRow="1" w:firstColumn="1" w:lastColumn="1" w:noHBand="0" w:noVBand="0"/>
      </w:tblPr>
      <w:tblGrid>
        <w:gridCol w:w="3903"/>
        <w:gridCol w:w="1220"/>
        <w:gridCol w:w="3903"/>
      </w:tblGrid>
      <w:tr w:rsidR="00030DB8" w:rsidRPr="00A50751" w14:paraId="1F1EDBE4" w14:textId="77777777" w:rsidTr="00675C15">
        <w:trPr>
          <w:cantSplit/>
          <w:trHeight w:val="2234"/>
          <w:jc w:val="center"/>
        </w:trPr>
        <w:tc>
          <w:tcPr>
            <w:tcW w:w="2105" w:type="pct"/>
          </w:tcPr>
          <w:p w14:paraId="62B197F9" w14:textId="77777777" w:rsidR="00030DB8" w:rsidRPr="00D519C8" w:rsidRDefault="00030DB8" w:rsidP="00675C15">
            <w:pPr>
              <w:pStyle w:val="Signed"/>
            </w:pPr>
            <w:r w:rsidRPr="00D519C8">
              <w:rPr>
                <w:rStyle w:val="SignedBold"/>
              </w:rPr>
              <w:t>Signed</w:t>
            </w:r>
            <w:r w:rsidRPr="00D519C8">
              <w:t xml:space="preserve"> for and on behalf of the Commonwealth of Australia by</w:t>
            </w:r>
          </w:p>
          <w:p w14:paraId="5220291C" w14:textId="77777777" w:rsidR="00030DB8" w:rsidRPr="00D519C8" w:rsidRDefault="00030DB8" w:rsidP="00675C15">
            <w:pPr>
              <w:pStyle w:val="LineForSignature"/>
            </w:pPr>
            <w:r w:rsidRPr="00D519C8">
              <w:br/>
            </w:r>
            <w:r w:rsidRPr="00D519C8">
              <w:tab/>
            </w:r>
          </w:p>
          <w:p w14:paraId="36D60877" w14:textId="026DAB47" w:rsidR="00030DB8" w:rsidRPr="00D519C8" w:rsidRDefault="00030DB8" w:rsidP="00675C15">
            <w:pPr>
              <w:pStyle w:val="SingleParagraph"/>
              <w:rPr>
                <w:rStyle w:val="Bold"/>
                <w:rFonts w:eastAsiaTheme="minorEastAsia"/>
              </w:rPr>
            </w:pPr>
            <w:r w:rsidRPr="00D519C8">
              <w:rPr>
                <w:rStyle w:val="Bold"/>
                <w:rFonts w:eastAsiaTheme="minorEastAsia"/>
              </w:rPr>
              <w:t xml:space="preserve">The Honourable </w:t>
            </w:r>
            <w:r w:rsidR="00607FB2" w:rsidRPr="00D519C8">
              <w:rPr>
                <w:rStyle w:val="Bold"/>
                <w:rFonts w:eastAsiaTheme="minorEastAsia"/>
              </w:rPr>
              <w:t>Julie Collins</w:t>
            </w:r>
            <w:r w:rsidRPr="00D519C8">
              <w:rPr>
                <w:rStyle w:val="Bold"/>
                <w:rFonts w:eastAsiaTheme="minorEastAsia"/>
              </w:rPr>
              <w:t xml:space="preserve"> MP</w:t>
            </w:r>
          </w:p>
          <w:p w14:paraId="6DE2014F" w14:textId="44507E5C" w:rsidR="00607FB2" w:rsidRPr="00D519C8" w:rsidRDefault="00030DB8" w:rsidP="00834D64">
            <w:pPr>
              <w:pStyle w:val="Position"/>
              <w:spacing w:after="0"/>
              <w:rPr>
                <w:lang w:val="en-GB"/>
              </w:rPr>
            </w:pPr>
            <w:r w:rsidRPr="00D519C8">
              <w:rPr>
                <w:lang w:val="en-GB"/>
              </w:rPr>
              <w:t xml:space="preserve">Minister for </w:t>
            </w:r>
            <w:r w:rsidR="00607FB2" w:rsidRPr="00D519C8">
              <w:rPr>
                <w:lang w:val="en-GB"/>
              </w:rPr>
              <w:t>Housing</w:t>
            </w:r>
          </w:p>
          <w:p w14:paraId="52D3EF8A" w14:textId="77777777" w:rsidR="00607FB2" w:rsidRPr="00D519C8" w:rsidRDefault="00607FB2" w:rsidP="00675C15">
            <w:pPr>
              <w:pStyle w:val="Position"/>
              <w:rPr>
                <w:lang w:val="en-GB"/>
              </w:rPr>
            </w:pPr>
            <w:r w:rsidRPr="00D519C8">
              <w:rPr>
                <w:lang w:val="en-GB"/>
              </w:rPr>
              <w:t>Minister for Homelessness</w:t>
            </w:r>
          </w:p>
          <w:p w14:paraId="0B127703" w14:textId="08453689" w:rsidR="00030DB8" w:rsidRPr="00D519C8" w:rsidRDefault="00030DB8" w:rsidP="00675C15">
            <w:pPr>
              <w:pStyle w:val="SingleParagraph"/>
              <w:tabs>
                <w:tab w:val="num" w:pos="1134"/>
              </w:tabs>
              <w:spacing w:after="240"/>
              <w:rPr>
                <w:b/>
                <w:lang w:val="en-GB"/>
              </w:rPr>
            </w:pPr>
            <w:r w:rsidRPr="00D519C8">
              <w:rPr>
                <w:lang w:val="en-GB"/>
              </w:rPr>
              <w:t>[</w:t>
            </w:r>
            <w:r w:rsidR="00834D64" w:rsidRPr="00D519C8">
              <w:rPr>
                <w:lang w:val="en-GB"/>
              </w:rPr>
              <w:t xml:space="preserve">       </w:t>
            </w:r>
            <w:r w:rsidRPr="00D519C8">
              <w:rPr>
                <w:lang w:val="en-GB"/>
              </w:rPr>
              <w:t>]  [</w:t>
            </w:r>
            <w:r w:rsidR="00834D64" w:rsidRPr="00D519C8">
              <w:rPr>
                <w:lang w:val="en-GB"/>
              </w:rPr>
              <w:t xml:space="preserve">      </w:t>
            </w:r>
            <w:r w:rsidRPr="00D519C8">
              <w:rPr>
                <w:lang w:val="en-GB"/>
              </w:rPr>
              <w:t>]  [</w:t>
            </w:r>
            <w:r w:rsidR="00834D64" w:rsidRPr="00D519C8">
              <w:rPr>
                <w:lang w:val="en-GB"/>
              </w:rPr>
              <w:t xml:space="preserve">      </w:t>
            </w:r>
            <w:r w:rsidRPr="00D519C8">
              <w:rPr>
                <w:lang w:val="en-GB"/>
              </w:rPr>
              <w:t>]</w:t>
            </w:r>
          </w:p>
        </w:tc>
        <w:tc>
          <w:tcPr>
            <w:tcW w:w="789" w:type="pct"/>
            <w:tcMar>
              <w:left w:w="0" w:type="dxa"/>
              <w:right w:w="0" w:type="dxa"/>
            </w:tcMar>
          </w:tcPr>
          <w:p w14:paraId="5E6C5820" w14:textId="77777777" w:rsidR="00030DB8" w:rsidRPr="00D519C8" w:rsidRDefault="00030DB8" w:rsidP="00675C15">
            <w:pPr>
              <w:rPr>
                <w:rFonts w:ascii="Book Antiqua" w:hAnsi="Book Antiqua"/>
                <w:lang w:val="en-GB"/>
              </w:rPr>
            </w:pPr>
          </w:p>
        </w:tc>
        <w:tc>
          <w:tcPr>
            <w:tcW w:w="2105" w:type="pct"/>
          </w:tcPr>
          <w:p w14:paraId="7D7D99A4" w14:textId="5F0C78C6" w:rsidR="00030DB8" w:rsidRPr="00D519C8" w:rsidRDefault="00030DB8" w:rsidP="00675C15">
            <w:pPr>
              <w:pStyle w:val="Signed"/>
            </w:pPr>
            <w:r w:rsidRPr="00D519C8">
              <w:rPr>
                <w:rStyle w:val="SignedBold"/>
              </w:rPr>
              <w:t>Signed</w:t>
            </w:r>
            <w:r w:rsidRPr="00D519C8">
              <w:t xml:space="preserve"> for and on behalf of the </w:t>
            </w:r>
            <w:r w:rsidRPr="00D519C8">
              <w:br/>
              <w:t xml:space="preserve">State of </w:t>
            </w:r>
            <w:r w:rsidR="002C3CA4" w:rsidRPr="00D519C8">
              <w:t xml:space="preserve">Queensland </w:t>
            </w:r>
            <w:r w:rsidRPr="00D519C8">
              <w:t>by</w:t>
            </w:r>
          </w:p>
          <w:p w14:paraId="567C167F" w14:textId="77777777" w:rsidR="00030DB8" w:rsidRPr="00D519C8" w:rsidRDefault="00030DB8" w:rsidP="00675C15">
            <w:pPr>
              <w:pStyle w:val="LineForSignature"/>
            </w:pPr>
            <w:r w:rsidRPr="00D519C8">
              <w:br/>
            </w:r>
            <w:r w:rsidRPr="00D519C8">
              <w:tab/>
            </w:r>
          </w:p>
          <w:p w14:paraId="7177F1F5" w14:textId="01047504" w:rsidR="00030DB8" w:rsidRPr="00D519C8" w:rsidRDefault="00030DB8" w:rsidP="00675C15">
            <w:pPr>
              <w:pStyle w:val="SingleParagraph"/>
              <w:rPr>
                <w:rStyle w:val="Bold"/>
                <w:rFonts w:eastAsiaTheme="minorEastAsia"/>
              </w:rPr>
            </w:pPr>
            <w:r w:rsidRPr="00D519C8">
              <w:rPr>
                <w:rStyle w:val="Bold"/>
                <w:rFonts w:eastAsiaTheme="minorEastAsia"/>
              </w:rPr>
              <w:t xml:space="preserve">The Honourable </w:t>
            </w:r>
            <w:r w:rsidR="002C3CA4" w:rsidRPr="00D519C8">
              <w:rPr>
                <w:rStyle w:val="Bold"/>
                <w:rFonts w:eastAsiaTheme="minorEastAsia"/>
              </w:rPr>
              <w:t>Meaghan Scanlon</w:t>
            </w:r>
            <w:r w:rsidRPr="00D519C8">
              <w:rPr>
                <w:rStyle w:val="Bold"/>
                <w:rFonts w:eastAsiaTheme="minorEastAsia"/>
              </w:rPr>
              <w:t xml:space="preserve"> MP</w:t>
            </w:r>
          </w:p>
          <w:p w14:paraId="218A2C75" w14:textId="26A8C125" w:rsidR="00030DB8" w:rsidRPr="00D519C8" w:rsidRDefault="00030DB8" w:rsidP="00834D64">
            <w:pPr>
              <w:pStyle w:val="Position"/>
              <w:spacing w:after="0"/>
              <w:rPr>
                <w:lang w:val="en-GB"/>
              </w:rPr>
            </w:pPr>
            <w:r w:rsidRPr="00D519C8">
              <w:rPr>
                <w:lang w:val="en-GB"/>
              </w:rPr>
              <w:t xml:space="preserve">Minister for </w:t>
            </w:r>
            <w:r w:rsidR="002C3CA4" w:rsidRPr="00D519C8">
              <w:rPr>
                <w:lang w:val="en-GB"/>
              </w:rPr>
              <w:t>Housing, Local Government and Planning</w:t>
            </w:r>
          </w:p>
          <w:p w14:paraId="1A6E457A" w14:textId="759BFC0B" w:rsidR="00C870EC" w:rsidRPr="00D519C8" w:rsidRDefault="00C870EC" w:rsidP="00675C15">
            <w:pPr>
              <w:pStyle w:val="Position"/>
              <w:rPr>
                <w:lang w:val="en-GB"/>
              </w:rPr>
            </w:pPr>
            <w:r w:rsidRPr="00D519C8">
              <w:rPr>
                <w:lang w:val="en-GB"/>
              </w:rPr>
              <w:t>Minister for Public Works</w:t>
            </w:r>
          </w:p>
          <w:p w14:paraId="4CD84012" w14:textId="69F0F313" w:rsidR="00030DB8" w:rsidRPr="00061A45" w:rsidRDefault="00834D64" w:rsidP="00675C15">
            <w:pPr>
              <w:rPr>
                <w:rFonts w:ascii="Book Antiqua" w:hAnsi="Book Antiqua"/>
                <w:lang w:val="en-GB"/>
              </w:rPr>
            </w:pPr>
            <w:r w:rsidRPr="00D519C8">
              <w:rPr>
                <w:lang w:val="en-GB"/>
              </w:rPr>
              <w:t>[       ]  [      ]  [      ]</w:t>
            </w:r>
          </w:p>
        </w:tc>
      </w:tr>
    </w:tbl>
    <w:p w14:paraId="7DE67C23" w14:textId="77777777" w:rsidR="00030DB8" w:rsidRPr="00FA50AC" w:rsidRDefault="00030DB8" w:rsidP="00030DB8">
      <w:pPr>
        <w:pStyle w:val="AlphaParagraph"/>
        <w:tabs>
          <w:tab w:val="clear" w:pos="0"/>
          <w:tab w:val="clear" w:pos="283"/>
          <w:tab w:val="clear" w:pos="567"/>
          <w:tab w:val="clear" w:pos="1134"/>
          <w:tab w:val="clear" w:pos="1418"/>
          <w:tab w:val="clear" w:pos="1701"/>
        </w:tabs>
        <w:ind w:left="0" w:firstLine="0"/>
        <w:jc w:val="left"/>
        <w:rPr>
          <w:rFonts w:cs="Corbel"/>
          <w:color w:val="auto"/>
        </w:rPr>
      </w:pPr>
    </w:p>
    <w:bookmarkEnd w:id="0"/>
    <w:p w14:paraId="673500F4" w14:textId="77777777" w:rsidR="00C91B5F" w:rsidRDefault="00C91B5F" w:rsidP="00C255CA"/>
    <w:sectPr w:rsidR="00C91B5F" w:rsidSect="00A94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6C1F" w14:textId="77777777" w:rsidR="008C51ED" w:rsidRDefault="008C51ED">
      <w:r>
        <w:separator/>
      </w:r>
    </w:p>
  </w:endnote>
  <w:endnote w:type="continuationSeparator" w:id="0">
    <w:p w14:paraId="060DAC54" w14:textId="77777777" w:rsidR="008C51ED" w:rsidRDefault="008C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30E6" w14:textId="77777777" w:rsidR="008C51ED" w:rsidRDefault="008C51ED">
      <w:r>
        <w:separator/>
      </w:r>
    </w:p>
  </w:footnote>
  <w:footnote w:type="continuationSeparator" w:id="0">
    <w:p w14:paraId="1DFDB933" w14:textId="77777777" w:rsidR="008C51ED" w:rsidRDefault="008C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22"/>
    <w:multiLevelType w:val="hybridMultilevel"/>
    <w:tmpl w:val="AEBC0646"/>
    <w:lvl w:ilvl="0" w:tplc="ECC847B4">
      <w:start w:val="1"/>
      <w:numFmt w:val="bullet"/>
      <w:lvlText w:val=""/>
      <w:lvlJc w:val="left"/>
      <w:pPr>
        <w:ind w:left="1280" w:hanging="360"/>
      </w:pPr>
      <w:rPr>
        <w:rFonts w:ascii="Symbol" w:hAnsi="Symbol"/>
      </w:rPr>
    </w:lvl>
    <w:lvl w:ilvl="1" w:tplc="446C5C54">
      <w:start w:val="1"/>
      <w:numFmt w:val="bullet"/>
      <w:lvlText w:val=""/>
      <w:lvlJc w:val="left"/>
      <w:pPr>
        <w:ind w:left="1280" w:hanging="360"/>
      </w:pPr>
      <w:rPr>
        <w:rFonts w:ascii="Symbol" w:hAnsi="Symbol"/>
      </w:rPr>
    </w:lvl>
    <w:lvl w:ilvl="2" w:tplc="9970D8D2">
      <w:start w:val="1"/>
      <w:numFmt w:val="bullet"/>
      <w:lvlText w:val=""/>
      <w:lvlJc w:val="left"/>
      <w:pPr>
        <w:ind w:left="1280" w:hanging="360"/>
      </w:pPr>
      <w:rPr>
        <w:rFonts w:ascii="Symbol" w:hAnsi="Symbol"/>
      </w:rPr>
    </w:lvl>
    <w:lvl w:ilvl="3" w:tplc="B0788098">
      <w:start w:val="1"/>
      <w:numFmt w:val="bullet"/>
      <w:lvlText w:val=""/>
      <w:lvlJc w:val="left"/>
      <w:pPr>
        <w:ind w:left="1280" w:hanging="360"/>
      </w:pPr>
      <w:rPr>
        <w:rFonts w:ascii="Symbol" w:hAnsi="Symbol"/>
      </w:rPr>
    </w:lvl>
    <w:lvl w:ilvl="4" w:tplc="C90A2D60">
      <w:start w:val="1"/>
      <w:numFmt w:val="bullet"/>
      <w:lvlText w:val=""/>
      <w:lvlJc w:val="left"/>
      <w:pPr>
        <w:ind w:left="1280" w:hanging="360"/>
      </w:pPr>
      <w:rPr>
        <w:rFonts w:ascii="Symbol" w:hAnsi="Symbol"/>
      </w:rPr>
    </w:lvl>
    <w:lvl w:ilvl="5" w:tplc="1D1E5BB2">
      <w:start w:val="1"/>
      <w:numFmt w:val="bullet"/>
      <w:lvlText w:val=""/>
      <w:lvlJc w:val="left"/>
      <w:pPr>
        <w:ind w:left="1280" w:hanging="360"/>
      </w:pPr>
      <w:rPr>
        <w:rFonts w:ascii="Symbol" w:hAnsi="Symbol"/>
      </w:rPr>
    </w:lvl>
    <w:lvl w:ilvl="6" w:tplc="219CCF7A">
      <w:start w:val="1"/>
      <w:numFmt w:val="bullet"/>
      <w:lvlText w:val=""/>
      <w:lvlJc w:val="left"/>
      <w:pPr>
        <w:ind w:left="1280" w:hanging="360"/>
      </w:pPr>
      <w:rPr>
        <w:rFonts w:ascii="Symbol" w:hAnsi="Symbol"/>
      </w:rPr>
    </w:lvl>
    <w:lvl w:ilvl="7" w:tplc="2FF63696">
      <w:start w:val="1"/>
      <w:numFmt w:val="bullet"/>
      <w:lvlText w:val=""/>
      <w:lvlJc w:val="left"/>
      <w:pPr>
        <w:ind w:left="1280" w:hanging="360"/>
      </w:pPr>
      <w:rPr>
        <w:rFonts w:ascii="Symbol" w:hAnsi="Symbol"/>
      </w:rPr>
    </w:lvl>
    <w:lvl w:ilvl="8" w:tplc="6F826F46">
      <w:start w:val="1"/>
      <w:numFmt w:val="bullet"/>
      <w:lvlText w:val=""/>
      <w:lvlJc w:val="left"/>
      <w:pPr>
        <w:ind w:left="1280" w:hanging="360"/>
      </w:pPr>
      <w:rPr>
        <w:rFonts w:ascii="Symbol" w:hAnsi="Symbol"/>
      </w:rPr>
    </w:lvl>
  </w:abstractNum>
  <w:abstractNum w:abstractNumId="1" w15:restartNumberingAfterBreak="0">
    <w:nsid w:val="05192DFD"/>
    <w:multiLevelType w:val="hybridMultilevel"/>
    <w:tmpl w:val="159C42B8"/>
    <w:lvl w:ilvl="0" w:tplc="0180C836">
      <w:start w:val="1"/>
      <w:numFmt w:val="bullet"/>
      <w:lvlText w:val=""/>
      <w:lvlJc w:val="left"/>
      <w:pPr>
        <w:ind w:left="1280" w:hanging="360"/>
      </w:pPr>
      <w:rPr>
        <w:rFonts w:ascii="Symbol" w:hAnsi="Symbol"/>
      </w:rPr>
    </w:lvl>
    <w:lvl w:ilvl="1" w:tplc="45DC5B40">
      <w:start w:val="1"/>
      <w:numFmt w:val="bullet"/>
      <w:lvlText w:val=""/>
      <w:lvlJc w:val="left"/>
      <w:pPr>
        <w:ind w:left="1280" w:hanging="360"/>
      </w:pPr>
      <w:rPr>
        <w:rFonts w:ascii="Symbol" w:hAnsi="Symbol"/>
      </w:rPr>
    </w:lvl>
    <w:lvl w:ilvl="2" w:tplc="33A00436">
      <w:start w:val="1"/>
      <w:numFmt w:val="bullet"/>
      <w:lvlText w:val=""/>
      <w:lvlJc w:val="left"/>
      <w:pPr>
        <w:ind w:left="1280" w:hanging="360"/>
      </w:pPr>
      <w:rPr>
        <w:rFonts w:ascii="Symbol" w:hAnsi="Symbol"/>
      </w:rPr>
    </w:lvl>
    <w:lvl w:ilvl="3" w:tplc="D7C2C616">
      <w:start w:val="1"/>
      <w:numFmt w:val="bullet"/>
      <w:lvlText w:val=""/>
      <w:lvlJc w:val="left"/>
      <w:pPr>
        <w:ind w:left="1280" w:hanging="360"/>
      </w:pPr>
      <w:rPr>
        <w:rFonts w:ascii="Symbol" w:hAnsi="Symbol"/>
      </w:rPr>
    </w:lvl>
    <w:lvl w:ilvl="4" w:tplc="EBE8DD28">
      <w:start w:val="1"/>
      <w:numFmt w:val="bullet"/>
      <w:lvlText w:val=""/>
      <w:lvlJc w:val="left"/>
      <w:pPr>
        <w:ind w:left="1280" w:hanging="360"/>
      </w:pPr>
      <w:rPr>
        <w:rFonts w:ascii="Symbol" w:hAnsi="Symbol"/>
      </w:rPr>
    </w:lvl>
    <w:lvl w:ilvl="5" w:tplc="F66E8F40">
      <w:start w:val="1"/>
      <w:numFmt w:val="bullet"/>
      <w:lvlText w:val=""/>
      <w:lvlJc w:val="left"/>
      <w:pPr>
        <w:ind w:left="1280" w:hanging="360"/>
      </w:pPr>
      <w:rPr>
        <w:rFonts w:ascii="Symbol" w:hAnsi="Symbol"/>
      </w:rPr>
    </w:lvl>
    <w:lvl w:ilvl="6" w:tplc="2CB44FB2">
      <w:start w:val="1"/>
      <w:numFmt w:val="bullet"/>
      <w:lvlText w:val=""/>
      <w:lvlJc w:val="left"/>
      <w:pPr>
        <w:ind w:left="1280" w:hanging="360"/>
      </w:pPr>
      <w:rPr>
        <w:rFonts w:ascii="Symbol" w:hAnsi="Symbol"/>
      </w:rPr>
    </w:lvl>
    <w:lvl w:ilvl="7" w:tplc="E020C5AA">
      <w:start w:val="1"/>
      <w:numFmt w:val="bullet"/>
      <w:lvlText w:val=""/>
      <w:lvlJc w:val="left"/>
      <w:pPr>
        <w:ind w:left="1280" w:hanging="360"/>
      </w:pPr>
      <w:rPr>
        <w:rFonts w:ascii="Symbol" w:hAnsi="Symbol"/>
      </w:rPr>
    </w:lvl>
    <w:lvl w:ilvl="8" w:tplc="94923518">
      <w:start w:val="1"/>
      <w:numFmt w:val="bullet"/>
      <w:lvlText w:val=""/>
      <w:lvlJc w:val="left"/>
      <w:pPr>
        <w:ind w:left="1280" w:hanging="360"/>
      </w:pPr>
      <w:rPr>
        <w:rFonts w:ascii="Symbol" w:hAnsi="Symbol"/>
      </w:rPr>
    </w:lvl>
  </w:abstractNum>
  <w:abstractNum w:abstractNumId="2"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621B9"/>
    <w:multiLevelType w:val="hybridMultilevel"/>
    <w:tmpl w:val="C396D9AC"/>
    <w:lvl w:ilvl="0" w:tplc="3B520618">
      <w:start w:val="1"/>
      <w:numFmt w:val="bullet"/>
      <w:lvlText w:val=""/>
      <w:lvlJc w:val="left"/>
      <w:pPr>
        <w:ind w:left="1280" w:hanging="360"/>
      </w:pPr>
      <w:rPr>
        <w:rFonts w:ascii="Symbol" w:hAnsi="Symbol"/>
      </w:rPr>
    </w:lvl>
    <w:lvl w:ilvl="1" w:tplc="4746B6AC">
      <w:start w:val="1"/>
      <w:numFmt w:val="bullet"/>
      <w:lvlText w:val=""/>
      <w:lvlJc w:val="left"/>
      <w:pPr>
        <w:ind w:left="1280" w:hanging="360"/>
      </w:pPr>
      <w:rPr>
        <w:rFonts w:ascii="Symbol" w:hAnsi="Symbol"/>
      </w:rPr>
    </w:lvl>
    <w:lvl w:ilvl="2" w:tplc="79AC562E">
      <w:start w:val="1"/>
      <w:numFmt w:val="bullet"/>
      <w:lvlText w:val=""/>
      <w:lvlJc w:val="left"/>
      <w:pPr>
        <w:ind w:left="1280" w:hanging="360"/>
      </w:pPr>
      <w:rPr>
        <w:rFonts w:ascii="Symbol" w:hAnsi="Symbol"/>
      </w:rPr>
    </w:lvl>
    <w:lvl w:ilvl="3" w:tplc="B98A712A">
      <w:start w:val="1"/>
      <w:numFmt w:val="bullet"/>
      <w:lvlText w:val=""/>
      <w:lvlJc w:val="left"/>
      <w:pPr>
        <w:ind w:left="1280" w:hanging="360"/>
      </w:pPr>
      <w:rPr>
        <w:rFonts w:ascii="Symbol" w:hAnsi="Symbol"/>
      </w:rPr>
    </w:lvl>
    <w:lvl w:ilvl="4" w:tplc="CE8C7778">
      <w:start w:val="1"/>
      <w:numFmt w:val="bullet"/>
      <w:lvlText w:val=""/>
      <w:lvlJc w:val="left"/>
      <w:pPr>
        <w:ind w:left="1280" w:hanging="360"/>
      </w:pPr>
      <w:rPr>
        <w:rFonts w:ascii="Symbol" w:hAnsi="Symbol"/>
      </w:rPr>
    </w:lvl>
    <w:lvl w:ilvl="5" w:tplc="AA66A436">
      <w:start w:val="1"/>
      <w:numFmt w:val="bullet"/>
      <w:lvlText w:val=""/>
      <w:lvlJc w:val="left"/>
      <w:pPr>
        <w:ind w:left="1280" w:hanging="360"/>
      </w:pPr>
      <w:rPr>
        <w:rFonts w:ascii="Symbol" w:hAnsi="Symbol"/>
      </w:rPr>
    </w:lvl>
    <w:lvl w:ilvl="6" w:tplc="193A169A">
      <w:start w:val="1"/>
      <w:numFmt w:val="bullet"/>
      <w:lvlText w:val=""/>
      <w:lvlJc w:val="left"/>
      <w:pPr>
        <w:ind w:left="1280" w:hanging="360"/>
      </w:pPr>
      <w:rPr>
        <w:rFonts w:ascii="Symbol" w:hAnsi="Symbol"/>
      </w:rPr>
    </w:lvl>
    <w:lvl w:ilvl="7" w:tplc="87122F52">
      <w:start w:val="1"/>
      <w:numFmt w:val="bullet"/>
      <w:lvlText w:val=""/>
      <w:lvlJc w:val="left"/>
      <w:pPr>
        <w:ind w:left="1280" w:hanging="360"/>
      </w:pPr>
      <w:rPr>
        <w:rFonts w:ascii="Symbol" w:hAnsi="Symbol"/>
      </w:rPr>
    </w:lvl>
    <w:lvl w:ilvl="8" w:tplc="B2CE29B2">
      <w:start w:val="1"/>
      <w:numFmt w:val="bullet"/>
      <w:lvlText w:val=""/>
      <w:lvlJc w:val="left"/>
      <w:pPr>
        <w:ind w:left="1280" w:hanging="360"/>
      </w:pPr>
      <w:rPr>
        <w:rFonts w:ascii="Symbol" w:hAnsi="Symbol"/>
      </w:rPr>
    </w:lvl>
  </w:abstractNum>
  <w:abstractNum w:abstractNumId="5" w15:restartNumberingAfterBreak="0">
    <w:nsid w:val="359E324E"/>
    <w:multiLevelType w:val="hybridMultilevel"/>
    <w:tmpl w:val="AB985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A93FE2"/>
    <w:multiLevelType w:val="hybridMultilevel"/>
    <w:tmpl w:val="1B16801E"/>
    <w:lvl w:ilvl="0" w:tplc="FFFFFFFF">
      <w:start w:val="1"/>
      <w:numFmt w:val="bullet"/>
      <w:lvlText w:val=""/>
      <w:lvlJc w:val="left"/>
      <w:pPr>
        <w:ind w:left="720" w:hanging="360"/>
      </w:pPr>
      <w:rPr>
        <w:rFonts w:ascii="Symbol" w:hAnsi="Symbol" w:hint="default"/>
      </w:rPr>
    </w:lvl>
    <w:lvl w:ilvl="1" w:tplc="A4DAE96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6C42DB"/>
    <w:multiLevelType w:val="hybridMultilevel"/>
    <w:tmpl w:val="0DB2D40E"/>
    <w:lvl w:ilvl="0" w:tplc="B9627BF2">
      <w:start w:val="1"/>
      <w:numFmt w:val="bullet"/>
      <w:lvlText w:val=""/>
      <w:lvlJc w:val="left"/>
      <w:pPr>
        <w:ind w:left="1280" w:hanging="360"/>
      </w:pPr>
      <w:rPr>
        <w:rFonts w:ascii="Symbol" w:hAnsi="Symbol"/>
      </w:rPr>
    </w:lvl>
    <w:lvl w:ilvl="1" w:tplc="79FE7ADA">
      <w:start w:val="1"/>
      <w:numFmt w:val="bullet"/>
      <w:lvlText w:val=""/>
      <w:lvlJc w:val="left"/>
      <w:pPr>
        <w:ind w:left="1280" w:hanging="360"/>
      </w:pPr>
      <w:rPr>
        <w:rFonts w:ascii="Symbol" w:hAnsi="Symbol"/>
      </w:rPr>
    </w:lvl>
    <w:lvl w:ilvl="2" w:tplc="9C469C16">
      <w:start w:val="1"/>
      <w:numFmt w:val="bullet"/>
      <w:lvlText w:val=""/>
      <w:lvlJc w:val="left"/>
      <w:pPr>
        <w:ind w:left="1280" w:hanging="360"/>
      </w:pPr>
      <w:rPr>
        <w:rFonts w:ascii="Symbol" w:hAnsi="Symbol"/>
      </w:rPr>
    </w:lvl>
    <w:lvl w:ilvl="3" w:tplc="752C8E50">
      <w:start w:val="1"/>
      <w:numFmt w:val="bullet"/>
      <w:lvlText w:val=""/>
      <w:lvlJc w:val="left"/>
      <w:pPr>
        <w:ind w:left="1280" w:hanging="360"/>
      </w:pPr>
      <w:rPr>
        <w:rFonts w:ascii="Symbol" w:hAnsi="Symbol"/>
      </w:rPr>
    </w:lvl>
    <w:lvl w:ilvl="4" w:tplc="FFA29F18">
      <w:start w:val="1"/>
      <w:numFmt w:val="bullet"/>
      <w:lvlText w:val=""/>
      <w:lvlJc w:val="left"/>
      <w:pPr>
        <w:ind w:left="1280" w:hanging="360"/>
      </w:pPr>
      <w:rPr>
        <w:rFonts w:ascii="Symbol" w:hAnsi="Symbol"/>
      </w:rPr>
    </w:lvl>
    <w:lvl w:ilvl="5" w:tplc="0400DF8E">
      <w:start w:val="1"/>
      <w:numFmt w:val="bullet"/>
      <w:lvlText w:val=""/>
      <w:lvlJc w:val="left"/>
      <w:pPr>
        <w:ind w:left="1280" w:hanging="360"/>
      </w:pPr>
      <w:rPr>
        <w:rFonts w:ascii="Symbol" w:hAnsi="Symbol"/>
      </w:rPr>
    </w:lvl>
    <w:lvl w:ilvl="6" w:tplc="CC8A61C8">
      <w:start w:val="1"/>
      <w:numFmt w:val="bullet"/>
      <w:lvlText w:val=""/>
      <w:lvlJc w:val="left"/>
      <w:pPr>
        <w:ind w:left="1280" w:hanging="360"/>
      </w:pPr>
      <w:rPr>
        <w:rFonts w:ascii="Symbol" w:hAnsi="Symbol"/>
      </w:rPr>
    </w:lvl>
    <w:lvl w:ilvl="7" w:tplc="97784E0E">
      <w:start w:val="1"/>
      <w:numFmt w:val="bullet"/>
      <w:lvlText w:val=""/>
      <w:lvlJc w:val="left"/>
      <w:pPr>
        <w:ind w:left="1280" w:hanging="360"/>
      </w:pPr>
      <w:rPr>
        <w:rFonts w:ascii="Symbol" w:hAnsi="Symbol"/>
      </w:rPr>
    </w:lvl>
    <w:lvl w:ilvl="8" w:tplc="E460CDFC">
      <w:start w:val="1"/>
      <w:numFmt w:val="bullet"/>
      <w:lvlText w:val=""/>
      <w:lvlJc w:val="left"/>
      <w:pPr>
        <w:ind w:left="1280" w:hanging="360"/>
      </w:pPr>
      <w:rPr>
        <w:rFonts w:ascii="Symbol" w:hAnsi="Symbol"/>
      </w:rPr>
    </w:lvl>
  </w:abstractNum>
  <w:abstractNum w:abstractNumId="8" w15:restartNumberingAfterBreak="0">
    <w:nsid w:val="641E10E4"/>
    <w:multiLevelType w:val="hybridMultilevel"/>
    <w:tmpl w:val="A99C41A6"/>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672E10A8"/>
    <w:multiLevelType w:val="hybridMultilevel"/>
    <w:tmpl w:val="54C8D218"/>
    <w:lvl w:ilvl="0" w:tplc="7C007514">
      <w:start w:val="1"/>
      <w:numFmt w:val="bullet"/>
      <w:lvlText w:val=""/>
      <w:lvlJc w:val="left"/>
      <w:pPr>
        <w:ind w:left="720" w:hanging="360"/>
      </w:pPr>
      <w:rPr>
        <w:rFonts w:ascii="Symbol" w:hAnsi="Symbol"/>
      </w:rPr>
    </w:lvl>
    <w:lvl w:ilvl="1" w:tplc="F614E4B2">
      <w:start w:val="1"/>
      <w:numFmt w:val="bullet"/>
      <w:lvlText w:val=""/>
      <w:lvlJc w:val="left"/>
      <w:pPr>
        <w:ind w:left="720" w:hanging="360"/>
      </w:pPr>
      <w:rPr>
        <w:rFonts w:ascii="Symbol" w:hAnsi="Symbol"/>
      </w:rPr>
    </w:lvl>
    <w:lvl w:ilvl="2" w:tplc="FD122B6C">
      <w:start w:val="1"/>
      <w:numFmt w:val="bullet"/>
      <w:lvlText w:val=""/>
      <w:lvlJc w:val="left"/>
      <w:pPr>
        <w:ind w:left="720" w:hanging="360"/>
      </w:pPr>
      <w:rPr>
        <w:rFonts w:ascii="Symbol" w:hAnsi="Symbol"/>
      </w:rPr>
    </w:lvl>
    <w:lvl w:ilvl="3" w:tplc="3340AE12">
      <w:start w:val="1"/>
      <w:numFmt w:val="bullet"/>
      <w:lvlText w:val=""/>
      <w:lvlJc w:val="left"/>
      <w:pPr>
        <w:ind w:left="720" w:hanging="360"/>
      </w:pPr>
      <w:rPr>
        <w:rFonts w:ascii="Symbol" w:hAnsi="Symbol"/>
      </w:rPr>
    </w:lvl>
    <w:lvl w:ilvl="4" w:tplc="7DF816EC">
      <w:start w:val="1"/>
      <w:numFmt w:val="bullet"/>
      <w:lvlText w:val=""/>
      <w:lvlJc w:val="left"/>
      <w:pPr>
        <w:ind w:left="720" w:hanging="360"/>
      </w:pPr>
      <w:rPr>
        <w:rFonts w:ascii="Symbol" w:hAnsi="Symbol"/>
      </w:rPr>
    </w:lvl>
    <w:lvl w:ilvl="5" w:tplc="A682402E">
      <w:start w:val="1"/>
      <w:numFmt w:val="bullet"/>
      <w:lvlText w:val=""/>
      <w:lvlJc w:val="left"/>
      <w:pPr>
        <w:ind w:left="720" w:hanging="360"/>
      </w:pPr>
      <w:rPr>
        <w:rFonts w:ascii="Symbol" w:hAnsi="Symbol"/>
      </w:rPr>
    </w:lvl>
    <w:lvl w:ilvl="6" w:tplc="A16ADB9A">
      <w:start w:val="1"/>
      <w:numFmt w:val="bullet"/>
      <w:lvlText w:val=""/>
      <w:lvlJc w:val="left"/>
      <w:pPr>
        <w:ind w:left="720" w:hanging="360"/>
      </w:pPr>
      <w:rPr>
        <w:rFonts w:ascii="Symbol" w:hAnsi="Symbol"/>
      </w:rPr>
    </w:lvl>
    <w:lvl w:ilvl="7" w:tplc="5CE4F968">
      <w:start w:val="1"/>
      <w:numFmt w:val="bullet"/>
      <w:lvlText w:val=""/>
      <w:lvlJc w:val="left"/>
      <w:pPr>
        <w:ind w:left="720" w:hanging="360"/>
      </w:pPr>
      <w:rPr>
        <w:rFonts w:ascii="Symbol" w:hAnsi="Symbol"/>
      </w:rPr>
    </w:lvl>
    <w:lvl w:ilvl="8" w:tplc="D7AC5B0C">
      <w:start w:val="1"/>
      <w:numFmt w:val="bullet"/>
      <w:lvlText w:val=""/>
      <w:lvlJc w:val="left"/>
      <w:pPr>
        <w:ind w:left="720" w:hanging="360"/>
      </w:pPr>
      <w:rPr>
        <w:rFonts w:ascii="Symbol" w:hAnsi="Symbol"/>
      </w:rPr>
    </w:lvl>
  </w:abstractNum>
  <w:abstractNum w:abstractNumId="1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1" w15:restartNumberingAfterBreak="0">
    <w:nsid w:val="6A1A396D"/>
    <w:multiLevelType w:val="hybridMultilevel"/>
    <w:tmpl w:val="7A209F8A"/>
    <w:lvl w:ilvl="0" w:tplc="E3F255C8">
      <w:start w:val="1"/>
      <w:numFmt w:val="bullet"/>
      <w:lvlText w:val=""/>
      <w:lvlJc w:val="left"/>
      <w:pPr>
        <w:ind w:left="1280" w:hanging="360"/>
      </w:pPr>
      <w:rPr>
        <w:rFonts w:ascii="Symbol" w:hAnsi="Symbol"/>
      </w:rPr>
    </w:lvl>
    <w:lvl w:ilvl="1" w:tplc="53C2C1B2">
      <w:start w:val="1"/>
      <w:numFmt w:val="bullet"/>
      <w:lvlText w:val=""/>
      <w:lvlJc w:val="left"/>
      <w:pPr>
        <w:ind w:left="1280" w:hanging="360"/>
      </w:pPr>
      <w:rPr>
        <w:rFonts w:ascii="Symbol" w:hAnsi="Symbol"/>
      </w:rPr>
    </w:lvl>
    <w:lvl w:ilvl="2" w:tplc="825A5564">
      <w:start w:val="1"/>
      <w:numFmt w:val="bullet"/>
      <w:lvlText w:val=""/>
      <w:lvlJc w:val="left"/>
      <w:pPr>
        <w:ind w:left="1280" w:hanging="360"/>
      </w:pPr>
      <w:rPr>
        <w:rFonts w:ascii="Symbol" w:hAnsi="Symbol"/>
      </w:rPr>
    </w:lvl>
    <w:lvl w:ilvl="3" w:tplc="600293EA">
      <w:start w:val="1"/>
      <w:numFmt w:val="bullet"/>
      <w:lvlText w:val=""/>
      <w:lvlJc w:val="left"/>
      <w:pPr>
        <w:ind w:left="1280" w:hanging="360"/>
      </w:pPr>
      <w:rPr>
        <w:rFonts w:ascii="Symbol" w:hAnsi="Symbol"/>
      </w:rPr>
    </w:lvl>
    <w:lvl w:ilvl="4" w:tplc="EBACA27E">
      <w:start w:val="1"/>
      <w:numFmt w:val="bullet"/>
      <w:lvlText w:val=""/>
      <w:lvlJc w:val="left"/>
      <w:pPr>
        <w:ind w:left="1280" w:hanging="360"/>
      </w:pPr>
      <w:rPr>
        <w:rFonts w:ascii="Symbol" w:hAnsi="Symbol"/>
      </w:rPr>
    </w:lvl>
    <w:lvl w:ilvl="5" w:tplc="5F2A4914">
      <w:start w:val="1"/>
      <w:numFmt w:val="bullet"/>
      <w:lvlText w:val=""/>
      <w:lvlJc w:val="left"/>
      <w:pPr>
        <w:ind w:left="1280" w:hanging="360"/>
      </w:pPr>
      <w:rPr>
        <w:rFonts w:ascii="Symbol" w:hAnsi="Symbol"/>
      </w:rPr>
    </w:lvl>
    <w:lvl w:ilvl="6" w:tplc="102CC0D2">
      <w:start w:val="1"/>
      <w:numFmt w:val="bullet"/>
      <w:lvlText w:val=""/>
      <w:lvlJc w:val="left"/>
      <w:pPr>
        <w:ind w:left="1280" w:hanging="360"/>
      </w:pPr>
      <w:rPr>
        <w:rFonts w:ascii="Symbol" w:hAnsi="Symbol"/>
      </w:rPr>
    </w:lvl>
    <w:lvl w:ilvl="7" w:tplc="B92C787C">
      <w:start w:val="1"/>
      <w:numFmt w:val="bullet"/>
      <w:lvlText w:val=""/>
      <w:lvlJc w:val="left"/>
      <w:pPr>
        <w:ind w:left="1280" w:hanging="360"/>
      </w:pPr>
      <w:rPr>
        <w:rFonts w:ascii="Symbol" w:hAnsi="Symbol"/>
      </w:rPr>
    </w:lvl>
    <w:lvl w:ilvl="8" w:tplc="C2A24822">
      <w:start w:val="1"/>
      <w:numFmt w:val="bullet"/>
      <w:lvlText w:val=""/>
      <w:lvlJc w:val="left"/>
      <w:pPr>
        <w:ind w:left="1280" w:hanging="360"/>
      </w:pPr>
      <w:rPr>
        <w:rFonts w:ascii="Symbol" w:hAnsi="Symbol"/>
      </w:rPr>
    </w:lvl>
  </w:abstractNum>
  <w:abstractNum w:abstractNumId="12"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4"/>
  </w:num>
  <w:num w:numId="2">
    <w:abstractNumId w:val="10"/>
  </w:num>
  <w:num w:numId="3">
    <w:abstractNumId w:val="2"/>
  </w:num>
  <w:num w:numId="4">
    <w:abstractNumId w:val="13"/>
  </w:num>
  <w:num w:numId="5">
    <w:abstractNumId w:val="3"/>
  </w:num>
  <w:num w:numId="6">
    <w:abstractNumId w:val="12"/>
  </w:num>
  <w:num w:numId="7">
    <w:abstractNumId w:val="5"/>
  </w:num>
  <w:num w:numId="8">
    <w:abstractNumId w:val="8"/>
  </w:num>
  <w:num w:numId="9">
    <w:abstractNumId w:val="6"/>
  </w:num>
  <w:num w:numId="10">
    <w:abstractNumId w:val="1"/>
  </w:num>
  <w:num w:numId="11">
    <w:abstractNumId w:val="11"/>
  </w:num>
  <w:num w:numId="12">
    <w:abstractNumId w:val="0"/>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30DB8"/>
    <w:rsid w:val="000473BF"/>
    <w:rsid w:val="00053425"/>
    <w:rsid w:val="00061A45"/>
    <w:rsid w:val="00080BF3"/>
    <w:rsid w:val="00083B97"/>
    <w:rsid w:val="0009082D"/>
    <w:rsid w:val="00093A90"/>
    <w:rsid w:val="000A7550"/>
    <w:rsid w:val="000E443E"/>
    <w:rsid w:val="000F3EF9"/>
    <w:rsid w:val="00101F13"/>
    <w:rsid w:val="001040E2"/>
    <w:rsid w:val="00115F42"/>
    <w:rsid w:val="00142C7E"/>
    <w:rsid w:val="00152DDA"/>
    <w:rsid w:val="00176B90"/>
    <w:rsid w:val="001849E6"/>
    <w:rsid w:val="0020293D"/>
    <w:rsid w:val="00210CF7"/>
    <w:rsid w:val="00217615"/>
    <w:rsid w:val="00234222"/>
    <w:rsid w:val="002541B2"/>
    <w:rsid w:val="00255D4B"/>
    <w:rsid w:val="002617C2"/>
    <w:rsid w:val="002A1FEA"/>
    <w:rsid w:val="002C3CA4"/>
    <w:rsid w:val="002F7671"/>
    <w:rsid w:val="00316DFD"/>
    <w:rsid w:val="00317FB3"/>
    <w:rsid w:val="0033647E"/>
    <w:rsid w:val="003F3839"/>
    <w:rsid w:val="00410B40"/>
    <w:rsid w:val="0044419C"/>
    <w:rsid w:val="004809D9"/>
    <w:rsid w:val="004C6637"/>
    <w:rsid w:val="004D5E1F"/>
    <w:rsid w:val="0052674D"/>
    <w:rsid w:val="0053761F"/>
    <w:rsid w:val="00571717"/>
    <w:rsid w:val="00574651"/>
    <w:rsid w:val="005841DA"/>
    <w:rsid w:val="005A60C9"/>
    <w:rsid w:val="005D67C4"/>
    <w:rsid w:val="00607FB2"/>
    <w:rsid w:val="00615929"/>
    <w:rsid w:val="0064121C"/>
    <w:rsid w:val="006422B2"/>
    <w:rsid w:val="00664223"/>
    <w:rsid w:val="00666B6B"/>
    <w:rsid w:val="006B4413"/>
    <w:rsid w:val="006B6E73"/>
    <w:rsid w:val="00720F58"/>
    <w:rsid w:val="0073247A"/>
    <w:rsid w:val="007407A0"/>
    <w:rsid w:val="007603E7"/>
    <w:rsid w:val="00770CE9"/>
    <w:rsid w:val="00773E38"/>
    <w:rsid w:val="00794950"/>
    <w:rsid w:val="0079595A"/>
    <w:rsid w:val="007D39E8"/>
    <w:rsid w:val="007F1EB5"/>
    <w:rsid w:val="007F42CB"/>
    <w:rsid w:val="0081223C"/>
    <w:rsid w:val="008344F4"/>
    <w:rsid w:val="00834D64"/>
    <w:rsid w:val="00844F30"/>
    <w:rsid w:val="00861168"/>
    <w:rsid w:val="008636EC"/>
    <w:rsid w:val="00884E8F"/>
    <w:rsid w:val="008C51ED"/>
    <w:rsid w:val="008E62E2"/>
    <w:rsid w:val="009033A1"/>
    <w:rsid w:val="00911020"/>
    <w:rsid w:val="009359FF"/>
    <w:rsid w:val="00962117"/>
    <w:rsid w:val="0097043D"/>
    <w:rsid w:val="0098247F"/>
    <w:rsid w:val="009B792F"/>
    <w:rsid w:val="009C3443"/>
    <w:rsid w:val="009D5BA6"/>
    <w:rsid w:val="00A020B2"/>
    <w:rsid w:val="00A152C0"/>
    <w:rsid w:val="00A5570B"/>
    <w:rsid w:val="00A65C44"/>
    <w:rsid w:val="00A7101C"/>
    <w:rsid w:val="00A83B71"/>
    <w:rsid w:val="00A94CAF"/>
    <w:rsid w:val="00AA5233"/>
    <w:rsid w:val="00AD3582"/>
    <w:rsid w:val="00AF79A9"/>
    <w:rsid w:val="00B220BB"/>
    <w:rsid w:val="00B30FB0"/>
    <w:rsid w:val="00B41F21"/>
    <w:rsid w:val="00B63981"/>
    <w:rsid w:val="00B73B94"/>
    <w:rsid w:val="00B77897"/>
    <w:rsid w:val="00BB0778"/>
    <w:rsid w:val="00BC7977"/>
    <w:rsid w:val="00BD6E01"/>
    <w:rsid w:val="00C01FFF"/>
    <w:rsid w:val="00C02A38"/>
    <w:rsid w:val="00C07FDE"/>
    <w:rsid w:val="00C255CA"/>
    <w:rsid w:val="00C704D2"/>
    <w:rsid w:val="00C83217"/>
    <w:rsid w:val="00C870EC"/>
    <w:rsid w:val="00C91B5F"/>
    <w:rsid w:val="00C94016"/>
    <w:rsid w:val="00C96E1E"/>
    <w:rsid w:val="00CA3ECE"/>
    <w:rsid w:val="00CA54E0"/>
    <w:rsid w:val="00CF0B25"/>
    <w:rsid w:val="00D519C8"/>
    <w:rsid w:val="00D54783"/>
    <w:rsid w:val="00D72A49"/>
    <w:rsid w:val="00D87AED"/>
    <w:rsid w:val="00DA74B1"/>
    <w:rsid w:val="00DE0037"/>
    <w:rsid w:val="00DF0644"/>
    <w:rsid w:val="00E005FF"/>
    <w:rsid w:val="00E0181E"/>
    <w:rsid w:val="00E02BCE"/>
    <w:rsid w:val="00E127AD"/>
    <w:rsid w:val="00E26209"/>
    <w:rsid w:val="00E90FCB"/>
    <w:rsid w:val="00EA788B"/>
    <w:rsid w:val="00EB5356"/>
    <w:rsid w:val="00F46932"/>
    <w:rsid w:val="00F525D7"/>
    <w:rsid w:val="00F72541"/>
    <w:rsid w:val="00F96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paragraph" w:customStyle="1" w:styleId="TableParagraph">
    <w:name w:val="Table Paragraph"/>
    <w:basedOn w:val="Normal"/>
    <w:uiPriority w:val="1"/>
    <w:qFormat/>
    <w:rsid w:val="00B73B94"/>
    <w:pPr>
      <w:autoSpaceDE w:val="0"/>
      <w:autoSpaceDN w:val="0"/>
    </w:pPr>
    <w:rPr>
      <w:rFonts w:ascii="Corbel" w:eastAsia="Corbel" w:hAnsi="Corbel" w:cs="Corbel"/>
    </w:rPr>
  </w:style>
  <w:style w:type="character" w:styleId="Hyperlink">
    <w:name w:val="Hyperlink"/>
    <w:basedOn w:val="DefaultParagraphFont"/>
    <w:uiPriority w:val="99"/>
    <w:unhideWhenUsed/>
    <w:rsid w:val="00AD3582"/>
    <w:rPr>
      <w:color w:val="0000FF"/>
      <w:u w:val="single"/>
    </w:rPr>
  </w:style>
  <w:style w:type="character" w:customStyle="1" w:styleId="cf01">
    <w:name w:val="cf01"/>
    <w:basedOn w:val="DefaultParagraphFont"/>
    <w:rsid w:val="00962117"/>
    <w:rPr>
      <w:rFonts w:ascii="Segoe UI" w:hAnsi="Segoe UI" w:cs="Segoe UI" w:hint="default"/>
      <w:sz w:val="18"/>
      <w:szCs w:val="18"/>
    </w:rPr>
  </w:style>
  <w:style w:type="character" w:styleId="UnresolvedMention">
    <w:name w:val="Unresolved Mention"/>
    <w:basedOn w:val="DefaultParagraphFont"/>
    <w:uiPriority w:val="99"/>
    <w:semiHidden/>
    <w:unhideWhenUsed/>
    <w:rsid w:val="0073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qld.gov.au/initiatives/first-nations-housing-and-homelessness" TargetMode="External"/><Relationship Id="rId3" Type="http://schemas.openxmlformats.org/officeDocument/2006/relationships/settings" Target="settings.xml"/><Relationship Id="rId7" Type="http://schemas.openxmlformats.org/officeDocument/2006/relationships/hyperlink" Target="http://www.housing.qld.gov.au/homesforqueensla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2024-07-01T04:47:00Z</dcterms:created>
  <dcterms:modified xsi:type="dcterms:W3CDTF">2024-07-01T04:54:00Z</dcterms:modified>
  <cp:category/>
</cp:coreProperties>
</file>