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2452" w14:textId="6715957C" w:rsidR="00030DB8" w:rsidRPr="00F92B7D" w:rsidRDefault="00104A9B" w:rsidP="00030DB8">
      <w:pPr>
        <w:pStyle w:val="Title"/>
      </w:pPr>
      <w:bookmarkStart w:id="0" w:name="_Hlk162707251"/>
      <w:r w:rsidRPr="00F92B7D">
        <w:t xml:space="preserve">South Australia </w:t>
      </w:r>
    </w:p>
    <w:p w14:paraId="71A93993" w14:textId="4146DAE9" w:rsidR="00030DB8" w:rsidRPr="00F92B7D" w:rsidRDefault="00030DB8" w:rsidP="00030DB8">
      <w:pPr>
        <w:pStyle w:val="Subtitle"/>
      </w:pPr>
      <w:r w:rsidRPr="00F92B7D">
        <w:t xml:space="preserve">National Agreement ON SOCIAL HOUSING AND homelessness - BILATERAL SCHEDULE </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030DB8" w:rsidRPr="00F92B7D" w14:paraId="5B08D871" w14:textId="77777777" w:rsidTr="00234E0B">
        <w:tc>
          <w:tcPr>
            <w:tcW w:w="9629" w:type="dxa"/>
            <w:gridSpan w:val="2"/>
            <w:shd w:val="clear" w:color="auto" w:fill="DEEAF6" w:themeFill="accent1" w:themeFillTint="33"/>
          </w:tcPr>
          <w:p w14:paraId="0412A9CD" w14:textId="77777777" w:rsidR="00030DB8" w:rsidRPr="00F92B7D" w:rsidRDefault="00030DB8" w:rsidP="00675C15">
            <w:pPr>
              <w:pStyle w:val="Tableformat"/>
              <w:rPr>
                <w:b/>
                <w:color w:val="auto"/>
              </w:rPr>
            </w:pPr>
            <w:r w:rsidRPr="00F92B7D">
              <w:rPr>
                <w:b/>
                <w:color w:val="auto"/>
              </w:rPr>
              <w:t>Table 1: Formalities and operation of schedule</w:t>
            </w:r>
          </w:p>
        </w:tc>
      </w:tr>
      <w:tr w:rsidR="00030DB8" w:rsidRPr="00F92B7D" w14:paraId="754FAADA" w14:textId="77777777" w:rsidTr="00234E0B">
        <w:tc>
          <w:tcPr>
            <w:tcW w:w="1691" w:type="dxa"/>
            <w:shd w:val="clear" w:color="auto" w:fill="auto"/>
          </w:tcPr>
          <w:p w14:paraId="7D643F03" w14:textId="77777777" w:rsidR="00030DB8" w:rsidRPr="00F92B7D" w:rsidRDefault="00030DB8" w:rsidP="00675C15">
            <w:pPr>
              <w:pStyle w:val="Tableformat"/>
              <w:rPr>
                <w:color w:val="auto"/>
              </w:rPr>
            </w:pPr>
            <w:r w:rsidRPr="00F92B7D">
              <w:rPr>
                <w:color w:val="auto"/>
              </w:rPr>
              <w:t>Parties</w:t>
            </w:r>
          </w:p>
        </w:tc>
        <w:tc>
          <w:tcPr>
            <w:tcW w:w="7938" w:type="dxa"/>
            <w:shd w:val="clear" w:color="auto" w:fill="auto"/>
          </w:tcPr>
          <w:p w14:paraId="09D25FBD" w14:textId="77777777" w:rsidR="00030DB8" w:rsidRPr="00F92B7D" w:rsidRDefault="00030DB8" w:rsidP="00675C15">
            <w:pPr>
              <w:pStyle w:val="Tableformat"/>
              <w:rPr>
                <w:color w:val="auto"/>
              </w:rPr>
            </w:pPr>
            <w:r w:rsidRPr="00F92B7D">
              <w:rPr>
                <w:color w:val="auto"/>
              </w:rPr>
              <w:t>Commonwealth</w:t>
            </w:r>
          </w:p>
          <w:p w14:paraId="66AF7CB2" w14:textId="7DEB50E1" w:rsidR="00030DB8" w:rsidRPr="00F92B7D" w:rsidRDefault="005517B3" w:rsidP="00675C15">
            <w:pPr>
              <w:pStyle w:val="Tableformat"/>
              <w:rPr>
                <w:color w:val="auto"/>
              </w:rPr>
            </w:pPr>
            <w:r w:rsidRPr="00F92B7D">
              <w:rPr>
                <w:color w:val="auto"/>
              </w:rPr>
              <w:t>South Australia</w:t>
            </w:r>
          </w:p>
        </w:tc>
      </w:tr>
      <w:tr w:rsidR="00030DB8" w:rsidRPr="00F92B7D" w14:paraId="476791E4" w14:textId="77777777" w:rsidTr="00234E0B">
        <w:tc>
          <w:tcPr>
            <w:tcW w:w="1691" w:type="dxa"/>
            <w:shd w:val="clear" w:color="auto" w:fill="auto"/>
          </w:tcPr>
          <w:p w14:paraId="0C5A6682" w14:textId="77777777" w:rsidR="00030DB8" w:rsidRPr="00F92B7D" w:rsidRDefault="00030DB8" w:rsidP="00675C15">
            <w:pPr>
              <w:pStyle w:val="Tableformat"/>
              <w:rPr>
                <w:color w:val="auto"/>
              </w:rPr>
            </w:pPr>
            <w:r w:rsidRPr="00F92B7D">
              <w:rPr>
                <w:color w:val="auto"/>
              </w:rPr>
              <w:t>Duration</w:t>
            </w:r>
          </w:p>
        </w:tc>
        <w:tc>
          <w:tcPr>
            <w:tcW w:w="7938" w:type="dxa"/>
            <w:shd w:val="clear" w:color="auto" w:fill="auto"/>
          </w:tcPr>
          <w:p w14:paraId="031B3FB4" w14:textId="2F92F7FD" w:rsidR="00030DB8" w:rsidRPr="00F92B7D" w:rsidRDefault="00030DB8" w:rsidP="00675C15">
            <w:pPr>
              <w:pStyle w:val="Tableformat"/>
              <w:rPr>
                <w:color w:val="auto"/>
              </w:rPr>
            </w:pPr>
            <w:r w:rsidRPr="00F92B7D">
              <w:rPr>
                <w:color w:val="auto"/>
              </w:rPr>
              <w:t xml:space="preserve">This Schedule will commence when the Commonwealth and </w:t>
            </w:r>
            <w:r w:rsidR="005517B3" w:rsidRPr="00F92B7D">
              <w:rPr>
                <w:color w:val="auto"/>
              </w:rPr>
              <w:t>South Australia</w:t>
            </w:r>
            <w:r w:rsidRPr="00F92B7D">
              <w:rPr>
                <w:color w:val="auto"/>
              </w:rPr>
              <w:t xml:space="preserve"> sign the schedule, and is expected to expire on 30 June 2029. It will be reviewed by 30 June 2026. It can also be changed at any time with the agreement of both parties.</w:t>
            </w:r>
          </w:p>
        </w:tc>
      </w:tr>
      <w:tr w:rsidR="00030DB8" w:rsidRPr="00F92B7D" w14:paraId="42EDA835" w14:textId="77777777" w:rsidTr="00234E0B">
        <w:tc>
          <w:tcPr>
            <w:tcW w:w="1691" w:type="dxa"/>
            <w:shd w:val="clear" w:color="auto" w:fill="auto"/>
          </w:tcPr>
          <w:p w14:paraId="6B54A5D4" w14:textId="77777777" w:rsidR="00030DB8" w:rsidRPr="00F92B7D" w:rsidRDefault="00030DB8" w:rsidP="00675C15">
            <w:pPr>
              <w:pStyle w:val="Tableformat"/>
              <w:rPr>
                <w:color w:val="auto"/>
              </w:rPr>
            </w:pPr>
            <w:r w:rsidRPr="00F92B7D">
              <w:rPr>
                <w:color w:val="auto"/>
              </w:rPr>
              <w:t>Purpose</w:t>
            </w:r>
          </w:p>
        </w:tc>
        <w:tc>
          <w:tcPr>
            <w:tcW w:w="7938" w:type="dxa"/>
            <w:shd w:val="clear" w:color="auto" w:fill="auto"/>
          </w:tcPr>
          <w:p w14:paraId="296AAA3B" w14:textId="12F5743B" w:rsidR="00030DB8" w:rsidRPr="00F92B7D" w:rsidRDefault="00030DB8" w:rsidP="00675C15">
            <w:pPr>
              <w:pStyle w:val="Tableformat"/>
              <w:rPr>
                <w:color w:val="auto"/>
              </w:rPr>
            </w:pPr>
            <w:r w:rsidRPr="00F92B7D">
              <w:rPr>
                <w:color w:val="auto"/>
              </w:rPr>
              <w:t xml:space="preserve">This Schedule will help people who are experiencing or at risk of homelessness and support the effective operation of </w:t>
            </w:r>
            <w:r w:rsidR="005517B3" w:rsidRPr="00F92B7D">
              <w:rPr>
                <w:color w:val="auto"/>
              </w:rPr>
              <w:t>South Australia</w:t>
            </w:r>
            <w:r w:rsidRPr="00F92B7D">
              <w:rPr>
                <w:color w:val="auto"/>
              </w:rPr>
              <w:t>’s</w:t>
            </w:r>
            <w:r w:rsidRPr="00F92B7D">
              <w:t xml:space="preserve"> </w:t>
            </w:r>
            <w:r w:rsidRPr="00F92B7D">
              <w:rPr>
                <w:color w:val="auto"/>
              </w:rPr>
              <w:t xml:space="preserve">social housing and homelessness services sectors. </w:t>
            </w:r>
          </w:p>
          <w:p w14:paraId="7C1168C8" w14:textId="6441E047" w:rsidR="00030DB8" w:rsidRPr="00F92B7D" w:rsidRDefault="00030DB8" w:rsidP="00675C15">
            <w:pPr>
              <w:pStyle w:val="Tableformat"/>
              <w:rPr>
                <w:color w:val="auto"/>
              </w:rPr>
            </w:pPr>
            <w:r w:rsidRPr="00F92B7D">
              <w:rPr>
                <w:color w:val="auto"/>
              </w:rPr>
              <w:t xml:space="preserve">In committing to this Schedule, the Parties acknowledge their mutual interest in preventing homelessness and improving social housing in </w:t>
            </w:r>
            <w:r w:rsidR="005517B3" w:rsidRPr="00F92B7D">
              <w:rPr>
                <w:color w:val="auto"/>
              </w:rPr>
              <w:t>South Australia</w:t>
            </w:r>
            <w:r w:rsidRPr="00F92B7D">
              <w:rPr>
                <w:color w:val="auto"/>
              </w:rPr>
              <w:t>, with particular regard to people experiencing disproportionate housing inequality and disadvantage.</w:t>
            </w:r>
          </w:p>
        </w:tc>
      </w:tr>
      <w:tr w:rsidR="00030DB8" w:rsidRPr="00F92B7D" w14:paraId="484BA0F8" w14:textId="77777777" w:rsidTr="004755E0">
        <w:trPr>
          <w:trHeight w:val="4921"/>
        </w:trPr>
        <w:tc>
          <w:tcPr>
            <w:tcW w:w="1691" w:type="dxa"/>
            <w:shd w:val="clear" w:color="auto" w:fill="auto"/>
          </w:tcPr>
          <w:p w14:paraId="325AD44B" w14:textId="77777777" w:rsidR="00030DB8" w:rsidRPr="00F92B7D" w:rsidRDefault="00030DB8" w:rsidP="00675C15">
            <w:pPr>
              <w:pStyle w:val="Tableformat"/>
              <w:rPr>
                <w:color w:val="auto"/>
              </w:rPr>
            </w:pPr>
            <w:r w:rsidRPr="00F92B7D">
              <w:rPr>
                <w:color w:val="auto"/>
              </w:rPr>
              <w:t>Estimated financial contributions</w:t>
            </w:r>
          </w:p>
        </w:tc>
        <w:tc>
          <w:tcPr>
            <w:tcW w:w="7938" w:type="dxa"/>
            <w:shd w:val="clear" w:color="auto" w:fill="auto"/>
          </w:tcPr>
          <w:p w14:paraId="618F0F52" w14:textId="3B57CCCF" w:rsidR="00030DB8" w:rsidRPr="00F92B7D" w:rsidRDefault="00030DB8" w:rsidP="00675C15">
            <w:pPr>
              <w:pStyle w:val="Tableformat"/>
              <w:rPr>
                <w:color w:val="auto"/>
              </w:rPr>
            </w:pPr>
            <w:r w:rsidRPr="001A7A58">
              <w:rPr>
                <w:noProof/>
                <w:color w:val="auto"/>
              </w:rPr>
              <mc:AlternateContent>
                <mc:Choice Requires="wps">
                  <w:drawing>
                    <wp:anchor distT="45720" distB="45720" distL="114300" distR="114300" simplePos="0" relativeHeight="251659264" behindDoc="0" locked="0" layoutInCell="1" allowOverlap="1" wp14:anchorId="0E354168" wp14:editId="2C1ADB78">
                      <wp:simplePos x="0" y="0"/>
                      <wp:positionH relativeFrom="column">
                        <wp:posOffset>-62230</wp:posOffset>
                      </wp:positionH>
                      <wp:positionV relativeFrom="paragraph">
                        <wp:posOffset>572770</wp:posOffset>
                      </wp:positionV>
                      <wp:extent cx="5019675" cy="3114675"/>
                      <wp:effectExtent l="0" t="0" r="9525" b="9525"/>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3114675"/>
                              </a:xfrm>
                              <a:prstGeom prst="rect">
                                <a:avLst/>
                              </a:prstGeom>
                              <a:solidFill>
                                <a:srgbClr val="FFFFFF"/>
                              </a:solidFill>
                              <a:ln w="9525">
                                <a:noFill/>
                                <a:miter lim="800000"/>
                                <a:headEnd/>
                                <a:tailEnd/>
                              </a:ln>
                            </wps:spPr>
                            <wps:txbx>
                              <w:txbxContent>
                                <w:tbl>
                                  <w:tblPr>
                                    <w:tblW w:w="7722" w:type="dxa"/>
                                    <w:tblLook w:val="01E0" w:firstRow="1" w:lastRow="1" w:firstColumn="1" w:lastColumn="1" w:noHBand="0" w:noVBand="0"/>
                                  </w:tblPr>
                                  <w:tblGrid>
                                    <w:gridCol w:w="1985"/>
                                    <w:gridCol w:w="919"/>
                                    <w:gridCol w:w="1065"/>
                                    <w:gridCol w:w="919"/>
                                    <w:gridCol w:w="920"/>
                                    <w:gridCol w:w="996"/>
                                    <w:gridCol w:w="918"/>
                                  </w:tblGrid>
                                  <w:tr w:rsidR="00030DB8" w:rsidRPr="00F92B7D" w14:paraId="054CA2B9" w14:textId="77777777" w:rsidTr="002328CB">
                                    <w:trPr>
                                      <w:cantSplit/>
                                    </w:trPr>
                                    <w:tc>
                                      <w:tcPr>
                                        <w:tcW w:w="1985" w:type="dxa"/>
                                        <w:tcBorders>
                                          <w:top w:val="single" w:sz="4" w:space="0" w:color="000080"/>
                                          <w:bottom w:val="single" w:sz="4" w:space="0" w:color="000080"/>
                                        </w:tcBorders>
                                      </w:tcPr>
                                      <w:p w14:paraId="58FF7A2C" w14:textId="77777777" w:rsidR="00030DB8" w:rsidRPr="00F92B7D" w:rsidRDefault="00030DB8" w:rsidP="002328CB">
                                        <w:pPr>
                                          <w:keepNext/>
                                          <w:keepLines/>
                                          <w:spacing w:before="40" w:after="40"/>
                                          <w:ind w:left="-111"/>
                                          <w:rPr>
                                            <w:b/>
                                            <w:sz w:val="21"/>
                                            <w:szCs w:val="21"/>
                                          </w:rPr>
                                        </w:pPr>
                                        <w:r w:rsidRPr="00F92B7D">
                                          <w:rPr>
                                            <w:b/>
                                            <w:sz w:val="21"/>
                                            <w:szCs w:val="21"/>
                                          </w:rPr>
                                          <w:t>Table 1</w:t>
                                        </w:r>
                                      </w:p>
                                      <w:p w14:paraId="5BFED462" w14:textId="77777777" w:rsidR="00030DB8" w:rsidRPr="00F92B7D" w:rsidRDefault="00030DB8" w:rsidP="002328CB">
                                        <w:pPr>
                                          <w:keepNext/>
                                          <w:keepLines/>
                                          <w:spacing w:before="40" w:after="40"/>
                                          <w:ind w:left="-111"/>
                                          <w:rPr>
                                            <w:b/>
                                            <w:sz w:val="21"/>
                                            <w:szCs w:val="21"/>
                                          </w:rPr>
                                        </w:pPr>
                                        <w:r w:rsidRPr="00F92B7D">
                                          <w:rPr>
                                            <w:b/>
                                            <w:sz w:val="21"/>
                                            <w:szCs w:val="21"/>
                                          </w:rPr>
                                          <w:t>($ million)</w:t>
                                        </w:r>
                                      </w:p>
                                    </w:tc>
                                    <w:tc>
                                      <w:tcPr>
                                        <w:tcW w:w="919" w:type="dxa"/>
                                        <w:tcBorders>
                                          <w:top w:val="single" w:sz="4" w:space="0" w:color="000080"/>
                                          <w:bottom w:val="single" w:sz="4" w:space="0" w:color="000080"/>
                                        </w:tcBorders>
                                        <w:vAlign w:val="center"/>
                                      </w:tcPr>
                                      <w:p w14:paraId="5A268ABE" w14:textId="77777777" w:rsidR="00030DB8" w:rsidRPr="00F92B7D" w:rsidRDefault="00030DB8" w:rsidP="002328CB">
                                        <w:pPr>
                                          <w:keepNext/>
                                          <w:keepLines/>
                                          <w:spacing w:before="40" w:after="40"/>
                                          <w:jc w:val="right"/>
                                          <w:rPr>
                                            <w:b/>
                                            <w:i/>
                                            <w:sz w:val="21"/>
                                            <w:szCs w:val="21"/>
                                          </w:rPr>
                                        </w:pPr>
                                        <w:r w:rsidRPr="00F92B7D">
                                          <w:rPr>
                                            <w:b/>
                                            <w:i/>
                                            <w:sz w:val="21"/>
                                            <w:szCs w:val="21"/>
                                          </w:rPr>
                                          <w:t>2024-25</w:t>
                                        </w:r>
                                      </w:p>
                                    </w:tc>
                                    <w:tc>
                                      <w:tcPr>
                                        <w:tcW w:w="1065" w:type="dxa"/>
                                        <w:tcBorders>
                                          <w:top w:val="single" w:sz="4" w:space="0" w:color="000080"/>
                                          <w:bottom w:val="single" w:sz="4" w:space="0" w:color="000080"/>
                                        </w:tcBorders>
                                        <w:vAlign w:val="center"/>
                                      </w:tcPr>
                                      <w:p w14:paraId="13A57E62" w14:textId="77777777" w:rsidR="00030DB8" w:rsidRPr="00F92B7D" w:rsidRDefault="00030DB8" w:rsidP="002328CB">
                                        <w:pPr>
                                          <w:keepNext/>
                                          <w:keepLines/>
                                          <w:spacing w:before="40" w:after="40"/>
                                          <w:jc w:val="right"/>
                                          <w:rPr>
                                            <w:b/>
                                            <w:i/>
                                            <w:sz w:val="21"/>
                                            <w:szCs w:val="21"/>
                                          </w:rPr>
                                        </w:pPr>
                                        <w:r w:rsidRPr="00F92B7D">
                                          <w:rPr>
                                            <w:b/>
                                            <w:i/>
                                            <w:sz w:val="21"/>
                                            <w:szCs w:val="21"/>
                                          </w:rPr>
                                          <w:t>2025-26</w:t>
                                        </w:r>
                                      </w:p>
                                    </w:tc>
                                    <w:tc>
                                      <w:tcPr>
                                        <w:tcW w:w="919" w:type="dxa"/>
                                        <w:tcBorders>
                                          <w:top w:val="single" w:sz="4" w:space="0" w:color="000080"/>
                                          <w:bottom w:val="single" w:sz="4" w:space="0" w:color="000080"/>
                                        </w:tcBorders>
                                        <w:vAlign w:val="center"/>
                                      </w:tcPr>
                                      <w:p w14:paraId="4EEE2388" w14:textId="77777777" w:rsidR="00030DB8" w:rsidRPr="00F92B7D" w:rsidRDefault="00030DB8" w:rsidP="002328CB">
                                        <w:pPr>
                                          <w:keepNext/>
                                          <w:keepLines/>
                                          <w:spacing w:before="40" w:after="40"/>
                                          <w:jc w:val="right"/>
                                          <w:rPr>
                                            <w:b/>
                                            <w:i/>
                                            <w:sz w:val="21"/>
                                            <w:szCs w:val="21"/>
                                          </w:rPr>
                                        </w:pPr>
                                        <w:r w:rsidRPr="00F92B7D">
                                          <w:rPr>
                                            <w:b/>
                                            <w:i/>
                                            <w:sz w:val="21"/>
                                            <w:szCs w:val="21"/>
                                          </w:rPr>
                                          <w:t>2026-27</w:t>
                                        </w:r>
                                      </w:p>
                                    </w:tc>
                                    <w:tc>
                                      <w:tcPr>
                                        <w:tcW w:w="920" w:type="dxa"/>
                                        <w:tcBorders>
                                          <w:top w:val="single" w:sz="4" w:space="0" w:color="000080"/>
                                          <w:bottom w:val="single" w:sz="4" w:space="0" w:color="000080"/>
                                        </w:tcBorders>
                                        <w:vAlign w:val="center"/>
                                      </w:tcPr>
                                      <w:p w14:paraId="20D5FF83" w14:textId="77777777" w:rsidR="00030DB8" w:rsidRPr="00F92B7D" w:rsidRDefault="00030DB8" w:rsidP="002328CB">
                                        <w:pPr>
                                          <w:keepNext/>
                                          <w:keepLines/>
                                          <w:spacing w:before="40" w:after="40"/>
                                          <w:jc w:val="right"/>
                                          <w:rPr>
                                            <w:b/>
                                            <w:i/>
                                            <w:sz w:val="21"/>
                                            <w:szCs w:val="21"/>
                                          </w:rPr>
                                        </w:pPr>
                                        <w:r w:rsidRPr="00F92B7D">
                                          <w:rPr>
                                            <w:b/>
                                            <w:i/>
                                            <w:sz w:val="21"/>
                                            <w:szCs w:val="21"/>
                                          </w:rPr>
                                          <w:t>2027-28</w:t>
                                        </w:r>
                                      </w:p>
                                    </w:tc>
                                    <w:tc>
                                      <w:tcPr>
                                        <w:tcW w:w="996" w:type="dxa"/>
                                        <w:tcBorders>
                                          <w:top w:val="single" w:sz="4" w:space="0" w:color="000080"/>
                                          <w:bottom w:val="single" w:sz="4" w:space="0" w:color="000080"/>
                                        </w:tcBorders>
                                        <w:vAlign w:val="center"/>
                                      </w:tcPr>
                                      <w:p w14:paraId="4CB7F5AB" w14:textId="77777777" w:rsidR="00030DB8" w:rsidRPr="00F92B7D" w:rsidRDefault="00030DB8" w:rsidP="002328CB">
                                        <w:pPr>
                                          <w:keepNext/>
                                          <w:keepLines/>
                                          <w:spacing w:before="40" w:after="40"/>
                                          <w:jc w:val="right"/>
                                          <w:rPr>
                                            <w:b/>
                                            <w:i/>
                                            <w:sz w:val="21"/>
                                            <w:szCs w:val="21"/>
                                          </w:rPr>
                                        </w:pPr>
                                        <w:r w:rsidRPr="00F92B7D">
                                          <w:rPr>
                                            <w:b/>
                                            <w:i/>
                                            <w:sz w:val="21"/>
                                            <w:szCs w:val="21"/>
                                          </w:rPr>
                                          <w:t>2028-29</w:t>
                                        </w:r>
                                      </w:p>
                                    </w:tc>
                                    <w:tc>
                                      <w:tcPr>
                                        <w:tcW w:w="918" w:type="dxa"/>
                                        <w:tcBorders>
                                          <w:top w:val="single" w:sz="4" w:space="0" w:color="000080"/>
                                          <w:bottom w:val="single" w:sz="4" w:space="0" w:color="000080"/>
                                        </w:tcBorders>
                                        <w:vAlign w:val="center"/>
                                      </w:tcPr>
                                      <w:p w14:paraId="485879FC" w14:textId="77777777" w:rsidR="00030DB8" w:rsidRPr="00F92B7D" w:rsidRDefault="00030DB8" w:rsidP="002328CB">
                                        <w:pPr>
                                          <w:keepNext/>
                                          <w:keepLines/>
                                          <w:spacing w:before="40" w:after="40"/>
                                          <w:jc w:val="right"/>
                                          <w:rPr>
                                            <w:b/>
                                            <w:i/>
                                            <w:sz w:val="21"/>
                                            <w:szCs w:val="21"/>
                                          </w:rPr>
                                        </w:pPr>
                                        <w:r w:rsidRPr="00F92B7D">
                                          <w:rPr>
                                            <w:b/>
                                            <w:i/>
                                            <w:sz w:val="21"/>
                                            <w:szCs w:val="21"/>
                                          </w:rPr>
                                          <w:t>Total</w:t>
                                        </w:r>
                                      </w:p>
                                    </w:tc>
                                  </w:tr>
                                  <w:tr w:rsidR="00030DB8" w:rsidRPr="00F92B7D" w14:paraId="7F3D0C9C" w14:textId="77777777" w:rsidTr="002328CB">
                                    <w:trPr>
                                      <w:cantSplit/>
                                    </w:trPr>
                                    <w:tc>
                                      <w:tcPr>
                                        <w:tcW w:w="1985" w:type="dxa"/>
                                        <w:tcBorders>
                                          <w:top w:val="single" w:sz="4" w:space="0" w:color="000080"/>
                                        </w:tcBorders>
                                      </w:tcPr>
                                      <w:p w14:paraId="680B5571" w14:textId="77777777" w:rsidR="00030DB8" w:rsidRPr="00F92B7D" w:rsidRDefault="00030DB8" w:rsidP="007E44E6">
                                        <w:pPr>
                                          <w:keepNext/>
                                          <w:keepLines/>
                                          <w:spacing w:before="60" w:after="60"/>
                                          <w:ind w:left="-111"/>
                                          <w:rPr>
                                            <w:b/>
                                            <w:sz w:val="21"/>
                                            <w:szCs w:val="21"/>
                                          </w:rPr>
                                        </w:pPr>
                                      </w:p>
                                    </w:tc>
                                    <w:tc>
                                      <w:tcPr>
                                        <w:tcW w:w="919" w:type="dxa"/>
                                        <w:tcBorders>
                                          <w:top w:val="single" w:sz="4" w:space="0" w:color="000080"/>
                                        </w:tcBorders>
                                      </w:tcPr>
                                      <w:p w14:paraId="15D9BFC6" w14:textId="77777777" w:rsidR="00030DB8" w:rsidRPr="00F92B7D" w:rsidRDefault="00030DB8" w:rsidP="007E44E6">
                                        <w:pPr>
                                          <w:keepNext/>
                                          <w:keepLines/>
                                          <w:spacing w:before="40" w:after="40"/>
                                          <w:jc w:val="right"/>
                                          <w:rPr>
                                            <w:b/>
                                            <w:sz w:val="21"/>
                                            <w:szCs w:val="21"/>
                                          </w:rPr>
                                        </w:pPr>
                                      </w:p>
                                    </w:tc>
                                    <w:tc>
                                      <w:tcPr>
                                        <w:tcW w:w="1065" w:type="dxa"/>
                                        <w:tcBorders>
                                          <w:top w:val="single" w:sz="4" w:space="0" w:color="000080"/>
                                        </w:tcBorders>
                                      </w:tcPr>
                                      <w:p w14:paraId="5D9EBBBC" w14:textId="77777777" w:rsidR="00030DB8" w:rsidRPr="00F92B7D" w:rsidRDefault="00030DB8" w:rsidP="007E44E6">
                                        <w:pPr>
                                          <w:keepNext/>
                                          <w:keepLines/>
                                          <w:spacing w:before="40" w:after="40"/>
                                          <w:jc w:val="right"/>
                                          <w:rPr>
                                            <w:b/>
                                            <w:sz w:val="21"/>
                                            <w:szCs w:val="21"/>
                                          </w:rPr>
                                        </w:pPr>
                                      </w:p>
                                    </w:tc>
                                    <w:tc>
                                      <w:tcPr>
                                        <w:tcW w:w="919" w:type="dxa"/>
                                        <w:tcBorders>
                                          <w:top w:val="single" w:sz="4" w:space="0" w:color="000080"/>
                                        </w:tcBorders>
                                      </w:tcPr>
                                      <w:p w14:paraId="2D950CF7" w14:textId="77777777" w:rsidR="00030DB8" w:rsidRPr="00F92B7D" w:rsidRDefault="00030DB8" w:rsidP="007E44E6">
                                        <w:pPr>
                                          <w:keepNext/>
                                          <w:keepLines/>
                                          <w:spacing w:before="40" w:after="40"/>
                                          <w:jc w:val="right"/>
                                          <w:rPr>
                                            <w:b/>
                                            <w:sz w:val="21"/>
                                            <w:szCs w:val="21"/>
                                          </w:rPr>
                                        </w:pPr>
                                      </w:p>
                                    </w:tc>
                                    <w:tc>
                                      <w:tcPr>
                                        <w:tcW w:w="920" w:type="dxa"/>
                                        <w:tcBorders>
                                          <w:top w:val="single" w:sz="4" w:space="0" w:color="000080"/>
                                        </w:tcBorders>
                                      </w:tcPr>
                                      <w:p w14:paraId="4A1F2843" w14:textId="77777777" w:rsidR="00030DB8" w:rsidRPr="00F92B7D" w:rsidRDefault="00030DB8" w:rsidP="007E44E6">
                                        <w:pPr>
                                          <w:keepNext/>
                                          <w:keepLines/>
                                          <w:spacing w:before="40" w:after="40"/>
                                          <w:jc w:val="right"/>
                                          <w:rPr>
                                            <w:b/>
                                            <w:sz w:val="21"/>
                                            <w:szCs w:val="21"/>
                                          </w:rPr>
                                        </w:pPr>
                                      </w:p>
                                    </w:tc>
                                    <w:tc>
                                      <w:tcPr>
                                        <w:tcW w:w="996" w:type="dxa"/>
                                        <w:tcBorders>
                                          <w:top w:val="single" w:sz="4" w:space="0" w:color="000080"/>
                                        </w:tcBorders>
                                      </w:tcPr>
                                      <w:p w14:paraId="28586596" w14:textId="77777777" w:rsidR="00030DB8" w:rsidRPr="00F92B7D" w:rsidRDefault="00030DB8" w:rsidP="007E44E6">
                                        <w:pPr>
                                          <w:keepNext/>
                                          <w:keepLines/>
                                          <w:spacing w:before="40" w:after="40"/>
                                          <w:jc w:val="right"/>
                                          <w:rPr>
                                            <w:b/>
                                            <w:sz w:val="21"/>
                                            <w:szCs w:val="21"/>
                                          </w:rPr>
                                        </w:pPr>
                                      </w:p>
                                    </w:tc>
                                    <w:tc>
                                      <w:tcPr>
                                        <w:tcW w:w="918" w:type="dxa"/>
                                        <w:tcBorders>
                                          <w:top w:val="single" w:sz="4" w:space="0" w:color="000080"/>
                                        </w:tcBorders>
                                      </w:tcPr>
                                      <w:p w14:paraId="623DFDC3" w14:textId="77777777" w:rsidR="00030DB8" w:rsidRPr="00F92B7D" w:rsidRDefault="00030DB8" w:rsidP="007E44E6">
                                        <w:pPr>
                                          <w:keepNext/>
                                          <w:keepLines/>
                                          <w:spacing w:before="40" w:after="40"/>
                                          <w:jc w:val="right"/>
                                          <w:rPr>
                                            <w:b/>
                                            <w:sz w:val="21"/>
                                            <w:szCs w:val="21"/>
                                          </w:rPr>
                                        </w:pPr>
                                      </w:p>
                                    </w:tc>
                                  </w:tr>
                                  <w:tr w:rsidR="00104A9B" w:rsidRPr="00F92B7D" w14:paraId="0046478E" w14:textId="77777777" w:rsidTr="002328CB">
                                    <w:trPr>
                                      <w:cantSplit/>
                                    </w:trPr>
                                    <w:tc>
                                      <w:tcPr>
                                        <w:tcW w:w="1985" w:type="dxa"/>
                                      </w:tcPr>
                                      <w:p w14:paraId="6419B6A7" w14:textId="77777777" w:rsidR="00104A9B" w:rsidRPr="00F92B7D" w:rsidRDefault="00104A9B" w:rsidP="00104A9B">
                                        <w:pPr>
                                          <w:pStyle w:val="ListParagraph"/>
                                          <w:keepNext/>
                                          <w:keepLines/>
                                          <w:widowControl/>
                                          <w:numPr>
                                            <w:ilvl w:val="0"/>
                                            <w:numId w:val="2"/>
                                          </w:numPr>
                                          <w:spacing w:before="60" w:after="60"/>
                                          <w:rPr>
                                            <w:rFonts w:ascii="Corbel" w:hAnsi="Corbel"/>
                                            <w:sz w:val="21"/>
                                            <w:szCs w:val="21"/>
                                          </w:rPr>
                                        </w:pPr>
                                        <w:r w:rsidRPr="00F92B7D">
                                          <w:rPr>
                                            <w:rFonts w:ascii="Corbel" w:hAnsi="Corbel"/>
                                            <w:sz w:val="21"/>
                                            <w:szCs w:val="21"/>
                                          </w:rPr>
                                          <w:t>General Funding</w:t>
                                        </w:r>
                                      </w:p>
                                    </w:tc>
                                    <w:tc>
                                      <w:tcPr>
                                        <w:tcW w:w="919" w:type="dxa"/>
                                      </w:tcPr>
                                      <w:p w14:paraId="498119C8" w14:textId="4CC227D5" w:rsidR="00104A9B" w:rsidRPr="00F92B7D" w:rsidRDefault="00104A9B" w:rsidP="00104A9B">
                                        <w:pPr>
                                          <w:keepNext/>
                                          <w:keepLines/>
                                          <w:spacing w:before="40" w:after="40"/>
                                          <w:jc w:val="right"/>
                                          <w:rPr>
                                            <w:sz w:val="21"/>
                                            <w:szCs w:val="21"/>
                                          </w:rPr>
                                        </w:pPr>
                                        <w:r w:rsidRPr="00F92B7D">
                                          <w:t xml:space="preserve"> 95.42 </w:t>
                                        </w:r>
                                      </w:p>
                                    </w:tc>
                                    <w:tc>
                                      <w:tcPr>
                                        <w:tcW w:w="1065" w:type="dxa"/>
                                      </w:tcPr>
                                      <w:p w14:paraId="78C6E3D2" w14:textId="4F7EEDE5" w:rsidR="00104A9B" w:rsidRPr="00F92B7D" w:rsidRDefault="00104A9B" w:rsidP="00104A9B">
                                        <w:pPr>
                                          <w:keepNext/>
                                          <w:keepLines/>
                                          <w:spacing w:before="40" w:after="40"/>
                                          <w:jc w:val="right"/>
                                          <w:rPr>
                                            <w:sz w:val="21"/>
                                            <w:szCs w:val="21"/>
                                          </w:rPr>
                                        </w:pPr>
                                        <w:r w:rsidRPr="00F92B7D">
                                          <w:t xml:space="preserve"> 97.62 </w:t>
                                        </w:r>
                                      </w:p>
                                    </w:tc>
                                    <w:tc>
                                      <w:tcPr>
                                        <w:tcW w:w="919" w:type="dxa"/>
                                      </w:tcPr>
                                      <w:p w14:paraId="011EEB26" w14:textId="53794A06" w:rsidR="00104A9B" w:rsidRPr="00F92B7D" w:rsidRDefault="00104A9B" w:rsidP="00104A9B">
                                        <w:pPr>
                                          <w:keepNext/>
                                          <w:keepLines/>
                                          <w:spacing w:before="40" w:after="40"/>
                                          <w:jc w:val="right"/>
                                          <w:rPr>
                                            <w:sz w:val="21"/>
                                            <w:szCs w:val="21"/>
                                          </w:rPr>
                                        </w:pPr>
                                        <w:r w:rsidRPr="00F92B7D">
                                          <w:t xml:space="preserve"> 99.77 </w:t>
                                        </w:r>
                                      </w:p>
                                    </w:tc>
                                    <w:tc>
                                      <w:tcPr>
                                        <w:tcW w:w="920" w:type="dxa"/>
                                      </w:tcPr>
                                      <w:p w14:paraId="1A2FCE06" w14:textId="6F19AE3B" w:rsidR="00104A9B" w:rsidRPr="00F92B7D" w:rsidRDefault="00104A9B" w:rsidP="00104A9B">
                                        <w:pPr>
                                          <w:keepNext/>
                                          <w:keepLines/>
                                          <w:spacing w:before="40" w:after="40"/>
                                          <w:jc w:val="right"/>
                                          <w:rPr>
                                            <w:sz w:val="21"/>
                                            <w:szCs w:val="21"/>
                                          </w:rPr>
                                        </w:pPr>
                                        <w:r w:rsidRPr="00F92B7D">
                                          <w:t xml:space="preserve"> 101.76 </w:t>
                                        </w:r>
                                      </w:p>
                                    </w:tc>
                                    <w:tc>
                                      <w:tcPr>
                                        <w:tcW w:w="996" w:type="dxa"/>
                                      </w:tcPr>
                                      <w:p w14:paraId="36FF7F05" w14:textId="473DF668" w:rsidR="00104A9B" w:rsidRPr="00F92B7D" w:rsidRDefault="00104A9B" w:rsidP="00104A9B">
                                        <w:pPr>
                                          <w:keepNext/>
                                          <w:keepLines/>
                                          <w:spacing w:before="40" w:after="40"/>
                                          <w:jc w:val="right"/>
                                          <w:rPr>
                                            <w:sz w:val="21"/>
                                            <w:szCs w:val="21"/>
                                          </w:rPr>
                                        </w:pPr>
                                        <w:r w:rsidRPr="00F92B7D">
                                          <w:t xml:space="preserve"> 103.80 </w:t>
                                        </w:r>
                                      </w:p>
                                    </w:tc>
                                    <w:tc>
                                      <w:tcPr>
                                        <w:tcW w:w="918" w:type="dxa"/>
                                      </w:tcPr>
                                      <w:p w14:paraId="02B8A2B2" w14:textId="2F22E00E" w:rsidR="00104A9B" w:rsidRPr="00F92B7D" w:rsidRDefault="00104A9B" w:rsidP="00104A9B">
                                        <w:pPr>
                                          <w:keepNext/>
                                          <w:keepLines/>
                                          <w:spacing w:before="40" w:after="40"/>
                                          <w:jc w:val="right"/>
                                          <w:rPr>
                                            <w:sz w:val="21"/>
                                            <w:szCs w:val="21"/>
                                          </w:rPr>
                                        </w:pPr>
                                        <w:r w:rsidRPr="00F92B7D">
                                          <w:t xml:space="preserve"> 498.37 </w:t>
                                        </w:r>
                                      </w:p>
                                    </w:tc>
                                  </w:tr>
                                  <w:tr w:rsidR="00104A9B" w:rsidRPr="00F92B7D" w14:paraId="656A4B7F" w14:textId="77777777" w:rsidTr="002328CB">
                                    <w:trPr>
                                      <w:cantSplit/>
                                    </w:trPr>
                                    <w:tc>
                                      <w:tcPr>
                                        <w:tcW w:w="1985" w:type="dxa"/>
                                      </w:tcPr>
                                      <w:p w14:paraId="2333D19B" w14:textId="77777777" w:rsidR="00104A9B" w:rsidRPr="00F92B7D" w:rsidRDefault="00104A9B" w:rsidP="00104A9B">
                                        <w:pPr>
                                          <w:pStyle w:val="ListParagraph"/>
                                          <w:keepNext/>
                                          <w:keepLines/>
                                          <w:widowControl/>
                                          <w:numPr>
                                            <w:ilvl w:val="0"/>
                                            <w:numId w:val="2"/>
                                          </w:numPr>
                                          <w:spacing w:before="60" w:after="60"/>
                                          <w:rPr>
                                            <w:rFonts w:ascii="Corbel" w:hAnsi="Corbel"/>
                                            <w:sz w:val="21"/>
                                            <w:szCs w:val="21"/>
                                          </w:rPr>
                                        </w:pPr>
                                        <w:r w:rsidRPr="00F92B7D">
                                          <w:rPr>
                                            <w:rFonts w:ascii="Corbel" w:hAnsi="Corbel"/>
                                            <w:sz w:val="21"/>
                                            <w:szCs w:val="21"/>
                                          </w:rPr>
                                          <w:t>Specified Homelessness Funding</w:t>
                                        </w:r>
                                      </w:p>
                                    </w:tc>
                                    <w:tc>
                                      <w:tcPr>
                                        <w:tcW w:w="919" w:type="dxa"/>
                                      </w:tcPr>
                                      <w:p w14:paraId="67FA3E9E" w14:textId="77777777" w:rsidR="00104A9B" w:rsidRPr="00F92B7D" w:rsidRDefault="00104A9B" w:rsidP="00104A9B">
                                        <w:pPr>
                                          <w:keepNext/>
                                          <w:keepLines/>
                                          <w:spacing w:before="40" w:after="40"/>
                                          <w:jc w:val="right"/>
                                        </w:pPr>
                                        <w:r w:rsidRPr="00F92B7D">
                                          <w:t xml:space="preserve"> </w:t>
                                        </w:r>
                                      </w:p>
                                      <w:p w14:paraId="15FCE892" w14:textId="064122D2" w:rsidR="00104A9B" w:rsidRPr="00F92B7D" w:rsidRDefault="00104A9B" w:rsidP="00104A9B">
                                        <w:pPr>
                                          <w:keepNext/>
                                          <w:keepLines/>
                                          <w:spacing w:before="40" w:after="40"/>
                                          <w:jc w:val="right"/>
                                          <w:rPr>
                                            <w:sz w:val="21"/>
                                            <w:szCs w:val="21"/>
                                          </w:rPr>
                                        </w:pPr>
                                        <w:r w:rsidRPr="00F92B7D">
                                          <w:t xml:space="preserve">24.26 </w:t>
                                        </w:r>
                                      </w:p>
                                    </w:tc>
                                    <w:tc>
                                      <w:tcPr>
                                        <w:tcW w:w="1065" w:type="dxa"/>
                                      </w:tcPr>
                                      <w:p w14:paraId="0BE18997" w14:textId="77777777" w:rsidR="00104A9B" w:rsidRPr="00F92B7D" w:rsidRDefault="00104A9B" w:rsidP="00104A9B">
                                        <w:pPr>
                                          <w:keepNext/>
                                          <w:keepLines/>
                                          <w:spacing w:before="40" w:after="40"/>
                                          <w:jc w:val="right"/>
                                        </w:pPr>
                                        <w:r w:rsidRPr="00F92B7D">
                                          <w:t xml:space="preserve"> </w:t>
                                        </w:r>
                                      </w:p>
                                      <w:p w14:paraId="2272D446" w14:textId="66681B47" w:rsidR="00104A9B" w:rsidRPr="00F92B7D" w:rsidRDefault="00104A9B" w:rsidP="00104A9B">
                                        <w:pPr>
                                          <w:keepNext/>
                                          <w:keepLines/>
                                          <w:spacing w:before="40" w:after="40"/>
                                          <w:jc w:val="right"/>
                                          <w:rPr>
                                            <w:sz w:val="21"/>
                                            <w:szCs w:val="21"/>
                                          </w:rPr>
                                        </w:pPr>
                                        <w:r w:rsidRPr="00F92B7D">
                                          <w:t xml:space="preserve">24.82 </w:t>
                                        </w:r>
                                      </w:p>
                                    </w:tc>
                                    <w:tc>
                                      <w:tcPr>
                                        <w:tcW w:w="919" w:type="dxa"/>
                                      </w:tcPr>
                                      <w:p w14:paraId="42EB6030" w14:textId="77777777" w:rsidR="00104A9B" w:rsidRPr="00F92B7D" w:rsidRDefault="00104A9B" w:rsidP="00104A9B">
                                        <w:pPr>
                                          <w:keepNext/>
                                          <w:keepLines/>
                                          <w:spacing w:before="40" w:after="40"/>
                                          <w:jc w:val="right"/>
                                        </w:pPr>
                                      </w:p>
                                      <w:p w14:paraId="2A4653DA" w14:textId="5AD5F2C5" w:rsidR="00104A9B" w:rsidRPr="00F92B7D" w:rsidRDefault="00104A9B" w:rsidP="00104A9B">
                                        <w:pPr>
                                          <w:keepNext/>
                                          <w:keepLines/>
                                          <w:spacing w:before="40" w:after="40"/>
                                          <w:jc w:val="right"/>
                                          <w:rPr>
                                            <w:sz w:val="21"/>
                                            <w:szCs w:val="21"/>
                                          </w:rPr>
                                        </w:pPr>
                                        <w:r w:rsidRPr="00F92B7D">
                                          <w:t xml:space="preserve"> 25.36 </w:t>
                                        </w:r>
                                      </w:p>
                                    </w:tc>
                                    <w:tc>
                                      <w:tcPr>
                                        <w:tcW w:w="920" w:type="dxa"/>
                                      </w:tcPr>
                                      <w:p w14:paraId="5CCF4788" w14:textId="77777777" w:rsidR="00104A9B" w:rsidRPr="00F92B7D" w:rsidRDefault="00104A9B" w:rsidP="00104A9B">
                                        <w:pPr>
                                          <w:keepNext/>
                                          <w:keepLines/>
                                          <w:spacing w:before="40" w:after="40"/>
                                          <w:jc w:val="right"/>
                                        </w:pPr>
                                      </w:p>
                                      <w:p w14:paraId="670BA48A" w14:textId="16F80FB0" w:rsidR="00104A9B" w:rsidRPr="00F92B7D" w:rsidRDefault="00104A9B" w:rsidP="00104A9B">
                                        <w:pPr>
                                          <w:keepNext/>
                                          <w:keepLines/>
                                          <w:spacing w:before="40" w:after="40"/>
                                          <w:jc w:val="right"/>
                                          <w:rPr>
                                            <w:sz w:val="21"/>
                                            <w:szCs w:val="21"/>
                                          </w:rPr>
                                        </w:pPr>
                                        <w:r w:rsidRPr="00F92B7D">
                                          <w:t xml:space="preserve"> 25.87 </w:t>
                                        </w:r>
                                      </w:p>
                                    </w:tc>
                                    <w:tc>
                                      <w:tcPr>
                                        <w:tcW w:w="996" w:type="dxa"/>
                                      </w:tcPr>
                                      <w:p w14:paraId="457EA043" w14:textId="77777777" w:rsidR="00104A9B" w:rsidRPr="00F92B7D" w:rsidRDefault="00104A9B" w:rsidP="00104A9B">
                                        <w:pPr>
                                          <w:keepNext/>
                                          <w:keepLines/>
                                          <w:spacing w:before="40" w:after="40"/>
                                          <w:jc w:val="right"/>
                                        </w:pPr>
                                      </w:p>
                                      <w:p w14:paraId="44B433E0" w14:textId="25D71590" w:rsidR="00104A9B" w:rsidRPr="00F92B7D" w:rsidRDefault="00104A9B" w:rsidP="00104A9B">
                                        <w:pPr>
                                          <w:keepNext/>
                                          <w:keepLines/>
                                          <w:spacing w:before="40" w:after="40"/>
                                          <w:jc w:val="right"/>
                                          <w:rPr>
                                            <w:sz w:val="21"/>
                                            <w:szCs w:val="21"/>
                                          </w:rPr>
                                        </w:pPr>
                                        <w:r w:rsidRPr="00F92B7D">
                                          <w:t xml:space="preserve"> 26.39 </w:t>
                                        </w:r>
                                      </w:p>
                                    </w:tc>
                                    <w:tc>
                                      <w:tcPr>
                                        <w:tcW w:w="918" w:type="dxa"/>
                                      </w:tcPr>
                                      <w:p w14:paraId="47630C61" w14:textId="77777777" w:rsidR="00104A9B" w:rsidRPr="00F92B7D" w:rsidRDefault="00104A9B" w:rsidP="00104A9B">
                                        <w:pPr>
                                          <w:keepNext/>
                                          <w:keepLines/>
                                          <w:spacing w:before="40" w:after="40"/>
                                          <w:jc w:val="right"/>
                                        </w:pPr>
                                        <w:r w:rsidRPr="00F92B7D">
                                          <w:t xml:space="preserve"> </w:t>
                                        </w:r>
                                      </w:p>
                                      <w:p w14:paraId="5036E7E0" w14:textId="3DDEC1A0" w:rsidR="00104A9B" w:rsidRPr="00F92B7D" w:rsidRDefault="00104A9B" w:rsidP="00104A9B">
                                        <w:pPr>
                                          <w:keepNext/>
                                          <w:keepLines/>
                                          <w:spacing w:before="40" w:after="40"/>
                                          <w:jc w:val="right"/>
                                          <w:rPr>
                                            <w:sz w:val="21"/>
                                            <w:szCs w:val="21"/>
                                          </w:rPr>
                                        </w:pPr>
                                        <w:r w:rsidRPr="00F92B7D">
                                          <w:t xml:space="preserve">126.69 </w:t>
                                        </w:r>
                                      </w:p>
                                    </w:tc>
                                  </w:tr>
                                  <w:tr w:rsidR="00104A9B" w:rsidRPr="00F92B7D" w14:paraId="74E9C7AA" w14:textId="77777777" w:rsidTr="002328CB">
                                    <w:trPr>
                                      <w:cantSplit/>
                                    </w:trPr>
                                    <w:tc>
                                      <w:tcPr>
                                        <w:tcW w:w="1985" w:type="dxa"/>
                                        <w:tcBorders>
                                          <w:bottom w:val="single" w:sz="4" w:space="0" w:color="000080"/>
                                        </w:tcBorders>
                                      </w:tcPr>
                                      <w:p w14:paraId="39DF4026" w14:textId="2CCC51E2" w:rsidR="00104A9B" w:rsidRPr="00F92B7D" w:rsidRDefault="005517B3" w:rsidP="00104A9B">
                                        <w:pPr>
                                          <w:keepNext/>
                                          <w:keepLines/>
                                          <w:spacing w:before="40" w:after="40"/>
                                          <w:ind w:left="-111"/>
                                          <w:rPr>
                                            <w:sz w:val="21"/>
                                            <w:szCs w:val="21"/>
                                          </w:rPr>
                                        </w:pPr>
                                        <w:r w:rsidRPr="00F92B7D">
                                          <w:rPr>
                                            <w:sz w:val="21"/>
                                            <w:szCs w:val="21"/>
                                          </w:rPr>
                                          <w:t>South Australia</w:t>
                                        </w:r>
                                        <w:r w:rsidR="00104A9B" w:rsidRPr="00F92B7D">
                                          <w:rPr>
                                            <w:sz w:val="21"/>
                                            <w:szCs w:val="21"/>
                                          </w:rPr>
                                          <w:t>-matched homelessness funding</w:t>
                                        </w:r>
                                      </w:p>
                                    </w:tc>
                                    <w:tc>
                                      <w:tcPr>
                                        <w:tcW w:w="919" w:type="dxa"/>
                                        <w:tcBorders>
                                          <w:bottom w:val="single" w:sz="4" w:space="0" w:color="000080"/>
                                        </w:tcBorders>
                                      </w:tcPr>
                                      <w:p w14:paraId="44ACB2B1" w14:textId="25B6EF8B" w:rsidR="00104A9B" w:rsidRPr="00F92B7D" w:rsidRDefault="00104A9B" w:rsidP="00104A9B">
                                        <w:pPr>
                                          <w:keepNext/>
                                          <w:keepLines/>
                                          <w:spacing w:before="40" w:after="40"/>
                                          <w:jc w:val="right"/>
                                          <w:rPr>
                                            <w:sz w:val="21"/>
                                            <w:szCs w:val="21"/>
                                          </w:rPr>
                                        </w:pPr>
                                        <w:r w:rsidRPr="00F92B7D">
                                          <w:t xml:space="preserve"> 24.26 </w:t>
                                        </w:r>
                                      </w:p>
                                    </w:tc>
                                    <w:tc>
                                      <w:tcPr>
                                        <w:tcW w:w="1065" w:type="dxa"/>
                                        <w:tcBorders>
                                          <w:bottom w:val="single" w:sz="4" w:space="0" w:color="000080"/>
                                        </w:tcBorders>
                                      </w:tcPr>
                                      <w:p w14:paraId="305015AE" w14:textId="761067DB" w:rsidR="00104A9B" w:rsidRPr="00F92B7D" w:rsidRDefault="00104A9B" w:rsidP="00104A9B">
                                        <w:pPr>
                                          <w:keepNext/>
                                          <w:keepLines/>
                                          <w:spacing w:before="40" w:after="40"/>
                                          <w:jc w:val="right"/>
                                          <w:rPr>
                                            <w:sz w:val="21"/>
                                            <w:szCs w:val="21"/>
                                          </w:rPr>
                                        </w:pPr>
                                        <w:r w:rsidRPr="00F92B7D">
                                          <w:t xml:space="preserve"> 24.82 </w:t>
                                        </w:r>
                                      </w:p>
                                    </w:tc>
                                    <w:tc>
                                      <w:tcPr>
                                        <w:tcW w:w="919" w:type="dxa"/>
                                        <w:tcBorders>
                                          <w:bottom w:val="single" w:sz="4" w:space="0" w:color="000080"/>
                                        </w:tcBorders>
                                      </w:tcPr>
                                      <w:p w14:paraId="0B5C84D6" w14:textId="6E6D3DE2" w:rsidR="00104A9B" w:rsidRPr="00F92B7D" w:rsidRDefault="00104A9B" w:rsidP="00104A9B">
                                        <w:pPr>
                                          <w:keepNext/>
                                          <w:keepLines/>
                                          <w:spacing w:before="40" w:after="40"/>
                                          <w:jc w:val="right"/>
                                          <w:rPr>
                                            <w:sz w:val="21"/>
                                            <w:szCs w:val="21"/>
                                          </w:rPr>
                                        </w:pPr>
                                        <w:r w:rsidRPr="00F92B7D">
                                          <w:t xml:space="preserve"> 25.36 </w:t>
                                        </w:r>
                                      </w:p>
                                    </w:tc>
                                    <w:tc>
                                      <w:tcPr>
                                        <w:tcW w:w="920" w:type="dxa"/>
                                        <w:tcBorders>
                                          <w:bottom w:val="single" w:sz="4" w:space="0" w:color="000080"/>
                                        </w:tcBorders>
                                      </w:tcPr>
                                      <w:p w14:paraId="7760CA4C" w14:textId="6FEBF4B8" w:rsidR="00104A9B" w:rsidRPr="00F92B7D" w:rsidRDefault="00104A9B" w:rsidP="00104A9B">
                                        <w:pPr>
                                          <w:keepNext/>
                                          <w:keepLines/>
                                          <w:spacing w:before="40" w:after="40"/>
                                          <w:jc w:val="right"/>
                                          <w:rPr>
                                            <w:sz w:val="21"/>
                                            <w:szCs w:val="21"/>
                                          </w:rPr>
                                        </w:pPr>
                                        <w:r w:rsidRPr="00F92B7D">
                                          <w:t xml:space="preserve"> 25.87 </w:t>
                                        </w:r>
                                      </w:p>
                                    </w:tc>
                                    <w:tc>
                                      <w:tcPr>
                                        <w:tcW w:w="996" w:type="dxa"/>
                                        <w:tcBorders>
                                          <w:bottom w:val="single" w:sz="4" w:space="0" w:color="000080"/>
                                        </w:tcBorders>
                                      </w:tcPr>
                                      <w:p w14:paraId="573DCD87" w14:textId="4A182D28" w:rsidR="00104A9B" w:rsidRPr="00F92B7D" w:rsidRDefault="00104A9B" w:rsidP="00104A9B">
                                        <w:pPr>
                                          <w:keepNext/>
                                          <w:keepLines/>
                                          <w:spacing w:before="40" w:after="40"/>
                                          <w:jc w:val="right"/>
                                          <w:rPr>
                                            <w:sz w:val="21"/>
                                            <w:szCs w:val="21"/>
                                          </w:rPr>
                                        </w:pPr>
                                        <w:r w:rsidRPr="00F92B7D">
                                          <w:t xml:space="preserve"> 26.39 </w:t>
                                        </w:r>
                                      </w:p>
                                    </w:tc>
                                    <w:tc>
                                      <w:tcPr>
                                        <w:tcW w:w="918" w:type="dxa"/>
                                        <w:tcBorders>
                                          <w:bottom w:val="single" w:sz="4" w:space="0" w:color="000080"/>
                                        </w:tcBorders>
                                      </w:tcPr>
                                      <w:p w14:paraId="7902A10F" w14:textId="1C892A2E" w:rsidR="00104A9B" w:rsidRPr="00F92B7D" w:rsidRDefault="00104A9B" w:rsidP="00104A9B">
                                        <w:pPr>
                                          <w:keepNext/>
                                          <w:keepLines/>
                                          <w:spacing w:before="40" w:after="40"/>
                                          <w:jc w:val="right"/>
                                          <w:rPr>
                                            <w:sz w:val="21"/>
                                            <w:szCs w:val="21"/>
                                          </w:rPr>
                                        </w:pPr>
                                        <w:r w:rsidRPr="00F92B7D">
                                          <w:t xml:space="preserve"> 126.69 </w:t>
                                        </w:r>
                                      </w:p>
                                    </w:tc>
                                  </w:tr>
                                </w:tbl>
                                <w:p w14:paraId="479DB17B" w14:textId="407C45D1" w:rsidR="00030DB8" w:rsidRPr="00F92B7D" w:rsidRDefault="00705B6E" w:rsidP="00705B6E">
                                  <w:pPr>
                                    <w:rPr>
                                      <w:sz w:val="18"/>
                                      <w:szCs w:val="18"/>
                                    </w:rPr>
                                  </w:pPr>
                                  <w:r w:rsidRPr="00F92B7D">
                                    <w:rPr>
                                      <w:sz w:val="18"/>
                                      <w:szCs w:val="18"/>
                                    </w:rPr>
                                    <w:t>Note: Totals subject to change based on parameter updates.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54168" id="_x0000_t202" coordsize="21600,21600" o:spt="202" path="m,l,21600r21600,l21600,xe">
                      <v:stroke joinstyle="miter"/>
                      <v:path gradientshapeok="t" o:connecttype="rect"/>
                    </v:shapetype>
                    <v:shape id="Text Box 2" o:spid="_x0000_s1026" type="#_x0000_t202" style="position:absolute;margin-left:-4.9pt;margin-top:45.1pt;width:395.25pt;height:24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" stroked="f">
                      <v:textbox>
                        <w:txbxContent>
                          <w:tbl>
                            <w:tblPr>
                              <w:tblW w:w="7722" w:type="dxa"/>
                              <w:tblLook w:val="01E0" w:firstRow="1" w:lastRow="1" w:firstColumn="1" w:lastColumn="1" w:noHBand="0" w:noVBand="0"/>
                            </w:tblPr>
                            <w:tblGrid>
                              <w:gridCol w:w="1985"/>
                              <w:gridCol w:w="919"/>
                              <w:gridCol w:w="1065"/>
                              <w:gridCol w:w="919"/>
                              <w:gridCol w:w="920"/>
                              <w:gridCol w:w="996"/>
                              <w:gridCol w:w="918"/>
                            </w:tblGrid>
                            <w:tr w:rsidR="00030DB8" w:rsidRPr="00F92B7D" w14:paraId="054CA2B9" w14:textId="77777777" w:rsidTr="002328CB">
                              <w:trPr>
                                <w:cantSplit/>
                              </w:trPr>
                              <w:tc>
                                <w:tcPr>
                                  <w:tcW w:w="1985" w:type="dxa"/>
                                  <w:tcBorders>
                                    <w:top w:val="single" w:sz="4" w:space="0" w:color="000080"/>
                                    <w:bottom w:val="single" w:sz="4" w:space="0" w:color="000080"/>
                                  </w:tcBorders>
                                </w:tcPr>
                                <w:p w14:paraId="58FF7A2C" w14:textId="77777777" w:rsidR="00030DB8" w:rsidRPr="00F92B7D" w:rsidRDefault="00030DB8" w:rsidP="002328CB">
                                  <w:pPr>
                                    <w:keepNext/>
                                    <w:keepLines/>
                                    <w:spacing w:before="40" w:after="40"/>
                                    <w:ind w:left="-111"/>
                                    <w:rPr>
                                      <w:b/>
                                      <w:sz w:val="21"/>
                                      <w:szCs w:val="21"/>
                                    </w:rPr>
                                  </w:pPr>
                                  <w:r w:rsidRPr="00F92B7D">
                                    <w:rPr>
                                      <w:b/>
                                      <w:sz w:val="21"/>
                                      <w:szCs w:val="21"/>
                                    </w:rPr>
                                    <w:t>Table 1</w:t>
                                  </w:r>
                                </w:p>
                                <w:p w14:paraId="5BFED462" w14:textId="77777777" w:rsidR="00030DB8" w:rsidRPr="00F92B7D" w:rsidRDefault="00030DB8" w:rsidP="002328CB">
                                  <w:pPr>
                                    <w:keepNext/>
                                    <w:keepLines/>
                                    <w:spacing w:before="40" w:after="40"/>
                                    <w:ind w:left="-111"/>
                                    <w:rPr>
                                      <w:b/>
                                      <w:sz w:val="21"/>
                                      <w:szCs w:val="21"/>
                                    </w:rPr>
                                  </w:pPr>
                                  <w:r w:rsidRPr="00F92B7D">
                                    <w:rPr>
                                      <w:b/>
                                      <w:sz w:val="21"/>
                                      <w:szCs w:val="21"/>
                                    </w:rPr>
                                    <w:t>($ million)</w:t>
                                  </w:r>
                                </w:p>
                              </w:tc>
                              <w:tc>
                                <w:tcPr>
                                  <w:tcW w:w="919" w:type="dxa"/>
                                  <w:tcBorders>
                                    <w:top w:val="single" w:sz="4" w:space="0" w:color="000080"/>
                                    <w:bottom w:val="single" w:sz="4" w:space="0" w:color="000080"/>
                                  </w:tcBorders>
                                  <w:vAlign w:val="center"/>
                                </w:tcPr>
                                <w:p w14:paraId="5A268ABE" w14:textId="77777777" w:rsidR="00030DB8" w:rsidRPr="00F92B7D" w:rsidRDefault="00030DB8" w:rsidP="002328CB">
                                  <w:pPr>
                                    <w:keepNext/>
                                    <w:keepLines/>
                                    <w:spacing w:before="40" w:after="40"/>
                                    <w:jc w:val="right"/>
                                    <w:rPr>
                                      <w:b/>
                                      <w:i/>
                                      <w:sz w:val="21"/>
                                      <w:szCs w:val="21"/>
                                    </w:rPr>
                                  </w:pPr>
                                  <w:r w:rsidRPr="00F92B7D">
                                    <w:rPr>
                                      <w:b/>
                                      <w:i/>
                                      <w:sz w:val="21"/>
                                      <w:szCs w:val="21"/>
                                    </w:rPr>
                                    <w:t>2024-25</w:t>
                                  </w:r>
                                </w:p>
                              </w:tc>
                              <w:tc>
                                <w:tcPr>
                                  <w:tcW w:w="1065" w:type="dxa"/>
                                  <w:tcBorders>
                                    <w:top w:val="single" w:sz="4" w:space="0" w:color="000080"/>
                                    <w:bottom w:val="single" w:sz="4" w:space="0" w:color="000080"/>
                                  </w:tcBorders>
                                  <w:vAlign w:val="center"/>
                                </w:tcPr>
                                <w:p w14:paraId="13A57E62" w14:textId="77777777" w:rsidR="00030DB8" w:rsidRPr="00F92B7D" w:rsidRDefault="00030DB8" w:rsidP="002328CB">
                                  <w:pPr>
                                    <w:keepNext/>
                                    <w:keepLines/>
                                    <w:spacing w:before="40" w:after="40"/>
                                    <w:jc w:val="right"/>
                                    <w:rPr>
                                      <w:b/>
                                      <w:i/>
                                      <w:sz w:val="21"/>
                                      <w:szCs w:val="21"/>
                                    </w:rPr>
                                  </w:pPr>
                                  <w:r w:rsidRPr="00F92B7D">
                                    <w:rPr>
                                      <w:b/>
                                      <w:i/>
                                      <w:sz w:val="21"/>
                                      <w:szCs w:val="21"/>
                                    </w:rPr>
                                    <w:t>2025-26</w:t>
                                  </w:r>
                                </w:p>
                              </w:tc>
                              <w:tc>
                                <w:tcPr>
                                  <w:tcW w:w="919" w:type="dxa"/>
                                  <w:tcBorders>
                                    <w:top w:val="single" w:sz="4" w:space="0" w:color="000080"/>
                                    <w:bottom w:val="single" w:sz="4" w:space="0" w:color="000080"/>
                                  </w:tcBorders>
                                  <w:vAlign w:val="center"/>
                                </w:tcPr>
                                <w:p w14:paraId="4EEE2388" w14:textId="77777777" w:rsidR="00030DB8" w:rsidRPr="00F92B7D" w:rsidRDefault="00030DB8" w:rsidP="002328CB">
                                  <w:pPr>
                                    <w:keepNext/>
                                    <w:keepLines/>
                                    <w:spacing w:before="40" w:after="40"/>
                                    <w:jc w:val="right"/>
                                    <w:rPr>
                                      <w:b/>
                                      <w:i/>
                                      <w:sz w:val="21"/>
                                      <w:szCs w:val="21"/>
                                    </w:rPr>
                                  </w:pPr>
                                  <w:r w:rsidRPr="00F92B7D">
                                    <w:rPr>
                                      <w:b/>
                                      <w:i/>
                                      <w:sz w:val="21"/>
                                      <w:szCs w:val="21"/>
                                    </w:rPr>
                                    <w:t>2026-27</w:t>
                                  </w:r>
                                </w:p>
                              </w:tc>
                              <w:tc>
                                <w:tcPr>
                                  <w:tcW w:w="920" w:type="dxa"/>
                                  <w:tcBorders>
                                    <w:top w:val="single" w:sz="4" w:space="0" w:color="000080"/>
                                    <w:bottom w:val="single" w:sz="4" w:space="0" w:color="000080"/>
                                  </w:tcBorders>
                                  <w:vAlign w:val="center"/>
                                </w:tcPr>
                                <w:p w14:paraId="20D5FF83" w14:textId="77777777" w:rsidR="00030DB8" w:rsidRPr="00F92B7D" w:rsidRDefault="00030DB8" w:rsidP="002328CB">
                                  <w:pPr>
                                    <w:keepNext/>
                                    <w:keepLines/>
                                    <w:spacing w:before="40" w:after="40"/>
                                    <w:jc w:val="right"/>
                                    <w:rPr>
                                      <w:b/>
                                      <w:i/>
                                      <w:sz w:val="21"/>
                                      <w:szCs w:val="21"/>
                                    </w:rPr>
                                  </w:pPr>
                                  <w:r w:rsidRPr="00F92B7D">
                                    <w:rPr>
                                      <w:b/>
                                      <w:i/>
                                      <w:sz w:val="21"/>
                                      <w:szCs w:val="21"/>
                                    </w:rPr>
                                    <w:t>2027-28</w:t>
                                  </w:r>
                                </w:p>
                              </w:tc>
                              <w:tc>
                                <w:tcPr>
                                  <w:tcW w:w="996" w:type="dxa"/>
                                  <w:tcBorders>
                                    <w:top w:val="single" w:sz="4" w:space="0" w:color="000080"/>
                                    <w:bottom w:val="single" w:sz="4" w:space="0" w:color="000080"/>
                                  </w:tcBorders>
                                  <w:vAlign w:val="center"/>
                                </w:tcPr>
                                <w:p w14:paraId="4CB7F5AB" w14:textId="77777777" w:rsidR="00030DB8" w:rsidRPr="00F92B7D" w:rsidRDefault="00030DB8" w:rsidP="002328CB">
                                  <w:pPr>
                                    <w:keepNext/>
                                    <w:keepLines/>
                                    <w:spacing w:before="40" w:after="40"/>
                                    <w:jc w:val="right"/>
                                    <w:rPr>
                                      <w:b/>
                                      <w:i/>
                                      <w:sz w:val="21"/>
                                      <w:szCs w:val="21"/>
                                    </w:rPr>
                                  </w:pPr>
                                  <w:r w:rsidRPr="00F92B7D">
                                    <w:rPr>
                                      <w:b/>
                                      <w:i/>
                                      <w:sz w:val="21"/>
                                      <w:szCs w:val="21"/>
                                    </w:rPr>
                                    <w:t>2028-29</w:t>
                                  </w:r>
                                </w:p>
                              </w:tc>
                              <w:tc>
                                <w:tcPr>
                                  <w:tcW w:w="918" w:type="dxa"/>
                                  <w:tcBorders>
                                    <w:top w:val="single" w:sz="4" w:space="0" w:color="000080"/>
                                    <w:bottom w:val="single" w:sz="4" w:space="0" w:color="000080"/>
                                  </w:tcBorders>
                                  <w:vAlign w:val="center"/>
                                </w:tcPr>
                                <w:p w14:paraId="485879FC" w14:textId="77777777" w:rsidR="00030DB8" w:rsidRPr="00F92B7D" w:rsidRDefault="00030DB8" w:rsidP="002328CB">
                                  <w:pPr>
                                    <w:keepNext/>
                                    <w:keepLines/>
                                    <w:spacing w:before="40" w:after="40"/>
                                    <w:jc w:val="right"/>
                                    <w:rPr>
                                      <w:b/>
                                      <w:i/>
                                      <w:sz w:val="21"/>
                                      <w:szCs w:val="21"/>
                                    </w:rPr>
                                  </w:pPr>
                                  <w:r w:rsidRPr="00F92B7D">
                                    <w:rPr>
                                      <w:b/>
                                      <w:i/>
                                      <w:sz w:val="21"/>
                                      <w:szCs w:val="21"/>
                                    </w:rPr>
                                    <w:t>Total</w:t>
                                  </w:r>
                                </w:p>
                              </w:tc>
                            </w:tr>
                            <w:tr w:rsidR="00030DB8" w:rsidRPr="00F92B7D" w14:paraId="7F3D0C9C" w14:textId="77777777" w:rsidTr="002328CB">
                              <w:trPr>
                                <w:cantSplit/>
                              </w:trPr>
                              <w:tc>
                                <w:tcPr>
                                  <w:tcW w:w="1985" w:type="dxa"/>
                                  <w:tcBorders>
                                    <w:top w:val="single" w:sz="4" w:space="0" w:color="000080"/>
                                  </w:tcBorders>
                                </w:tcPr>
                                <w:p w14:paraId="680B5571" w14:textId="77777777" w:rsidR="00030DB8" w:rsidRPr="00F92B7D" w:rsidRDefault="00030DB8" w:rsidP="007E44E6">
                                  <w:pPr>
                                    <w:keepNext/>
                                    <w:keepLines/>
                                    <w:spacing w:before="60" w:after="60"/>
                                    <w:ind w:left="-111"/>
                                    <w:rPr>
                                      <w:b/>
                                      <w:sz w:val="21"/>
                                      <w:szCs w:val="21"/>
                                    </w:rPr>
                                  </w:pPr>
                                </w:p>
                              </w:tc>
                              <w:tc>
                                <w:tcPr>
                                  <w:tcW w:w="919" w:type="dxa"/>
                                  <w:tcBorders>
                                    <w:top w:val="single" w:sz="4" w:space="0" w:color="000080"/>
                                  </w:tcBorders>
                                </w:tcPr>
                                <w:p w14:paraId="15D9BFC6" w14:textId="77777777" w:rsidR="00030DB8" w:rsidRPr="00F92B7D" w:rsidRDefault="00030DB8" w:rsidP="007E44E6">
                                  <w:pPr>
                                    <w:keepNext/>
                                    <w:keepLines/>
                                    <w:spacing w:before="40" w:after="40"/>
                                    <w:jc w:val="right"/>
                                    <w:rPr>
                                      <w:b/>
                                      <w:sz w:val="21"/>
                                      <w:szCs w:val="21"/>
                                    </w:rPr>
                                  </w:pPr>
                                </w:p>
                              </w:tc>
                              <w:tc>
                                <w:tcPr>
                                  <w:tcW w:w="1065" w:type="dxa"/>
                                  <w:tcBorders>
                                    <w:top w:val="single" w:sz="4" w:space="0" w:color="000080"/>
                                  </w:tcBorders>
                                </w:tcPr>
                                <w:p w14:paraId="5D9EBBBC" w14:textId="77777777" w:rsidR="00030DB8" w:rsidRPr="00F92B7D" w:rsidRDefault="00030DB8" w:rsidP="007E44E6">
                                  <w:pPr>
                                    <w:keepNext/>
                                    <w:keepLines/>
                                    <w:spacing w:before="40" w:after="40"/>
                                    <w:jc w:val="right"/>
                                    <w:rPr>
                                      <w:b/>
                                      <w:sz w:val="21"/>
                                      <w:szCs w:val="21"/>
                                    </w:rPr>
                                  </w:pPr>
                                </w:p>
                              </w:tc>
                              <w:tc>
                                <w:tcPr>
                                  <w:tcW w:w="919" w:type="dxa"/>
                                  <w:tcBorders>
                                    <w:top w:val="single" w:sz="4" w:space="0" w:color="000080"/>
                                  </w:tcBorders>
                                </w:tcPr>
                                <w:p w14:paraId="2D950CF7" w14:textId="77777777" w:rsidR="00030DB8" w:rsidRPr="00F92B7D" w:rsidRDefault="00030DB8" w:rsidP="007E44E6">
                                  <w:pPr>
                                    <w:keepNext/>
                                    <w:keepLines/>
                                    <w:spacing w:before="40" w:after="40"/>
                                    <w:jc w:val="right"/>
                                    <w:rPr>
                                      <w:b/>
                                      <w:sz w:val="21"/>
                                      <w:szCs w:val="21"/>
                                    </w:rPr>
                                  </w:pPr>
                                </w:p>
                              </w:tc>
                              <w:tc>
                                <w:tcPr>
                                  <w:tcW w:w="920" w:type="dxa"/>
                                  <w:tcBorders>
                                    <w:top w:val="single" w:sz="4" w:space="0" w:color="000080"/>
                                  </w:tcBorders>
                                </w:tcPr>
                                <w:p w14:paraId="4A1F2843" w14:textId="77777777" w:rsidR="00030DB8" w:rsidRPr="00F92B7D" w:rsidRDefault="00030DB8" w:rsidP="007E44E6">
                                  <w:pPr>
                                    <w:keepNext/>
                                    <w:keepLines/>
                                    <w:spacing w:before="40" w:after="40"/>
                                    <w:jc w:val="right"/>
                                    <w:rPr>
                                      <w:b/>
                                      <w:sz w:val="21"/>
                                      <w:szCs w:val="21"/>
                                    </w:rPr>
                                  </w:pPr>
                                </w:p>
                              </w:tc>
                              <w:tc>
                                <w:tcPr>
                                  <w:tcW w:w="996" w:type="dxa"/>
                                  <w:tcBorders>
                                    <w:top w:val="single" w:sz="4" w:space="0" w:color="000080"/>
                                  </w:tcBorders>
                                </w:tcPr>
                                <w:p w14:paraId="28586596" w14:textId="77777777" w:rsidR="00030DB8" w:rsidRPr="00F92B7D" w:rsidRDefault="00030DB8" w:rsidP="007E44E6">
                                  <w:pPr>
                                    <w:keepNext/>
                                    <w:keepLines/>
                                    <w:spacing w:before="40" w:after="40"/>
                                    <w:jc w:val="right"/>
                                    <w:rPr>
                                      <w:b/>
                                      <w:sz w:val="21"/>
                                      <w:szCs w:val="21"/>
                                    </w:rPr>
                                  </w:pPr>
                                </w:p>
                              </w:tc>
                              <w:tc>
                                <w:tcPr>
                                  <w:tcW w:w="918" w:type="dxa"/>
                                  <w:tcBorders>
                                    <w:top w:val="single" w:sz="4" w:space="0" w:color="000080"/>
                                  </w:tcBorders>
                                </w:tcPr>
                                <w:p w14:paraId="623DFDC3" w14:textId="77777777" w:rsidR="00030DB8" w:rsidRPr="00F92B7D" w:rsidRDefault="00030DB8" w:rsidP="007E44E6">
                                  <w:pPr>
                                    <w:keepNext/>
                                    <w:keepLines/>
                                    <w:spacing w:before="40" w:after="40"/>
                                    <w:jc w:val="right"/>
                                    <w:rPr>
                                      <w:b/>
                                      <w:sz w:val="21"/>
                                      <w:szCs w:val="21"/>
                                    </w:rPr>
                                  </w:pPr>
                                </w:p>
                              </w:tc>
                            </w:tr>
                            <w:tr w:rsidR="00104A9B" w:rsidRPr="00F92B7D" w14:paraId="0046478E" w14:textId="77777777" w:rsidTr="002328CB">
                              <w:trPr>
                                <w:cantSplit/>
                              </w:trPr>
                              <w:tc>
                                <w:tcPr>
                                  <w:tcW w:w="1985" w:type="dxa"/>
                                </w:tcPr>
                                <w:p w14:paraId="6419B6A7" w14:textId="77777777" w:rsidR="00104A9B" w:rsidRPr="00F92B7D" w:rsidRDefault="00104A9B" w:rsidP="00104A9B">
                                  <w:pPr>
                                    <w:pStyle w:val="ListParagraph"/>
                                    <w:keepNext/>
                                    <w:keepLines/>
                                    <w:widowControl/>
                                    <w:numPr>
                                      <w:ilvl w:val="0"/>
                                      <w:numId w:val="2"/>
                                    </w:numPr>
                                    <w:spacing w:before="60" w:after="60"/>
                                    <w:rPr>
                                      <w:rFonts w:ascii="Corbel" w:hAnsi="Corbel"/>
                                      <w:sz w:val="21"/>
                                      <w:szCs w:val="21"/>
                                    </w:rPr>
                                  </w:pPr>
                                  <w:r w:rsidRPr="00F92B7D">
                                    <w:rPr>
                                      <w:rFonts w:ascii="Corbel" w:hAnsi="Corbel"/>
                                      <w:sz w:val="21"/>
                                      <w:szCs w:val="21"/>
                                    </w:rPr>
                                    <w:t>General Funding</w:t>
                                  </w:r>
                                </w:p>
                              </w:tc>
                              <w:tc>
                                <w:tcPr>
                                  <w:tcW w:w="919" w:type="dxa"/>
                                </w:tcPr>
                                <w:p w14:paraId="498119C8" w14:textId="4CC227D5" w:rsidR="00104A9B" w:rsidRPr="00F92B7D" w:rsidRDefault="00104A9B" w:rsidP="00104A9B">
                                  <w:pPr>
                                    <w:keepNext/>
                                    <w:keepLines/>
                                    <w:spacing w:before="40" w:after="40"/>
                                    <w:jc w:val="right"/>
                                    <w:rPr>
                                      <w:sz w:val="21"/>
                                      <w:szCs w:val="21"/>
                                    </w:rPr>
                                  </w:pPr>
                                  <w:r w:rsidRPr="00F92B7D">
                                    <w:t xml:space="preserve"> 95.42 </w:t>
                                  </w:r>
                                </w:p>
                              </w:tc>
                              <w:tc>
                                <w:tcPr>
                                  <w:tcW w:w="1065" w:type="dxa"/>
                                </w:tcPr>
                                <w:p w14:paraId="78C6E3D2" w14:textId="4F7EEDE5" w:rsidR="00104A9B" w:rsidRPr="00F92B7D" w:rsidRDefault="00104A9B" w:rsidP="00104A9B">
                                  <w:pPr>
                                    <w:keepNext/>
                                    <w:keepLines/>
                                    <w:spacing w:before="40" w:after="40"/>
                                    <w:jc w:val="right"/>
                                    <w:rPr>
                                      <w:sz w:val="21"/>
                                      <w:szCs w:val="21"/>
                                    </w:rPr>
                                  </w:pPr>
                                  <w:r w:rsidRPr="00F92B7D">
                                    <w:t xml:space="preserve"> 97.62 </w:t>
                                  </w:r>
                                </w:p>
                              </w:tc>
                              <w:tc>
                                <w:tcPr>
                                  <w:tcW w:w="919" w:type="dxa"/>
                                </w:tcPr>
                                <w:p w14:paraId="011EEB26" w14:textId="53794A06" w:rsidR="00104A9B" w:rsidRPr="00F92B7D" w:rsidRDefault="00104A9B" w:rsidP="00104A9B">
                                  <w:pPr>
                                    <w:keepNext/>
                                    <w:keepLines/>
                                    <w:spacing w:before="40" w:after="40"/>
                                    <w:jc w:val="right"/>
                                    <w:rPr>
                                      <w:sz w:val="21"/>
                                      <w:szCs w:val="21"/>
                                    </w:rPr>
                                  </w:pPr>
                                  <w:r w:rsidRPr="00F92B7D">
                                    <w:t xml:space="preserve"> 99.77 </w:t>
                                  </w:r>
                                </w:p>
                              </w:tc>
                              <w:tc>
                                <w:tcPr>
                                  <w:tcW w:w="920" w:type="dxa"/>
                                </w:tcPr>
                                <w:p w14:paraId="1A2FCE06" w14:textId="6F19AE3B" w:rsidR="00104A9B" w:rsidRPr="00F92B7D" w:rsidRDefault="00104A9B" w:rsidP="00104A9B">
                                  <w:pPr>
                                    <w:keepNext/>
                                    <w:keepLines/>
                                    <w:spacing w:before="40" w:after="40"/>
                                    <w:jc w:val="right"/>
                                    <w:rPr>
                                      <w:sz w:val="21"/>
                                      <w:szCs w:val="21"/>
                                    </w:rPr>
                                  </w:pPr>
                                  <w:r w:rsidRPr="00F92B7D">
                                    <w:t xml:space="preserve"> 101.76 </w:t>
                                  </w:r>
                                </w:p>
                              </w:tc>
                              <w:tc>
                                <w:tcPr>
                                  <w:tcW w:w="996" w:type="dxa"/>
                                </w:tcPr>
                                <w:p w14:paraId="36FF7F05" w14:textId="473DF668" w:rsidR="00104A9B" w:rsidRPr="00F92B7D" w:rsidRDefault="00104A9B" w:rsidP="00104A9B">
                                  <w:pPr>
                                    <w:keepNext/>
                                    <w:keepLines/>
                                    <w:spacing w:before="40" w:after="40"/>
                                    <w:jc w:val="right"/>
                                    <w:rPr>
                                      <w:sz w:val="21"/>
                                      <w:szCs w:val="21"/>
                                    </w:rPr>
                                  </w:pPr>
                                  <w:r w:rsidRPr="00F92B7D">
                                    <w:t xml:space="preserve"> 103.80 </w:t>
                                  </w:r>
                                </w:p>
                              </w:tc>
                              <w:tc>
                                <w:tcPr>
                                  <w:tcW w:w="918" w:type="dxa"/>
                                </w:tcPr>
                                <w:p w14:paraId="02B8A2B2" w14:textId="2F22E00E" w:rsidR="00104A9B" w:rsidRPr="00F92B7D" w:rsidRDefault="00104A9B" w:rsidP="00104A9B">
                                  <w:pPr>
                                    <w:keepNext/>
                                    <w:keepLines/>
                                    <w:spacing w:before="40" w:after="40"/>
                                    <w:jc w:val="right"/>
                                    <w:rPr>
                                      <w:sz w:val="21"/>
                                      <w:szCs w:val="21"/>
                                    </w:rPr>
                                  </w:pPr>
                                  <w:r w:rsidRPr="00F92B7D">
                                    <w:t xml:space="preserve"> 498.37 </w:t>
                                  </w:r>
                                </w:p>
                              </w:tc>
                            </w:tr>
                            <w:tr w:rsidR="00104A9B" w:rsidRPr="00F92B7D" w14:paraId="656A4B7F" w14:textId="77777777" w:rsidTr="002328CB">
                              <w:trPr>
                                <w:cantSplit/>
                              </w:trPr>
                              <w:tc>
                                <w:tcPr>
                                  <w:tcW w:w="1985" w:type="dxa"/>
                                </w:tcPr>
                                <w:p w14:paraId="2333D19B" w14:textId="77777777" w:rsidR="00104A9B" w:rsidRPr="00F92B7D" w:rsidRDefault="00104A9B" w:rsidP="00104A9B">
                                  <w:pPr>
                                    <w:pStyle w:val="ListParagraph"/>
                                    <w:keepNext/>
                                    <w:keepLines/>
                                    <w:widowControl/>
                                    <w:numPr>
                                      <w:ilvl w:val="0"/>
                                      <w:numId w:val="2"/>
                                    </w:numPr>
                                    <w:spacing w:before="60" w:after="60"/>
                                    <w:rPr>
                                      <w:rFonts w:ascii="Corbel" w:hAnsi="Corbel"/>
                                      <w:sz w:val="21"/>
                                      <w:szCs w:val="21"/>
                                    </w:rPr>
                                  </w:pPr>
                                  <w:r w:rsidRPr="00F92B7D">
                                    <w:rPr>
                                      <w:rFonts w:ascii="Corbel" w:hAnsi="Corbel"/>
                                      <w:sz w:val="21"/>
                                      <w:szCs w:val="21"/>
                                    </w:rPr>
                                    <w:t>Specified Homelessness Funding</w:t>
                                  </w:r>
                                </w:p>
                              </w:tc>
                              <w:tc>
                                <w:tcPr>
                                  <w:tcW w:w="919" w:type="dxa"/>
                                </w:tcPr>
                                <w:p w14:paraId="67FA3E9E" w14:textId="77777777" w:rsidR="00104A9B" w:rsidRPr="00F92B7D" w:rsidRDefault="00104A9B" w:rsidP="00104A9B">
                                  <w:pPr>
                                    <w:keepNext/>
                                    <w:keepLines/>
                                    <w:spacing w:before="40" w:after="40"/>
                                    <w:jc w:val="right"/>
                                  </w:pPr>
                                  <w:r w:rsidRPr="00F92B7D">
                                    <w:t xml:space="preserve"> </w:t>
                                  </w:r>
                                </w:p>
                                <w:p w14:paraId="15FCE892" w14:textId="064122D2" w:rsidR="00104A9B" w:rsidRPr="00F92B7D" w:rsidRDefault="00104A9B" w:rsidP="00104A9B">
                                  <w:pPr>
                                    <w:keepNext/>
                                    <w:keepLines/>
                                    <w:spacing w:before="40" w:after="40"/>
                                    <w:jc w:val="right"/>
                                    <w:rPr>
                                      <w:sz w:val="21"/>
                                      <w:szCs w:val="21"/>
                                    </w:rPr>
                                  </w:pPr>
                                  <w:r w:rsidRPr="00F92B7D">
                                    <w:t xml:space="preserve">24.26 </w:t>
                                  </w:r>
                                </w:p>
                              </w:tc>
                              <w:tc>
                                <w:tcPr>
                                  <w:tcW w:w="1065" w:type="dxa"/>
                                </w:tcPr>
                                <w:p w14:paraId="0BE18997" w14:textId="77777777" w:rsidR="00104A9B" w:rsidRPr="00F92B7D" w:rsidRDefault="00104A9B" w:rsidP="00104A9B">
                                  <w:pPr>
                                    <w:keepNext/>
                                    <w:keepLines/>
                                    <w:spacing w:before="40" w:after="40"/>
                                    <w:jc w:val="right"/>
                                  </w:pPr>
                                  <w:r w:rsidRPr="00F92B7D">
                                    <w:t xml:space="preserve"> </w:t>
                                  </w:r>
                                </w:p>
                                <w:p w14:paraId="2272D446" w14:textId="66681B47" w:rsidR="00104A9B" w:rsidRPr="00F92B7D" w:rsidRDefault="00104A9B" w:rsidP="00104A9B">
                                  <w:pPr>
                                    <w:keepNext/>
                                    <w:keepLines/>
                                    <w:spacing w:before="40" w:after="40"/>
                                    <w:jc w:val="right"/>
                                    <w:rPr>
                                      <w:sz w:val="21"/>
                                      <w:szCs w:val="21"/>
                                    </w:rPr>
                                  </w:pPr>
                                  <w:r w:rsidRPr="00F92B7D">
                                    <w:t xml:space="preserve">24.82 </w:t>
                                  </w:r>
                                </w:p>
                              </w:tc>
                              <w:tc>
                                <w:tcPr>
                                  <w:tcW w:w="919" w:type="dxa"/>
                                </w:tcPr>
                                <w:p w14:paraId="42EB6030" w14:textId="77777777" w:rsidR="00104A9B" w:rsidRPr="00F92B7D" w:rsidRDefault="00104A9B" w:rsidP="00104A9B">
                                  <w:pPr>
                                    <w:keepNext/>
                                    <w:keepLines/>
                                    <w:spacing w:before="40" w:after="40"/>
                                    <w:jc w:val="right"/>
                                  </w:pPr>
                                </w:p>
                                <w:p w14:paraId="2A4653DA" w14:textId="5AD5F2C5" w:rsidR="00104A9B" w:rsidRPr="00F92B7D" w:rsidRDefault="00104A9B" w:rsidP="00104A9B">
                                  <w:pPr>
                                    <w:keepNext/>
                                    <w:keepLines/>
                                    <w:spacing w:before="40" w:after="40"/>
                                    <w:jc w:val="right"/>
                                    <w:rPr>
                                      <w:sz w:val="21"/>
                                      <w:szCs w:val="21"/>
                                    </w:rPr>
                                  </w:pPr>
                                  <w:r w:rsidRPr="00F92B7D">
                                    <w:t xml:space="preserve"> 25.36 </w:t>
                                  </w:r>
                                </w:p>
                              </w:tc>
                              <w:tc>
                                <w:tcPr>
                                  <w:tcW w:w="920" w:type="dxa"/>
                                </w:tcPr>
                                <w:p w14:paraId="5CCF4788" w14:textId="77777777" w:rsidR="00104A9B" w:rsidRPr="00F92B7D" w:rsidRDefault="00104A9B" w:rsidP="00104A9B">
                                  <w:pPr>
                                    <w:keepNext/>
                                    <w:keepLines/>
                                    <w:spacing w:before="40" w:after="40"/>
                                    <w:jc w:val="right"/>
                                  </w:pPr>
                                </w:p>
                                <w:p w14:paraId="670BA48A" w14:textId="16F80FB0" w:rsidR="00104A9B" w:rsidRPr="00F92B7D" w:rsidRDefault="00104A9B" w:rsidP="00104A9B">
                                  <w:pPr>
                                    <w:keepNext/>
                                    <w:keepLines/>
                                    <w:spacing w:before="40" w:after="40"/>
                                    <w:jc w:val="right"/>
                                    <w:rPr>
                                      <w:sz w:val="21"/>
                                      <w:szCs w:val="21"/>
                                    </w:rPr>
                                  </w:pPr>
                                  <w:r w:rsidRPr="00F92B7D">
                                    <w:t xml:space="preserve"> 25.87 </w:t>
                                  </w:r>
                                </w:p>
                              </w:tc>
                              <w:tc>
                                <w:tcPr>
                                  <w:tcW w:w="996" w:type="dxa"/>
                                </w:tcPr>
                                <w:p w14:paraId="457EA043" w14:textId="77777777" w:rsidR="00104A9B" w:rsidRPr="00F92B7D" w:rsidRDefault="00104A9B" w:rsidP="00104A9B">
                                  <w:pPr>
                                    <w:keepNext/>
                                    <w:keepLines/>
                                    <w:spacing w:before="40" w:after="40"/>
                                    <w:jc w:val="right"/>
                                  </w:pPr>
                                </w:p>
                                <w:p w14:paraId="44B433E0" w14:textId="25D71590" w:rsidR="00104A9B" w:rsidRPr="00F92B7D" w:rsidRDefault="00104A9B" w:rsidP="00104A9B">
                                  <w:pPr>
                                    <w:keepNext/>
                                    <w:keepLines/>
                                    <w:spacing w:before="40" w:after="40"/>
                                    <w:jc w:val="right"/>
                                    <w:rPr>
                                      <w:sz w:val="21"/>
                                      <w:szCs w:val="21"/>
                                    </w:rPr>
                                  </w:pPr>
                                  <w:r w:rsidRPr="00F92B7D">
                                    <w:t xml:space="preserve"> 26.39 </w:t>
                                  </w:r>
                                </w:p>
                              </w:tc>
                              <w:tc>
                                <w:tcPr>
                                  <w:tcW w:w="918" w:type="dxa"/>
                                </w:tcPr>
                                <w:p w14:paraId="47630C61" w14:textId="77777777" w:rsidR="00104A9B" w:rsidRPr="00F92B7D" w:rsidRDefault="00104A9B" w:rsidP="00104A9B">
                                  <w:pPr>
                                    <w:keepNext/>
                                    <w:keepLines/>
                                    <w:spacing w:before="40" w:after="40"/>
                                    <w:jc w:val="right"/>
                                  </w:pPr>
                                  <w:r w:rsidRPr="00F92B7D">
                                    <w:t xml:space="preserve"> </w:t>
                                  </w:r>
                                </w:p>
                                <w:p w14:paraId="5036E7E0" w14:textId="3DDEC1A0" w:rsidR="00104A9B" w:rsidRPr="00F92B7D" w:rsidRDefault="00104A9B" w:rsidP="00104A9B">
                                  <w:pPr>
                                    <w:keepNext/>
                                    <w:keepLines/>
                                    <w:spacing w:before="40" w:after="40"/>
                                    <w:jc w:val="right"/>
                                    <w:rPr>
                                      <w:sz w:val="21"/>
                                      <w:szCs w:val="21"/>
                                    </w:rPr>
                                  </w:pPr>
                                  <w:r w:rsidRPr="00F92B7D">
                                    <w:t xml:space="preserve">126.69 </w:t>
                                  </w:r>
                                </w:p>
                              </w:tc>
                            </w:tr>
                            <w:tr w:rsidR="00104A9B" w:rsidRPr="00F92B7D" w14:paraId="74E9C7AA" w14:textId="77777777" w:rsidTr="002328CB">
                              <w:trPr>
                                <w:cantSplit/>
                              </w:trPr>
                              <w:tc>
                                <w:tcPr>
                                  <w:tcW w:w="1985" w:type="dxa"/>
                                  <w:tcBorders>
                                    <w:bottom w:val="single" w:sz="4" w:space="0" w:color="000080"/>
                                  </w:tcBorders>
                                </w:tcPr>
                                <w:p w14:paraId="39DF4026" w14:textId="2CCC51E2" w:rsidR="00104A9B" w:rsidRPr="00F92B7D" w:rsidRDefault="005517B3" w:rsidP="00104A9B">
                                  <w:pPr>
                                    <w:keepNext/>
                                    <w:keepLines/>
                                    <w:spacing w:before="40" w:after="40"/>
                                    <w:ind w:left="-111"/>
                                    <w:rPr>
                                      <w:sz w:val="21"/>
                                      <w:szCs w:val="21"/>
                                    </w:rPr>
                                  </w:pPr>
                                  <w:r w:rsidRPr="00F92B7D">
                                    <w:rPr>
                                      <w:sz w:val="21"/>
                                      <w:szCs w:val="21"/>
                                    </w:rPr>
                                    <w:t>South Australia</w:t>
                                  </w:r>
                                  <w:r w:rsidR="00104A9B" w:rsidRPr="00F92B7D">
                                    <w:rPr>
                                      <w:sz w:val="21"/>
                                      <w:szCs w:val="21"/>
                                    </w:rPr>
                                    <w:t>-matched homelessness funding</w:t>
                                  </w:r>
                                </w:p>
                              </w:tc>
                              <w:tc>
                                <w:tcPr>
                                  <w:tcW w:w="919" w:type="dxa"/>
                                  <w:tcBorders>
                                    <w:bottom w:val="single" w:sz="4" w:space="0" w:color="000080"/>
                                  </w:tcBorders>
                                </w:tcPr>
                                <w:p w14:paraId="44ACB2B1" w14:textId="25B6EF8B" w:rsidR="00104A9B" w:rsidRPr="00F92B7D" w:rsidRDefault="00104A9B" w:rsidP="00104A9B">
                                  <w:pPr>
                                    <w:keepNext/>
                                    <w:keepLines/>
                                    <w:spacing w:before="40" w:after="40"/>
                                    <w:jc w:val="right"/>
                                    <w:rPr>
                                      <w:sz w:val="21"/>
                                      <w:szCs w:val="21"/>
                                    </w:rPr>
                                  </w:pPr>
                                  <w:r w:rsidRPr="00F92B7D">
                                    <w:t xml:space="preserve"> 24.26 </w:t>
                                  </w:r>
                                </w:p>
                              </w:tc>
                              <w:tc>
                                <w:tcPr>
                                  <w:tcW w:w="1065" w:type="dxa"/>
                                  <w:tcBorders>
                                    <w:bottom w:val="single" w:sz="4" w:space="0" w:color="000080"/>
                                  </w:tcBorders>
                                </w:tcPr>
                                <w:p w14:paraId="305015AE" w14:textId="761067DB" w:rsidR="00104A9B" w:rsidRPr="00F92B7D" w:rsidRDefault="00104A9B" w:rsidP="00104A9B">
                                  <w:pPr>
                                    <w:keepNext/>
                                    <w:keepLines/>
                                    <w:spacing w:before="40" w:after="40"/>
                                    <w:jc w:val="right"/>
                                    <w:rPr>
                                      <w:sz w:val="21"/>
                                      <w:szCs w:val="21"/>
                                    </w:rPr>
                                  </w:pPr>
                                  <w:r w:rsidRPr="00F92B7D">
                                    <w:t xml:space="preserve"> 24.82 </w:t>
                                  </w:r>
                                </w:p>
                              </w:tc>
                              <w:tc>
                                <w:tcPr>
                                  <w:tcW w:w="919" w:type="dxa"/>
                                  <w:tcBorders>
                                    <w:bottom w:val="single" w:sz="4" w:space="0" w:color="000080"/>
                                  </w:tcBorders>
                                </w:tcPr>
                                <w:p w14:paraId="0B5C84D6" w14:textId="6E6D3DE2" w:rsidR="00104A9B" w:rsidRPr="00F92B7D" w:rsidRDefault="00104A9B" w:rsidP="00104A9B">
                                  <w:pPr>
                                    <w:keepNext/>
                                    <w:keepLines/>
                                    <w:spacing w:before="40" w:after="40"/>
                                    <w:jc w:val="right"/>
                                    <w:rPr>
                                      <w:sz w:val="21"/>
                                      <w:szCs w:val="21"/>
                                    </w:rPr>
                                  </w:pPr>
                                  <w:r w:rsidRPr="00F92B7D">
                                    <w:t xml:space="preserve"> 25.36 </w:t>
                                  </w:r>
                                </w:p>
                              </w:tc>
                              <w:tc>
                                <w:tcPr>
                                  <w:tcW w:w="920" w:type="dxa"/>
                                  <w:tcBorders>
                                    <w:bottom w:val="single" w:sz="4" w:space="0" w:color="000080"/>
                                  </w:tcBorders>
                                </w:tcPr>
                                <w:p w14:paraId="7760CA4C" w14:textId="6FEBF4B8" w:rsidR="00104A9B" w:rsidRPr="00F92B7D" w:rsidRDefault="00104A9B" w:rsidP="00104A9B">
                                  <w:pPr>
                                    <w:keepNext/>
                                    <w:keepLines/>
                                    <w:spacing w:before="40" w:after="40"/>
                                    <w:jc w:val="right"/>
                                    <w:rPr>
                                      <w:sz w:val="21"/>
                                      <w:szCs w:val="21"/>
                                    </w:rPr>
                                  </w:pPr>
                                  <w:r w:rsidRPr="00F92B7D">
                                    <w:t xml:space="preserve"> 25.87 </w:t>
                                  </w:r>
                                </w:p>
                              </w:tc>
                              <w:tc>
                                <w:tcPr>
                                  <w:tcW w:w="996" w:type="dxa"/>
                                  <w:tcBorders>
                                    <w:bottom w:val="single" w:sz="4" w:space="0" w:color="000080"/>
                                  </w:tcBorders>
                                </w:tcPr>
                                <w:p w14:paraId="573DCD87" w14:textId="4A182D28" w:rsidR="00104A9B" w:rsidRPr="00F92B7D" w:rsidRDefault="00104A9B" w:rsidP="00104A9B">
                                  <w:pPr>
                                    <w:keepNext/>
                                    <w:keepLines/>
                                    <w:spacing w:before="40" w:after="40"/>
                                    <w:jc w:val="right"/>
                                    <w:rPr>
                                      <w:sz w:val="21"/>
                                      <w:szCs w:val="21"/>
                                    </w:rPr>
                                  </w:pPr>
                                  <w:r w:rsidRPr="00F92B7D">
                                    <w:t xml:space="preserve"> 26.39 </w:t>
                                  </w:r>
                                </w:p>
                              </w:tc>
                              <w:tc>
                                <w:tcPr>
                                  <w:tcW w:w="918" w:type="dxa"/>
                                  <w:tcBorders>
                                    <w:bottom w:val="single" w:sz="4" w:space="0" w:color="000080"/>
                                  </w:tcBorders>
                                </w:tcPr>
                                <w:p w14:paraId="7902A10F" w14:textId="1C892A2E" w:rsidR="00104A9B" w:rsidRPr="00F92B7D" w:rsidRDefault="00104A9B" w:rsidP="00104A9B">
                                  <w:pPr>
                                    <w:keepNext/>
                                    <w:keepLines/>
                                    <w:spacing w:before="40" w:after="40"/>
                                    <w:jc w:val="right"/>
                                    <w:rPr>
                                      <w:sz w:val="21"/>
                                      <w:szCs w:val="21"/>
                                    </w:rPr>
                                  </w:pPr>
                                  <w:r w:rsidRPr="00F92B7D">
                                    <w:t xml:space="preserve"> 126.69 </w:t>
                                  </w:r>
                                </w:p>
                              </w:tc>
                            </w:tr>
                          </w:tbl>
                          <w:p w14:paraId="479DB17B" w14:textId="407C45D1" w:rsidR="00030DB8" w:rsidRPr="00F92B7D" w:rsidRDefault="00705B6E" w:rsidP="00705B6E">
                            <w:pPr>
                              <w:rPr>
                                <w:sz w:val="18"/>
                                <w:szCs w:val="18"/>
                              </w:rPr>
                            </w:pPr>
                            <w:r w:rsidRPr="00F92B7D">
                              <w:rPr>
                                <w:sz w:val="18"/>
                                <w:szCs w:val="18"/>
                              </w:rPr>
                              <w:t>Note: Totals subject to change based on parameter updates.</w:t>
                            </w:r>
                          </w:p>
                        </w:txbxContent>
                      </v:textbox>
                      <w10:wrap type="square"/>
                    </v:shape>
                  </w:pict>
                </mc:Fallback>
              </mc:AlternateContent>
            </w:r>
            <w:r w:rsidRPr="00F92B7D">
              <w:rPr>
                <w:color w:val="auto"/>
              </w:rPr>
              <w:t xml:space="preserve">The Commonwealth will provide an estimated total financial contribution to </w:t>
            </w:r>
            <w:r w:rsidR="00104A9B" w:rsidRPr="00141501">
              <w:rPr>
                <w:color w:val="auto"/>
              </w:rPr>
              <w:t xml:space="preserve">South Australia of $625.05m </w:t>
            </w:r>
            <w:r w:rsidRPr="00F92B7D">
              <w:rPr>
                <w:color w:val="auto"/>
              </w:rPr>
              <w:t>in respect of this Schedule.</w:t>
            </w:r>
          </w:p>
        </w:tc>
      </w:tr>
      <w:tr w:rsidR="00030DB8" w:rsidRPr="00F92B7D" w14:paraId="4BD987E6" w14:textId="77777777" w:rsidTr="00234E0B">
        <w:tc>
          <w:tcPr>
            <w:tcW w:w="1691" w:type="dxa"/>
            <w:shd w:val="clear" w:color="auto" w:fill="auto"/>
          </w:tcPr>
          <w:p w14:paraId="186B1E51" w14:textId="77777777" w:rsidR="00030DB8" w:rsidRPr="00F92B7D" w:rsidRDefault="00030DB8" w:rsidP="00675C15">
            <w:pPr>
              <w:pStyle w:val="Tableformat"/>
              <w:rPr>
                <w:color w:val="auto"/>
              </w:rPr>
            </w:pPr>
            <w:r w:rsidRPr="00F92B7D">
              <w:rPr>
                <w:color w:val="auto"/>
              </w:rPr>
              <w:t>Outputs</w:t>
            </w:r>
          </w:p>
        </w:tc>
        <w:tc>
          <w:tcPr>
            <w:tcW w:w="7938" w:type="dxa"/>
            <w:shd w:val="clear" w:color="auto" w:fill="auto"/>
          </w:tcPr>
          <w:p w14:paraId="6076C332" w14:textId="77777777" w:rsidR="00030DB8" w:rsidRPr="00F92B7D" w:rsidRDefault="00030DB8" w:rsidP="00675C15">
            <w:pPr>
              <w:pStyle w:val="Tableformat"/>
              <w:rPr>
                <w:b/>
                <w:bCs/>
                <w:color w:val="auto"/>
              </w:rPr>
            </w:pPr>
            <w:r w:rsidRPr="00F92B7D">
              <w:rPr>
                <w:b/>
                <w:bCs/>
                <w:color w:val="auto"/>
              </w:rPr>
              <w:t>Housing and Homelessness Strategy</w:t>
            </w:r>
          </w:p>
          <w:p w14:paraId="4FD8A896" w14:textId="77777777" w:rsidR="004755E0" w:rsidRPr="00F92B7D" w:rsidRDefault="004755E0" w:rsidP="004755E0">
            <w:pPr>
              <w:pStyle w:val="Tableformat"/>
              <w:rPr>
                <w:color w:val="auto"/>
              </w:rPr>
            </w:pPr>
            <w:r w:rsidRPr="00F92B7D">
              <w:rPr>
                <w:color w:val="auto"/>
              </w:rPr>
              <w:t>South Australia meets the requirements of clause 18(a) of the Agreement through the following publicly available documents:</w:t>
            </w:r>
          </w:p>
          <w:p w14:paraId="33E6CAE7" w14:textId="77777777" w:rsidR="004755E0" w:rsidRPr="00F92B7D" w:rsidRDefault="004755E0" w:rsidP="004755E0">
            <w:pPr>
              <w:pStyle w:val="Tableformat"/>
              <w:numPr>
                <w:ilvl w:val="0"/>
                <w:numId w:val="7"/>
              </w:numPr>
              <w:tabs>
                <w:tab w:val="num" w:pos="360"/>
              </w:tabs>
              <w:ind w:left="0" w:firstLine="0"/>
              <w:rPr>
                <w:i/>
                <w:iCs w:val="0"/>
                <w:color w:val="auto"/>
              </w:rPr>
            </w:pPr>
            <w:r w:rsidRPr="00F92B7D">
              <w:rPr>
                <w:i/>
                <w:iCs w:val="0"/>
                <w:color w:val="auto"/>
              </w:rPr>
              <w:lastRenderedPageBreak/>
              <w:t xml:space="preserve">Our Housing Future 2020 – 2030 </w:t>
            </w:r>
          </w:p>
          <w:p w14:paraId="3802D962" w14:textId="77777777" w:rsidR="004755E0" w:rsidRPr="00F92B7D" w:rsidRDefault="00DB5578" w:rsidP="004755E0">
            <w:pPr>
              <w:pStyle w:val="Tableformat"/>
              <w:ind w:left="720"/>
              <w:rPr>
                <w:color w:val="auto"/>
              </w:rPr>
            </w:pPr>
            <w:hyperlink r:id="rId7" w:history="1">
              <w:r w:rsidR="004755E0" w:rsidRPr="00F92B7D">
                <w:rPr>
                  <w:rStyle w:val="Hyperlink"/>
                  <w:rFonts w:eastAsiaTheme="majorEastAsia"/>
                </w:rPr>
                <w:t>https://www.housing.sa.gov.au/__data/assets/pdf_file/0003/130692/Our-Housing-Future-2020-2030.pdf</w:t>
              </w:r>
            </w:hyperlink>
          </w:p>
          <w:p w14:paraId="605A59CB" w14:textId="77777777" w:rsidR="004755E0" w:rsidRPr="00F92B7D" w:rsidRDefault="004755E0" w:rsidP="004755E0">
            <w:pPr>
              <w:pStyle w:val="Tableformat"/>
              <w:numPr>
                <w:ilvl w:val="0"/>
                <w:numId w:val="7"/>
              </w:numPr>
              <w:tabs>
                <w:tab w:val="num" w:pos="360"/>
                <w:tab w:val="num" w:pos="567"/>
              </w:tabs>
              <w:ind w:left="0" w:firstLine="0"/>
              <w:rPr>
                <w:i/>
                <w:iCs w:val="0"/>
                <w:color w:val="auto"/>
              </w:rPr>
            </w:pPr>
            <w:r w:rsidRPr="00F92B7D">
              <w:rPr>
                <w:i/>
                <w:iCs w:val="0"/>
                <w:color w:val="auto"/>
              </w:rPr>
              <w:t>A Better Housing Future (</w:t>
            </w:r>
            <w:r w:rsidRPr="00F92B7D">
              <w:rPr>
                <w:color w:val="auto"/>
              </w:rPr>
              <w:t>February 2023)</w:t>
            </w:r>
          </w:p>
          <w:p w14:paraId="0533AEBF" w14:textId="77777777" w:rsidR="004755E0" w:rsidRPr="00F92B7D" w:rsidRDefault="00DB5578" w:rsidP="004755E0">
            <w:pPr>
              <w:pStyle w:val="Tableformat"/>
              <w:ind w:left="720"/>
              <w:rPr>
                <w:color w:val="auto"/>
              </w:rPr>
            </w:pPr>
            <w:hyperlink r:id="rId8" w:history="1">
              <w:r w:rsidR="004755E0" w:rsidRPr="00F92B7D">
                <w:rPr>
                  <w:rStyle w:val="Hyperlink"/>
                  <w:rFonts w:eastAsiaTheme="majorEastAsia"/>
                </w:rPr>
                <w:t>https://www.treasury.sa.gov.au/Growing-South-Australia/a-better-housing-future/A-Better-Housing-Future-February-2023.pdf</w:t>
              </w:r>
            </w:hyperlink>
          </w:p>
          <w:p w14:paraId="2AC37B61" w14:textId="77777777" w:rsidR="004755E0" w:rsidRPr="00F92B7D" w:rsidRDefault="004755E0" w:rsidP="004755E0">
            <w:pPr>
              <w:pStyle w:val="Tableformat"/>
              <w:numPr>
                <w:ilvl w:val="0"/>
                <w:numId w:val="7"/>
              </w:numPr>
              <w:tabs>
                <w:tab w:val="num" w:pos="360"/>
              </w:tabs>
              <w:ind w:left="0" w:firstLine="0"/>
              <w:rPr>
                <w:i/>
                <w:iCs w:val="0"/>
                <w:color w:val="auto"/>
              </w:rPr>
            </w:pPr>
            <w:r w:rsidRPr="00F92B7D">
              <w:rPr>
                <w:i/>
                <w:iCs w:val="0"/>
                <w:color w:val="auto"/>
              </w:rPr>
              <w:t>South Australian Aboriginal Housing Strategy 2021 - 2031</w:t>
            </w:r>
          </w:p>
          <w:p w14:paraId="2860EF3D" w14:textId="77777777" w:rsidR="004755E0" w:rsidRPr="00F92B7D" w:rsidRDefault="00DB5578" w:rsidP="004755E0">
            <w:pPr>
              <w:pStyle w:val="Tableformat"/>
              <w:ind w:left="720"/>
              <w:rPr>
                <w:color w:val="auto"/>
              </w:rPr>
            </w:pPr>
            <w:hyperlink r:id="rId9" w:history="1">
              <w:r w:rsidR="004755E0" w:rsidRPr="00F92B7D">
                <w:rPr>
                  <w:rStyle w:val="Hyperlink"/>
                  <w:rFonts w:eastAsiaTheme="majorEastAsia"/>
                </w:rPr>
                <w:t>https://www.housing.sa.gov.au/news-and-publications/publications/sa_aboriginal-housing-strategy</w:t>
              </w:r>
            </w:hyperlink>
          </w:p>
          <w:p w14:paraId="29C6B713" w14:textId="77777777" w:rsidR="004755E0" w:rsidRPr="00F92B7D" w:rsidRDefault="004755E0" w:rsidP="004755E0">
            <w:pPr>
              <w:pStyle w:val="Tableformat"/>
              <w:rPr>
                <w:color w:val="auto"/>
              </w:rPr>
            </w:pPr>
          </w:p>
          <w:p w14:paraId="476A2B6B" w14:textId="77777777" w:rsidR="004755E0" w:rsidRPr="00F92B7D" w:rsidRDefault="004755E0" w:rsidP="004755E0">
            <w:pPr>
              <w:pStyle w:val="Tableformat"/>
              <w:rPr>
                <w:color w:val="auto"/>
              </w:rPr>
            </w:pPr>
            <w:r w:rsidRPr="00F92B7D">
              <w:rPr>
                <w:color w:val="auto"/>
              </w:rPr>
              <w:t xml:space="preserve">These strategies set out the following reforms and initiatives that will contribute to reducing homelessness: </w:t>
            </w:r>
          </w:p>
          <w:p w14:paraId="4832EA71" w14:textId="77777777" w:rsidR="004755E0" w:rsidRPr="00F92B7D" w:rsidRDefault="004755E0" w:rsidP="004755E0">
            <w:pPr>
              <w:pStyle w:val="Tableformat"/>
              <w:numPr>
                <w:ilvl w:val="0"/>
                <w:numId w:val="7"/>
              </w:numPr>
              <w:tabs>
                <w:tab w:val="num" w:pos="360"/>
              </w:tabs>
              <w:ind w:left="0" w:firstLine="0"/>
              <w:rPr>
                <w:color w:val="auto"/>
              </w:rPr>
            </w:pPr>
            <w:r w:rsidRPr="00F92B7D">
              <w:rPr>
                <w:color w:val="auto"/>
              </w:rPr>
              <w:t xml:space="preserve">Refer to page 16 of </w:t>
            </w:r>
            <w:r w:rsidRPr="00F92B7D">
              <w:rPr>
                <w:i/>
                <w:iCs w:val="0"/>
                <w:color w:val="auto"/>
              </w:rPr>
              <w:t>Our Housing Future 2020 – 2030</w:t>
            </w:r>
            <w:r w:rsidRPr="00F92B7D">
              <w:rPr>
                <w:color w:val="auto"/>
              </w:rPr>
              <w:t>, Strategy 4: Prevent and reduce homelessness through targeted and tailored responses.</w:t>
            </w:r>
          </w:p>
          <w:p w14:paraId="6458DA06" w14:textId="77777777" w:rsidR="004755E0" w:rsidRPr="00F92B7D" w:rsidRDefault="004755E0" w:rsidP="004755E0">
            <w:pPr>
              <w:pStyle w:val="Tableformat"/>
              <w:numPr>
                <w:ilvl w:val="0"/>
                <w:numId w:val="7"/>
              </w:numPr>
              <w:tabs>
                <w:tab w:val="num" w:pos="360"/>
              </w:tabs>
              <w:ind w:left="0" w:firstLine="0"/>
              <w:rPr>
                <w:color w:val="auto"/>
              </w:rPr>
            </w:pPr>
            <w:r w:rsidRPr="00F92B7D">
              <w:rPr>
                <w:color w:val="auto"/>
              </w:rPr>
              <w:t xml:space="preserve">Refer to page 14 of the </w:t>
            </w:r>
            <w:r w:rsidRPr="00F92B7D">
              <w:rPr>
                <w:i/>
                <w:iCs w:val="0"/>
                <w:color w:val="auto"/>
              </w:rPr>
              <w:t>South Australian Aboriginal Housing Strategy 2021 – 2031</w:t>
            </w:r>
            <w:r w:rsidRPr="00F92B7D">
              <w:rPr>
                <w:color w:val="auto"/>
              </w:rPr>
              <w:t>, Strategy Pillar 4: Homelessness and crisis services: making more safe places to stay when and where you need them.</w:t>
            </w:r>
          </w:p>
          <w:p w14:paraId="3FB10460" w14:textId="77777777" w:rsidR="004755E0" w:rsidRPr="00F92B7D" w:rsidRDefault="004755E0" w:rsidP="004755E0">
            <w:pPr>
              <w:pStyle w:val="Tableformat"/>
              <w:rPr>
                <w:color w:val="auto"/>
              </w:rPr>
            </w:pPr>
          </w:p>
          <w:p w14:paraId="0501BBCF" w14:textId="77777777" w:rsidR="004755E0" w:rsidRPr="00F92B7D" w:rsidRDefault="004755E0" w:rsidP="004755E0">
            <w:pPr>
              <w:pStyle w:val="Tableformat"/>
              <w:rPr>
                <w:color w:val="auto"/>
              </w:rPr>
            </w:pPr>
            <w:r w:rsidRPr="00F92B7D">
              <w:rPr>
                <w:color w:val="auto"/>
              </w:rPr>
              <w:t xml:space="preserve">The disproportionate disadvantage faced by Aboriginal and Torres Strait Islander people is addressed through the 6 strategic pillars identified in the </w:t>
            </w:r>
            <w:r w:rsidRPr="00F92B7D">
              <w:rPr>
                <w:i/>
                <w:color w:val="auto"/>
              </w:rPr>
              <w:t>South Australian Aboriginal Housing Strategy 2021 – 2031</w:t>
            </w:r>
            <w:r w:rsidRPr="00F92B7D">
              <w:rPr>
                <w:color w:val="auto"/>
              </w:rPr>
              <w:t>.</w:t>
            </w:r>
          </w:p>
          <w:p w14:paraId="2E8E9B03" w14:textId="77777777" w:rsidR="004755E0" w:rsidRPr="00F92B7D" w:rsidRDefault="004755E0" w:rsidP="004755E0">
            <w:pPr>
              <w:pStyle w:val="Tableformat"/>
              <w:rPr>
                <w:color w:val="auto"/>
              </w:rPr>
            </w:pPr>
          </w:p>
          <w:p w14:paraId="70718F6B" w14:textId="30F40FF5" w:rsidR="004755E0" w:rsidRPr="00F92B7D" w:rsidRDefault="00030DB8" w:rsidP="004755E0">
            <w:pPr>
              <w:pStyle w:val="Tableformat"/>
              <w:rPr>
                <w:color w:val="auto"/>
              </w:rPr>
            </w:pPr>
            <w:r w:rsidRPr="00F92B7D">
              <w:rPr>
                <w:color w:val="auto"/>
              </w:rPr>
              <w:t xml:space="preserve">Other cohorts facing disproportionate disadvantage in </w:t>
            </w:r>
            <w:r w:rsidR="005517B3" w:rsidRPr="00F92B7D">
              <w:rPr>
                <w:color w:val="auto"/>
              </w:rPr>
              <w:t>South Australia</w:t>
            </w:r>
            <w:r w:rsidRPr="00F92B7D">
              <w:rPr>
                <w:color w:val="auto"/>
              </w:rPr>
              <w:t xml:space="preserve"> are: </w:t>
            </w:r>
            <w:r w:rsidR="004755E0" w:rsidRPr="00F92B7D">
              <w:rPr>
                <w:color w:val="auto"/>
              </w:rPr>
              <w:t>people living with disability; older and younger people; and people with complex needs, including those exiting institutional care.</w:t>
            </w:r>
          </w:p>
          <w:p w14:paraId="4F97EA17" w14:textId="77777777" w:rsidR="004755E0" w:rsidRPr="00F92B7D" w:rsidRDefault="004755E0" w:rsidP="004755E0">
            <w:pPr>
              <w:pStyle w:val="Tableformat"/>
              <w:numPr>
                <w:ilvl w:val="0"/>
                <w:numId w:val="7"/>
              </w:numPr>
              <w:tabs>
                <w:tab w:val="num" w:pos="360"/>
              </w:tabs>
              <w:ind w:left="0" w:firstLine="0"/>
              <w:rPr>
                <w:color w:val="auto"/>
              </w:rPr>
            </w:pPr>
            <w:r w:rsidRPr="00F92B7D">
              <w:rPr>
                <w:color w:val="auto"/>
              </w:rPr>
              <w:t xml:space="preserve">The strategy addresses disadvantage for these cohorts through Strategy 3 (refer to page 15 of </w:t>
            </w:r>
            <w:r w:rsidRPr="00F92B7D">
              <w:rPr>
                <w:i/>
                <w:color w:val="auto"/>
              </w:rPr>
              <w:t>Our Housing Future 2020 – 2030</w:t>
            </w:r>
            <w:r w:rsidRPr="00F92B7D">
              <w:rPr>
                <w:color w:val="auto"/>
              </w:rPr>
              <w:t xml:space="preserve">): Create housing pathways to enable people to access housing and services as their needs change. </w:t>
            </w:r>
          </w:p>
          <w:p w14:paraId="11FC55B1" w14:textId="77777777" w:rsidR="004755E0" w:rsidRPr="00F92B7D" w:rsidRDefault="004755E0" w:rsidP="004755E0">
            <w:pPr>
              <w:pStyle w:val="Tableformat"/>
              <w:rPr>
                <w:color w:val="auto"/>
              </w:rPr>
            </w:pPr>
          </w:p>
          <w:p w14:paraId="4DE259B6" w14:textId="7BD0F4F7" w:rsidR="004755E0" w:rsidRPr="00F92B7D" w:rsidRDefault="00030DB8" w:rsidP="004755E0">
            <w:pPr>
              <w:pStyle w:val="Tableformat"/>
              <w:rPr>
                <w:color w:val="auto"/>
              </w:rPr>
            </w:pPr>
            <w:r w:rsidRPr="00F92B7D">
              <w:rPr>
                <w:color w:val="auto"/>
              </w:rPr>
              <w:t xml:space="preserve">Demand for housing in </w:t>
            </w:r>
            <w:r w:rsidR="005517B3" w:rsidRPr="00F92B7D">
              <w:rPr>
                <w:color w:val="auto"/>
              </w:rPr>
              <w:t>South Australia</w:t>
            </w:r>
            <w:r w:rsidRPr="00F92B7D">
              <w:rPr>
                <w:color w:val="auto"/>
              </w:rPr>
              <w:t xml:space="preserve"> is affected by </w:t>
            </w:r>
            <w:r w:rsidR="004755E0" w:rsidRPr="00F92B7D">
              <w:rPr>
                <w:color w:val="auto"/>
              </w:rPr>
              <w:t xml:space="preserve">stronger than anticipated population growth in the face of the COVID-19 pandemic, and residential vacancy rates remain at historically low levels. The pandemic and Russia-Ukraine war led to delays with materials and supplies which impacted construction timeframes. </w:t>
            </w:r>
          </w:p>
          <w:p w14:paraId="7F986C43" w14:textId="569A4E03" w:rsidR="004755E0" w:rsidRPr="00F92B7D" w:rsidRDefault="004755E0" w:rsidP="004755E0">
            <w:pPr>
              <w:pStyle w:val="Tableformat"/>
              <w:numPr>
                <w:ilvl w:val="0"/>
                <w:numId w:val="7"/>
              </w:numPr>
              <w:tabs>
                <w:tab w:val="num" w:pos="360"/>
              </w:tabs>
              <w:ind w:left="0" w:firstLine="0"/>
              <w:rPr>
                <w:color w:val="auto"/>
              </w:rPr>
            </w:pPr>
            <w:r w:rsidRPr="00F92B7D">
              <w:rPr>
                <w:color w:val="auto"/>
              </w:rPr>
              <w:lastRenderedPageBreak/>
              <w:t xml:space="preserve">South Australia will respond to changes in the demand for housing through the initiatives outlined in </w:t>
            </w:r>
            <w:hyperlink r:id="rId10" w:history="1">
              <w:r w:rsidRPr="00F92B7D">
                <w:rPr>
                  <w:rStyle w:val="Hyperlink"/>
                  <w:i/>
                  <w:iCs w:val="0"/>
                </w:rPr>
                <w:t>A Better Housing Future</w:t>
              </w:r>
            </w:hyperlink>
            <w:r w:rsidRPr="00F92B7D">
              <w:rPr>
                <w:i/>
                <w:iCs w:val="0"/>
                <w:color w:val="auto"/>
              </w:rPr>
              <w:t xml:space="preserve"> </w:t>
            </w:r>
            <w:r w:rsidRPr="00F92B7D">
              <w:rPr>
                <w:color w:val="auto"/>
              </w:rPr>
              <w:t>(February 2023).</w:t>
            </w:r>
          </w:p>
          <w:p w14:paraId="71827C3D" w14:textId="77777777" w:rsidR="004755E0" w:rsidRPr="00F92B7D" w:rsidRDefault="004755E0" w:rsidP="004755E0">
            <w:pPr>
              <w:pStyle w:val="Tableformat"/>
              <w:rPr>
                <w:color w:val="auto"/>
              </w:rPr>
            </w:pPr>
          </w:p>
          <w:p w14:paraId="49AA1F0B" w14:textId="157E3BAE" w:rsidR="00030DB8" w:rsidRPr="00F92B7D" w:rsidRDefault="005517B3" w:rsidP="00675C15">
            <w:pPr>
              <w:pStyle w:val="Tableformat"/>
              <w:rPr>
                <w:color w:val="auto"/>
              </w:rPr>
            </w:pPr>
            <w:r w:rsidRPr="00F92B7D">
              <w:rPr>
                <w:color w:val="auto"/>
              </w:rPr>
              <w:t>South Australia</w:t>
            </w:r>
            <w:r w:rsidR="00030DB8" w:rsidRPr="00F92B7D">
              <w:rPr>
                <w:color w:val="auto"/>
              </w:rPr>
              <w:t xml:space="preserve"> has announced changes to housing stock as follows:</w:t>
            </w:r>
          </w:p>
          <w:p w14:paraId="0853F8DE" w14:textId="77777777" w:rsidR="004755E0" w:rsidRPr="00F92B7D" w:rsidRDefault="004755E0" w:rsidP="004755E0">
            <w:pPr>
              <w:pStyle w:val="Tableformat"/>
              <w:numPr>
                <w:ilvl w:val="0"/>
                <w:numId w:val="6"/>
              </w:numPr>
              <w:tabs>
                <w:tab w:val="num" w:pos="360"/>
              </w:tabs>
              <w:ind w:left="0" w:firstLine="0"/>
              <w:rPr>
                <w:color w:val="auto"/>
              </w:rPr>
            </w:pPr>
            <w:r w:rsidRPr="00F92B7D">
              <w:rPr>
                <w:color w:val="auto"/>
              </w:rPr>
              <w:t>Stopping the sale of 580 public housing properties earmarked to support financial viability.</w:t>
            </w:r>
          </w:p>
          <w:p w14:paraId="187EFF91" w14:textId="77777777" w:rsidR="004755E0" w:rsidRPr="00F92B7D" w:rsidRDefault="004755E0" w:rsidP="004755E0">
            <w:pPr>
              <w:pStyle w:val="Tableformat"/>
              <w:numPr>
                <w:ilvl w:val="0"/>
                <w:numId w:val="6"/>
              </w:numPr>
              <w:tabs>
                <w:tab w:val="num" w:pos="360"/>
              </w:tabs>
              <w:ind w:left="0" w:firstLine="0"/>
              <w:rPr>
                <w:color w:val="auto"/>
              </w:rPr>
            </w:pPr>
            <w:r w:rsidRPr="00F92B7D">
              <w:rPr>
                <w:color w:val="auto"/>
              </w:rPr>
              <w:t>Investing in the major upgrade of 350 empty properties so they can return to rental stock.</w:t>
            </w:r>
          </w:p>
          <w:p w14:paraId="5B1F29E0" w14:textId="77777777" w:rsidR="004755E0" w:rsidRPr="00F92B7D" w:rsidRDefault="004755E0" w:rsidP="004755E0">
            <w:pPr>
              <w:pStyle w:val="Tableformat"/>
              <w:numPr>
                <w:ilvl w:val="0"/>
                <w:numId w:val="6"/>
              </w:numPr>
              <w:tabs>
                <w:tab w:val="num" w:pos="360"/>
              </w:tabs>
              <w:ind w:left="0" w:firstLine="0"/>
              <w:rPr>
                <w:color w:val="auto"/>
              </w:rPr>
            </w:pPr>
            <w:r w:rsidRPr="00F92B7D">
              <w:rPr>
                <w:color w:val="auto"/>
              </w:rPr>
              <w:t>Building 564 new public housing dwellings.</w:t>
            </w:r>
          </w:p>
          <w:p w14:paraId="55966C29" w14:textId="77777777" w:rsidR="004755E0" w:rsidRPr="00F92B7D" w:rsidRDefault="004755E0" w:rsidP="004755E0">
            <w:pPr>
              <w:pStyle w:val="Tableformat"/>
              <w:numPr>
                <w:ilvl w:val="0"/>
                <w:numId w:val="6"/>
              </w:numPr>
              <w:tabs>
                <w:tab w:val="num" w:pos="360"/>
              </w:tabs>
              <w:ind w:left="0" w:firstLine="0"/>
              <w:rPr>
                <w:color w:val="auto"/>
              </w:rPr>
            </w:pPr>
            <w:r w:rsidRPr="00F92B7D">
              <w:rPr>
                <w:color w:val="auto"/>
              </w:rPr>
              <w:t>The combination of these initiatives and a $232.7 million State Government investment will result in an additional 1144 households living in public housing by 30 June 2025 compared to previous plans.</w:t>
            </w:r>
          </w:p>
          <w:p w14:paraId="06C04F6B" w14:textId="15324DD4" w:rsidR="004755E0" w:rsidRPr="00F92B7D" w:rsidRDefault="004755E0" w:rsidP="004755E0">
            <w:pPr>
              <w:pStyle w:val="Tableformat"/>
              <w:tabs>
                <w:tab w:val="num" w:pos="567"/>
              </w:tabs>
              <w:rPr>
                <w:color w:val="auto"/>
              </w:rPr>
            </w:pPr>
            <w:r w:rsidRPr="00F92B7D">
              <w:rPr>
                <w:color w:val="auto"/>
              </w:rPr>
              <w:t xml:space="preserve">Refer to </w:t>
            </w:r>
            <w:hyperlink r:id="rId11" w:history="1">
              <w:r w:rsidRPr="00F92B7D">
                <w:rPr>
                  <w:rStyle w:val="Hyperlink"/>
                  <w:i/>
                  <w:iCs w:val="0"/>
                </w:rPr>
                <w:t>A Better Housing Future</w:t>
              </w:r>
            </w:hyperlink>
            <w:r w:rsidRPr="00F92B7D">
              <w:rPr>
                <w:i/>
                <w:iCs w:val="0"/>
                <w:color w:val="auto"/>
              </w:rPr>
              <w:t xml:space="preserve"> </w:t>
            </w:r>
            <w:r w:rsidRPr="00F92B7D">
              <w:rPr>
                <w:color w:val="auto"/>
              </w:rPr>
              <w:t>for more details.</w:t>
            </w:r>
          </w:p>
          <w:p w14:paraId="287269E3" w14:textId="4E01855C" w:rsidR="00030DB8" w:rsidRPr="00F92B7D" w:rsidRDefault="00030DB8" w:rsidP="00675C15">
            <w:pPr>
              <w:pStyle w:val="Tableformat"/>
              <w:rPr>
                <w:b/>
                <w:bCs/>
                <w:color w:val="auto"/>
              </w:rPr>
            </w:pPr>
          </w:p>
          <w:p w14:paraId="4854FA63" w14:textId="77777777" w:rsidR="00030DB8" w:rsidRPr="00F92B7D" w:rsidRDefault="00030DB8" w:rsidP="00675C15">
            <w:pPr>
              <w:pStyle w:val="Tableformat"/>
              <w:rPr>
                <w:b/>
                <w:bCs/>
                <w:color w:val="auto"/>
              </w:rPr>
            </w:pPr>
            <w:r w:rsidRPr="00F92B7D">
              <w:rPr>
                <w:b/>
                <w:bCs/>
                <w:color w:val="auto"/>
              </w:rPr>
              <w:t>National Outcomes Framework</w:t>
            </w:r>
          </w:p>
          <w:p w14:paraId="01BFFB5C" w14:textId="77777777" w:rsidR="004755E0" w:rsidRPr="00F92B7D" w:rsidRDefault="005517B3" w:rsidP="00675C15">
            <w:pPr>
              <w:pStyle w:val="Tableformat"/>
              <w:rPr>
                <w:color w:val="auto"/>
              </w:rPr>
            </w:pPr>
            <w:r w:rsidRPr="00F92B7D">
              <w:rPr>
                <w:color w:val="auto"/>
              </w:rPr>
              <w:t>South Australia</w:t>
            </w:r>
            <w:r w:rsidR="00030DB8" w:rsidRPr="00F92B7D">
              <w:rPr>
                <w:color w:val="auto"/>
              </w:rPr>
              <w:t xml:space="preserve"> will meet the requirements of clause 18(b) by reporting against the indicators in the National Outcomes Framework (Schedule A of the Agreement). This will include at a minimum, the compulsory measures.</w:t>
            </w:r>
          </w:p>
          <w:p w14:paraId="7F168865" w14:textId="3D1AB08B" w:rsidR="00030DB8" w:rsidRPr="00F92B7D" w:rsidRDefault="00030DB8" w:rsidP="00675C15">
            <w:pPr>
              <w:pStyle w:val="Tableformat"/>
              <w:rPr>
                <w:color w:val="auto"/>
              </w:rPr>
            </w:pPr>
          </w:p>
          <w:p w14:paraId="1E7B8221" w14:textId="77777777" w:rsidR="00030DB8" w:rsidRPr="00F92B7D" w:rsidRDefault="00030DB8" w:rsidP="00675C15">
            <w:pPr>
              <w:pStyle w:val="Tableformat"/>
              <w:rPr>
                <w:b/>
                <w:bCs/>
                <w:color w:val="auto"/>
              </w:rPr>
            </w:pPr>
            <w:r w:rsidRPr="00F92B7D">
              <w:rPr>
                <w:b/>
                <w:bCs/>
                <w:color w:val="auto"/>
              </w:rPr>
              <w:t>Compulsory measures</w:t>
            </w:r>
          </w:p>
          <w:p w14:paraId="033BF426" w14:textId="77777777" w:rsidR="00030DB8" w:rsidRPr="00F92B7D" w:rsidRDefault="00030DB8" w:rsidP="00675C15">
            <w:pPr>
              <w:pStyle w:val="Tableformat"/>
              <w:rPr>
                <w:i/>
                <w:iCs w:val="0"/>
                <w:color w:val="auto"/>
              </w:rPr>
            </w:pPr>
            <w:r w:rsidRPr="00F92B7D">
              <w:rPr>
                <w:i/>
                <w:iCs w:val="0"/>
                <w:color w:val="auto"/>
              </w:rPr>
              <w:t>Homelessness</w:t>
            </w:r>
          </w:p>
          <w:p w14:paraId="2E120636" w14:textId="77777777" w:rsidR="00030DB8" w:rsidRPr="00F92B7D" w:rsidRDefault="00030DB8" w:rsidP="00030DB8">
            <w:pPr>
              <w:pStyle w:val="Tableformat"/>
              <w:numPr>
                <w:ilvl w:val="0"/>
                <w:numId w:val="3"/>
              </w:numPr>
              <w:tabs>
                <w:tab w:val="num" w:pos="283"/>
                <w:tab w:val="num" w:pos="360"/>
              </w:tabs>
              <w:ind w:left="283" w:hanging="283"/>
              <w:rPr>
                <w:color w:val="auto"/>
              </w:rPr>
            </w:pPr>
            <w:r w:rsidRPr="00F92B7D">
              <w:rPr>
                <w:color w:val="auto"/>
              </w:rPr>
              <w:t>Number of unassisted requests for services, split by accommodation and other services</w:t>
            </w:r>
          </w:p>
          <w:p w14:paraId="04850623" w14:textId="77777777" w:rsidR="00030DB8" w:rsidRPr="00F92B7D" w:rsidRDefault="00030DB8" w:rsidP="00030DB8">
            <w:pPr>
              <w:pStyle w:val="Tableformat"/>
              <w:numPr>
                <w:ilvl w:val="0"/>
                <w:numId w:val="3"/>
              </w:numPr>
              <w:tabs>
                <w:tab w:val="num" w:pos="283"/>
                <w:tab w:val="num" w:pos="360"/>
              </w:tabs>
              <w:ind w:left="283" w:hanging="283"/>
              <w:rPr>
                <w:color w:val="auto"/>
              </w:rPr>
            </w:pPr>
            <w:r w:rsidRPr="00F92B7D">
              <w:rPr>
                <w:color w:val="auto"/>
              </w:rPr>
              <w:t xml:space="preserve">Number and proportion of clients with an identified need for services who were not provided or referred to those services, split by accommodation and other services </w:t>
            </w:r>
          </w:p>
          <w:p w14:paraId="7E491FE3" w14:textId="77777777" w:rsidR="00030DB8" w:rsidRPr="00F92B7D" w:rsidRDefault="00030DB8" w:rsidP="00030DB8">
            <w:pPr>
              <w:pStyle w:val="Tableformat"/>
              <w:numPr>
                <w:ilvl w:val="0"/>
                <w:numId w:val="3"/>
              </w:numPr>
              <w:tabs>
                <w:tab w:val="num" w:pos="283"/>
                <w:tab w:val="num" w:pos="360"/>
              </w:tabs>
              <w:ind w:left="283" w:hanging="283"/>
              <w:rPr>
                <w:color w:val="auto"/>
              </w:rPr>
            </w:pPr>
            <w:r w:rsidRPr="00F92B7D">
              <w:rPr>
                <w:rFonts w:cstheme="minorHAnsi"/>
                <w:color w:val="auto"/>
                <w:szCs w:val="23"/>
              </w:rPr>
              <w:t>Number and proportion of clients at risk of homelessness who receive assistance and avoid homelessness</w:t>
            </w:r>
          </w:p>
          <w:p w14:paraId="565949FD" w14:textId="6F822FEB" w:rsidR="00030DB8" w:rsidRPr="00F92B7D" w:rsidRDefault="00030DB8" w:rsidP="00030DB8">
            <w:pPr>
              <w:pStyle w:val="Tableformat"/>
              <w:numPr>
                <w:ilvl w:val="0"/>
                <w:numId w:val="3"/>
              </w:numPr>
              <w:tabs>
                <w:tab w:val="num" w:pos="283"/>
                <w:tab w:val="num" w:pos="360"/>
              </w:tabs>
              <w:ind w:left="283" w:hanging="283"/>
              <w:rPr>
                <w:color w:val="auto"/>
              </w:rPr>
            </w:pPr>
            <w:r w:rsidRPr="00F92B7D">
              <w:rPr>
                <w:rFonts w:cstheme="minorHAnsi"/>
                <w:color w:val="auto"/>
                <w:szCs w:val="23"/>
              </w:rPr>
              <w:t>Number and proportion of clients</w:t>
            </w:r>
            <w:r w:rsidR="002374B8" w:rsidRPr="00F92B7D">
              <w:rPr>
                <w:rFonts w:cstheme="minorHAnsi"/>
                <w:color w:val="auto"/>
                <w:szCs w:val="23"/>
              </w:rPr>
              <w:t xml:space="preserve"> </w:t>
            </w:r>
            <w:r w:rsidRPr="00F92B7D">
              <w:rPr>
                <w:rFonts w:cstheme="minorHAnsi"/>
                <w:color w:val="auto"/>
                <w:szCs w:val="23"/>
              </w:rPr>
              <w:t>who</w:t>
            </w:r>
            <w:r w:rsidR="002374B8" w:rsidRPr="00F92B7D">
              <w:rPr>
                <w:rFonts w:cstheme="minorHAnsi"/>
                <w:color w:val="auto"/>
                <w:szCs w:val="23"/>
              </w:rPr>
              <w:t xml:space="preserve"> </w:t>
            </w:r>
            <w:r w:rsidRPr="00F92B7D">
              <w:rPr>
                <w:rFonts w:cstheme="minorHAnsi"/>
                <w:color w:val="auto"/>
                <w:szCs w:val="23"/>
              </w:rPr>
              <w:t>return to homelessness</w:t>
            </w:r>
            <w:r w:rsidR="002374B8" w:rsidRPr="00F92B7D">
              <w:rPr>
                <w:rFonts w:cstheme="minorHAnsi"/>
                <w:color w:val="auto"/>
                <w:szCs w:val="23"/>
              </w:rPr>
              <w:t xml:space="preserve"> </w:t>
            </w:r>
            <w:r w:rsidRPr="00F92B7D">
              <w:rPr>
                <w:rFonts w:cstheme="minorHAnsi"/>
                <w:color w:val="auto"/>
                <w:szCs w:val="23"/>
              </w:rPr>
              <w:t>after achieving housing</w:t>
            </w:r>
          </w:p>
          <w:p w14:paraId="3A7858EF" w14:textId="77777777" w:rsidR="00030DB8" w:rsidRPr="00F92B7D" w:rsidRDefault="00030DB8" w:rsidP="00675C15">
            <w:pPr>
              <w:pStyle w:val="Tableformat"/>
              <w:rPr>
                <w:i/>
                <w:iCs w:val="0"/>
                <w:color w:val="auto"/>
              </w:rPr>
            </w:pPr>
          </w:p>
          <w:p w14:paraId="35F8A37D" w14:textId="77777777" w:rsidR="00030DB8" w:rsidRPr="00F92B7D" w:rsidRDefault="00030DB8" w:rsidP="00675C15">
            <w:pPr>
              <w:pStyle w:val="Tableformat"/>
              <w:rPr>
                <w:i/>
                <w:iCs w:val="0"/>
                <w:color w:val="auto"/>
              </w:rPr>
            </w:pPr>
            <w:r w:rsidRPr="00F92B7D">
              <w:rPr>
                <w:i/>
                <w:iCs w:val="0"/>
                <w:color w:val="auto"/>
              </w:rPr>
              <w:t>Social housing</w:t>
            </w:r>
          </w:p>
          <w:p w14:paraId="1EA4C402" w14:textId="77777777" w:rsidR="00030DB8" w:rsidRPr="00F92B7D" w:rsidRDefault="00030DB8" w:rsidP="00C61905">
            <w:pPr>
              <w:pStyle w:val="Tableformat"/>
              <w:numPr>
                <w:ilvl w:val="0"/>
                <w:numId w:val="3"/>
              </w:numPr>
              <w:tabs>
                <w:tab w:val="num" w:pos="283"/>
                <w:tab w:val="num" w:pos="360"/>
              </w:tabs>
              <w:ind w:left="283" w:hanging="283"/>
              <w:rPr>
                <w:rFonts w:cstheme="minorHAnsi"/>
                <w:color w:val="auto"/>
                <w:szCs w:val="23"/>
              </w:rPr>
            </w:pPr>
            <w:r w:rsidRPr="00F92B7D">
              <w:rPr>
                <w:rFonts w:cstheme="minorHAnsi"/>
                <w:color w:val="auto"/>
                <w:szCs w:val="23"/>
              </w:rPr>
              <w:t>Number of social housing dwellings at 30 June: public housing, SOMIH, community housing and Indigenous community housing, all programs</w:t>
            </w:r>
          </w:p>
          <w:p w14:paraId="59CB338F" w14:textId="4F5E7883" w:rsidR="00CD4783" w:rsidRPr="00F92B7D" w:rsidRDefault="00CD4783" w:rsidP="00C61905">
            <w:pPr>
              <w:pStyle w:val="Tableformat"/>
              <w:numPr>
                <w:ilvl w:val="0"/>
                <w:numId w:val="3"/>
              </w:numPr>
              <w:tabs>
                <w:tab w:val="num" w:pos="283"/>
                <w:tab w:val="num" w:pos="360"/>
              </w:tabs>
              <w:ind w:left="283" w:hanging="283"/>
              <w:rPr>
                <w:color w:val="auto"/>
              </w:rPr>
            </w:pPr>
            <w:r w:rsidRPr="00F92B7D">
              <w:rPr>
                <w:color w:val="auto"/>
              </w:rPr>
              <w:lastRenderedPageBreak/>
              <w:t>Change in the number of social housing dwellings from previous year</w:t>
            </w:r>
          </w:p>
          <w:p w14:paraId="32005326" w14:textId="77777777" w:rsidR="00030DB8" w:rsidRPr="00F92B7D" w:rsidRDefault="00030DB8" w:rsidP="00C61905">
            <w:pPr>
              <w:pStyle w:val="Tableformat"/>
              <w:numPr>
                <w:ilvl w:val="0"/>
                <w:numId w:val="3"/>
              </w:numPr>
              <w:tabs>
                <w:tab w:val="num" w:pos="283"/>
                <w:tab w:val="num" w:pos="360"/>
              </w:tabs>
              <w:ind w:left="283" w:hanging="283"/>
              <w:rPr>
                <w:color w:val="auto"/>
              </w:rPr>
            </w:pPr>
            <w:r w:rsidRPr="00F92B7D">
              <w:rPr>
                <w:rFonts w:cstheme="minorHAnsi"/>
                <w:color w:val="auto"/>
                <w:szCs w:val="23"/>
              </w:rPr>
              <w:t>Proportion</w:t>
            </w:r>
            <w:r w:rsidRPr="00F92B7D">
              <w:rPr>
                <w:color w:val="auto"/>
              </w:rPr>
              <w:t xml:space="preserve"> of overcrowded households: public housing, SOMIH, community housing and Indigenous community housing, all programs</w:t>
            </w:r>
          </w:p>
          <w:p w14:paraId="5182AB26" w14:textId="77777777" w:rsidR="00030DB8" w:rsidRPr="00F92B7D" w:rsidRDefault="00030DB8" w:rsidP="00C61905">
            <w:pPr>
              <w:pStyle w:val="Tableformat"/>
              <w:numPr>
                <w:ilvl w:val="0"/>
                <w:numId w:val="3"/>
              </w:numPr>
              <w:tabs>
                <w:tab w:val="num" w:pos="283"/>
                <w:tab w:val="num" w:pos="360"/>
              </w:tabs>
              <w:ind w:left="283" w:hanging="283"/>
              <w:rPr>
                <w:color w:val="auto"/>
              </w:rPr>
            </w:pPr>
            <w:r w:rsidRPr="00F92B7D">
              <w:rPr>
                <w:color w:val="auto"/>
              </w:rPr>
              <w:t xml:space="preserve">Proportion of households with at least four working facilities and not more than two major structural problems: public housing, SOMIH, </w:t>
            </w:r>
            <w:r w:rsidRPr="00F92B7D">
              <w:rPr>
                <w:rFonts w:cstheme="minorHAnsi"/>
                <w:color w:val="auto"/>
                <w:szCs w:val="23"/>
              </w:rPr>
              <w:t>community</w:t>
            </w:r>
            <w:r w:rsidRPr="00F92B7D">
              <w:rPr>
                <w:color w:val="auto"/>
              </w:rPr>
              <w:t xml:space="preserve"> housing and Indigenous community housing, all programs</w:t>
            </w:r>
          </w:p>
          <w:p w14:paraId="397B4C8C" w14:textId="77777777" w:rsidR="00030DB8" w:rsidRPr="00F92B7D" w:rsidRDefault="00030DB8" w:rsidP="00675C15">
            <w:pPr>
              <w:pStyle w:val="Tableformat"/>
              <w:rPr>
                <w:color w:val="auto"/>
              </w:rPr>
            </w:pPr>
          </w:p>
          <w:p w14:paraId="4A346981" w14:textId="36F1E327" w:rsidR="00030DB8" w:rsidRPr="00F92B7D" w:rsidRDefault="00030DB8" w:rsidP="00675C15">
            <w:pPr>
              <w:pStyle w:val="Tableformat"/>
              <w:rPr>
                <w:b/>
                <w:bCs/>
                <w:color w:val="auto"/>
              </w:rPr>
            </w:pPr>
            <w:r w:rsidRPr="00F92B7D">
              <w:rPr>
                <w:b/>
                <w:bCs/>
                <w:color w:val="auto"/>
              </w:rPr>
              <w:t xml:space="preserve">Other (non-compulsory) measures </w:t>
            </w:r>
          </w:p>
          <w:p w14:paraId="57C0611D" w14:textId="5D8E5DEC" w:rsidR="00030DB8" w:rsidRPr="00F92B7D" w:rsidRDefault="005517B3" w:rsidP="00675C15">
            <w:pPr>
              <w:pStyle w:val="Tableformat"/>
              <w:rPr>
                <w:color w:val="auto"/>
              </w:rPr>
            </w:pPr>
            <w:r w:rsidRPr="00F92B7D">
              <w:rPr>
                <w:color w:val="auto"/>
              </w:rPr>
              <w:t>South Australia</w:t>
            </w:r>
            <w:r w:rsidR="00030DB8" w:rsidRPr="00F92B7D">
              <w:rPr>
                <w:color w:val="auto"/>
              </w:rPr>
              <w:t xml:space="preserve"> will </w:t>
            </w:r>
            <w:r w:rsidR="00030DB8" w:rsidRPr="00F92B7D">
              <w:rPr>
                <w:b/>
                <w:bCs/>
                <w:color w:val="auto"/>
              </w:rPr>
              <w:t>not</w:t>
            </w:r>
            <w:r w:rsidR="00030DB8" w:rsidRPr="00F92B7D">
              <w:rPr>
                <w:color w:val="auto"/>
              </w:rPr>
              <w:t xml:space="preserve"> report against the following non-compulsory measures in the National Outcomes Framework:</w:t>
            </w:r>
          </w:p>
          <w:p w14:paraId="7044032C" w14:textId="77777777" w:rsidR="00A3499D" w:rsidRPr="00F92B7D" w:rsidRDefault="00A3499D" w:rsidP="00A3499D">
            <w:pPr>
              <w:pStyle w:val="Tableformat"/>
              <w:numPr>
                <w:ilvl w:val="0"/>
                <w:numId w:val="4"/>
              </w:numPr>
              <w:tabs>
                <w:tab w:val="num" w:pos="358"/>
              </w:tabs>
              <w:ind w:left="358" w:hanging="358"/>
              <w:rPr>
                <w:color w:val="auto"/>
              </w:rPr>
            </w:pPr>
            <w:r w:rsidRPr="00F92B7D">
              <w:rPr>
                <w:color w:val="auto"/>
              </w:rPr>
              <w:t>Percentage of greatest need allocations as a proportion of all new allocations</w:t>
            </w:r>
          </w:p>
          <w:p w14:paraId="7C3AA73E" w14:textId="77777777" w:rsidR="00A3499D" w:rsidRPr="00F92B7D" w:rsidRDefault="00A3499D" w:rsidP="00A3499D">
            <w:pPr>
              <w:pStyle w:val="Tableformat"/>
              <w:numPr>
                <w:ilvl w:val="0"/>
                <w:numId w:val="4"/>
              </w:numPr>
              <w:tabs>
                <w:tab w:val="num" w:pos="358"/>
              </w:tabs>
              <w:ind w:left="358" w:hanging="358"/>
              <w:rPr>
                <w:color w:val="auto"/>
              </w:rPr>
            </w:pPr>
            <w:r w:rsidRPr="00F92B7D">
              <w:rPr>
                <w:color w:val="auto"/>
              </w:rPr>
              <w:t>Number of upgrades to social housing dwellings (capital expenditure only)</w:t>
            </w:r>
          </w:p>
          <w:p w14:paraId="712EE3E4" w14:textId="77777777" w:rsidR="00A3499D" w:rsidRPr="00F92B7D" w:rsidRDefault="00A3499D" w:rsidP="00A3499D">
            <w:pPr>
              <w:pStyle w:val="Tableformat"/>
              <w:numPr>
                <w:ilvl w:val="0"/>
                <w:numId w:val="4"/>
              </w:numPr>
              <w:tabs>
                <w:tab w:val="num" w:pos="358"/>
              </w:tabs>
              <w:ind w:left="358" w:hanging="358"/>
              <w:rPr>
                <w:color w:val="auto"/>
              </w:rPr>
            </w:pPr>
            <w:r w:rsidRPr="00F92B7D">
              <w:rPr>
                <w:color w:val="auto"/>
              </w:rPr>
              <w:t>Number and proportion of customers who are satisfied with the service they receive from homelessness service providers</w:t>
            </w:r>
          </w:p>
          <w:p w14:paraId="2EE99119" w14:textId="77777777" w:rsidR="00A3499D" w:rsidRPr="00F92B7D" w:rsidRDefault="00A3499D" w:rsidP="00A3499D">
            <w:pPr>
              <w:pStyle w:val="Tableformat"/>
              <w:numPr>
                <w:ilvl w:val="0"/>
                <w:numId w:val="4"/>
              </w:numPr>
              <w:tabs>
                <w:tab w:val="num" w:pos="358"/>
              </w:tabs>
              <w:ind w:left="358" w:hanging="358"/>
              <w:rPr>
                <w:color w:val="auto"/>
              </w:rPr>
            </w:pPr>
            <w:r w:rsidRPr="00F92B7D">
              <w:rPr>
                <w:color w:val="auto"/>
              </w:rPr>
              <w:t>Number of people experiencing homelessness per 10,000 people in the population</w:t>
            </w:r>
          </w:p>
          <w:p w14:paraId="70CD2021" w14:textId="77777777" w:rsidR="00E401B3" w:rsidRPr="00F92B7D" w:rsidRDefault="00E401B3" w:rsidP="00E401B3">
            <w:pPr>
              <w:pStyle w:val="Tableformat"/>
              <w:numPr>
                <w:ilvl w:val="0"/>
                <w:numId w:val="4"/>
              </w:numPr>
              <w:tabs>
                <w:tab w:val="num" w:pos="358"/>
              </w:tabs>
              <w:ind w:left="358" w:hanging="358"/>
              <w:rPr>
                <w:color w:val="auto"/>
              </w:rPr>
            </w:pPr>
            <w:r w:rsidRPr="00F92B7D">
              <w:rPr>
                <w:color w:val="auto"/>
              </w:rPr>
              <w:t>Number and proportion of clients who were homeless at the first presentation who are in stable housing at the end of support</w:t>
            </w:r>
          </w:p>
          <w:p w14:paraId="4C2A33A1" w14:textId="77777777" w:rsidR="00030DB8" w:rsidRPr="00F92B7D" w:rsidRDefault="00030DB8" w:rsidP="00675C15">
            <w:pPr>
              <w:pStyle w:val="Tableformat"/>
              <w:rPr>
                <w:color w:val="auto"/>
              </w:rPr>
            </w:pPr>
          </w:p>
          <w:p w14:paraId="0A0B926A" w14:textId="74AE6786" w:rsidR="00030DB8" w:rsidRPr="00F92B7D" w:rsidRDefault="00030DB8" w:rsidP="00675C15">
            <w:pPr>
              <w:pStyle w:val="Tableformat"/>
              <w:rPr>
                <w:b/>
                <w:bCs/>
                <w:color w:val="auto"/>
              </w:rPr>
            </w:pPr>
            <w:r w:rsidRPr="00F92B7D">
              <w:rPr>
                <w:b/>
                <w:bCs/>
                <w:color w:val="auto"/>
              </w:rPr>
              <w:t>Other state-specific measures</w:t>
            </w:r>
          </w:p>
          <w:p w14:paraId="7DA3D08B" w14:textId="6525E841" w:rsidR="00030DB8" w:rsidRPr="00F92B7D" w:rsidRDefault="005517B3" w:rsidP="00675C15">
            <w:pPr>
              <w:pStyle w:val="Tableformat"/>
              <w:rPr>
                <w:color w:val="auto"/>
              </w:rPr>
            </w:pPr>
            <w:r w:rsidRPr="00F92B7D">
              <w:rPr>
                <w:color w:val="auto"/>
              </w:rPr>
              <w:t>South Australia</w:t>
            </w:r>
            <w:r w:rsidR="00030DB8" w:rsidRPr="00F92B7D">
              <w:rPr>
                <w:color w:val="auto"/>
              </w:rPr>
              <w:t xml:space="preserve"> will also report against the following </w:t>
            </w:r>
            <w:r w:rsidR="00030DB8" w:rsidRPr="00E361FB">
              <w:rPr>
                <w:color w:val="auto"/>
              </w:rPr>
              <w:t>optional</w:t>
            </w:r>
            <w:r w:rsidR="00030DB8" w:rsidRPr="00F92B7D">
              <w:rPr>
                <w:b/>
                <w:bCs/>
                <w:color w:val="auto"/>
              </w:rPr>
              <w:t xml:space="preserve"> </w:t>
            </w:r>
            <w:r w:rsidR="00E361FB">
              <w:rPr>
                <w:color w:val="auto"/>
              </w:rPr>
              <w:t>measures</w:t>
            </w:r>
            <w:r w:rsidR="00030DB8" w:rsidRPr="00F92B7D">
              <w:rPr>
                <w:color w:val="auto"/>
              </w:rPr>
              <w:t>:</w:t>
            </w:r>
          </w:p>
          <w:p w14:paraId="3D86F2BF" w14:textId="6C3E345D" w:rsidR="009B5EE4" w:rsidRPr="00F92B7D" w:rsidRDefault="009B5EE4" w:rsidP="009B5EE4">
            <w:pPr>
              <w:pStyle w:val="Tableformat"/>
              <w:numPr>
                <w:ilvl w:val="0"/>
                <w:numId w:val="4"/>
              </w:numPr>
              <w:tabs>
                <w:tab w:val="num" w:pos="358"/>
              </w:tabs>
              <w:ind w:left="358" w:hanging="358"/>
              <w:rPr>
                <w:color w:val="auto"/>
              </w:rPr>
            </w:pPr>
            <w:r w:rsidRPr="00F92B7D">
              <w:rPr>
                <w:color w:val="auto"/>
              </w:rPr>
              <w:t>Proportion of renting households in the bottom t</w:t>
            </w:r>
            <w:r w:rsidR="007074A4">
              <w:rPr>
                <w:color w:val="auto"/>
              </w:rPr>
              <w:t>w</w:t>
            </w:r>
            <w:r w:rsidRPr="00F92B7D">
              <w:rPr>
                <w:color w:val="auto"/>
              </w:rPr>
              <w:t>o income quintiles paying more than 30% of income on rent</w:t>
            </w:r>
          </w:p>
          <w:p w14:paraId="7D1B6E29" w14:textId="77777777" w:rsidR="009B5EE4" w:rsidRPr="00F92B7D" w:rsidRDefault="009B5EE4" w:rsidP="009B5EE4">
            <w:pPr>
              <w:pStyle w:val="Tableformat"/>
              <w:numPr>
                <w:ilvl w:val="0"/>
                <w:numId w:val="4"/>
              </w:numPr>
              <w:tabs>
                <w:tab w:val="num" w:pos="358"/>
              </w:tabs>
              <w:ind w:left="358" w:hanging="358"/>
              <w:rPr>
                <w:color w:val="auto"/>
              </w:rPr>
            </w:pPr>
            <w:r w:rsidRPr="00F92B7D">
              <w:rPr>
                <w:color w:val="auto"/>
              </w:rPr>
              <w:t>Number of people experiencing homelessness who present to homelessness services</w:t>
            </w:r>
          </w:p>
          <w:p w14:paraId="416E6054" w14:textId="77777777" w:rsidR="00030DB8" w:rsidRPr="00F92B7D" w:rsidRDefault="00030DB8" w:rsidP="00675C15">
            <w:pPr>
              <w:pStyle w:val="Tableformat"/>
              <w:rPr>
                <w:color w:val="44546A" w:themeColor="text2"/>
              </w:rPr>
            </w:pPr>
          </w:p>
          <w:p w14:paraId="42725CDE" w14:textId="5D19D4CB" w:rsidR="00030DB8" w:rsidRPr="00F92B7D" w:rsidRDefault="00030DB8" w:rsidP="00675C15">
            <w:pPr>
              <w:pStyle w:val="Tableformat"/>
              <w:rPr>
                <w:color w:val="auto"/>
              </w:rPr>
            </w:pPr>
            <w:r w:rsidRPr="00F92B7D">
              <w:rPr>
                <w:color w:val="auto"/>
              </w:rPr>
              <w:t>The details of reporting arrangements may change as the reporting arrangements for the outcomes framework for the National Plan on Housing and Homelessness are developed.</w:t>
            </w:r>
          </w:p>
          <w:p w14:paraId="7C031B97" w14:textId="48DA28BE" w:rsidR="008B25C8" w:rsidRPr="00F92B7D" w:rsidRDefault="00215A9B" w:rsidP="00675C15">
            <w:pPr>
              <w:pStyle w:val="Tableformat"/>
              <w:rPr>
                <w:color w:val="auto"/>
              </w:rPr>
            </w:pPr>
            <w:r w:rsidRPr="00F92B7D">
              <w:rPr>
                <w:color w:val="auto"/>
              </w:rPr>
              <w:t xml:space="preserve">Where possible, </w:t>
            </w:r>
            <w:r w:rsidR="00E37394" w:rsidRPr="00F92B7D">
              <w:rPr>
                <w:color w:val="auto"/>
              </w:rPr>
              <w:t>data</w:t>
            </w:r>
            <w:r w:rsidR="00173D48" w:rsidRPr="00F92B7D">
              <w:rPr>
                <w:color w:val="auto"/>
              </w:rPr>
              <w:t xml:space="preserve"> will reflect the methodology and </w:t>
            </w:r>
            <w:r w:rsidRPr="00F92B7D">
              <w:rPr>
                <w:color w:val="auto"/>
              </w:rPr>
              <w:t>reporting periods</w:t>
            </w:r>
            <w:r w:rsidR="00DB02C5" w:rsidRPr="00F92B7D">
              <w:rPr>
                <w:color w:val="auto"/>
              </w:rPr>
              <w:t xml:space="preserve"> </w:t>
            </w:r>
            <w:r w:rsidR="00F0261A" w:rsidRPr="00F92B7D">
              <w:rPr>
                <w:color w:val="auto"/>
              </w:rPr>
              <w:t>used</w:t>
            </w:r>
            <w:r w:rsidR="00DB02C5" w:rsidRPr="00F92B7D">
              <w:rPr>
                <w:color w:val="auto"/>
              </w:rPr>
              <w:t xml:space="preserve"> </w:t>
            </w:r>
            <w:r w:rsidRPr="00F92B7D">
              <w:rPr>
                <w:color w:val="auto"/>
              </w:rPr>
              <w:t>for</w:t>
            </w:r>
            <w:r w:rsidR="008D0EFB" w:rsidRPr="00F92B7D">
              <w:rPr>
                <w:color w:val="auto"/>
              </w:rPr>
              <w:t xml:space="preserve"> existing reports</w:t>
            </w:r>
            <w:r w:rsidR="00CF44DF" w:rsidRPr="00F92B7D">
              <w:rPr>
                <w:color w:val="auto"/>
              </w:rPr>
              <w:t xml:space="preserve"> to minimi</w:t>
            </w:r>
            <w:r w:rsidR="00F92B7D">
              <w:rPr>
                <w:color w:val="auto"/>
              </w:rPr>
              <w:t>s</w:t>
            </w:r>
            <w:r w:rsidR="00CF44DF" w:rsidRPr="00F92B7D">
              <w:rPr>
                <w:color w:val="auto"/>
              </w:rPr>
              <w:t>e duplication of reporting</w:t>
            </w:r>
            <w:r w:rsidR="00F0261A" w:rsidRPr="00F92B7D">
              <w:rPr>
                <w:color w:val="auto"/>
              </w:rPr>
              <w:t xml:space="preserve"> efforts</w:t>
            </w:r>
            <w:r w:rsidRPr="00F92B7D">
              <w:rPr>
                <w:color w:val="auto"/>
              </w:rPr>
              <w:t>.</w:t>
            </w:r>
          </w:p>
          <w:p w14:paraId="12BDB94A" w14:textId="77777777" w:rsidR="0091759D" w:rsidRPr="00F92B7D" w:rsidRDefault="0091759D" w:rsidP="00675C15">
            <w:pPr>
              <w:pStyle w:val="Tableformat"/>
              <w:rPr>
                <w:color w:val="44546A" w:themeColor="text2"/>
              </w:rPr>
            </w:pPr>
          </w:p>
          <w:p w14:paraId="11BCE711" w14:textId="77777777" w:rsidR="00030DB8" w:rsidRPr="00F92B7D" w:rsidRDefault="00030DB8" w:rsidP="00675C15">
            <w:pPr>
              <w:pStyle w:val="Tableformat"/>
              <w:rPr>
                <w:b/>
                <w:bCs/>
                <w:color w:val="auto"/>
              </w:rPr>
            </w:pPr>
            <w:r w:rsidRPr="00F92B7D">
              <w:rPr>
                <w:b/>
                <w:bCs/>
                <w:color w:val="auto"/>
              </w:rPr>
              <w:t>Statements of Assurance</w:t>
            </w:r>
          </w:p>
          <w:p w14:paraId="47C2D2A0" w14:textId="35EC3BAC" w:rsidR="00030DB8" w:rsidRDefault="005517B3" w:rsidP="00675C15">
            <w:pPr>
              <w:pStyle w:val="Tableformat"/>
              <w:rPr>
                <w:color w:val="auto"/>
              </w:rPr>
            </w:pPr>
            <w:r w:rsidRPr="00F92B7D">
              <w:rPr>
                <w:color w:val="auto"/>
              </w:rPr>
              <w:lastRenderedPageBreak/>
              <w:t>South Australia</w:t>
            </w:r>
            <w:r w:rsidR="00030DB8" w:rsidRPr="00F92B7D">
              <w:rPr>
                <w:color w:val="auto"/>
              </w:rPr>
              <w:t xml:space="preserve"> will report annually how they have met the requirements of the Agreement using the template in the Agreement (Schedule </w:t>
            </w:r>
            <w:r w:rsidRPr="00F92B7D">
              <w:rPr>
                <w:color w:val="auto"/>
              </w:rPr>
              <w:t>B</w:t>
            </w:r>
            <w:r w:rsidR="00030DB8" w:rsidRPr="00F92B7D">
              <w:rPr>
                <w:color w:val="auto"/>
              </w:rPr>
              <w:t>).</w:t>
            </w:r>
          </w:p>
          <w:p w14:paraId="2A4D51EC" w14:textId="25960CDF" w:rsidR="00B30402" w:rsidRPr="00F92B7D" w:rsidRDefault="00B30402" w:rsidP="00675C15">
            <w:pPr>
              <w:pStyle w:val="Tableformat"/>
              <w:rPr>
                <w:color w:val="auto"/>
              </w:rPr>
            </w:pPr>
            <w:r>
              <w:rPr>
                <w:color w:val="auto"/>
              </w:rPr>
              <w:t>Due to different accounting processes for budget allocations and year-end financial reporting requirements, forecast / allocated figures will be estimated for the purpose of Statement of Assurance reporting.</w:t>
            </w:r>
          </w:p>
          <w:p w14:paraId="18172B01" w14:textId="6632258A" w:rsidR="009C7C43" w:rsidRPr="00F92B7D" w:rsidRDefault="009C7C43" w:rsidP="0097308B">
            <w:pPr>
              <w:pStyle w:val="Tableformat"/>
              <w:rPr>
                <w:b/>
                <w:bCs/>
                <w:color w:val="auto"/>
              </w:rPr>
            </w:pPr>
          </w:p>
        </w:tc>
      </w:tr>
      <w:tr w:rsidR="00030DB8" w:rsidRPr="00F92B7D" w14:paraId="3868142D" w14:textId="77777777" w:rsidTr="00234E0B">
        <w:tc>
          <w:tcPr>
            <w:tcW w:w="1691" w:type="dxa"/>
            <w:shd w:val="clear" w:color="auto" w:fill="auto"/>
          </w:tcPr>
          <w:p w14:paraId="733F67C8" w14:textId="36997B82" w:rsidR="00030DB8" w:rsidRPr="00F92B7D" w:rsidRDefault="00030DB8" w:rsidP="00675C15">
            <w:pPr>
              <w:pStyle w:val="Tableformat"/>
              <w:rPr>
                <w:color w:val="auto"/>
              </w:rPr>
            </w:pPr>
            <w:r w:rsidRPr="00F92B7D">
              <w:rPr>
                <w:color w:val="auto"/>
              </w:rPr>
              <w:lastRenderedPageBreak/>
              <w:t>Additional terms</w:t>
            </w:r>
          </w:p>
        </w:tc>
        <w:tc>
          <w:tcPr>
            <w:tcW w:w="7938" w:type="dxa"/>
            <w:shd w:val="clear" w:color="auto" w:fill="auto"/>
          </w:tcPr>
          <w:p w14:paraId="0B8B3867" w14:textId="77777777" w:rsidR="00030DB8" w:rsidRDefault="00030DB8" w:rsidP="00675C15">
            <w:pPr>
              <w:pStyle w:val="Tableformat"/>
              <w:rPr>
                <w:color w:val="auto"/>
              </w:rPr>
            </w:pPr>
            <w:r w:rsidRPr="00F92B7D">
              <w:rPr>
                <w:color w:val="auto"/>
              </w:rPr>
              <w:t xml:space="preserve">This Schedule is an agreement that is a supplementary housing agreement for the purposes of Section 15C of the </w:t>
            </w:r>
            <w:r w:rsidRPr="00F92B7D">
              <w:rPr>
                <w:i/>
                <w:iCs w:val="0"/>
                <w:color w:val="auto"/>
              </w:rPr>
              <w:t xml:space="preserve">Federal Financial Relations Act 2009 </w:t>
            </w:r>
            <w:r w:rsidRPr="00F92B7D">
              <w:rPr>
                <w:color w:val="auto"/>
              </w:rPr>
              <w:t>(Cth) (the FFR Act) (Clause 9 of the primary agreement refers).</w:t>
            </w:r>
          </w:p>
          <w:p w14:paraId="6F2D5022" w14:textId="41DEBB2E" w:rsidR="00B30402" w:rsidRPr="00F92B7D" w:rsidRDefault="00B30402" w:rsidP="00675C15">
            <w:pPr>
              <w:pStyle w:val="Tableformat"/>
              <w:rPr>
                <w:i/>
                <w:color w:val="auto"/>
              </w:rPr>
            </w:pPr>
          </w:p>
        </w:tc>
      </w:tr>
    </w:tbl>
    <w:p w14:paraId="0BDAC483" w14:textId="77777777" w:rsidR="00030DB8" w:rsidRPr="00141501" w:rsidRDefault="00030DB8" w:rsidP="00030DB8">
      <w:pPr>
        <w:spacing w:before="240"/>
      </w:pPr>
      <w:r w:rsidRPr="00141501">
        <w:t xml:space="preserve">The </w:t>
      </w:r>
      <w:r w:rsidRPr="00F92B7D">
        <w:rPr>
          <w:sz w:val="24"/>
          <w:szCs w:val="24"/>
        </w:rPr>
        <w:t>Parties</w:t>
      </w:r>
      <w:r w:rsidRPr="00141501">
        <w:t xml:space="preserve"> have confirmed their commitment to this schedule as follows:</w:t>
      </w:r>
    </w:p>
    <w:p w14:paraId="010BCB94" w14:textId="77777777" w:rsidR="00E2163F" w:rsidRPr="00141501" w:rsidRDefault="00E2163F" w:rsidP="00030DB8">
      <w:pPr>
        <w:spacing w:before="240"/>
      </w:pPr>
    </w:p>
    <w:tbl>
      <w:tblPr>
        <w:tblW w:w="5000" w:type="pct"/>
        <w:tblLook w:val="01E0" w:firstRow="1" w:lastRow="1" w:firstColumn="1" w:lastColumn="1" w:noHBand="0" w:noVBand="0"/>
      </w:tblPr>
      <w:tblGrid>
        <w:gridCol w:w="3903"/>
        <w:gridCol w:w="1374"/>
        <w:gridCol w:w="3749"/>
      </w:tblGrid>
      <w:tr w:rsidR="00030DB8" w:rsidRPr="00F92B7D" w14:paraId="1F1EDBE4" w14:textId="77777777" w:rsidTr="00141501">
        <w:trPr>
          <w:cantSplit/>
          <w:trHeight w:val="2234"/>
        </w:trPr>
        <w:tc>
          <w:tcPr>
            <w:tcW w:w="2162" w:type="pct"/>
          </w:tcPr>
          <w:p w14:paraId="2F72F35D" w14:textId="77777777" w:rsidR="00705B6E" w:rsidRPr="00F92B7D" w:rsidRDefault="00705B6E" w:rsidP="00705B6E">
            <w:pPr>
              <w:pStyle w:val="Signed"/>
            </w:pPr>
            <w:r w:rsidRPr="00F92B7D">
              <w:rPr>
                <w:rStyle w:val="SignedBold"/>
              </w:rPr>
              <w:t>Signed</w:t>
            </w:r>
            <w:r w:rsidRPr="00F92B7D">
              <w:t xml:space="preserve"> for and on behalf of the Commonwealth of Australia by</w:t>
            </w:r>
          </w:p>
          <w:p w14:paraId="67EF15DE" w14:textId="77777777" w:rsidR="00705B6E" w:rsidRPr="00141501" w:rsidRDefault="00705B6E" w:rsidP="00705B6E">
            <w:pPr>
              <w:pStyle w:val="LineForSignature"/>
              <w:rPr>
                <w:lang w:val="en-AU"/>
              </w:rPr>
            </w:pPr>
            <w:r w:rsidRPr="00141501">
              <w:rPr>
                <w:lang w:val="en-AU"/>
              </w:rPr>
              <w:tab/>
            </w:r>
          </w:p>
          <w:p w14:paraId="5A26D2BE" w14:textId="77777777" w:rsidR="00705B6E" w:rsidRPr="00F92B7D" w:rsidRDefault="00705B6E" w:rsidP="00705B6E">
            <w:pPr>
              <w:pStyle w:val="SingleParagraph"/>
              <w:rPr>
                <w:rStyle w:val="Bold"/>
              </w:rPr>
            </w:pPr>
            <w:r w:rsidRPr="00F92B7D">
              <w:rPr>
                <w:rStyle w:val="Bold"/>
              </w:rPr>
              <w:t>The Honourable Julie Collins MP</w:t>
            </w:r>
          </w:p>
          <w:p w14:paraId="1E6FAED9" w14:textId="77777777" w:rsidR="00705B6E" w:rsidRPr="00141501" w:rsidRDefault="00705B6E" w:rsidP="00705B6E">
            <w:pPr>
              <w:pStyle w:val="Position"/>
              <w:jc w:val="left"/>
            </w:pPr>
            <w:r w:rsidRPr="00141501">
              <w:t xml:space="preserve">Minister for Housing </w:t>
            </w:r>
            <w:r w:rsidRPr="00141501">
              <w:br/>
              <w:t>Minister for Homelessness</w:t>
            </w:r>
          </w:p>
          <w:p w14:paraId="43BCD178" w14:textId="77777777" w:rsidR="00030DB8" w:rsidRPr="00141501" w:rsidRDefault="00705B6E" w:rsidP="00705B6E">
            <w:pPr>
              <w:pStyle w:val="SingleParagraph"/>
              <w:tabs>
                <w:tab w:val="num" w:pos="1134"/>
              </w:tabs>
              <w:spacing w:after="240"/>
            </w:pPr>
            <w:r w:rsidRPr="00141501">
              <w:t>[         ]  [         ]  [         ]</w:t>
            </w:r>
          </w:p>
          <w:p w14:paraId="0B127703" w14:textId="3D937CEB" w:rsidR="00E2163F" w:rsidRPr="00141501" w:rsidRDefault="00E2163F" w:rsidP="00705B6E">
            <w:pPr>
              <w:pStyle w:val="SingleParagraph"/>
              <w:tabs>
                <w:tab w:val="num" w:pos="1134"/>
              </w:tabs>
              <w:spacing w:after="240"/>
              <w:rPr>
                <w:b/>
              </w:rPr>
            </w:pPr>
          </w:p>
        </w:tc>
        <w:tc>
          <w:tcPr>
            <w:tcW w:w="761" w:type="pct"/>
            <w:tcMar>
              <w:left w:w="0" w:type="dxa"/>
              <w:right w:w="0" w:type="dxa"/>
            </w:tcMar>
          </w:tcPr>
          <w:p w14:paraId="5E6C5820" w14:textId="77777777" w:rsidR="00030DB8" w:rsidRPr="00141501" w:rsidRDefault="00030DB8" w:rsidP="00675C15">
            <w:pPr>
              <w:rPr>
                <w:rFonts w:ascii="Book Antiqua" w:hAnsi="Book Antiqua"/>
              </w:rPr>
            </w:pPr>
          </w:p>
        </w:tc>
        <w:tc>
          <w:tcPr>
            <w:tcW w:w="2077" w:type="pct"/>
          </w:tcPr>
          <w:p w14:paraId="4CD84012" w14:textId="4EC56B53" w:rsidR="00030DB8" w:rsidRPr="00141501" w:rsidRDefault="00030DB8" w:rsidP="00705B6E">
            <w:pPr>
              <w:rPr>
                <w:rFonts w:ascii="Book Antiqua" w:hAnsi="Book Antiqua"/>
              </w:rPr>
            </w:pPr>
          </w:p>
        </w:tc>
      </w:tr>
      <w:tr w:rsidR="00E2163F" w:rsidRPr="00F92B7D" w14:paraId="72291DDF" w14:textId="77777777" w:rsidTr="00141501">
        <w:trPr>
          <w:cantSplit/>
          <w:trHeight w:val="2234"/>
        </w:trPr>
        <w:tc>
          <w:tcPr>
            <w:tcW w:w="2162" w:type="pct"/>
          </w:tcPr>
          <w:p w14:paraId="049681BC" w14:textId="77777777" w:rsidR="00E2163F" w:rsidRPr="00F92B7D" w:rsidRDefault="00E2163F" w:rsidP="00E2163F">
            <w:pPr>
              <w:pStyle w:val="Signed"/>
            </w:pPr>
            <w:r w:rsidRPr="00F92B7D">
              <w:rPr>
                <w:rStyle w:val="SignedBold"/>
              </w:rPr>
              <w:t>Signed</w:t>
            </w:r>
            <w:r w:rsidRPr="00F92B7D">
              <w:t xml:space="preserve"> for and on behalf of the</w:t>
            </w:r>
            <w:r w:rsidRPr="00F92B7D">
              <w:br/>
              <w:t>State of South Australia by</w:t>
            </w:r>
          </w:p>
          <w:p w14:paraId="1CFBCC70" w14:textId="77777777" w:rsidR="00E2163F" w:rsidRPr="00141501" w:rsidRDefault="00E2163F" w:rsidP="00E2163F">
            <w:pPr>
              <w:pStyle w:val="LineForSignature"/>
              <w:rPr>
                <w:lang w:val="en-AU"/>
              </w:rPr>
            </w:pPr>
            <w:r w:rsidRPr="00141501">
              <w:rPr>
                <w:lang w:val="en-AU"/>
              </w:rPr>
              <w:tab/>
            </w:r>
          </w:p>
          <w:p w14:paraId="02DE9CF3" w14:textId="77777777" w:rsidR="00E2163F" w:rsidRPr="00F92B7D" w:rsidRDefault="00E2163F" w:rsidP="00E2163F">
            <w:pPr>
              <w:pStyle w:val="SingleParagraph"/>
              <w:rPr>
                <w:rStyle w:val="Bold"/>
              </w:rPr>
            </w:pPr>
            <w:r w:rsidRPr="00F92B7D">
              <w:rPr>
                <w:rStyle w:val="Bold"/>
              </w:rPr>
              <w:t>The Honourable Nick Champion MP</w:t>
            </w:r>
          </w:p>
          <w:p w14:paraId="3137C2AC" w14:textId="2B36BCF1" w:rsidR="00E2163F" w:rsidRPr="00141501" w:rsidRDefault="00E2163F" w:rsidP="00C61905">
            <w:pPr>
              <w:pStyle w:val="Position"/>
              <w:jc w:val="left"/>
            </w:pPr>
            <w:r w:rsidRPr="00141501">
              <w:t xml:space="preserve">Minister for Housing and Urban Development, Minister for Housing Infrastructure, </w:t>
            </w:r>
            <w:r w:rsidR="00C61905" w:rsidRPr="00141501">
              <w:br/>
            </w:r>
            <w:r w:rsidRPr="00141501">
              <w:t>Minister for Planning</w:t>
            </w:r>
          </w:p>
          <w:p w14:paraId="1E35D7CF" w14:textId="43341F02" w:rsidR="00E2163F" w:rsidRPr="00F92B7D" w:rsidRDefault="00E2163F" w:rsidP="00E2163F">
            <w:pPr>
              <w:pStyle w:val="Signed"/>
              <w:rPr>
                <w:rStyle w:val="SignedBold"/>
              </w:rPr>
            </w:pPr>
            <w:r w:rsidRPr="00141501">
              <w:t>[         ]  [         ]  [         ]</w:t>
            </w:r>
          </w:p>
        </w:tc>
        <w:tc>
          <w:tcPr>
            <w:tcW w:w="761" w:type="pct"/>
            <w:tcMar>
              <w:left w:w="0" w:type="dxa"/>
              <w:right w:w="0" w:type="dxa"/>
            </w:tcMar>
          </w:tcPr>
          <w:p w14:paraId="12A4E8CF" w14:textId="77777777" w:rsidR="00E2163F" w:rsidRPr="00141501" w:rsidRDefault="00E2163F" w:rsidP="00675C15">
            <w:pPr>
              <w:rPr>
                <w:rFonts w:ascii="Book Antiqua" w:hAnsi="Book Antiqua"/>
              </w:rPr>
            </w:pPr>
          </w:p>
        </w:tc>
        <w:tc>
          <w:tcPr>
            <w:tcW w:w="2077" w:type="pct"/>
          </w:tcPr>
          <w:p w14:paraId="5B84010C" w14:textId="77777777" w:rsidR="00E2163F" w:rsidRPr="00F92B7D" w:rsidRDefault="00E2163F" w:rsidP="00705B6E">
            <w:pPr>
              <w:pStyle w:val="Signed"/>
              <w:rPr>
                <w:rStyle w:val="SignedBold"/>
              </w:rPr>
            </w:pPr>
          </w:p>
        </w:tc>
      </w:tr>
      <w:bookmarkEnd w:id="0"/>
    </w:tbl>
    <w:p w14:paraId="673500F4" w14:textId="77777777" w:rsidR="00C91B5F" w:rsidRDefault="00C91B5F" w:rsidP="002A1FEA"/>
    <w:sectPr w:rsidR="00C91B5F" w:rsidSect="00A94CA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7DCF" w14:textId="77777777" w:rsidR="008C3A5D" w:rsidRPr="00F92B7D" w:rsidRDefault="008C3A5D">
      <w:r w:rsidRPr="00F92B7D">
        <w:separator/>
      </w:r>
    </w:p>
  </w:endnote>
  <w:endnote w:type="continuationSeparator" w:id="0">
    <w:p w14:paraId="251A4E0F" w14:textId="77777777" w:rsidR="008C3A5D" w:rsidRPr="00F92B7D" w:rsidRDefault="008C3A5D">
      <w:r w:rsidRPr="00F92B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FA28" w14:textId="7E0745F3" w:rsidR="004755E0" w:rsidRPr="00F92B7D" w:rsidRDefault="004755E0">
    <w:pPr>
      <w:pStyle w:val="Footer"/>
    </w:pPr>
    <w:r w:rsidRPr="00CE626D">
      <w:rPr>
        <w:noProof/>
      </w:rPr>
      <mc:AlternateContent>
        <mc:Choice Requires="wps">
          <w:drawing>
            <wp:anchor distT="0" distB="0" distL="0" distR="0" simplePos="0" relativeHeight="251662336" behindDoc="0" locked="0" layoutInCell="1" allowOverlap="1" wp14:anchorId="78137C60" wp14:editId="5D152998">
              <wp:simplePos x="635" y="635"/>
              <wp:positionH relativeFrom="page">
                <wp:align>center</wp:align>
              </wp:positionH>
              <wp:positionV relativeFrom="page">
                <wp:align>bottom</wp:align>
              </wp:positionV>
              <wp:extent cx="686435" cy="365760"/>
              <wp:effectExtent l="0" t="0" r="18415" b="0"/>
              <wp:wrapNone/>
              <wp:docPr id="1737178586"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6435" cy="365760"/>
                      </a:xfrm>
                      <a:prstGeom prst="rect">
                        <a:avLst/>
                      </a:prstGeom>
                      <a:noFill/>
                      <a:ln>
                        <a:noFill/>
                      </a:ln>
                    </wps:spPr>
                    <wps:txbx>
                      <w:txbxContent>
                        <w:p w14:paraId="0744C933" w14:textId="74E76DA2" w:rsidR="004755E0" w:rsidRPr="00E361FB" w:rsidRDefault="004755E0" w:rsidP="004755E0">
                          <w:pPr>
                            <w:rPr>
                              <w:rFonts w:ascii="Arial" w:eastAsia="Arial" w:hAnsi="Arial" w:cs="Arial"/>
                              <w:color w:val="A80000"/>
                              <w:sz w:val="24"/>
                              <w:szCs w:val="24"/>
                            </w:rPr>
                          </w:pPr>
                          <w:r w:rsidRPr="00E361FB">
                            <w:rPr>
                              <w:rFonts w:ascii="Arial" w:eastAsia="Arial" w:hAnsi="Arial" w:cs="Arial"/>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137C60" id="_x0000_t202" coordsize="21600,21600" o:spt="202" path="m,l,21600r21600,l21600,xe">
              <v:stroke joinstyle="miter"/>
              <v:path gradientshapeok="t" o:connecttype="rect"/>
            </v:shapetype>
            <v:shape id="Text Box 5" o:spid="_x0000_s1029" type="#_x0000_t202" alt="OFFICIAL " style="position:absolute;margin-left:0;margin-top:0;width:54.05pt;height:28.8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" filled="f" stroked="f">
              <v:textbox style="mso-fit-shape-to-text:t" inset="0,0,0,15pt">
                <w:txbxContent>
                  <w:p w14:paraId="0744C933" w14:textId="74E76DA2" w:rsidR="004755E0" w:rsidRPr="00E361FB" w:rsidRDefault="004755E0" w:rsidP="004755E0">
                    <w:pPr>
                      <w:rPr>
                        <w:rFonts w:ascii="Arial" w:eastAsia="Arial" w:hAnsi="Arial" w:cs="Arial"/>
                        <w:color w:val="A80000"/>
                        <w:sz w:val="24"/>
                        <w:szCs w:val="24"/>
                      </w:rPr>
                    </w:pPr>
                    <w:r w:rsidRPr="00E361FB">
                      <w:rPr>
                        <w:rFonts w:ascii="Arial" w:eastAsia="Arial" w:hAnsi="Arial" w:cs="Arial"/>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95F6" w14:textId="1140CBA7" w:rsidR="004755E0" w:rsidRPr="00F92B7D" w:rsidRDefault="004755E0">
    <w:pPr>
      <w:pStyle w:val="Footer"/>
    </w:pPr>
    <w:r w:rsidRPr="00CE626D">
      <w:rPr>
        <w:noProof/>
      </w:rPr>
      <mc:AlternateContent>
        <mc:Choice Requires="wps">
          <w:drawing>
            <wp:anchor distT="0" distB="0" distL="0" distR="0" simplePos="0" relativeHeight="251663360" behindDoc="0" locked="0" layoutInCell="1" allowOverlap="1" wp14:anchorId="7DD18222" wp14:editId="3F4F9E58">
              <wp:simplePos x="635" y="635"/>
              <wp:positionH relativeFrom="page">
                <wp:align>center</wp:align>
              </wp:positionH>
              <wp:positionV relativeFrom="page">
                <wp:align>bottom</wp:align>
              </wp:positionV>
              <wp:extent cx="686435" cy="365760"/>
              <wp:effectExtent l="0" t="0" r="18415" b="0"/>
              <wp:wrapNone/>
              <wp:docPr id="847698524"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6435" cy="365760"/>
                      </a:xfrm>
                      <a:prstGeom prst="rect">
                        <a:avLst/>
                      </a:prstGeom>
                      <a:noFill/>
                      <a:ln>
                        <a:noFill/>
                      </a:ln>
                    </wps:spPr>
                    <wps:txbx>
                      <w:txbxContent>
                        <w:p w14:paraId="1333D966" w14:textId="4727E0F7" w:rsidR="004755E0" w:rsidRPr="00E361FB" w:rsidRDefault="004755E0" w:rsidP="004755E0">
                          <w:pPr>
                            <w:rPr>
                              <w:rFonts w:ascii="Arial" w:eastAsia="Arial" w:hAnsi="Arial" w:cs="Arial"/>
                              <w:color w:val="A80000"/>
                              <w:sz w:val="24"/>
                              <w:szCs w:val="24"/>
                            </w:rPr>
                          </w:pPr>
                          <w:r w:rsidRPr="00E361FB">
                            <w:rPr>
                              <w:rFonts w:ascii="Arial" w:eastAsia="Arial" w:hAnsi="Arial" w:cs="Arial"/>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D18222" id="_x0000_t202" coordsize="21600,21600" o:spt="202" path="m,l,21600r21600,l21600,xe">
              <v:stroke joinstyle="miter"/>
              <v:path gradientshapeok="t" o:connecttype="rect"/>
            </v:shapetype>
            <v:shape id="Text Box 6" o:spid="_x0000_s1030" type="#_x0000_t202" alt="OFFICIAL " style="position:absolute;margin-left:0;margin-top:0;width:54.05pt;height:28.8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" filled="f" stroked="f">
              <v:textbox style="mso-fit-shape-to-text:t" inset="0,0,0,15pt">
                <w:txbxContent>
                  <w:p w14:paraId="1333D966" w14:textId="4727E0F7" w:rsidR="004755E0" w:rsidRPr="00E361FB" w:rsidRDefault="004755E0" w:rsidP="004755E0">
                    <w:pPr>
                      <w:rPr>
                        <w:rFonts w:ascii="Arial" w:eastAsia="Arial" w:hAnsi="Arial" w:cs="Arial"/>
                        <w:color w:val="A80000"/>
                        <w:sz w:val="24"/>
                        <w:szCs w:val="24"/>
                      </w:rPr>
                    </w:pPr>
                    <w:r w:rsidRPr="00E361FB">
                      <w:rPr>
                        <w:rFonts w:ascii="Arial" w:eastAsia="Arial" w:hAnsi="Arial" w:cs="Arial"/>
                        <w:color w:val="A80000"/>
                        <w:sz w:val="24"/>
                        <w:szCs w:val="24"/>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DA33" w14:textId="7D4173FC" w:rsidR="004755E0" w:rsidRPr="00F92B7D" w:rsidRDefault="004755E0">
    <w:pPr>
      <w:pStyle w:val="Footer"/>
    </w:pPr>
    <w:r w:rsidRPr="00CE626D">
      <w:rPr>
        <w:noProof/>
      </w:rPr>
      <mc:AlternateContent>
        <mc:Choice Requires="wps">
          <w:drawing>
            <wp:anchor distT="0" distB="0" distL="0" distR="0" simplePos="0" relativeHeight="251661312" behindDoc="0" locked="0" layoutInCell="1" allowOverlap="1" wp14:anchorId="530B9623" wp14:editId="03913296">
              <wp:simplePos x="635" y="635"/>
              <wp:positionH relativeFrom="page">
                <wp:align>center</wp:align>
              </wp:positionH>
              <wp:positionV relativeFrom="page">
                <wp:align>bottom</wp:align>
              </wp:positionV>
              <wp:extent cx="686435" cy="365760"/>
              <wp:effectExtent l="0" t="0" r="18415" b="0"/>
              <wp:wrapNone/>
              <wp:docPr id="1269477703" name="Text Box 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6435" cy="365760"/>
                      </a:xfrm>
                      <a:prstGeom prst="rect">
                        <a:avLst/>
                      </a:prstGeom>
                      <a:noFill/>
                      <a:ln>
                        <a:noFill/>
                      </a:ln>
                    </wps:spPr>
                    <wps:txbx>
                      <w:txbxContent>
                        <w:p w14:paraId="39A2FA36" w14:textId="3C65C57B" w:rsidR="004755E0" w:rsidRPr="00BE5CB4" w:rsidRDefault="004755E0" w:rsidP="004755E0">
                          <w:pPr>
                            <w:rPr>
                              <w:rFonts w:ascii="Arial" w:eastAsia="Arial" w:hAnsi="Arial" w:cs="Arial"/>
                              <w:color w:val="A80000"/>
                              <w:sz w:val="24"/>
                              <w:szCs w:val="24"/>
                            </w:rPr>
                          </w:pPr>
                          <w:r w:rsidRPr="00BE5CB4">
                            <w:rPr>
                              <w:rFonts w:ascii="Arial" w:eastAsia="Arial" w:hAnsi="Arial" w:cs="Arial"/>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0B9623" id="_x0000_t202" coordsize="21600,21600" o:spt="202" path="m,l,21600r21600,l21600,xe">
              <v:stroke joinstyle="miter"/>
              <v:path gradientshapeok="t" o:connecttype="rect"/>
            </v:shapetype>
            <v:shape id="Text Box 4" o:spid="_x0000_s1032" type="#_x0000_t202" alt="OFFICIAL " style="position:absolute;margin-left:0;margin-top:0;width:54.05pt;height:28.8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" filled="f" stroked="f">
              <v:textbox style="mso-fit-shape-to-text:t" inset="0,0,0,15pt">
                <w:txbxContent>
                  <w:p w14:paraId="39A2FA36" w14:textId="3C65C57B" w:rsidR="004755E0" w:rsidRPr="00BE5CB4" w:rsidRDefault="004755E0" w:rsidP="004755E0">
                    <w:pPr>
                      <w:rPr>
                        <w:rFonts w:ascii="Arial" w:eastAsia="Arial" w:hAnsi="Arial" w:cs="Arial"/>
                        <w:color w:val="A80000"/>
                        <w:sz w:val="24"/>
                        <w:szCs w:val="24"/>
                      </w:rPr>
                    </w:pPr>
                    <w:r w:rsidRPr="00BE5CB4">
                      <w:rPr>
                        <w:rFonts w:ascii="Arial" w:eastAsia="Arial" w:hAnsi="Arial" w:cs="Arial"/>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AB943" w14:textId="77777777" w:rsidR="008C3A5D" w:rsidRPr="00F92B7D" w:rsidRDefault="008C3A5D">
      <w:r w:rsidRPr="00F92B7D">
        <w:separator/>
      </w:r>
    </w:p>
  </w:footnote>
  <w:footnote w:type="continuationSeparator" w:id="0">
    <w:p w14:paraId="70D612E2" w14:textId="77777777" w:rsidR="008C3A5D" w:rsidRPr="00F92B7D" w:rsidRDefault="008C3A5D">
      <w:r w:rsidRPr="00F92B7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DB65" w14:textId="522248DB" w:rsidR="00884E8F" w:rsidRPr="00F92B7D" w:rsidRDefault="004755E0">
    <w:pPr>
      <w:pStyle w:val="Header"/>
    </w:pPr>
    <w:r w:rsidRPr="00CE626D">
      <w:rPr>
        <w:noProof/>
      </w:rPr>
      <mc:AlternateContent>
        <mc:Choice Requires="wps">
          <w:drawing>
            <wp:anchor distT="0" distB="0" distL="0" distR="0" simplePos="0" relativeHeight="251659264" behindDoc="0" locked="0" layoutInCell="1" allowOverlap="1" wp14:anchorId="0851C910" wp14:editId="3EBED6D3">
              <wp:simplePos x="635" y="635"/>
              <wp:positionH relativeFrom="page">
                <wp:align>center</wp:align>
              </wp:positionH>
              <wp:positionV relativeFrom="page">
                <wp:align>top</wp:align>
              </wp:positionV>
              <wp:extent cx="686435" cy="365760"/>
              <wp:effectExtent l="0" t="0" r="18415" b="15240"/>
              <wp:wrapNone/>
              <wp:docPr id="1860668399"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6435" cy="365760"/>
                      </a:xfrm>
                      <a:prstGeom prst="rect">
                        <a:avLst/>
                      </a:prstGeom>
                      <a:noFill/>
                      <a:ln>
                        <a:noFill/>
                      </a:ln>
                    </wps:spPr>
                    <wps:txbx>
                      <w:txbxContent>
                        <w:p w14:paraId="2ADCD09D" w14:textId="743BD60C" w:rsidR="004755E0" w:rsidRPr="00CE626D" w:rsidRDefault="004755E0" w:rsidP="004755E0">
                          <w:pPr>
                            <w:rPr>
                              <w:rFonts w:ascii="Arial" w:eastAsia="Arial" w:hAnsi="Arial" w:cs="Arial"/>
                              <w:color w:val="A80000"/>
                              <w:sz w:val="24"/>
                              <w:szCs w:val="24"/>
                            </w:rPr>
                          </w:pPr>
                          <w:r w:rsidRPr="00CE626D">
                            <w:rPr>
                              <w:rFonts w:ascii="Arial" w:eastAsia="Arial" w:hAnsi="Arial" w:cs="Arial"/>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851C910" id="_x0000_t202" coordsize="21600,21600" o:spt="202" path="m,l,21600r21600,l21600,xe">
              <v:stroke joinstyle="miter"/>
              <v:path gradientshapeok="t" o:connecttype="rect"/>
            </v:shapetype>
            <v:shape id="_x0000_s1027" type="#_x0000_t202" alt="OFFICIAL" style="position:absolute;margin-left:0;margin-top:0;width:54.05pt;height:28.8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" filled="f" stroked="f">
              <v:textbox style="mso-fit-shape-to-text:t" inset="0,15pt,0,0">
                <w:txbxContent>
                  <w:p w14:paraId="2ADCD09D" w14:textId="743BD60C" w:rsidR="004755E0" w:rsidRPr="00CE626D" w:rsidRDefault="004755E0" w:rsidP="004755E0">
                    <w:pPr>
                      <w:rPr>
                        <w:rFonts w:ascii="Arial" w:eastAsia="Arial" w:hAnsi="Arial" w:cs="Arial"/>
                        <w:color w:val="A80000"/>
                        <w:sz w:val="24"/>
                        <w:szCs w:val="24"/>
                      </w:rPr>
                    </w:pPr>
                    <w:r w:rsidRPr="00CE626D">
                      <w:rPr>
                        <w:rFonts w:ascii="Arial" w:eastAsia="Arial" w:hAnsi="Arial" w:cs="Arial"/>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0810" w14:textId="66F0E5AD" w:rsidR="00884E8F" w:rsidRPr="00F92B7D" w:rsidRDefault="004755E0">
    <w:pPr>
      <w:pStyle w:val="Header"/>
    </w:pPr>
    <w:r w:rsidRPr="00CE626D">
      <w:rPr>
        <w:noProof/>
      </w:rPr>
      <mc:AlternateContent>
        <mc:Choice Requires="wps">
          <w:drawing>
            <wp:anchor distT="0" distB="0" distL="0" distR="0" simplePos="0" relativeHeight="251660288" behindDoc="0" locked="0" layoutInCell="1" allowOverlap="1" wp14:anchorId="42A7FFDB" wp14:editId="23474196">
              <wp:simplePos x="635" y="635"/>
              <wp:positionH relativeFrom="page">
                <wp:align>center</wp:align>
              </wp:positionH>
              <wp:positionV relativeFrom="page">
                <wp:align>top</wp:align>
              </wp:positionV>
              <wp:extent cx="686435" cy="365760"/>
              <wp:effectExtent l="0" t="0" r="18415" b="15240"/>
              <wp:wrapNone/>
              <wp:docPr id="1052977538"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6435" cy="365760"/>
                      </a:xfrm>
                      <a:prstGeom prst="rect">
                        <a:avLst/>
                      </a:prstGeom>
                      <a:noFill/>
                      <a:ln>
                        <a:noFill/>
                      </a:ln>
                    </wps:spPr>
                    <wps:txbx>
                      <w:txbxContent>
                        <w:p w14:paraId="2A84B824" w14:textId="4099089B" w:rsidR="004755E0" w:rsidRPr="00E361FB" w:rsidRDefault="004755E0" w:rsidP="004755E0">
                          <w:pPr>
                            <w:rPr>
                              <w:rFonts w:ascii="Arial" w:eastAsia="Arial" w:hAnsi="Arial" w:cs="Arial"/>
                              <w:color w:val="A80000"/>
                              <w:sz w:val="24"/>
                              <w:szCs w:val="24"/>
                            </w:rPr>
                          </w:pPr>
                          <w:r w:rsidRPr="00E361FB">
                            <w:rPr>
                              <w:rFonts w:ascii="Arial" w:eastAsia="Arial" w:hAnsi="Arial" w:cs="Arial"/>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2A7FFDB" id="_x0000_t202" coordsize="21600,21600" o:spt="202" path="m,l,21600r21600,l21600,xe">
              <v:stroke joinstyle="miter"/>
              <v:path gradientshapeok="t" o:connecttype="rect"/>
            </v:shapetype>
            <v:shape id="Text Box 3" o:spid="_x0000_s1028" type="#_x0000_t202" alt="OFFICIAL" style="position:absolute;margin-left:0;margin-top:0;width:54.05pt;height:28.8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" filled="f" stroked="f">
              <v:textbox style="mso-fit-shape-to-text:t" inset="0,15pt,0,0">
                <w:txbxContent>
                  <w:p w14:paraId="2A84B824" w14:textId="4099089B" w:rsidR="004755E0" w:rsidRPr="00E361FB" w:rsidRDefault="004755E0" w:rsidP="004755E0">
                    <w:pPr>
                      <w:rPr>
                        <w:rFonts w:ascii="Arial" w:eastAsia="Arial" w:hAnsi="Arial" w:cs="Arial"/>
                        <w:color w:val="A80000"/>
                        <w:sz w:val="24"/>
                        <w:szCs w:val="24"/>
                      </w:rPr>
                    </w:pPr>
                    <w:r w:rsidRPr="00E361FB">
                      <w:rPr>
                        <w:rFonts w:ascii="Arial" w:eastAsia="Arial" w:hAnsi="Arial" w:cs="Arial"/>
                        <w:color w:val="A8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F2C9" w14:textId="247E2BF6" w:rsidR="00884E8F" w:rsidRPr="00F92B7D" w:rsidRDefault="004755E0">
    <w:pPr>
      <w:pStyle w:val="Header"/>
    </w:pPr>
    <w:r w:rsidRPr="00CE626D">
      <w:rPr>
        <w:noProof/>
      </w:rPr>
      <mc:AlternateContent>
        <mc:Choice Requires="wps">
          <w:drawing>
            <wp:anchor distT="0" distB="0" distL="0" distR="0" simplePos="0" relativeHeight="251658240" behindDoc="0" locked="0" layoutInCell="1" allowOverlap="1" wp14:anchorId="176954DC" wp14:editId="3D23A27D">
              <wp:simplePos x="635" y="635"/>
              <wp:positionH relativeFrom="page">
                <wp:align>center</wp:align>
              </wp:positionH>
              <wp:positionV relativeFrom="page">
                <wp:align>top</wp:align>
              </wp:positionV>
              <wp:extent cx="686435" cy="365760"/>
              <wp:effectExtent l="0" t="0" r="18415" b="15240"/>
              <wp:wrapNone/>
              <wp:docPr id="35802625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6435" cy="365760"/>
                      </a:xfrm>
                      <a:prstGeom prst="rect">
                        <a:avLst/>
                      </a:prstGeom>
                      <a:noFill/>
                      <a:ln>
                        <a:noFill/>
                      </a:ln>
                    </wps:spPr>
                    <wps:txbx>
                      <w:txbxContent>
                        <w:p w14:paraId="64E6AEFC" w14:textId="00D3DE54" w:rsidR="004755E0" w:rsidRPr="00CE626D" w:rsidRDefault="004755E0" w:rsidP="004755E0">
                          <w:pPr>
                            <w:rPr>
                              <w:rFonts w:ascii="Arial" w:eastAsia="Arial" w:hAnsi="Arial" w:cs="Arial"/>
                              <w:color w:val="A80000"/>
                              <w:sz w:val="24"/>
                              <w:szCs w:val="24"/>
                            </w:rPr>
                          </w:pPr>
                          <w:r w:rsidRPr="00CE626D">
                            <w:rPr>
                              <w:rFonts w:ascii="Arial" w:eastAsia="Arial" w:hAnsi="Arial" w:cs="Arial"/>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6954DC" id="_x0000_t202" coordsize="21600,21600" o:spt="202" path="m,l,21600r21600,l21600,xe">
              <v:stroke joinstyle="miter"/>
              <v:path gradientshapeok="t" o:connecttype="rect"/>
            </v:shapetype>
            <v:shape id="Text Box 1" o:spid="_x0000_s1031" type="#_x0000_t202" alt="OFFICIAL" style="position:absolute;margin-left:0;margin-top:0;width:54.05pt;height:28.8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" filled="f" stroked="f">
              <v:textbox style="mso-fit-shape-to-text:t" inset="0,15pt,0,0">
                <w:txbxContent>
                  <w:p w14:paraId="64E6AEFC" w14:textId="00D3DE54" w:rsidR="004755E0" w:rsidRPr="00CE626D" w:rsidRDefault="004755E0" w:rsidP="004755E0">
                    <w:pPr>
                      <w:rPr>
                        <w:rFonts w:ascii="Arial" w:eastAsia="Arial" w:hAnsi="Arial" w:cs="Arial"/>
                        <w:color w:val="A80000"/>
                        <w:sz w:val="24"/>
                        <w:szCs w:val="24"/>
                      </w:rPr>
                    </w:pPr>
                    <w:r w:rsidRPr="00CE626D">
                      <w:rPr>
                        <w:rFonts w:ascii="Arial" w:eastAsia="Arial" w:hAnsi="Arial" w:cs="Arial"/>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5BC8"/>
    <w:multiLevelType w:val="hybridMultilevel"/>
    <w:tmpl w:val="83A24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E6B69"/>
    <w:multiLevelType w:val="hybridMultilevel"/>
    <w:tmpl w:val="72E40DC2"/>
    <w:lvl w:ilvl="0" w:tplc="0C090019">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9E324E"/>
    <w:multiLevelType w:val="hybridMultilevel"/>
    <w:tmpl w:val="D2688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4" w15:restartNumberingAfterBreak="0">
    <w:nsid w:val="71D9509F"/>
    <w:multiLevelType w:val="hybridMultilevel"/>
    <w:tmpl w:val="3642E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004094"/>
    <w:multiLevelType w:val="hybridMultilevel"/>
    <w:tmpl w:val="48DA2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11AC3"/>
    <w:rsid w:val="00030DB8"/>
    <w:rsid w:val="00080BF3"/>
    <w:rsid w:val="00093A90"/>
    <w:rsid w:val="000A7550"/>
    <w:rsid w:val="00101F13"/>
    <w:rsid w:val="00104A9B"/>
    <w:rsid w:val="00112A63"/>
    <w:rsid w:val="00141501"/>
    <w:rsid w:val="00142C7E"/>
    <w:rsid w:val="00152DDA"/>
    <w:rsid w:val="00152DDE"/>
    <w:rsid w:val="0015396B"/>
    <w:rsid w:val="00173D48"/>
    <w:rsid w:val="00176B90"/>
    <w:rsid w:val="0018061E"/>
    <w:rsid w:val="00191D2F"/>
    <w:rsid w:val="001A7A58"/>
    <w:rsid w:val="001C45A2"/>
    <w:rsid w:val="0020293D"/>
    <w:rsid w:val="00206877"/>
    <w:rsid w:val="00215411"/>
    <w:rsid w:val="00215A9B"/>
    <w:rsid w:val="00234E0B"/>
    <w:rsid w:val="002374B8"/>
    <w:rsid w:val="002617C2"/>
    <w:rsid w:val="00277140"/>
    <w:rsid w:val="002A1FEA"/>
    <w:rsid w:val="002C06F5"/>
    <w:rsid w:val="00316DFD"/>
    <w:rsid w:val="00317FB3"/>
    <w:rsid w:val="0033647E"/>
    <w:rsid w:val="003A33FF"/>
    <w:rsid w:val="00410B40"/>
    <w:rsid w:val="00437421"/>
    <w:rsid w:val="00445469"/>
    <w:rsid w:val="004755E0"/>
    <w:rsid w:val="004809D9"/>
    <w:rsid w:val="0053761F"/>
    <w:rsid w:val="005517B3"/>
    <w:rsid w:val="00574651"/>
    <w:rsid w:val="005841DA"/>
    <w:rsid w:val="005F6063"/>
    <w:rsid w:val="006020D9"/>
    <w:rsid w:val="0064121C"/>
    <w:rsid w:val="006422B2"/>
    <w:rsid w:val="006B6E73"/>
    <w:rsid w:val="00705B6E"/>
    <w:rsid w:val="007074A4"/>
    <w:rsid w:val="007603E7"/>
    <w:rsid w:val="00773E38"/>
    <w:rsid w:val="007F1EB5"/>
    <w:rsid w:val="007F42CB"/>
    <w:rsid w:val="008176FD"/>
    <w:rsid w:val="00884E8F"/>
    <w:rsid w:val="008B25C8"/>
    <w:rsid w:val="008C3A5D"/>
    <w:rsid w:val="008D0EFB"/>
    <w:rsid w:val="008E62E2"/>
    <w:rsid w:val="009033A1"/>
    <w:rsid w:val="0091759D"/>
    <w:rsid w:val="00935899"/>
    <w:rsid w:val="0097308B"/>
    <w:rsid w:val="0098247F"/>
    <w:rsid w:val="009B5EE4"/>
    <w:rsid w:val="009C3443"/>
    <w:rsid w:val="009C7C43"/>
    <w:rsid w:val="009D29CA"/>
    <w:rsid w:val="009D5BA6"/>
    <w:rsid w:val="009E6004"/>
    <w:rsid w:val="009F7164"/>
    <w:rsid w:val="00A020B2"/>
    <w:rsid w:val="00A3499D"/>
    <w:rsid w:val="00A65C44"/>
    <w:rsid w:val="00A66CF8"/>
    <w:rsid w:val="00A67C3B"/>
    <w:rsid w:val="00A7101C"/>
    <w:rsid w:val="00A94CAF"/>
    <w:rsid w:val="00AF79A9"/>
    <w:rsid w:val="00B220BB"/>
    <w:rsid w:val="00B30402"/>
    <w:rsid w:val="00B30FB0"/>
    <w:rsid w:val="00B63981"/>
    <w:rsid w:val="00B77897"/>
    <w:rsid w:val="00BB0778"/>
    <w:rsid w:val="00BD6E01"/>
    <w:rsid w:val="00BE5CB4"/>
    <w:rsid w:val="00C56289"/>
    <w:rsid w:val="00C61905"/>
    <w:rsid w:val="00C704D2"/>
    <w:rsid w:val="00C91B5F"/>
    <w:rsid w:val="00C93303"/>
    <w:rsid w:val="00CA54E0"/>
    <w:rsid w:val="00CC74B1"/>
    <w:rsid w:val="00CD4783"/>
    <w:rsid w:val="00CE626D"/>
    <w:rsid w:val="00CF0B25"/>
    <w:rsid w:val="00CF44DF"/>
    <w:rsid w:val="00D54783"/>
    <w:rsid w:val="00D64AA1"/>
    <w:rsid w:val="00D72A49"/>
    <w:rsid w:val="00DB02C5"/>
    <w:rsid w:val="00DB4DF5"/>
    <w:rsid w:val="00DB5578"/>
    <w:rsid w:val="00DE0037"/>
    <w:rsid w:val="00E2163F"/>
    <w:rsid w:val="00E361FB"/>
    <w:rsid w:val="00E37394"/>
    <w:rsid w:val="00E401B3"/>
    <w:rsid w:val="00E535B8"/>
    <w:rsid w:val="00E87AFD"/>
    <w:rsid w:val="00E90FCB"/>
    <w:rsid w:val="00EF5053"/>
    <w:rsid w:val="00F0261A"/>
    <w:rsid w:val="00F525D7"/>
    <w:rsid w:val="00F92B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156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B5F"/>
    <w:pPr>
      <w:widowControl w:val="0"/>
      <w:spacing w:after="0" w:line="240" w:lineRule="auto"/>
    </w:pPr>
  </w:style>
  <w:style w:type="paragraph" w:styleId="Heading1">
    <w:name w:val="heading 1"/>
    <w:basedOn w:val="Normal"/>
    <w:next w:val="Normal"/>
    <w:link w:val="Heading1Char"/>
    <w:uiPriority w:val="9"/>
    <w:qFormat/>
    <w:rsid w:val="00030D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semiHidden/>
    <w:unhideWhenUsed/>
    <w:qFormat/>
    <w:rsid w:val="00705B6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142C7E"/>
    <w:rPr>
      <w:sz w:val="16"/>
      <w:szCs w:val="16"/>
    </w:rPr>
  </w:style>
  <w:style w:type="paragraph" w:styleId="CommentText">
    <w:name w:val="annotation text"/>
    <w:basedOn w:val="Normal"/>
    <w:link w:val="CommentTextChar"/>
    <w:uiPriority w:val="99"/>
    <w:unhideWhenUsed/>
    <w:rsid w:val="00142C7E"/>
    <w:rPr>
      <w:sz w:val="20"/>
      <w:szCs w:val="20"/>
    </w:rPr>
  </w:style>
  <w:style w:type="character" w:customStyle="1" w:styleId="CommentTextChar">
    <w:name w:val="Comment Text Char"/>
    <w:basedOn w:val="DefaultParagraphFont"/>
    <w:link w:val="CommentText"/>
    <w:uiPriority w:val="99"/>
    <w:rsid w:val="00142C7E"/>
    <w:rPr>
      <w:sz w:val="20"/>
      <w:szCs w:val="20"/>
      <w:lang w:val="en-US"/>
    </w:rPr>
  </w:style>
  <w:style w:type="paragraph" w:styleId="CommentSubject">
    <w:name w:val="annotation subject"/>
    <w:basedOn w:val="CommentText"/>
    <w:next w:val="CommentText"/>
    <w:link w:val="CommentSubjectChar"/>
    <w:uiPriority w:val="99"/>
    <w:semiHidden/>
    <w:unhideWhenUsed/>
    <w:rsid w:val="00142C7E"/>
    <w:rPr>
      <w:b/>
      <w:bCs/>
    </w:rPr>
  </w:style>
  <w:style w:type="character" w:customStyle="1" w:styleId="CommentSubjectChar">
    <w:name w:val="Comment Subject Char"/>
    <w:basedOn w:val="CommentTextChar"/>
    <w:link w:val="CommentSubject"/>
    <w:uiPriority w:val="99"/>
    <w:semiHidden/>
    <w:rsid w:val="00142C7E"/>
    <w:rPr>
      <w:b/>
      <w:bCs/>
      <w:sz w:val="20"/>
      <w:szCs w:val="20"/>
      <w:lang w:val="en-US"/>
    </w:rPr>
  </w:style>
  <w:style w:type="paragraph" w:styleId="Revision">
    <w:name w:val="Revision"/>
    <w:hidden/>
    <w:uiPriority w:val="99"/>
    <w:semiHidden/>
    <w:rsid w:val="007F1EB5"/>
    <w:pPr>
      <w:spacing w:after="0" w:line="240" w:lineRule="auto"/>
    </w:pPr>
    <w:rPr>
      <w:lang w:val="en-US"/>
    </w:rPr>
  </w:style>
  <w:style w:type="character" w:customStyle="1" w:styleId="Heading1Char">
    <w:name w:val="Heading 1 Char"/>
    <w:basedOn w:val="DefaultParagraphFont"/>
    <w:link w:val="Heading1"/>
    <w:uiPriority w:val="9"/>
    <w:rsid w:val="00030DB8"/>
    <w:rPr>
      <w:rFonts w:asciiTheme="majorHAnsi" w:eastAsiaTheme="majorEastAsia" w:hAnsiTheme="majorHAnsi" w:cstheme="majorBidi"/>
      <w:color w:val="2E74B5" w:themeColor="accent1" w:themeShade="BF"/>
      <w:sz w:val="32"/>
      <w:szCs w:val="32"/>
      <w:lang w:val="en-US"/>
    </w:rPr>
  </w:style>
  <w:style w:type="paragraph" w:customStyle="1" w:styleId="AlphaParagraph">
    <w:name w:val="Alpha Paragraph"/>
    <w:basedOn w:val="Normal"/>
    <w:link w:val="AlphaParagraphCharChar"/>
    <w:rsid w:val="00030DB8"/>
    <w:pPr>
      <w:widowControl/>
      <w:tabs>
        <w:tab w:val="num" w:pos="0"/>
        <w:tab w:val="num" w:pos="283"/>
        <w:tab w:val="num" w:pos="567"/>
        <w:tab w:val="num" w:pos="1134"/>
        <w:tab w:val="num" w:pos="1418"/>
        <w:tab w:val="num" w:pos="1701"/>
      </w:tabs>
      <w:spacing w:after="240" w:line="260" w:lineRule="exact"/>
      <w:ind w:left="567" w:hanging="363"/>
      <w:jc w:val="both"/>
    </w:pPr>
    <w:rPr>
      <w:rFonts w:ascii="Corbel" w:eastAsia="Times New Roman" w:hAnsi="Corbel" w:cs="Times New Roman"/>
      <w:color w:val="000000"/>
      <w:sz w:val="23"/>
      <w:szCs w:val="20"/>
      <w:lang w:eastAsia="en-AU"/>
    </w:rPr>
  </w:style>
  <w:style w:type="character" w:customStyle="1" w:styleId="AlphaParagraphCharChar">
    <w:name w:val="Alpha Paragraph Char Char"/>
    <w:link w:val="AlphaParagraph"/>
    <w:locked/>
    <w:rsid w:val="00030DB8"/>
    <w:rPr>
      <w:rFonts w:ascii="Corbel" w:eastAsia="Times New Roman" w:hAnsi="Corbel" w:cs="Times New Roman"/>
      <w:color w:val="000000"/>
      <w:sz w:val="23"/>
      <w:szCs w:val="20"/>
      <w:lang w:eastAsia="en-AU"/>
    </w:rPr>
  </w:style>
  <w:style w:type="character" w:customStyle="1" w:styleId="Heading7Char">
    <w:name w:val="Heading 7 Char"/>
    <w:basedOn w:val="DefaultParagraphFont"/>
    <w:link w:val="Heading7"/>
    <w:uiPriority w:val="9"/>
    <w:semiHidden/>
    <w:rsid w:val="00705B6E"/>
    <w:rPr>
      <w:rFonts w:asciiTheme="majorHAnsi" w:eastAsiaTheme="majorEastAsia" w:hAnsiTheme="majorHAnsi" w:cstheme="majorBidi"/>
      <w:i/>
      <w:iCs/>
      <w:color w:val="1F4D78" w:themeColor="accent1" w:themeShade="7F"/>
      <w:lang w:val="en-US"/>
    </w:rPr>
  </w:style>
  <w:style w:type="character" w:styleId="Hyperlink">
    <w:name w:val="Hyperlink"/>
    <w:basedOn w:val="DefaultParagraphFont"/>
    <w:uiPriority w:val="99"/>
    <w:unhideWhenUsed/>
    <w:rsid w:val="004755E0"/>
    <w:rPr>
      <w:color w:val="0563C1" w:themeColor="hyperlink"/>
      <w:u w:val="single"/>
    </w:rPr>
  </w:style>
  <w:style w:type="character" w:styleId="UnresolvedMention">
    <w:name w:val="Unresolved Mention"/>
    <w:basedOn w:val="DefaultParagraphFont"/>
    <w:uiPriority w:val="99"/>
    <w:semiHidden/>
    <w:unhideWhenUsed/>
    <w:rsid w:val="00475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easury.sa.gov.au/Growing-South-Australia/a-better-housing-future/A-Better-Housing-Future-February-2023.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using.sa.gov.au/__data/assets/pdf_file/0003/130692/Our-Housing-Future-2020-2030.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using.sa.gov.au/documents/our-housing-future/A-Better-Housing-Futur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housing.sa.gov.au/documents/our-housing-future/A-Better-Housing-Futur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ousing.sa.gov.au/news-and-publications/publications/sa_aboriginal-housing-strateg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National Agreement on Social Housing and Homelessness - Bilateral Schedule</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Agreement on Social Housing and Homelessness - Bilateral Schedule</dc:title>
  <dc:subject/>
  <dc:creator/>
  <cp:keywords/>
  <dc:description/>
  <cp:lastModifiedBy/>
  <cp:revision>1</cp:revision>
  <dcterms:created xsi:type="dcterms:W3CDTF">2024-07-01T04:48:00Z</dcterms:created>
  <dcterms:modified xsi:type="dcterms:W3CDTF">2024-07-01T04:53:00Z</dcterms:modified>
  <cp:category/>
</cp:coreProperties>
</file>